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113" w:rsidRPr="00AB6871" w:rsidRDefault="00C90113" w:rsidP="00C90113">
      <w:pPr>
        <w:pStyle w:val="a7"/>
        <w:ind w:left="4820"/>
        <w:jc w:val="right"/>
        <w:rPr>
          <w:b/>
        </w:rPr>
      </w:pPr>
      <w:r w:rsidRPr="00AB6871">
        <w:rPr>
          <w:b/>
        </w:rPr>
        <w:t>APPROVED</w:t>
      </w:r>
    </w:p>
    <w:p w:rsidR="00C90113" w:rsidRPr="00AB6871" w:rsidRDefault="00C90113" w:rsidP="00C90113">
      <w:pPr>
        <w:pStyle w:val="a7"/>
        <w:tabs>
          <w:tab w:val="left" w:pos="4962"/>
        </w:tabs>
        <w:ind w:left="4820"/>
        <w:jc w:val="right"/>
        <w:rPr>
          <w:bCs/>
        </w:rPr>
      </w:pPr>
      <w:proofErr w:type="gramStart"/>
      <w:r w:rsidRPr="00AB6871">
        <w:rPr>
          <w:bCs/>
        </w:rPr>
        <w:t>by</w:t>
      </w:r>
      <w:proofErr w:type="gramEnd"/>
      <w:r w:rsidRPr="00AB6871">
        <w:rPr>
          <w:bCs/>
        </w:rPr>
        <w:t xml:space="preserve"> the </w:t>
      </w:r>
      <w:r>
        <w:rPr>
          <w:bCs/>
        </w:rPr>
        <w:t>r</w:t>
      </w:r>
      <w:r w:rsidRPr="00AB6871">
        <w:rPr>
          <w:bCs/>
        </w:rPr>
        <w:t>esolution of the Supervisory Board</w:t>
      </w:r>
    </w:p>
    <w:p w:rsidR="00C90113" w:rsidRPr="00AB6871" w:rsidRDefault="00C90113" w:rsidP="00C90113">
      <w:pPr>
        <w:pStyle w:val="a7"/>
        <w:tabs>
          <w:tab w:val="left" w:pos="4962"/>
        </w:tabs>
        <w:ind w:left="4820"/>
        <w:jc w:val="right"/>
        <w:rPr>
          <w:bCs/>
        </w:rPr>
      </w:pPr>
      <w:proofErr w:type="gramStart"/>
      <w:r w:rsidRPr="00AB6871">
        <w:rPr>
          <w:bCs/>
        </w:rPr>
        <w:t>of</w:t>
      </w:r>
      <w:proofErr w:type="gramEnd"/>
      <w:r w:rsidRPr="00AB6871">
        <w:rPr>
          <w:bCs/>
        </w:rPr>
        <w:t xml:space="preserve"> </w:t>
      </w:r>
      <w:r>
        <w:rPr>
          <w:bCs/>
        </w:rPr>
        <w:t xml:space="preserve">the </w:t>
      </w:r>
      <w:r w:rsidRPr="00AB6871">
        <w:rPr>
          <w:bCs/>
        </w:rPr>
        <w:t xml:space="preserve">Moscow Exchange </w:t>
      </w:r>
    </w:p>
    <w:p w:rsidR="00C90113" w:rsidRPr="00C90113" w:rsidRDefault="00C90113" w:rsidP="00C90113">
      <w:pPr>
        <w:tabs>
          <w:tab w:val="left" w:pos="1021"/>
        </w:tabs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9011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ab/>
      </w:r>
      <w:r w:rsidRPr="00C9011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ab/>
      </w:r>
      <w:r w:rsidRPr="00C9011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ab/>
      </w:r>
      <w:r w:rsidRPr="00C9011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ab/>
      </w:r>
      <w:r w:rsidRPr="00C9011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ab/>
        <w:t xml:space="preserve">    </w:t>
      </w:r>
      <w:proofErr w:type="gramStart"/>
      <w:r w:rsidRPr="00C9011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on</w:t>
      </w:r>
      <w:proofErr w:type="gramEnd"/>
      <w:r w:rsidRPr="00C9011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June 30, 2017 (Minutes No. 4)</w:t>
      </w:r>
    </w:p>
    <w:p w:rsidR="00C90113" w:rsidRPr="00C90113" w:rsidRDefault="00C90113" w:rsidP="00B636E0">
      <w:pPr>
        <w:pStyle w:val="Default"/>
        <w:ind w:left="57"/>
        <w:jc w:val="center"/>
        <w:rPr>
          <w:b/>
          <w:color w:val="auto"/>
          <w:lang w:val="en-US"/>
        </w:rPr>
      </w:pPr>
      <w:bookmarkStart w:id="0" w:name="_GoBack"/>
      <w:bookmarkEnd w:id="0"/>
    </w:p>
    <w:p w:rsidR="00C90113" w:rsidRDefault="00C90113" w:rsidP="00B636E0">
      <w:pPr>
        <w:pStyle w:val="Default"/>
        <w:ind w:left="57"/>
        <w:jc w:val="center"/>
        <w:rPr>
          <w:b/>
          <w:color w:val="auto"/>
          <w:lang w:val="en-GB"/>
        </w:rPr>
      </w:pPr>
    </w:p>
    <w:p w:rsidR="00B636E0" w:rsidRPr="00664C21" w:rsidRDefault="00B636E0" w:rsidP="00B636E0">
      <w:pPr>
        <w:pStyle w:val="Default"/>
        <w:ind w:left="57"/>
        <w:jc w:val="center"/>
        <w:rPr>
          <w:b/>
          <w:color w:val="auto"/>
          <w:lang w:val="en-GB"/>
        </w:rPr>
      </w:pPr>
      <w:r w:rsidRPr="00664C21">
        <w:rPr>
          <w:b/>
          <w:color w:val="auto"/>
          <w:lang w:val="en-GB"/>
        </w:rPr>
        <w:t xml:space="preserve">Marketing Period According to Moscow Exchange Fix Trade Tariffs  </w:t>
      </w:r>
    </w:p>
    <w:p w:rsidR="00B636E0" w:rsidRPr="00664C21" w:rsidRDefault="00B636E0" w:rsidP="00B636E0">
      <w:pPr>
        <w:pStyle w:val="Default"/>
        <w:ind w:left="57"/>
        <w:jc w:val="center"/>
        <w:rPr>
          <w:b/>
          <w:bCs/>
          <w:lang w:val="en-GB"/>
        </w:rPr>
      </w:pPr>
    </w:p>
    <w:p w:rsidR="00B636E0" w:rsidRPr="00664C21" w:rsidRDefault="00B636E0" w:rsidP="00B636E0">
      <w:pPr>
        <w:numPr>
          <w:ilvl w:val="0"/>
          <w:numId w:val="1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This document shall set the rates of volume-based fix trade fee applied during the marketing period set in </w:t>
      </w:r>
      <w:proofErr w:type="gramStart"/>
      <w:r w:rsidRPr="00664C21">
        <w:rPr>
          <w:rFonts w:ascii="Times New Roman" w:hAnsi="Times New Roman" w:cs="Times New Roman"/>
          <w:sz w:val="24"/>
          <w:szCs w:val="24"/>
          <w:lang w:val="en-GB"/>
        </w:rPr>
        <w:t>this documents</w:t>
      </w:r>
      <w:proofErr w:type="gramEnd"/>
      <w:r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 on Moscow Exchange FX market.</w:t>
      </w:r>
    </w:p>
    <w:p w:rsidR="00B636E0" w:rsidRPr="00664C21" w:rsidRDefault="00B636E0" w:rsidP="00B636E0">
      <w:pPr>
        <w:tabs>
          <w:tab w:val="left" w:pos="720"/>
          <w:tab w:val="left" w:pos="1080"/>
        </w:tabs>
        <w:spacing w:after="12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>During the marketing period the Moscow Exchange Tariffs for FX Trades (hereinafter, the Tariffs) shall be applied with due regard to the rates of a relevant fee, which are set in this document.</w:t>
      </w:r>
    </w:p>
    <w:p w:rsidR="00B636E0" w:rsidRPr="00664C21" w:rsidRDefault="00B636E0" w:rsidP="00B636E0">
      <w:pPr>
        <w:pStyle w:val="Default"/>
        <w:ind w:left="57" w:firstLine="651"/>
        <w:rPr>
          <w:color w:val="auto"/>
          <w:lang w:val="en-GB"/>
        </w:rPr>
      </w:pPr>
      <w:r w:rsidRPr="00664C21">
        <w:rPr>
          <w:color w:val="auto"/>
          <w:lang w:val="en-GB"/>
        </w:rPr>
        <w:t>A fee-charging procedure shall be determined in accordance with the current Tariffs.</w:t>
      </w:r>
    </w:p>
    <w:p w:rsidR="00B636E0" w:rsidRPr="00664C21" w:rsidRDefault="00B636E0" w:rsidP="00B636E0">
      <w:pPr>
        <w:tabs>
          <w:tab w:val="left" w:pos="720"/>
          <w:tab w:val="left" w:pos="1080"/>
        </w:tabs>
        <w:spacing w:after="12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B636E0" w:rsidRPr="00664C21" w:rsidRDefault="00B636E0" w:rsidP="00B636E0">
      <w:pPr>
        <w:numPr>
          <w:ilvl w:val="0"/>
          <w:numId w:val="1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>During the marketing period the volume-based fix trade fee shall be set as follows: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39"/>
        <w:gridCol w:w="6804"/>
      </w:tblGrid>
      <w:tr w:rsidR="00B636E0" w:rsidRPr="00C90113" w:rsidTr="008C2517">
        <w:trPr>
          <w:cantSplit/>
          <w:trHeight w:val="1072"/>
        </w:trPr>
        <w:tc>
          <w:tcPr>
            <w:tcW w:w="2439" w:type="dxa"/>
            <w:vAlign w:val="center"/>
          </w:tcPr>
          <w:p w:rsidR="00B636E0" w:rsidRPr="00664C21" w:rsidRDefault="00B636E0" w:rsidP="008C2517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  <w:t>Name of tariff plan</w:t>
            </w:r>
          </w:p>
        </w:tc>
        <w:tc>
          <w:tcPr>
            <w:tcW w:w="6804" w:type="dxa"/>
          </w:tcPr>
          <w:p w:rsidR="00B636E0" w:rsidRPr="00664C21" w:rsidRDefault="00B636E0" w:rsidP="008C2517">
            <w:pPr>
              <w:pStyle w:val="NoSpacing1"/>
              <w:keepNext/>
              <w:jc w:val="center"/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  <w:t>Volume-based fee (fee charged from each fix trade volume in conjugate currency (%))</w:t>
            </w:r>
          </w:p>
        </w:tc>
      </w:tr>
      <w:tr w:rsidR="00B636E0" w:rsidRPr="00664C21" w:rsidTr="008C2517">
        <w:trPr>
          <w:cantSplit/>
          <w:trHeight w:val="266"/>
        </w:trPr>
        <w:tc>
          <w:tcPr>
            <w:tcW w:w="2439" w:type="dxa"/>
            <w:vAlign w:val="center"/>
          </w:tcPr>
          <w:p w:rsidR="00B636E0" w:rsidRPr="00664C21" w:rsidRDefault="00B636E0" w:rsidP="008C2517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SPT_0</w:t>
            </w:r>
          </w:p>
        </w:tc>
        <w:tc>
          <w:tcPr>
            <w:tcW w:w="6804" w:type="dxa"/>
            <w:vAlign w:val="center"/>
          </w:tcPr>
          <w:p w:rsidR="00B636E0" w:rsidRPr="00664C21" w:rsidRDefault="00B636E0" w:rsidP="008C2517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/>
              </w:rPr>
              <w:t>0,0002125%</w:t>
            </w:r>
          </w:p>
        </w:tc>
      </w:tr>
      <w:tr w:rsidR="00B636E0" w:rsidRPr="00664C21" w:rsidTr="008C2517">
        <w:trPr>
          <w:cantSplit/>
          <w:trHeight w:val="242"/>
        </w:trPr>
        <w:tc>
          <w:tcPr>
            <w:tcW w:w="2439" w:type="dxa"/>
            <w:vAlign w:val="center"/>
          </w:tcPr>
          <w:p w:rsidR="00B636E0" w:rsidRPr="00664C21" w:rsidRDefault="00B636E0" w:rsidP="008C2517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SPT_1000</w:t>
            </w:r>
          </w:p>
        </w:tc>
        <w:tc>
          <w:tcPr>
            <w:tcW w:w="6804" w:type="dxa"/>
            <w:vAlign w:val="center"/>
          </w:tcPr>
          <w:p w:rsidR="00B636E0" w:rsidRPr="00664C21" w:rsidRDefault="00B636E0" w:rsidP="008C2517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/>
              </w:rPr>
              <w:t>0,0001700%</w:t>
            </w:r>
          </w:p>
        </w:tc>
      </w:tr>
      <w:tr w:rsidR="00B636E0" w:rsidRPr="00664C21" w:rsidTr="008C2517">
        <w:trPr>
          <w:cantSplit/>
          <w:trHeight w:val="203"/>
        </w:trPr>
        <w:tc>
          <w:tcPr>
            <w:tcW w:w="2439" w:type="dxa"/>
            <w:vAlign w:val="center"/>
          </w:tcPr>
          <w:p w:rsidR="00B636E0" w:rsidRPr="00664C21" w:rsidRDefault="00B636E0" w:rsidP="008C2517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SPT_2000</w:t>
            </w:r>
          </w:p>
        </w:tc>
        <w:tc>
          <w:tcPr>
            <w:tcW w:w="6804" w:type="dxa"/>
            <w:vAlign w:val="center"/>
          </w:tcPr>
          <w:p w:rsidR="00B636E0" w:rsidRPr="00664C21" w:rsidRDefault="00B636E0" w:rsidP="008C2517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/>
              </w:rPr>
              <w:t>0,0001275%</w:t>
            </w:r>
          </w:p>
        </w:tc>
      </w:tr>
    </w:tbl>
    <w:p w:rsidR="00B636E0" w:rsidRPr="00664C21" w:rsidRDefault="00B636E0" w:rsidP="00B636E0">
      <w:pPr>
        <w:pStyle w:val="Default"/>
        <w:ind w:left="57"/>
        <w:rPr>
          <w:b/>
          <w:bCs/>
          <w:lang w:val="en-GB"/>
        </w:rPr>
      </w:pPr>
    </w:p>
    <w:p w:rsidR="00B636E0" w:rsidRPr="00664C21" w:rsidRDefault="00B636E0" w:rsidP="00B636E0">
      <w:pPr>
        <w:numPr>
          <w:ilvl w:val="0"/>
          <w:numId w:val="1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>During the marketing period of fix trades, the volume-based fee for integrated technological service (hereinafter, ITS) is set as follows: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39"/>
        <w:gridCol w:w="6804"/>
      </w:tblGrid>
      <w:tr w:rsidR="00B636E0" w:rsidRPr="00C90113" w:rsidTr="008C2517">
        <w:trPr>
          <w:cantSplit/>
          <w:trHeight w:val="858"/>
        </w:trPr>
        <w:tc>
          <w:tcPr>
            <w:tcW w:w="2439" w:type="dxa"/>
            <w:vAlign w:val="center"/>
          </w:tcPr>
          <w:p w:rsidR="00B636E0" w:rsidRPr="00664C21" w:rsidRDefault="00B636E0" w:rsidP="008C2517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  <w:t>Name of tariff plan</w:t>
            </w:r>
          </w:p>
        </w:tc>
        <w:tc>
          <w:tcPr>
            <w:tcW w:w="6804" w:type="dxa"/>
          </w:tcPr>
          <w:p w:rsidR="00B636E0" w:rsidRPr="00664C21" w:rsidRDefault="00B636E0" w:rsidP="008C2517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  <w:t>Volume-based fee (fee charged from each fix trade volume in conjugate currency (%))</w:t>
            </w:r>
          </w:p>
        </w:tc>
      </w:tr>
      <w:tr w:rsidR="00B636E0" w:rsidRPr="00664C21" w:rsidTr="008C2517">
        <w:trPr>
          <w:cantSplit/>
          <w:trHeight w:val="214"/>
        </w:trPr>
        <w:tc>
          <w:tcPr>
            <w:tcW w:w="2439" w:type="dxa"/>
            <w:vAlign w:val="center"/>
          </w:tcPr>
          <w:p w:rsidR="00B636E0" w:rsidRPr="00664C21" w:rsidRDefault="00B636E0" w:rsidP="008C2517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SPT_0</w:t>
            </w:r>
          </w:p>
        </w:tc>
        <w:tc>
          <w:tcPr>
            <w:tcW w:w="6804" w:type="dxa"/>
            <w:vAlign w:val="center"/>
          </w:tcPr>
          <w:p w:rsidR="00B636E0" w:rsidRPr="00664C21" w:rsidRDefault="00B636E0" w:rsidP="008C2517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/>
              </w:rPr>
              <w:t>0,000075%</w:t>
            </w:r>
          </w:p>
        </w:tc>
      </w:tr>
      <w:tr w:rsidR="00B636E0" w:rsidRPr="00664C21" w:rsidTr="008C2517">
        <w:trPr>
          <w:cantSplit/>
          <w:trHeight w:val="176"/>
        </w:trPr>
        <w:tc>
          <w:tcPr>
            <w:tcW w:w="2439" w:type="dxa"/>
            <w:vAlign w:val="center"/>
          </w:tcPr>
          <w:p w:rsidR="00B636E0" w:rsidRPr="00664C21" w:rsidRDefault="00B636E0" w:rsidP="008C2517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SPT_1000</w:t>
            </w:r>
          </w:p>
        </w:tc>
        <w:tc>
          <w:tcPr>
            <w:tcW w:w="6804" w:type="dxa"/>
            <w:vAlign w:val="center"/>
          </w:tcPr>
          <w:p w:rsidR="00B636E0" w:rsidRPr="00664C21" w:rsidRDefault="00B636E0" w:rsidP="008C2517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/>
              </w:rPr>
              <w:t>0,000060%</w:t>
            </w:r>
          </w:p>
        </w:tc>
      </w:tr>
      <w:tr w:rsidR="00B636E0" w:rsidRPr="00664C21" w:rsidTr="008C2517">
        <w:trPr>
          <w:cantSplit/>
          <w:trHeight w:val="151"/>
        </w:trPr>
        <w:tc>
          <w:tcPr>
            <w:tcW w:w="2439" w:type="dxa"/>
            <w:vAlign w:val="center"/>
          </w:tcPr>
          <w:p w:rsidR="00B636E0" w:rsidRPr="00664C21" w:rsidRDefault="00B636E0" w:rsidP="008C2517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SPT_2000</w:t>
            </w:r>
          </w:p>
        </w:tc>
        <w:tc>
          <w:tcPr>
            <w:tcW w:w="6804" w:type="dxa"/>
            <w:vAlign w:val="center"/>
          </w:tcPr>
          <w:p w:rsidR="00B636E0" w:rsidRPr="00664C21" w:rsidRDefault="00B636E0" w:rsidP="008C2517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/>
              </w:rPr>
              <w:t>0,000045%</w:t>
            </w:r>
          </w:p>
        </w:tc>
      </w:tr>
    </w:tbl>
    <w:p w:rsidR="00B636E0" w:rsidRPr="00664C21" w:rsidRDefault="00B636E0" w:rsidP="00B636E0">
      <w:pPr>
        <w:tabs>
          <w:tab w:val="left" w:pos="720"/>
          <w:tab w:val="left" w:pos="1080"/>
        </w:tabs>
        <w:spacing w:after="12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B636E0" w:rsidRPr="00664C21" w:rsidRDefault="00B636E0" w:rsidP="00B636E0">
      <w:pPr>
        <w:numPr>
          <w:ilvl w:val="0"/>
          <w:numId w:val="1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The marketing period set herein shall be effective for </w:t>
      </w:r>
      <w:proofErr w:type="gramStart"/>
      <w:r w:rsidRPr="00664C21">
        <w:rPr>
          <w:rFonts w:ascii="Times New Roman" w:hAnsi="Times New Roman" w:cs="Times New Roman"/>
          <w:sz w:val="24"/>
          <w:szCs w:val="24"/>
          <w:lang w:val="en-GB"/>
        </w:rPr>
        <w:t>1</w:t>
      </w:r>
      <w:proofErr w:type="gramEnd"/>
      <w:r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 (one) year from the date when this document comes into force.</w:t>
      </w:r>
    </w:p>
    <w:p w:rsidR="00B636E0" w:rsidRPr="00664C21" w:rsidRDefault="00B636E0" w:rsidP="00B636E0">
      <w:pPr>
        <w:numPr>
          <w:ilvl w:val="0"/>
          <w:numId w:val="1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>When the marketing period expires, this document becomes null and void, and in fix trades the volume-based fix trades fee and the ITS fees shall be charged at the rate set by the Tariffs effective at the time when a respective fee is charged.</w:t>
      </w:r>
    </w:p>
    <w:p w:rsidR="00961D73" w:rsidRPr="00B636E0" w:rsidRDefault="00961D73">
      <w:pPr>
        <w:rPr>
          <w:lang w:val="en-GB"/>
        </w:rPr>
      </w:pPr>
    </w:p>
    <w:sectPr w:rsidR="00961D73" w:rsidRPr="00B636E0" w:rsidSect="00DF384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90113">
      <w:pPr>
        <w:spacing w:after="0" w:line="240" w:lineRule="auto"/>
      </w:pPr>
      <w:r>
        <w:separator/>
      </w:r>
    </w:p>
  </w:endnote>
  <w:endnote w:type="continuationSeparator" w:id="0">
    <w:p w:rsidR="00000000" w:rsidRDefault="00C90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6EA" w:rsidRPr="0008569A" w:rsidRDefault="00C90113">
    <w:pPr>
      <w:pStyle w:val="a3"/>
      <w:jc w:val="right"/>
      <w:rPr>
        <w:rFonts w:ascii="Times New Roman" w:hAnsi="Times New Roman" w:cs="Times New Roman"/>
        <w:sz w:val="20"/>
        <w:szCs w:val="20"/>
      </w:rPr>
    </w:pPr>
  </w:p>
  <w:p w:rsidR="001436EA" w:rsidRDefault="00C9011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90113">
      <w:pPr>
        <w:spacing w:after="0" w:line="240" w:lineRule="auto"/>
      </w:pPr>
      <w:r>
        <w:separator/>
      </w:r>
    </w:p>
  </w:footnote>
  <w:footnote w:type="continuationSeparator" w:id="0">
    <w:p w:rsidR="00000000" w:rsidRDefault="00C90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17C9D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6"/>
        </w:tabs>
        <w:ind w:left="1446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69B"/>
    <w:rsid w:val="000420B6"/>
    <w:rsid w:val="005D469B"/>
    <w:rsid w:val="00961D73"/>
    <w:rsid w:val="00B636E0"/>
    <w:rsid w:val="00C9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F8241-4362-4F03-985C-4EB892133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6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B63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B636E0"/>
    <w:rPr>
      <w:rFonts w:eastAsiaTheme="minorEastAsia"/>
      <w:lang w:eastAsia="ru-RU"/>
    </w:rPr>
  </w:style>
  <w:style w:type="paragraph" w:customStyle="1" w:styleId="NoSpacing1">
    <w:name w:val="No Spacing1"/>
    <w:rsid w:val="00B636E0"/>
    <w:pPr>
      <w:spacing w:before="60" w:after="60" w:line="276" w:lineRule="auto"/>
      <w:jc w:val="both"/>
    </w:pPr>
    <w:rPr>
      <w:rFonts w:ascii="Franklin Gothic Book" w:eastAsia="Times New Roman" w:hAnsi="Franklin Gothic Book" w:cs="Times New Roman"/>
      <w:lang w:val="en-US"/>
    </w:rPr>
  </w:style>
  <w:style w:type="paragraph" w:customStyle="1" w:styleId="Default">
    <w:name w:val="Default"/>
    <w:rsid w:val="00B636E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42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20B6"/>
    <w:rPr>
      <w:rFonts w:eastAsiaTheme="minorEastAsia"/>
      <w:lang w:eastAsia="ru-RU"/>
    </w:rPr>
  </w:style>
  <w:style w:type="paragraph" w:styleId="a7">
    <w:name w:val="Body Text"/>
    <w:basedOn w:val="a"/>
    <w:link w:val="a8"/>
    <w:rsid w:val="00C901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8">
    <w:name w:val="Основной текст Знак"/>
    <w:basedOn w:val="a0"/>
    <w:link w:val="a7"/>
    <w:rsid w:val="00C90113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4</cp:revision>
  <dcterms:created xsi:type="dcterms:W3CDTF">2017-06-23T15:20:00Z</dcterms:created>
  <dcterms:modified xsi:type="dcterms:W3CDTF">2017-07-24T15:04:00Z</dcterms:modified>
</cp:coreProperties>
</file>