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13" w:rsidRPr="00AB6871" w:rsidRDefault="00C90113" w:rsidP="00C90113">
      <w:pPr>
        <w:pStyle w:val="a7"/>
        <w:ind w:left="4820"/>
        <w:jc w:val="right"/>
        <w:rPr>
          <w:b/>
        </w:rPr>
      </w:pPr>
      <w:r w:rsidRPr="00AB6871">
        <w:rPr>
          <w:b/>
        </w:rPr>
        <w:t>APPROVED</w:t>
      </w:r>
    </w:p>
    <w:p w:rsidR="00C90113" w:rsidRPr="00AB6871" w:rsidRDefault="00C90113" w:rsidP="00C90113">
      <w:pPr>
        <w:pStyle w:val="a7"/>
        <w:tabs>
          <w:tab w:val="left" w:pos="4962"/>
        </w:tabs>
        <w:ind w:left="4820"/>
        <w:jc w:val="right"/>
        <w:rPr>
          <w:bCs/>
        </w:rPr>
      </w:pPr>
      <w:proofErr w:type="gramStart"/>
      <w:r w:rsidRPr="00AB6871">
        <w:rPr>
          <w:bCs/>
        </w:rPr>
        <w:t>by</w:t>
      </w:r>
      <w:proofErr w:type="gramEnd"/>
      <w:r w:rsidRPr="00AB6871">
        <w:rPr>
          <w:bCs/>
        </w:rPr>
        <w:t xml:space="preserve"> the </w:t>
      </w:r>
      <w:r>
        <w:rPr>
          <w:bCs/>
        </w:rPr>
        <w:t>r</w:t>
      </w:r>
      <w:r w:rsidRPr="00AB6871">
        <w:rPr>
          <w:bCs/>
        </w:rPr>
        <w:t>esolution of the Supervisory Board</w:t>
      </w:r>
    </w:p>
    <w:p w:rsidR="00C90113" w:rsidRPr="00AB6871" w:rsidRDefault="00C90113" w:rsidP="00C90113">
      <w:pPr>
        <w:pStyle w:val="a7"/>
        <w:tabs>
          <w:tab w:val="left" w:pos="4962"/>
        </w:tabs>
        <w:ind w:left="4820"/>
        <w:jc w:val="right"/>
        <w:rPr>
          <w:bCs/>
        </w:rPr>
      </w:pPr>
      <w:proofErr w:type="gramStart"/>
      <w:r w:rsidRPr="00AB6871">
        <w:rPr>
          <w:bCs/>
        </w:rPr>
        <w:t>of</w:t>
      </w:r>
      <w:proofErr w:type="gramEnd"/>
      <w:r w:rsidRPr="00AB6871">
        <w:rPr>
          <w:bCs/>
        </w:rPr>
        <w:t xml:space="preserve"> </w:t>
      </w:r>
      <w:r>
        <w:rPr>
          <w:bCs/>
        </w:rPr>
        <w:t xml:space="preserve">the </w:t>
      </w:r>
      <w:r w:rsidRPr="00AB6871">
        <w:rPr>
          <w:bCs/>
        </w:rPr>
        <w:t xml:space="preserve">Moscow Exchange </w:t>
      </w:r>
    </w:p>
    <w:p w:rsidR="00C90113" w:rsidRPr="00C90113" w:rsidRDefault="00C90113" w:rsidP="00C90113">
      <w:pPr>
        <w:tabs>
          <w:tab w:val="left" w:pos="1021"/>
        </w:tabs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9011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ab/>
      </w:r>
      <w:r w:rsidRPr="00C9011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ab/>
      </w:r>
      <w:r w:rsidRPr="00C9011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ab/>
      </w:r>
      <w:r w:rsidRPr="00C9011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ab/>
      </w:r>
      <w:r w:rsidRPr="00C9011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ab/>
        <w:t xml:space="preserve">    </w:t>
      </w:r>
      <w:proofErr w:type="gramStart"/>
      <w:r w:rsidRPr="00C9011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on</w:t>
      </w:r>
      <w:proofErr w:type="gramEnd"/>
      <w:r w:rsidRPr="00C9011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June 30, 2017 (Minutes No. 4)</w:t>
      </w:r>
    </w:p>
    <w:p w:rsidR="00C90113" w:rsidRPr="00C90113" w:rsidRDefault="00C90113" w:rsidP="00B636E0">
      <w:pPr>
        <w:pStyle w:val="Default"/>
        <w:ind w:left="57"/>
        <w:jc w:val="center"/>
        <w:rPr>
          <w:b/>
          <w:color w:val="auto"/>
          <w:lang w:val="en-US"/>
        </w:rPr>
      </w:pPr>
      <w:bookmarkStart w:id="0" w:name="_GoBack"/>
      <w:bookmarkEnd w:id="0"/>
    </w:p>
    <w:p w:rsidR="00C90113" w:rsidRDefault="00C90113" w:rsidP="00B636E0">
      <w:pPr>
        <w:pStyle w:val="Default"/>
        <w:ind w:left="57"/>
        <w:jc w:val="center"/>
        <w:rPr>
          <w:b/>
          <w:color w:val="auto"/>
          <w:lang w:val="en-GB"/>
        </w:rPr>
      </w:pPr>
    </w:p>
    <w:p w:rsidR="00B636E0" w:rsidRPr="00664C21" w:rsidRDefault="00B636E0" w:rsidP="00B636E0">
      <w:pPr>
        <w:pStyle w:val="Default"/>
        <w:ind w:left="57"/>
        <w:jc w:val="center"/>
        <w:rPr>
          <w:b/>
          <w:color w:val="auto"/>
          <w:lang w:val="en-GB"/>
        </w:rPr>
      </w:pPr>
      <w:r w:rsidRPr="00664C21">
        <w:rPr>
          <w:b/>
          <w:color w:val="auto"/>
          <w:lang w:val="en-GB"/>
        </w:rPr>
        <w:t xml:space="preserve">Marketing Period According to Moscow Exchange Fix Trade Tariffs  </w:t>
      </w:r>
    </w:p>
    <w:p w:rsidR="00B636E0" w:rsidRPr="00664C21" w:rsidRDefault="00B636E0" w:rsidP="00B636E0">
      <w:pPr>
        <w:pStyle w:val="Default"/>
        <w:ind w:left="57"/>
        <w:jc w:val="center"/>
        <w:rPr>
          <w:b/>
          <w:bCs/>
          <w:lang w:val="en-GB"/>
        </w:rPr>
      </w:pPr>
    </w:p>
    <w:p w:rsidR="00B636E0" w:rsidRPr="00664C21" w:rsidRDefault="00B636E0" w:rsidP="00B636E0">
      <w:pPr>
        <w:numPr>
          <w:ilvl w:val="0"/>
          <w:numId w:val="1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This document shall set the rates of volume-based fix trade fee applied during the marketing period set in </w:t>
      </w:r>
      <w:proofErr w:type="gramStart"/>
      <w:r w:rsidRPr="00664C21">
        <w:rPr>
          <w:rFonts w:ascii="Times New Roman" w:hAnsi="Times New Roman" w:cs="Times New Roman"/>
          <w:sz w:val="24"/>
          <w:szCs w:val="24"/>
          <w:lang w:val="en-GB"/>
        </w:rPr>
        <w:t>this documents</w:t>
      </w:r>
      <w:proofErr w:type="gramEnd"/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 on Moscow Exchange FX market.</w:t>
      </w:r>
    </w:p>
    <w:p w:rsidR="00B636E0" w:rsidRPr="00664C21" w:rsidRDefault="00B636E0" w:rsidP="00B636E0">
      <w:pPr>
        <w:tabs>
          <w:tab w:val="left" w:pos="720"/>
          <w:tab w:val="left" w:pos="1080"/>
        </w:tabs>
        <w:spacing w:after="12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>During the marketing period the Moscow Exchange Tariffs for FX Trades (hereinafter, the Tariffs) shall be applied with due regard to the rates of a relevant fee, which are set in this document.</w:t>
      </w:r>
    </w:p>
    <w:p w:rsidR="00B636E0" w:rsidRPr="00664C21" w:rsidRDefault="00B636E0" w:rsidP="00B636E0">
      <w:pPr>
        <w:pStyle w:val="Default"/>
        <w:ind w:left="57" w:firstLine="651"/>
        <w:rPr>
          <w:color w:val="auto"/>
          <w:lang w:val="en-GB"/>
        </w:rPr>
      </w:pPr>
      <w:r w:rsidRPr="00664C21">
        <w:rPr>
          <w:color w:val="auto"/>
          <w:lang w:val="en-GB"/>
        </w:rPr>
        <w:t>A fee-charging procedure shall be determined in accordance with the current Tariffs.</w:t>
      </w:r>
    </w:p>
    <w:p w:rsidR="00B636E0" w:rsidRPr="00664C21" w:rsidRDefault="00B636E0" w:rsidP="00B636E0">
      <w:pPr>
        <w:tabs>
          <w:tab w:val="left" w:pos="720"/>
          <w:tab w:val="left" w:pos="1080"/>
        </w:tabs>
        <w:spacing w:after="12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636E0" w:rsidRPr="00664C21" w:rsidRDefault="00B636E0" w:rsidP="00B636E0">
      <w:pPr>
        <w:numPr>
          <w:ilvl w:val="0"/>
          <w:numId w:val="1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>During the marketing period the volume-based fix trade fee shall be set as follows: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6804"/>
      </w:tblGrid>
      <w:tr w:rsidR="00B636E0" w:rsidRPr="00C90113" w:rsidTr="008C2517">
        <w:trPr>
          <w:cantSplit/>
          <w:trHeight w:val="1072"/>
        </w:trPr>
        <w:tc>
          <w:tcPr>
            <w:tcW w:w="2439" w:type="dxa"/>
            <w:vAlign w:val="center"/>
          </w:tcPr>
          <w:p w:rsidR="00B636E0" w:rsidRPr="00664C21" w:rsidRDefault="00B636E0" w:rsidP="008C251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Name of tariff plan</w:t>
            </w:r>
          </w:p>
        </w:tc>
        <w:tc>
          <w:tcPr>
            <w:tcW w:w="6804" w:type="dxa"/>
          </w:tcPr>
          <w:p w:rsidR="00B636E0" w:rsidRPr="00664C21" w:rsidRDefault="00B636E0" w:rsidP="008C2517">
            <w:pPr>
              <w:pStyle w:val="NoSpacing1"/>
              <w:keepNext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Volume-based fee (fee charged from each fix trade volume in conjugate currency (%))</w:t>
            </w:r>
          </w:p>
        </w:tc>
      </w:tr>
      <w:tr w:rsidR="00B636E0" w:rsidRPr="00664C21" w:rsidTr="008C2517">
        <w:trPr>
          <w:cantSplit/>
          <w:trHeight w:val="266"/>
        </w:trPr>
        <w:tc>
          <w:tcPr>
            <w:tcW w:w="2439" w:type="dxa"/>
            <w:vAlign w:val="center"/>
          </w:tcPr>
          <w:p w:rsidR="00B636E0" w:rsidRPr="00664C21" w:rsidRDefault="00B636E0" w:rsidP="008C251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SPT_0</w:t>
            </w:r>
          </w:p>
        </w:tc>
        <w:tc>
          <w:tcPr>
            <w:tcW w:w="6804" w:type="dxa"/>
            <w:vAlign w:val="center"/>
          </w:tcPr>
          <w:p w:rsidR="00B636E0" w:rsidRPr="00664C21" w:rsidRDefault="00B636E0" w:rsidP="008C251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0,0002125%</w:t>
            </w:r>
          </w:p>
        </w:tc>
      </w:tr>
      <w:tr w:rsidR="00B636E0" w:rsidRPr="00664C21" w:rsidTr="008C2517">
        <w:trPr>
          <w:cantSplit/>
          <w:trHeight w:val="242"/>
        </w:trPr>
        <w:tc>
          <w:tcPr>
            <w:tcW w:w="2439" w:type="dxa"/>
            <w:vAlign w:val="center"/>
          </w:tcPr>
          <w:p w:rsidR="00B636E0" w:rsidRPr="00664C21" w:rsidRDefault="00B636E0" w:rsidP="008C251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SPT_1000</w:t>
            </w:r>
          </w:p>
        </w:tc>
        <w:tc>
          <w:tcPr>
            <w:tcW w:w="6804" w:type="dxa"/>
            <w:vAlign w:val="center"/>
          </w:tcPr>
          <w:p w:rsidR="00B636E0" w:rsidRPr="00664C21" w:rsidRDefault="00B636E0" w:rsidP="008C251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0,0001700%</w:t>
            </w:r>
          </w:p>
        </w:tc>
      </w:tr>
      <w:tr w:rsidR="00B636E0" w:rsidRPr="00664C21" w:rsidTr="008C2517">
        <w:trPr>
          <w:cantSplit/>
          <w:trHeight w:val="203"/>
        </w:trPr>
        <w:tc>
          <w:tcPr>
            <w:tcW w:w="2439" w:type="dxa"/>
            <w:vAlign w:val="center"/>
          </w:tcPr>
          <w:p w:rsidR="00B636E0" w:rsidRPr="00664C21" w:rsidRDefault="00B636E0" w:rsidP="008C251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SPT_2000</w:t>
            </w:r>
          </w:p>
        </w:tc>
        <w:tc>
          <w:tcPr>
            <w:tcW w:w="6804" w:type="dxa"/>
            <w:vAlign w:val="center"/>
          </w:tcPr>
          <w:p w:rsidR="00B636E0" w:rsidRPr="00664C21" w:rsidRDefault="00B636E0" w:rsidP="008C251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0,0001275%</w:t>
            </w:r>
          </w:p>
        </w:tc>
      </w:tr>
    </w:tbl>
    <w:p w:rsidR="00B636E0" w:rsidRPr="00664C21" w:rsidRDefault="00B636E0" w:rsidP="00B636E0">
      <w:pPr>
        <w:pStyle w:val="Default"/>
        <w:ind w:left="57"/>
        <w:rPr>
          <w:b/>
          <w:bCs/>
          <w:lang w:val="en-GB"/>
        </w:rPr>
      </w:pPr>
    </w:p>
    <w:p w:rsidR="00B636E0" w:rsidRPr="00664C21" w:rsidRDefault="00B636E0" w:rsidP="00B636E0">
      <w:pPr>
        <w:numPr>
          <w:ilvl w:val="0"/>
          <w:numId w:val="1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>During the marketing period of fix trades, the volume-based fee for integrated technological service (hereinafter, ITS) is set as follows: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6804"/>
      </w:tblGrid>
      <w:tr w:rsidR="00B636E0" w:rsidRPr="00C90113" w:rsidTr="008C2517">
        <w:trPr>
          <w:cantSplit/>
          <w:trHeight w:val="858"/>
        </w:trPr>
        <w:tc>
          <w:tcPr>
            <w:tcW w:w="2439" w:type="dxa"/>
            <w:vAlign w:val="center"/>
          </w:tcPr>
          <w:p w:rsidR="00B636E0" w:rsidRPr="00664C21" w:rsidRDefault="00B636E0" w:rsidP="008C251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Name of tariff plan</w:t>
            </w:r>
          </w:p>
        </w:tc>
        <w:tc>
          <w:tcPr>
            <w:tcW w:w="6804" w:type="dxa"/>
          </w:tcPr>
          <w:p w:rsidR="00B636E0" w:rsidRPr="00664C21" w:rsidRDefault="00B636E0" w:rsidP="008C251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Volume-based fee (fee charged from each fix trade volume in conjugate currency (%))</w:t>
            </w:r>
          </w:p>
        </w:tc>
      </w:tr>
      <w:tr w:rsidR="00B636E0" w:rsidRPr="00664C21" w:rsidTr="008C2517">
        <w:trPr>
          <w:cantSplit/>
          <w:trHeight w:val="214"/>
        </w:trPr>
        <w:tc>
          <w:tcPr>
            <w:tcW w:w="2439" w:type="dxa"/>
            <w:vAlign w:val="center"/>
          </w:tcPr>
          <w:p w:rsidR="00B636E0" w:rsidRPr="00664C21" w:rsidRDefault="00B636E0" w:rsidP="008C251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SPT_0</w:t>
            </w:r>
          </w:p>
        </w:tc>
        <w:tc>
          <w:tcPr>
            <w:tcW w:w="6804" w:type="dxa"/>
            <w:vAlign w:val="center"/>
          </w:tcPr>
          <w:p w:rsidR="00B636E0" w:rsidRPr="00664C21" w:rsidRDefault="00B636E0" w:rsidP="008C251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0,000075%</w:t>
            </w:r>
          </w:p>
        </w:tc>
      </w:tr>
      <w:tr w:rsidR="00B636E0" w:rsidRPr="00664C21" w:rsidTr="008C2517">
        <w:trPr>
          <w:cantSplit/>
          <w:trHeight w:val="176"/>
        </w:trPr>
        <w:tc>
          <w:tcPr>
            <w:tcW w:w="2439" w:type="dxa"/>
            <w:vAlign w:val="center"/>
          </w:tcPr>
          <w:p w:rsidR="00B636E0" w:rsidRPr="00664C21" w:rsidRDefault="00B636E0" w:rsidP="008C251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SPT_1000</w:t>
            </w:r>
          </w:p>
        </w:tc>
        <w:tc>
          <w:tcPr>
            <w:tcW w:w="6804" w:type="dxa"/>
            <w:vAlign w:val="center"/>
          </w:tcPr>
          <w:p w:rsidR="00B636E0" w:rsidRPr="00664C21" w:rsidRDefault="00B636E0" w:rsidP="008C251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0,000060%</w:t>
            </w:r>
          </w:p>
        </w:tc>
      </w:tr>
      <w:tr w:rsidR="00B636E0" w:rsidRPr="00664C21" w:rsidTr="008C2517">
        <w:trPr>
          <w:cantSplit/>
          <w:trHeight w:val="151"/>
        </w:trPr>
        <w:tc>
          <w:tcPr>
            <w:tcW w:w="2439" w:type="dxa"/>
            <w:vAlign w:val="center"/>
          </w:tcPr>
          <w:p w:rsidR="00B636E0" w:rsidRPr="00664C21" w:rsidRDefault="00B636E0" w:rsidP="008C251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SPT_2000</w:t>
            </w:r>
          </w:p>
        </w:tc>
        <w:tc>
          <w:tcPr>
            <w:tcW w:w="6804" w:type="dxa"/>
            <w:vAlign w:val="center"/>
          </w:tcPr>
          <w:p w:rsidR="00B636E0" w:rsidRPr="00664C21" w:rsidRDefault="00B636E0" w:rsidP="008C251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0,000045%</w:t>
            </w:r>
          </w:p>
        </w:tc>
      </w:tr>
    </w:tbl>
    <w:p w:rsidR="00B636E0" w:rsidRPr="00664C21" w:rsidRDefault="00B636E0" w:rsidP="00B636E0">
      <w:pPr>
        <w:tabs>
          <w:tab w:val="left" w:pos="720"/>
          <w:tab w:val="left" w:pos="1080"/>
        </w:tabs>
        <w:spacing w:after="12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636E0" w:rsidRPr="00664C21" w:rsidRDefault="00B636E0" w:rsidP="00B636E0">
      <w:pPr>
        <w:numPr>
          <w:ilvl w:val="0"/>
          <w:numId w:val="1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The marketing period set herein shall be effective for </w:t>
      </w:r>
      <w:proofErr w:type="gramStart"/>
      <w:r w:rsidRPr="00664C21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gramEnd"/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 (one) year from the date when this document comes into force.</w:t>
      </w:r>
    </w:p>
    <w:p w:rsidR="00B636E0" w:rsidRPr="00664C21" w:rsidRDefault="00B636E0" w:rsidP="00B636E0">
      <w:pPr>
        <w:numPr>
          <w:ilvl w:val="0"/>
          <w:numId w:val="1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>When the marketing period expires, this document becomes null and void, and in fix trades the volume-based fix trades fee and the ITS fees shall be charged at the rate set by the Tariffs effective at the time when a respective fee is charged.</w:t>
      </w:r>
    </w:p>
    <w:p w:rsidR="00961D73" w:rsidRPr="00B636E0" w:rsidRDefault="00961D73">
      <w:pPr>
        <w:rPr>
          <w:lang w:val="en-GB"/>
        </w:rPr>
      </w:pPr>
    </w:p>
    <w:sectPr w:rsidR="00961D73" w:rsidRPr="00B636E0" w:rsidSect="00DF384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0113">
      <w:pPr>
        <w:spacing w:after="0" w:line="240" w:lineRule="auto"/>
      </w:pPr>
      <w:r>
        <w:separator/>
      </w:r>
    </w:p>
  </w:endnote>
  <w:endnote w:type="continuationSeparator" w:id="0">
    <w:p w:rsidR="00000000" w:rsidRDefault="00C9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EA" w:rsidRPr="0008569A" w:rsidRDefault="00C90113">
    <w:pPr>
      <w:pStyle w:val="a3"/>
      <w:jc w:val="right"/>
      <w:rPr>
        <w:rFonts w:ascii="Times New Roman" w:hAnsi="Times New Roman" w:cs="Times New Roman"/>
        <w:sz w:val="20"/>
        <w:szCs w:val="20"/>
      </w:rPr>
    </w:pPr>
  </w:p>
  <w:p w:rsidR="001436EA" w:rsidRDefault="00C901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0113">
      <w:pPr>
        <w:spacing w:after="0" w:line="240" w:lineRule="auto"/>
      </w:pPr>
      <w:r>
        <w:separator/>
      </w:r>
    </w:p>
  </w:footnote>
  <w:footnote w:type="continuationSeparator" w:id="0">
    <w:p w:rsidR="00000000" w:rsidRDefault="00C90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17C9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6"/>
        </w:tabs>
        <w:ind w:left="1446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9B"/>
    <w:rsid w:val="000420B6"/>
    <w:rsid w:val="005D469B"/>
    <w:rsid w:val="00961D73"/>
    <w:rsid w:val="00B636E0"/>
    <w:rsid w:val="00C9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F8241-4362-4F03-985C-4EB89213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63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B636E0"/>
    <w:rPr>
      <w:rFonts w:eastAsiaTheme="minorEastAsia"/>
      <w:lang w:eastAsia="ru-RU"/>
    </w:rPr>
  </w:style>
  <w:style w:type="paragraph" w:customStyle="1" w:styleId="NoSpacing1">
    <w:name w:val="No Spacing1"/>
    <w:rsid w:val="00B636E0"/>
    <w:pPr>
      <w:spacing w:before="60" w:after="60" w:line="276" w:lineRule="auto"/>
      <w:jc w:val="both"/>
    </w:pPr>
    <w:rPr>
      <w:rFonts w:ascii="Franklin Gothic Book" w:eastAsia="Times New Roman" w:hAnsi="Franklin Gothic Book" w:cs="Times New Roman"/>
      <w:lang w:val="en-US"/>
    </w:rPr>
  </w:style>
  <w:style w:type="paragraph" w:customStyle="1" w:styleId="Default">
    <w:name w:val="Default"/>
    <w:rsid w:val="00B636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42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0B6"/>
    <w:rPr>
      <w:rFonts w:eastAsiaTheme="minorEastAsia"/>
      <w:lang w:eastAsia="ru-RU"/>
    </w:rPr>
  </w:style>
  <w:style w:type="paragraph" w:styleId="a7">
    <w:name w:val="Body Text"/>
    <w:basedOn w:val="a"/>
    <w:link w:val="a8"/>
    <w:rsid w:val="00C901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8">
    <w:name w:val="Основной текст Знак"/>
    <w:basedOn w:val="a0"/>
    <w:link w:val="a7"/>
    <w:rsid w:val="00C9011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2017-06-23T15:20:00Z</dcterms:created>
  <dcterms:modified xsi:type="dcterms:W3CDTF">2017-07-24T15:04:00Z</dcterms:modified>
</cp:coreProperties>
</file>