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BE6A40" w14:paraId="3BDD7864" w14:textId="77777777" w:rsidTr="00DC5653">
        <w:trPr>
          <w:jc w:val="center"/>
        </w:trPr>
        <w:tc>
          <w:tcPr>
            <w:tcW w:w="4202" w:type="dxa"/>
          </w:tcPr>
          <w:p w14:paraId="4759E56B" w14:textId="77777777" w:rsidR="00657BF4" w:rsidRPr="00BE6A40" w:rsidRDefault="00657BF4" w:rsidP="00BE6A40">
            <w:pPr>
              <w:pStyle w:val="Iauiue"/>
              <w:tabs>
                <w:tab w:val="left" w:pos="4253"/>
              </w:tabs>
              <w:spacing w:before="120" w:after="120"/>
              <w:rPr>
                <w:rFonts w:ascii="Tahoma" w:hAnsi="Tahoma" w:cs="Tahoma"/>
                <w:lang w:val="ru-RU"/>
              </w:rPr>
            </w:pPr>
          </w:p>
        </w:tc>
        <w:tc>
          <w:tcPr>
            <w:tcW w:w="4323" w:type="dxa"/>
          </w:tcPr>
          <w:p w14:paraId="5EC32431" w14:textId="77777777" w:rsidR="004B0F3C" w:rsidRPr="00BE6A40" w:rsidRDefault="004B0F3C" w:rsidP="00BE6A40">
            <w:pPr>
              <w:pStyle w:val="Iauiue"/>
              <w:spacing w:before="120" w:after="120"/>
              <w:rPr>
                <w:rFonts w:ascii="Tahoma" w:hAnsi="Tahoma" w:cs="Tahoma"/>
                <w:b/>
              </w:rPr>
            </w:pPr>
            <w:r w:rsidRPr="00BE6A40">
              <w:rPr>
                <w:rFonts w:ascii="Tahoma" w:hAnsi="Tahoma" w:cs="Tahoma"/>
                <w:b/>
              </w:rPr>
              <w:t>APPROVED</w:t>
            </w:r>
          </w:p>
          <w:p w14:paraId="7F506255" w14:textId="77777777" w:rsidR="002175C0" w:rsidRPr="00BE6A40" w:rsidRDefault="002175C0" w:rsidP="00BE6A40">
            <w:pPr>
              <w:pStyle w:val="Iauiue"/>
              <w:spacing w:before="120" w:after="120"/>
              <w:rPr>
                <w:rFonts w:ascii="Tahoma" w:hAnsi="Tahoma" w:cs="Tahoma"/>
                <w:b/>
                <w:lang w:val="en-US"/>
              </w:rPr>
            </w:pPr>
          </w:p>
          <w:p w14:paraId="49D964B8" w14:textId="77777777" w:rsidR="00550810" w:rsidRPr="00BE6A40" w:rsidRDefault="002175C0" w:rsidP="00BE6A40">
            <w:pPr>
              <w:pStyle w:val="Iauiue"/>
              <w:widowControl w:val="0"/>
              <w:spacing w:before="120" w:after="120"/>
              <w:ind w:left="68"/>
              <w:jc w:val="both"/>
              <w:rPr>
                <w:rFonts w:ascii="Tahoma" w:hAnsi="Tahoma" w:cs="Tahoma"/>
              </w:rPr>
            </w:pPr>
            <w:r w:rsidRPr="00BE6A40">
              <w:rPr>
                <w:rFonts w:ascii="Tahoma" w:hAnsi="Tahoma" w:cs="Tahoma"/>
              </w:rPr>
              <w:t xml:space="preserve">By the Moscow Exchange Executive Board </w:t>
            </w:r>
          </w:p>
          <w:p w14:paraId="33F9BAD7" w14:textId="612B1168" w:rsidR="002175C0" w:rsidRPr="00BE6A40" w:rsidRDefault="00644704" w:rsidP="00BE6A40">
            <w:pPr>
              <w:pStyle w:val="Iauiue"/>
              <w:widowControl w:val="0"/>
              <w:spacing w:before="120" w:after="120"/>
              <w:ind w:left="68"/>
              <w:jc w:val="both"/>
              <w:rPr>
                <w:rFonts w:ascii="Tahoma" w:hAnsi="Tahoma" w:cs="Tahoma"/>
              </w:rPr>
            </w:pPr>
            <w:r w:rsidRPr="00BE6A40">
              <w:rPr>
                <w:rFonts w:ascii="Tahoma" w:hAnsi="Tahoma" w:cs="Tahoma"/>
              </w:rPr>
              <w:t>17 April 2024, Minutes No. 31</w:t>
            </w:r>
          </w:p>
          <w:p w14:paraId="378DFC7B" w14:textId="77777777" w:rsidR="00BE6A40" w:rsidRPr="00BE6A40" w:rsidRDefault="002175C0" w:rsidP="00BE6A40">
            <w:pPr>
              <w:pStyle w:val="Iauiue"/>
              <w:widowControl w:val="0"/>
              <w:spacing w:before="120" w:after="120"/>
              <w:ind w:left="68"/>
              <w:rPr>
                <w:rFonts w:ascii="Tahoma" w:hAnsi="Tahoma" w:cs="Tahoma"/>
              </w:rPr>
            </w:pPr>
            <w:r w:rsidRPr="00BE6A40">
              <w:rPr>
                <w:rFonts w:ascii="Tahoma" w:hAnsi="Tahoma" w:cs="Tahoma"/>
              </w:rPr>
              <w:t xml:space="preserve">_______________ </w:t>
            </w:r>
            <w:proofErr w:type="spellStart"/>
            <w:r w:rsidRPr="00BE6A40">
              <w:rPr>
                <w:rFonts w:ascii="Tahoma" w:hAnsi="Tahoma" w:cs="Tahoma"/>
              </w:rPr>
              <w:t>Yury</w:t>
            </w:r>
            <w:proofErr w:type="spellEnd"/>
            <w:r w:rsidRPr="00BE6A40">
              <w:rPr>
                <w:rFonts w:ascii="Tahoma" w:hAnsi="Tahoma" w:cs="Tahoma"/>
              </w:rPr>
              <w:t xml:space="preserve"> Denisov</w:t>
            </w:r>
            <w:r w:rsidR="00BE6A40" w:rsidRPr="00BE6A40">
              <w:rPr>
                <w:rFonts w:ascii="Tahoma" w:hAnsi="Tahoma" w:cs="Tahoma"/>
              </w:rPr>
              <w:t xml:space="preserve"> </w:t>
            </w:r>
          </w:p>
          <w:p w14:paraId="39850955" w14:textId="60A1BAF4" w:rsidR="00BE6A40" w:rsidRPr="00BE6A40" w:rsidRDefault="00BE6A40" w:rsidP="00BE6A40">
            <w:pPr>
              <w:pStyle w:val="Iauiue"/>
              <w:widowControl w:val="0"/>
              <w:spacing w:before="120" w:after="120"/>
              <w:ind w:left="68"/>
              <w:rPr>
                <w:rFonts w:ascii="Tahoma" w:hAnsi="Tahoma" w:cs="Tahoma"/>
              </w:rPr>
            </w:pPr>
            <w:r w:rsidRPr="00BE6A40">
              <w:rPr>
                <w:rFonts w:ascii="Tahoma" w:hAnsi="Tahoma" w:cs="Tahoma"/>
              </w:rPr>
              <w:t>Chairman of the Executive Board</w:t>
            </w:r>
          </w:p>
          <w:p w14:paraId="3FC3DE0B" w14:textId="77777777" w:rsidR="00BE6A40" w:rsidRPr="00BE6A40" w:rsidRDefault="00BE6A40" w:rsidP="00BE6A40">
            <w:pPr>
              <w:pStyle w:val="Iauiue"/>
              <w:widowControl w:val="0"/>
              <w:spacing w:before="120" w:after="120"/>
              <w:ind w:left="68"/>
              <w:rPr>
                <w:rFonts w:ascii="Tahoma" w:hAnsi="Tahoma" w:cs="Tahoma"/>
              </w:rPr>
            </w:pPr>
            <w:r w:rsidRPr="00BE6A40">
              <w:rPr>
                <w:rFonts w:ascii="Tahoma" w:hAnsi="Tahoma" w:cs="Tahoma"/>
              </w:rPr>
              <w:t>Moscow Exchange</w:t>
            </w:r>
          </w:p>
          <w:p w14:paraId="7B934733" w14:textId="7D0D135C" w:rsidR="002175C0" w:rsidRPr="00BE6A40" w:rsidRDefault="002175C0" w:rsidP="00BE6A40">
            <w:pPr>
              <w:pStyle w:val="Iauiue"/>
              <w:spacing w:before="120" w:after="120"/>
              <w:rPr>
                <w:rFonts w:ascii="Tahoma" w:hAnsi="Tahoma" w:cs="Tahoma"/>
              </w:rPr>
            </w:pPr>
          </w:p>
          <w:p w14:paraId="5C1F67C9" w14:textId="77777777" w:rsidR="00657BF4" w:rsidRPr="00BE6A40" w:rsidRDefault="00657BF4" w:rsidP="00BE6A40">
            <w:pPr>
              <w:pStyle w:val="Iauiue"/>
              <w:spacing w:before="120" w:after="120"/>
              <w:rPr>
                <w:rFonts w:ascii="Tahoma" w:hAnsi="Tahoma" w:cs="Tahoma"/>
                <w:b/>
                <w:lang w:val="ru-RU"/>
              </w:rPr>
            </w:pPr>
          </w:p>
        </w:tc>
      </w:tr>
    </w:tbl>
    <w:p w14:paraId="3A605D29" w14:textId="77777777" w:rsidR="00657BF4" w:rsidRPr="00BE6A40" w:rsidRDefault="00657BF4" w:rsidP="00BE6A40">
      <w:pPr>
        <w:spacing w:before="120" w:after="120"/>
        <w:rPr>
          <w:rFonts w:ascii="Tahoma" w:hAnsi="Tahoma" w:cs="Tahoma"/>
          <w:sz w:val="20"/>
          <w:szCs w:val="20"/>
        </w:rPr>
      </w:pPr>
    </w:p>
    <w:p w14:paraId="1DE2B6A7" w14:textId="77777777" w:rsidR="00657BF4" w:rsidRPr="00BE6A40" w:rsidRDefault="00657BF4" w:rsidP="00BE6A40">
      <w:pPr>
        <w:spacing w:before="120" w:after="120"/>
        <w:rPr>
          <w:rFonts w:ascii="Tahoma" w:hAnsi="Tahoma" w:cs="Tahoma"/>
          <w:sz w:val="20"/>
          <w:szCs w:val="20"/>
        </w:rPr>
      </w:pPr>
    </w:p>
    <w:p w14:paraId="1D85E675" w14:textId="77777777" w:rsidR="00657BF4" w:rsidRPr="00BE6A40" w:rsidRDefault="00657BF4" w:rsidP="00BE6A40">
      <w:pPr>
        <w:spacing w:before="120" w:after="120"/>
        <w:rPr>
          <w:rFonts w:ascii="Tahoma" w:hAnsi="Tahoma" w:cs="Tahoma"/>
          <w:sz w:val="20"/>
          <w:szCs w:val="20"/>
        </w:rPr>
      </w:pPr>
    </w:p>
    <w:p w14:paraId="34E6DC6A" w14:textId="77777777" w:rsidR="00657BF4" w:rsidRPr="00BE6A40" w:rsidRDefault="00657BF4" w:rsidP="00BE6A40">
      <w:pPr>
        <w:spacing w:before="120" w:after="120"/>
        <w:rPr>
          <w:rFonts w:ascii="Tahoma" w:hAnsi="Tahoma" w:cs="Tahoma"/>
          <w:sz w:val="20"/>
          <w:szCs w:val="20"/>
        </w:rPr>
      </w:pPr>
    </w:p>
    <w:p w14:paraId="17A2940B" w14:textId="77777777" w:rsidR="003C416D" w:rsidRPr="00BE6A40" w:rsidRDefault="003C416D" w:rsidP="00BE6A40">
      <w:pPr>
        <w:spacing w:before="120" w:after="120"/>
        <w:rPr>
          <w:rFonts w:ascii="Tahoma" w:hAnsi="Tahoma" w:cs="Tahoma"/>
          <w:sz w:val="20"/>
          <w:szCs w:val="20"/>
        </w:rPr>
      </w:pPr>
    </w:p>
    <w:p w14:paraId="5316330D" w14:textId="77777777" w:rsidR="003C416D" w:rsidRPr="00BE6A40" w:rsidRDefault="003C416D" w:rsidP="00BE6A40">
      <w:pPr>
        <w:spacing w:before="120" w:after="120"/>
        <w:rPr>
          <w:rFonts w:ascii="Tahoma" w:hAnsi="Tahoma" w:cs="Tahoma"/>
          <w:sz w:val="20"/>
          <w:szCs w:val="20"/>
        </w:rPr>
      </w:pPr>
    </w:p>
    <w:p w14:paraId="15B15763" w14:textId="77777777" w:rsidR="003C416D" w:rsidRPr="00BE6A40" w:rsidRDefault="003C416D" w:rsidP="00BE6A40">
      <w:pPr>
        <w:spacing w:before="120" w:after="120"/>
        <w:rPr>
          <w:rFonts w:ascii="Tahoma" w:hAnsi="Tahoma" w:cs="Tahoma"/>
          <w:sz w:val="20"/>
          <w:szCs w:val="20"/>
        </w:rPr>
      </w:pPr>
    </w:p>
    <w:p w14:paraId="4F722663" w14:textId="77777777" w:rsidR="00657BF4" w:rsidRPr="00BE6A40" w:rsidRDefault="00657BF4" w:rsidP="00BE6A40">
      <w:pPr>
        <w:spacing w:before="120" w:after="120"/>
        <w:rPr>
          <w:rFonts w:ascii="Tahoma" w:hAnsi="Tahoma" w:cs="Tahoma"/>
          <w:sz w:val="20"/>
          <w:szCs w:val="20"/>
        </w:rPr>
      </w:pPr>
    </w:p>
    <w:p w14:paraId="6937915C" w14:textId="77777777" w:rsidR="009910FA" w:rsidRPr="00BE6A40" w:rsidRDefault="009910FA" w:rsidP="00BE6A40">
      <w:pPr>
        <w:spacing w:before="120" w:after="120"/>
        <w:rPr>
          <w:rFonts w:ascii="Tahoma" w:hAnsi="Tahoma" w:cs="Tahoma"/>
          <w:sz w:val="20"/>
          <w:szCs w:val="20"/>
        </w:rPr>
      </w:pPr>
    </w:p>
    <w:p w14:paraId="13D057C2" w14:textId="77777777" w:rsidR="009910FA" w:rsidRPr="00BE6A40" w:rsidRDefault="009910FA" w:rsidP="00BE6A40">
      <w:pPr>
        <w:spacing w:before="120" w:after="120"/>
        <w:rPr>
          <w:rFonts w:ascii="Tahoma" w:hAnsi="Tahoma" w:cs="Tahoma"/>
          <w:sz w:val="20"/>
          <w:szCs w:val="20"/>
        </w:rPr>
      </w:pPr>
    </w:p>
    <w:p w14:paraId="3AC35F14" w14:textId="77777777" w:rsidR="009910FA" w:rsidRPr="00BE6A40" w:rsidRDefault="009910FA" w:rsidP="00BE6A40">
      <w:pPr>
        <w:spacing w:before="120" w:after="120"/>
        <w:rPr>
          <w:rFonts w:ascii="Tahoma" w:hAnsi="Tahoma" w:cs="Tahoma"/>
          <w:sz w:val="20"/>
          <w:szCs w:val="20"/>
        </w:rPr>
      </w:pPr>
    </w:p>
    <w:p w14:paraId="7423658B" w14:textId="77777777" w:rsidR="00723520" w:rsidRPr="00BE6A40" w:rsidRDefault="009910FA" w:rsidP="00BE6A40">
      <w:pPr>
        <w:spacing w:before="120" w:after="120"/>
        <w:jc w:val="center"/>
        <w:rPr>
          <w:rFonts w:ascii="Tahoma" w:hAnsi="Tahoma" w:cs="Tahoma"/>
          <w:b/>
          <w:sz w:val="28"/>
          <w:szCs w:val="28"/>
        </w:rPr>
      </w:pPr>
      <w:bookmarkStart w:id="0" w:name="_Hlk164685646"/>
      <w:r w:rsidRPr="00BE6A40">
        <w:rPr>
          <w:rFonts w:ascii="Tahoma" w:hAnsi="Tahoma" w:cs="Tahoma"/>
          <w:b/>
          <w:sz w:val="28"/>
        </w:rPr>
        <w:t xml:space="preserve">Methodology for calculation of the MOEX Index of Russian Bonds denominated in foreign currency </w:t>
      </w:r>
    </w:p>
    <w:bookmarkEnd w:id="0"/>
    <w:p w14:paraId="0CFB7930" w14:textId="57DC28D9" w:rsidR="009115D8" w:rsidRPr="00BE6A40" w:rsidRDefault="009115D8" w:rsidP="00BE6A40">
      <w:pPr>
        <w:spacing w:before="120" w:after="120"/>
        <w:jc w:val="center"/>
        <w:rPr>
          <w:rFonts w:ascii="Tahoma" w:hAnsi="Tahoma" w:cs="Tahoma"/>
          <w:b/>
          <w:sz w:val="28"/>
          <w:szCs w:val="28"/>
        </w:rPr>
      </w:pPr>
    </w:p>
    <w:p w14:paraId="2664EB4C" w14:textId="77777777" w:rsidR="009910FA" w:rsidRPr="00BE6A40" w:rsidRDefault="009910FA" w:rsidP="00BE6A40">
      <w:pPr>
        <w:spacing w:before="120" w:after="120"/>
        <w:rPr>
          <w:rFonts w:ascii="Tahoma" w:hAnsi="Tahoma" w:cs="Tahoma"/>
          <w:sz w:val="20"/>
          <w:szCs w:val="20"/>
        </w:rPr>
      </w:pPr>
    </w:p>
    <w:p w14:paraId="08A399AE" w14:textId="77777777" w:rsidR="009910FA" w:rsidRPr="00BE6A40" w:rsidRDefault="009910FA" w:rsidP="00BE6A40">
      <w:pPr>
        <w:spacing w:before="120" w:after="120"/>
        <w:rPr>
          <w:rFonts w:ascii="Tahoma" w:hAnsi="Tahoma" w:cs="Tahoma"/>
          <w:sz w:val="20"/>
          <w:szCs w:val="20"/>
        </w:rPr>
      </w:pPr>
    </w:p>
    <w:p w14:paraId="074B5E3D" w14:textId="77777777" w:rsidR="009910FA" w:rsidRPr="00BE6A40" w:rsidRDefault="009910FA" w:rsidP="00BE6A40">
      <w:pPr>
        <w:spacing w:before="120" w:after="120"/>
        <w:rPr>
          <w:rFonts w:ascii="Tahoma" w:hAnsi="Tahoma" w:cs="Tahoma"/>
          <w:sz w:val="20"/>
          <w:szCs w:val="20"/>
        </w:rPr>
      </w:pPr>
    </w:p>
    <w:p w14:paraId="716AFC36" w14:textId="77777777" w:rsidR="009910FA" w:rsidRPr="00BE6A40" w:rsidRDefault="009910FA" w:rsidP="00BE6A40">
      <w:pPr>
        <w:spacing w:before="120" w:after="120"/>
        <w:rPr>
          <w:rFonts w:ascii="Tahoma" w:hAnsi="Tahoma" w:cs="Tahoma"/>
          <w:sz w:val="20"/>
          <w:szCs w:val="20"/>
        </w:rPr>
      </w:pPr>
    </w:p>
    <w:p w14:paraId="305A8A58" w14:textId="77777777" w:rsidR="009910FA" w:rsidRPr="00BE6A40" w:rsidRDefault="009910FA" w:rsidP="00BE6A40">
      <w:pPr>
        <w:spacing w:before="120" w:after="120"/>
        <w:rPr>
          <w:rFonts w:ascii="Tahoma" w:hAnsi="Tahoma" w:cs="Tahoma"/>
          <w:sz w:val="20"/>
          <w:szCs w:val="20"/>
        </w:rPr>
      </w:pPr>
    </w:p>
    <w:p w14:paraId="1C7A2D02" w14:textId="77777777" w:rsidR="009910FA" w:rsidRPr="00BE6A40" w:rsidRDefault="009910FA" w:rsidP="00BE6A40">
      <w:pPr>
        <w:spacing w:before="120" w:after="120"/>
        <w:rPr>
          <w:rFonts w:ascii="Tahoma" w:hAnsi="Tahoma" w:cs="Tahoma"/>
          <w:sz w:val="20"/>
          <w:szCs w:val="20"/>
        </w:rPr>
      </w:pPr>
    </w:p>
    <w:p w14:paraId="161D73CE" w14:textId="77777777" w:rsidR="009910FA" w:rsidRPr="00BE6A40" w:rsidRDefault="009910FA" w:rsidP="00BE6A40">
      <w:pPr>
        <w:spacing w:before="120" w:after="120"/>
        <w:rPr>
          <w:rFonts w:ascii="Tahoma" w:hAnsi="Tahoma" w:cs="Tahoma"/>
          <w:sz w:val="20"/>
          <w:szCs w:val="20"/>
        </w:rPr>
      </w:pPr>
    </w:p>
    <w:p w14:paraId="02F063A8" w14:textId="77777777" w:rsidR="009910FA" w:rsidRPr="00BE6A40" w:rsidRDefault="009910FA" w:rsidP="00BE6A40">
      <w:pPr>
        <w:spacing w:before="120" w:after="120"/>
        <w:rPr>
          <w:rFonts w:ascii="Tahoma" w:hAnsi="Tahoma" w:cs="Tahoma"/>
          <w:sz w:val="20"/>
          <w:szCs w:val="20"/>
        </w:rPr>
      </w:pPr>
    </w:p>
    <w:p w14:paraId="5B2BD1E3" w14:textId="77777777" w:rsidR="009910FA" w:rsidRPr="00BE6A40" w:rsidRDefault="009910FA" w:rsidP="00BE6A40">
      <w:pPr>
        <w:spacing w:before="120" w:after="120"/>
        <w:rPr>
          <w:rFonts w:ascii="Tahoma" w:hAnsi="Tahoma" w:cs="Tahoma"/>
          <w:sz w:val="20"/>
          <w:szCs w:val="20"/>
        </w:rPr>
      </w:pPr>
    </w:p>
    <w:p w14:paraId="3B1FD19A" w14:textId="77777777" w:rsidR="009910FA" w:rsidRPr="00BE6A40" w:rsidRDefault="009910FA" w:rsidP="00BE6A40">
      <w:pPr>
        <w:spacing w:before="120" w:after="120"/>
        <w:rPr>
          <w:rFonts w:ascii="Tahoma" w:hAnsi="Tahoma" w:cs="Tahoma"/>
          <w:sz w:val="20"/>
          <w:szCs w:val="20"/>
        </w:rPr>
      </w:pPr>
    </w:p>
    <w:p w14:paraId="4EB8CD26" w14:textId="77777777" w:rsidR="009910FA" w:rsidRPr="00BE6A40" w:rsidRDefault="009910FA" w:rsidP="00BE6A40">
      <w:pPr>
        <w:spacing w:before="120" w:after="120"/>
        <w:rPr>
          <w:rFonts w:ascii="Tahoma" w:hAnsi="Tahoma" w:cs="Tahoma"/>
          <w:sz w:val="20"/>
          <w:szCs w:val="20"/>
        </w:rPr>
      </w:pPr>
    </w:p>
    <w:p w14:paraId="22A2FA3B" w14:textId="77777777" w:rsidR="009910FA" w:rsidRPr="00BE6A40" w:rsidRDefault="009910FA" w:rsidP="00BE6A40">
      <w:pPr>
        <w:spacing w:before="120" w:after="120"/>
        <w:rPr>
          <w:rFonts w:ascii="Tahoma" w:hAnsi="Tahoma" w:cs="Tahoma"/>
          <w:sz w:val="20"/>
          <w:szCs w:val="20"/>
        </w:rPr>
      </w:pPr>
    </w:p>
    <w:p w14:paraId="7CBE8213" w14:textId="77777777" w:rsidR="001870B2" w:rsidRPr="00BE6A40" w:rsidRDefault="001870B2" w:rsidP="00BE6A40">
      <w:pPr>
        <w:spacing w:before="120" w:after="120"/>
        <w:rPr>
          <w:rFonts w:ascii="Tahoma" w:hAnsi="Tahoma" w:cs="Tahoma"/>
          <w:sz w:val="20"/>
          <w:szCs w:val="20"/>
        </w:rPr>
      </w:pPr>
      <w:bookmarkStart w:id="1" w:name="_GoBack"/>
      <w:bookmarkEnd w:id="1"/>
    </w:p>
    <w:p w14:paraId="3390FDD3" w14:textId="77777777" w:rsidR="009910FA" w:rsidRPr="00BE6A40" w:rsidRDefault="009910FA" w:rsidP="00BE6A40">
      <w:pPr>
        <w:spacing w:before="120" w:after="120"/>
        <w:rPr>
          <w:rFonts w:ascii="Tahoma" w:hAnsi="Tahoma" w:cs="Tahoma"/>
          <w:sz w:val="20"/>
          <w:szCs w:val="20"/>
        </w:rPr>
      </w:pPr>
    </w:p>
    <w:p w14:paraId="5C666948" w14:textId="723392B9" w:rsidR="009910FA" w:rsidRPr="00BE6A40" w:rsidRDefault="00132D55" w:rsidP="00BE6A40">
      <w:pPr>
        <w:pStyle w:val="a3"/>
        <w:spacing w:before="120"/>
        <w:jc w:val="center"/>
        <w:rPr>
          <w:rFonts w:ascii="Tahoma" w:hAnsi="Tahoma" w:cs="Tahoma"/>
          <w:b/>
          <w:sz w:val="20"/>
        </w:rPr>
      </w:pPr>
      <w:r w:rsidRPr="00BE6A40">
        <w:rPr>
          <w:rFonts w:ascii="Tahoma" w:hAnsi="Tahoma" w:cs="Tahoma"/>
        </w:rPr>
        <w:t>MOSCOW EXCHANGE 2024</w:t>
      </w:r>
    </w:p>
    <w:p w14:paraId="5FE1E2FE" w14:textId="77777777" w:rsidR="00F8685C" w:rsidRPr="00BE6A40" w:rsidRDefault="009910FA" w:rsidP="00BE6A40">
      <w:pPr>
        <w:pStyle w:val="13"/>
        <w:rPr>
          <w:rFonts w:ascii="Tahoma" w:hAnsi="Tahoma" w:cs="Tahoma"/>
        </w:rPr>
      </w:pPr>
      <w:r w:rsidRPr="00BE6A40">
        <w:rPr>
          <w:rFonts w:ascii="Tahoma" w:hAnsi="Tahoma" w:cs="Tahoma"/>
        </w:rPr>
        <w:br w:type="page"/>
      </w:r>
      <w:r w:rsidRPr="00BE6A40">
        <w:rPr>
          <w:rFonts w:ascii="Tahoma" w:hAnsi="Tahoma" w:cs="Tahoma"/>
        </w:rPr>
        <w:lastRenderedPageBreak/>
        <w:t>CONTENTS</w:t>
      </w:r>
    </w:p>
    <w:p w14:paraId="78F4CEB2" w14:textId="5E2AB0EC" w:rsidR="00BE6A40" w:rsidRPr="00BE6A40" w:rsidRDefault="009F6C5A" w:rsidP="00BE6A40">
      <w:pPr>
        <w:pStyle w:val="13"/>
        <w:rPr>
          <w:rFonts w:ascii="Tahoma" w:eastAsiaTheme="minorEastAsia" w:hAnsi="Tahoma" w:cs="Tahoma"/>
          <w:b w:val="0"/>
          <w:bCs w:val="0"/>
          <w:caps w:val="0"/>
          <w:noProof/>
          <w:sz w:val="22"/>
          <w:szCs w:val="22"/>
          <w:lang w:val="ru-RU"/>
        </w:rPr>
      </w:pPr>
      <w:r w:rsidRPr="00BE6A40">
        <w:rPr>
          <w:rFonts w:ascii="Tahoma" w:hAnsi="Tahoma" w:cs="Tahoma"/>
          <w:sz w:val="20"/>
        </w:rPr>
        <w:fldChar w:fldCharType="begin"/>
      </w:r>
      <w:r w:rsidRPr="00BE6A40">
        <w:rPr>
          <w:rFonts w:ascii="Tahoma" w:hAnsi="Tahoma" w:cs="Tahoma"/>
          <w:sz w:val="20"/>
        </w:rPr>
        <w:instrText xml:space="preserve"> TOC \o "1-1" \h \z \u </w:instrText>
      </w:r>
      <w:r w:rsidRPr="00BE6A40">
        <w:rPr>
          <w:rFonts w:ascii="Tahoma" w:hAnsi="Tahoma" w:cs="Tahoma"/>
          <w:sz w:val="20"/>
        </w:rPr>
        <w:fldChar w:fldCharType="separate"/>
      </w:r>
      <w:hyperlink w:anchor="_Toc178166120" w:history="1">
        <w:r w:rsidR="00BE6A40" w:rsidRPr="00BE6A40">
          <w:rPr>
            <w:rStyle w:val="a7"/>
            <w:rFonts w:ascii="Tahoma" w:hAnsi="Tahoma" w:cs="Tahoma"/>
            <w:noProof/>
          </w:rPr>
          <w:t>1.</w:t>
        </w:r>
        <w:r w:rsidR="00BE6A40" w:rsidRPr="00BE6A40">
          <w:rPr>
            <w:rFonts w:ascii="Tahoma" w:eastAsiaTheme="minorEastAsia" w:hAnsi="Tahoma" w:cs="Tahoma"/>
            <w:b w:val="0"/>
            <w:bCs w:val="0"/>
            <w:caps w:val="0"/>
            <w:noProof/>
            <w:sz w:val="22"/>
            <w:szCs w:val="22"/>
            <w:lang w:val="ru-RU"/>
          </w:rPr>
          <w:tab/>
        </w:r>
        <w:r w:rsidR="00BE6A40" w:rsidRPr="00BE6A40">
          <w:rPr>
            <w:rStyle w:val="a7"/>
            <w:rFonts w:ascii="Tahoma" w:hAnsi="Tahoma" w:cs="Tahoma"/>
            <w:noProof/>
          </w:rPr>
          <w:t>Overview</w:t>
        </w:r>
        <w:r w:rsidR="00BE6A40" w:rsidRPr="00BE6A40">
          <w:rPr>
            <w:rFonts w:ascii="Tahoma" w:hAnsi="Tahoma" w:cs="Tahoma"/>
            <w:noProof/>
            <w:webHidden/>
          </w:rPr>
          <w:tab/>
        </w:r>
        <w:r w:rsidR="00BE6A40" w:rsidRPr="00BE6A40">
          <w:rPr>
            <w:rFonts w:ascii="Tahoma" w:hAnsi="Tahoma" w:cs="Tahoma"/>
            <w:noProof/>
            <w:webHidden/>
          </w:rPr>
          <w:fldChar w:fldCharType="begin"/>
        </w:r>
        <w:r w:rsidR="00BE6A40" w:rsidRPr="00BE6A40">
          <w:rPr>
            <w:rFonts w:ascii="Tahoma" w:hAnsi="Tahoma" w:cs="Tahoma"/>
            <w:noProof/>
            <w:webHidden/>
          </w:rPr>
          <w:instrText xml:space="preserve"> PAGEREF _Toc178166120 \h </w:instrText>
        </w:r>
        <w:r w:rsidR="00BE6A40" w:rsidRPr="00BE6A40">
          <w:rPr>
            <w:rFonts w:ascii="Tahoma" w:hAnsi="Tahoma" w:cs="Tahoma"/>
            <w:noProof/>
            <w:webHidden/>
          </w:rPr>
        </w:r>
        <w:r w:rsidR="00BE6A40" w:rsidRPr="00BE6A40">
          <w:rPr>
            <w:rFonts w:ascii="Tahoma" w:hAnsi="Tahoma" w:cs="Tahoma"/>
            <w:noProof/>
            <w:webHidden/>
          </w:rPr>
          <w:fldChar w:fldCharType="separate"/>
        </w:r>
        <w:r w:rsidR="00BE6A40" w:rsidRPr="00BE6A40">
          <w:rPr>
            <w:rFonts w:ascii="Tahoma" w:hAnsi="Tahoma" w:cs="Tahoma"/>
            <w:noProof/>
            <w:webHidden/>
          </w:rPr>
          <w:t>3</w:t>
        </w:r>
        <w:r w:rsidR="00BE6A40" w:rsidRPr="00BE6A40">
          <w:rPr>
            <w:rFonts w:ascii="Tahoma" w:hAnsi="Tahoma" w:cs="Tahoma"/>
            <w:noProof/>
            <w:webHidden/>
          </w:rPr>
          <w:fldChar w:fldCharType="end"/>
        </w:r>
      </w:hyperlink>
    </w:p>
    <w:p w14:paraId="62AA7A06" w14:textId="5A444591" w:rsidR="00BE6A40" w:rsidRPr="00BE6A40" w:rsidRDefault="00BE6A40" w:rsidP="00BE6A40">
      <w:pPr>
        <w:pStyle w:val="13"/>
        <w:rPr>
          <w:rFonts w:ascii="Tahoma" w:eastAsiaTheme="minorEastAsia" w:hAnsi="Tahoma" w:cs="Tahoma"/>
          <w:b w:val="0"/>
          <w:bCs w:val="0"/>
          <w:caps w:val="0"/>
          <w:noProof/>
          <w:sz w:val="22"/>
          <w:szCs w:val="22"/>
          <w:lang w:val="ru-RU"/>
        </w:rPr>
      </w:pPr>
      <w:hyperlink w:anchor="_Toc178166121" w:history="1">
        <w:r w:rsidRPr="00BE6A40">
          <w:rPr>
            <w:rStyle w:val="a7"/>
            <w:rFonts w:ascii="Tahoma" w:hAnsi="Tahoma" w:cs="Tahoma"/>
            <w:noProof/>
          </w:rPr>
          <w:t>2.</w:t>
        </w:r>
        <w:r w:rsidRPr="00BE6A40">
          <w:rPr>
            <w:rFonts w:ascii="Tahoma" w:eastAsiaTheme="minorEastAsia" w:hAnsi="Tahoma" w:cs="Tahoma"/>
            <w:b w:val="0"/>
            <w:bCs w:val="0"/>
            <w:caps w:val="0"/>
            <w:noProof/>
            <w:sz w:val="22"/>
            <w:szCs w:val="22"/>
            <w:lang w:val="ru-RU"/>
          </w:rPr>
          <w:tab/>
        </w:r>
        <w:r w:rsidRPr="00BE6A40">
          <w:rPr>
            <w:rStyle w:val="a7"/>
            <w:rFonts w:ascii="Tahoma" w:hAnsi="Tahoma" w:cs="Tahoma"/>
            <w:noProof/>
          </w:rPr>
          <w:t>General Index Calculation Overview</w:t>
        </w:r>
        <w:r w:rsidRPr="00BE6A40">
          <w:rPr>
            <w:rFonts w:ascii="Tahoma" w:hAnsi="Tahoma" w:cs="Tahoma"/>
            <w:noProof/>
            <w:webHidden/>
          </w:rPr>
          <w:tab/>
        </w:r>
        <w:r w:rsidRPr="00BE6A40">
          <w:rPr>
            <w:rFonts w:ascii="Tahoma" w:hAnsi="Tahoma" w:cs="Tahoma"/>
            <w:noProof/>
            <w:webHidden/>
          </w:rPr>
          <w:fldChar w:fldCharType="begin"/>
        </w:r>
        <w:r w:rsidRPr="00BE6A40">
          <w:rPr>
            <w:rFonts w:ascii="Tahoma" w:hAnsi="Tahoma" w:cs="Tahoma"/>
            <w:noProof/>
            <w:webHidden/>
          </w:rPr>
          <w:instrText xml:space="preserve"> PAGEREF _Toc178166121 \h </w:instrText>
        </w:r>
        <w:r w:rsidRPr="00BE6A40">
          <w:rPr>
            <w:rFonts w:ascii="Tahoma" w:hAnsi="Tahoma" w:cs="Tahoma"/>
            <w:noProof/>
            <w:webHidden/>
          </w:rPr>
        </w:r>
        <w:r w:rsidRPr="00BE6A40">
          <w:rPr>
            <w:rFonts w:ascii="Tahoma" w:hAnsi="Tahoma" w:cs="Tahoma"/>
            <w:noProof/>
            <w:webHidden/>
          </w:rPr>
          <w:fldChar w:fldCharType="separate"/>
        </w:r>
        <w:r w:rsidRPr="00BE6A40">
          <w:rPr>
            <w:rFonts w:ascii="Tahoma" w:hAnsi="Tahoma" w:cs="Tahoma"/>
            <w:noProof/>
            <w:webHidden/>
          </w:rPr>
          <w:t>3</w:t>
        </w:r>
        <w:r w:rsidRPr="00BE6A40">
          <w:rPr>
            <w:rFonts w:ascii="Tahoma" w:hAnsi="Tahoma" w:cs="Tahoma"/>
            <w:noProof/>
            <w:webHidden/>
          </w:rPr>
          <w:fldChar w:fldCharType="end"/>
        </w:r>
      </w:hyperlink>
    </w:p>
    <w:p w14:paraId="41181FA8" w14:textId="0D9166CB" w:rsidR="00BE6A40" w:rsidRPr="00BE6A40" w:rsidRDefault="00BE6A40" w:rsidP="00BE6A40">
      <w:pPr>
        <w:pStyle w:val="13"/>
        <w:rPr>
          <w:rFonts w:ascii="Tahoma" w:eastAsiaTheme="minorEastAsia" w:hAnsi="Tahoma" w:cs="Tahoma"/>
          <w:b w:val="0"/>
          <w:bCs w:val="0"/>
          <w:caps w:val="0"/>
          <w:noProof/>
          <w:sz w:val="22"/>
          <w:szCs w:val="22"/>
          <w:lang w:val="ru-RU"/>
        </w:rPr>
      </w:pPr>
      <w:hyperlink w:anchor="_Toc178166122" w:history="1">
        <w:r w:rsidRPr="00BE6A40">
          <w:rPr>
            <w:rStyle w:val="a7"/>
            <w:rFonts w:ascii="Tahoma" w:hAnsi="Tahoma" w:cs="Tahoma"/>
            <w:noProof/>
          </w:rPr>
          <w:t>3.</w:t>
        </w:r>
        <w:r w:rsidRPr="00BE6A40">
          <w:rPr>
            <w:rFonts w:ascii="Tahoma" w:eastAsiaTheme="minorEastAsia" w:hAnsi="Tahoma" w:cs="Tahoma"/>
            <w:b w:val="0"/>
            <w:bCs w:val="0"/>
            <w:caps w:val="0"/>
            <w:noProof/>
            <w:sz w:val="22"/>
            <w:szCs w:val="22"/>
            <w:lang w:val="ru-RU"/>
          </w:rPr>
          <w:tab/>
        </w:r>
        <w:r w:rsidRPr="00BE6A40">
          <w:rPr>
            <w:rStyle w:val="a7"/>
            <w:rFonts w:ascii="Tahoma" w:hAnsi="Tahoma" w:cs="Tahoma"/>
            <w:noProof/>
          </w:rPr>
          <w:t>Index Construction and Review</w:t>
        </w:r>
        <w:r w:rsidRPr="00BE6A40">
          <w:rPr>
            <w:rFonts w:ascii="Tahoma" w:hAnsi="Tahoma" w:cs="Tahoma"/>
            <w:noProof/>
            <w:webHidden/>
          </w:rPr>
          <w:tab/>
        </w:r>
        <w:r w:rsidRPr="00BE6A40">
          <w:rPr>
            <w:rFonts w:ascii="Tahoma" w:hAnsi="Tahoma" w:cs="Tahoma"/>
            <w:noProof/>
            <w:webHidden/>
          </w:rPr>
          <w:fldChar w:fldCharType="begin"/>
        </w:r>
        <w:r w:rsidRPr="00BE6A40">
          <w:rPr>
            <w:rFonts w:ascii="Tahoma" w:hAnsi="Tahoma" w:cs="Tahoma"/>
            <w:noProof/>
            <w:webHidden/>
          </w:rPr>
          <w:instrText xml:space="preserve"> PAGEREF _Toc178166122 \h </w:instrText>
        </w:r>
        <w:r w:rsidRPr="00BE6A40">
          <w:rPr>
            <w:rFonts w:ascii="Tahoma" w:hAnsi="Tahoma" w:cs="Tahoma"/>
            <w:noProof/>
            <w:webHidden/>
          </w:rPr>
        </w:r>
        <w:r w:rsidRPr="00BE6A40">
          <w:rPr>
            <w:rFonts w:ascii="Tahoma" w:hAnsi="Tahoma" w:cs="Tahoma"/>
            <w:noProof/>
            <w:webHidden/>
          </w:rPr>
          <w:fldChar w:fldCharType="separate"/>
        </w:r>
        <w:r w:rsidRPr="00BE6A40">
          <w:rPr>
            <w:rFonts w:ascii="Tahoma" w:hAnsi="Tahoma" w:cs="Tahoma"/>
            <w:noProof/>
            <w:webHidden/>
          </w:rPr>
          <w:t>5</w:t>
        </w:r>
        <w:r w:rsidRPr="00BE6A40">
          <w:rPr>
            <w:rFonts w:ascii="Tahoma" w:hAnsi="Tahoma" w:cs="Tahoma"/>
            <w:noProof/>
            <w:webHidden/>
          </w:rPr>
          <w:fldChar w:fldCharType="end"/>
        </w:r>
      </w:hyperlink>
    </w:p>
    <w:p w14:paraId="558343F3" w14:textId="1B8AF02F" w:rsidR="00BE6A40" w:rsidRPr="00BE6A40" w:rsidRDefault="00BE6A40" w:rsidP="00BE6A40">
      <w:pPr>
        <w:pStyle w:val="13"/>
        <w:rPr>
          <w:rFonts w:ascii="Tahoma" w:eastAsiaTheme="minorEastAsia" w:hAnsi="Tahoma" w:cs="Tahoma"/>
          <w:b w:val="0"/>
          <w:bCs w:val="0"/>
          <w:caps w:val="0"/>
          <w:noProof/>
          <w:sz w:val="22"/>
          <w:szCs w:val="22"/>
          <w:lang w:val="ru-RU"/>
        </w:rPr>
      </w:pPr>
      <w:hyperlink w:anchor="_Toc178166123" w:history="1">
        <w:r w:rsidRPr="00BE6A40">
          <w:rPr>
            <w:rStyle w:val="a7"/>
            <w:rFonts w:ascii="Tahoma" w:hAnsi="Tahoma" w:cs="Tahoma"/>
            <w:noProof/>
          </w:rPr>
          <w:t>4.</w:t>
        </w:r>
        <w:r w:rsidRPr="00BE6A40">
          <w:rPr>
            <w:rFonts w:ascii="Tahoma" w:eastAsiaTheme="minorEastAsia" w:hAnsi="Tahoma" w:cs="Tahoma"/>
            <w:b w:val="0"/>
            <w:bCs w:val="0"/>
            <w:caps w:val="0"/>
            <w:noProof/>
            <w:sz w:val="22"/>
            <w:szCs w:val="22"/>
            <w:lang w:val="ru-RU"/>
          </w:rPr>
          <w:tab/>
        </w:r>
        <w:r w:rsidRPr="00BE6A40">
          <w:rPr>
            <w:rStyle w:val="a7"/>
            <w:rFonts w:ascii="Tahoma" w:hAnsi="Tahoma" w:cs="Tahoma"/>
            <w:noProof/>
          </w:rPr>
          <w:t>Limitation of the Bond Contribution to the Index</w:t>
        </w:r>
        <w:r w:rsidRPr="00BE6A40">
          <w:rPr>
            <w:rFonts w:ascii="Tahoma" w:hAnsi="Tahoma" w:cs="Tahoma"/>
            <w:noProof/>
            <w:webHidden/>
          </w:rPr>
          <w:tab/>
        </w:r>
        <w:r w:rsidRPr="00BE6A40">
          <w:rPr>
            <w:rFonts w:ascii="Tahoma" w:hAnsi="Tahoma" w:cs="Tahoma"/>
            <w:noProof/>
            <w:webHidden/>
          </w:rPr>
          <w:fldChar w:fldCharType="begin"/>
        </w:r>
        <w:r w:rsidRPr="00BE6A40">
          <w:rPr>
            <w:rFonts w:ascii="Tahoma" w:hAnsi="Tahoma" w:cs="Tahoma"/>
            <w:noProof/>
            <w:webHidden/>
          </w:rPr>
          <w:instrText xml:space="preserve"> PAGEREF _Toc178166123 \h </w:instrText>
        </w:r>
        <w:r w:rsidRPr="00BE6A40">
          <w:rPr>
            <w:rFonts w:ascii="Tahoma" w:hAnsi="Tahoma" w:cs="Tahoma"/>
            <w:noProof/>
            <w:webHidden/>
          </w:rPr>
        </w:r>
        <w:r w:rsidRPr="00BE6A40">
          <w:rPr>
            <w:rFonts w:ascii="Tahoma" w:hAnsi="Tahoma" w:cs="Tahoma"/>
            <w:noProof/>
            <w:webHidden/>
          </w:rPr>
          <w:fldChar w:fldCharType="separate"/>
        </w:r>
        <w:r w:rsidRPr="00BE6A40">
          <w:rPr>
            <w:rFonts w:ascii="Tahoma" w:hAnsi="Tahoma" w:cs="Tahoma"/>
            <w:noProof/>
            <w:webHidden/>
          </w:rPr>
          <w:t>5</w:t>
        </w:r>
        <w:r w:rsidRPr="00BE6A40">
          <w:rPr>
            <w:rFonts w:ascii="Tahoma" w:hAnsi="Tahoma" w:cs="Tahoma"/>
            <w:noProof/>
            <w:webHidden/>
          </w:rPr>
          <w:fldChar w:fldCharType="end"/>
        </w:r>
      </w:hyperlink>
    </w:p>
    <w:p w14:paraId="27D2ABE7" w14:textId="3F7AF64E" w:rsidR="00BE6A40" w:rsidRPr="00BE6A40" w:rsidRDefault="00BE6A40" w:rsidP="00BE6A40">
      <w:pPr>
        <w:pStyle w:val="13"/>
        <w:rPr>
          <w:rFonts w:ascii="Tahoma" w:eastAsiaTheme="minorEastAsia" w:hAnsi="Tahoma" w:cs="Tahoma"/>
          <w:b w:val="0"/>
          <w:bCs w:val="0"/>
          <w:caps w:val="0"/>
          <w:noProof/>
          <w:sz w:val="22"/>
          <w:szCs w:val="22"/>
          <w:lang w:val="ru-RU"/>
        </w:rPr>
      </w:pPr>
      <w:hyperlink w:anchor="_Toc178166124" w:history="1">
        <w:r w:rsidRPr="00BE6A40">
          <w:rPr>
            <w:rStyle w:val="a7"/>
            <w:rFonts w:ascii="Tahoma" w:hAnsi="Tahoma" w:cs="Tahoma"/>
            <w:noProof/>
          </w:rPr>
          <w:t>5.</w:t>
        </w:r>
        <w:r w:rsidRPr="00BE6A40">
          <w:rPr>
            <w:rFonts w:ascii="Tahoma" w:eastAsiaTheme="minorEastAsia" w:hAnsi="Tahoma" w:cs="Tahoma"/>
            <w:b w:val="0"/>
            <w:bCs w:val="0"/>
            <w:caps w:val="0"/>
            <w:noProof/>
            <w:sz w:val="22"/>
            <w:szCs w:val="22"/>
            <w:lang w:val="ru-RU"/>
          </w:rPr>
          <w:tab/>
        </w:r>
        <w:r w:rsidRPr="00BE6A40">
          <w:rPr>
            <w:rStyle w:val="a7"/>
            <w:rFonts w:ascii="Tahoma" w:hAnsi="Tahoma" w:cs="Tahoma"/>
            <w:noProof/>
          </w:rPr>
          <w:t>Control Over Calculation of the Index</w:t>
        </w:r>
        <w:r w:rsidRPr="00BE6A40">
          <w:rPr>
            <w:rFonts w:ascii="Tahoma" w:hAnsi="Tahoma" w:cs="Tahoma"/>
            <w:noProof/>
            <w:webHidden/>
          </w:rPr>
          <w:tab/>
        </w:r>
        <w:r w:rsidRPr="00BE6A40">
          <w:rPr>
            <w:rFonts w:ascii="Tahoma" w:hAnsi="Tahoma" w:cs="Tahoma"/>
            <w:noProof/>
            <w:webHidden/>
          </w:rPr>
          <w:fldChar w:fldCharType="begin"/>
        </w:r>
        <w:r w:rsidRPr="00BE6A40">
          <w:rPr>
            <w:rFonts w:ascii="Tahoma" w:hAnsi="Tahoma" w:cs="Tahoma"/>
            <w:noProof/>
            <w:webHidden/>
          </w:rPr>
          <w:instrText xml:space="preserve"> PAGEREF _Toc178166124 \h </w:instrText>
        </w:r>
        <w:r w:rsidRPr="00BE6A40">
          <w:rPr>
            <w:rFonts w:ascii="Tahoma" w:hAnsi="Tahoma" w:cs="Tahoma"/>
            <w:noProof/>
            <w:webHidden/>
          </w:rPr>
        </w:r>
        <w:r w:rsidRPr="00BE6A40">
          <w:rPr>
            <w:rFonts w:ascii="Tahoma" w:hAnsi="Tahoma" w:cs="Tahoma"/>
            <w:noProof/>
            <w:webHidden/>
          </w:rPr>
          <w:fldChar w:fldCharType="separate"/>
        </w:r>
        <w:r w:rsidRPr="00BE6A40">
          <w:rPr>
            <w:rFonts w:ascii="Tahoma" w:hAnsi="Tahoma" w:cs="Tahoma"/>
            <w:noProof/>
            <w:webHidden/>
          </w:rPr>
          <w:t>6</w:t>
        </w:r>
        <w:r w:rsidRPr="00BE6A40">
          <w:rPr>
            <w:rFonts w:ascii="Tahoma" w:hAnsi="Tahoma" w:cs="Tahoma"/>
            <w:noProof/>
            <w:webHidden/>
          </w:rPr>
          <w:fldChar w:fldCharType="end"/>
        </w:r>
      </w:hyperlink>
    </w:p>
    <w:p w14:paraId="5819829A" w14:textId="293AB607" w:rsidR="00BE6A40" w:rsidRPr="00BE6A40" w:rsidRDefault="00BE6A40" w:rsidP="00BE6A40">
      <w:pPr>
        <w:pStyle w:val="13"/>
        <w:rPr>
          <w:rFonts w:ascii="Tahoma" w:eastAsiaTheme="minorEastAsia" w:hAnsi="Tahoma" w:cs="Tahoma"/>
          <w:b w:val="0"/>
          <w:bCs w:val="0"/>
          <w:caps w:val="0"/>
          <w:noProof/>
          <w:sz w:val="22"/>
          <w:szCs w:val="22"/>
          <w:lang w:val="ru-RU"/>
        </w:rPr>
      </w:pPr>
      <w:hyperlink w:anchor="_Toc178166125" w:history="1">
        <w:r w:rsidRPr="00BE6A40">
          <w:rPr>
            <w:rStyle w:val="a7"/>
            <w:rFonts w:ascii="Tahoma" w:hAnsi="Tahoma" w:cs="Tahoma"/>
            <w:noProof/>
          </w:rPr>
          <w:t>6.</w:t>
        </w:r>
        <w:r w:rsidRPr="00BE6A40">
          <w:rPr>
            <w:rFonts w:ascii="Tahoma" w:eastAsiaTheme="minorEastAsia" w:hAnsi="Tahoma" w:cs="Tahoma"/>
            <w:b w:val="0"/>
            <w:bCs w:val="0"/>
            <w:caps w:val="0"/>
            <w:noProof/>
            <w:sz w:val="22"/>
            <w:szCs w:val="22"/>
            <w:lang w:val="ru-RU"/>
          </w:rPr>
          <w:tab/>
        </w:r>
        <w:r w:rsidRPr="00BE6A40">
          <w:rPr>
            <w:rStyle w:val="a7"/>
            <w:rFonts w:ascii="Tahoma" w:hAnsi="Tahoma" w:cs="Tahoma"/>
            <w:noProof/>
          </w:rPr>
          <w:t>Publication</w:t>
        </w:r>
        <w:r w:rsidRPr="00BE6A40">
          <w:rPr>
            <w:rFonts w:ascii="Tahoma" w:hAnsi="Tahoma" w:cs="Tahoma"/>
            <w:noProof/>
            <w:webHidden/>
          </w:rPr>
          <w:tab/>
        </w:r>
        <w:r w:rsidRPr="00BE6A40">
          <w:rPr>
            <w:rFonts w:ascii="Tahoma" w:hAnsi="Tahoma" w:cs="Tahoma"/>
            <w:noProof/>
            <w:webHidden/>
          </w:rPr>
          <w:fldChar w:fldCharType="begin"/>
        </w:r>
        <w:r w:rsidRPr="00BE6A40">
          <w:rPr>
            <w:rFonts w:ascii="Tahoma" w:hAnsi="Tahoma" w:cs="Tahoma"/>
            <w:noProof/>
            <w:webHidden/>
          </w:rPr>
          <w:instrText xml:space="preserve"> PAGEREF _Toc178166125 \h </w:instrText>
        </w:r>
        <w:r w:rsidRPr="00BE6A40">
          <w:rPr>
            <w:rFonts w:ascii="Tahoma" w:hAnsi="Tahoma" w:cs="Tahoma"/>
            <w:noProof/>
            <w:webHidden/>
          </w:rPr>
        </w:r>
        <w:r w:rsidRPr="00BE6A40">
          <w:rPr>
            <w:rFonts w:ascii="Tahoma" w:hAnsi="Tahoma" w:cs="Tahoma"/>
            <w:noProof/>
            <w:webHidden/>
          </w:rPr>
          <w:fldChar w:fldCharType="separate"/>
        </w:r>
        <w:r w:rsidRPr="00BE6A40">
          <w:rPr>
            <w:rFonts w:ascii="Tahoma" w:hAnsi="Tahoma" w:cs="Tahoma"/>
            <w:noProof/>
            <w:webHidden/>
          </w:rPr>
          <w:t>6</w:t>
        </w:r>
        <w:r w:rsidRPr="00BE6A40">
          <w:rPr>
            <w:rFonts w:ascii="Tahoma" w:hAnsi="Tahoma" w:cs="Tahoma"/>
            <w:noProof/>
            <w:webHidden/>
          </w:rPr>
          <w:fldChar w:fldCharType="end"/>
        </w:r>
      </w:hyperlink>
    </w:p>
    <w:p w14:paraId="71CA4EBE" w14:textId="6AE5ECEC" w:rsidR="009F6C5A" w:rsidRPr="00BE6A40" w:rsidRDefault="009F6C5A" w:rsidP="00BE6A40">
      <w:pPr>
        <w:spacing w:before="120" w:after="120"/>
        <w:rPr>
          <w:rFonts w:ascii="Tahoma" w:hAnsi="Tahoma" w:cs="Tahoma"/>
          <w:sz w:val="20"/>
        </w:rPr>
      </w:pPr>
      <w:r w:rsidRPr="00BE6A40">
        <w:rPr>
          <w:rFonts w:ascii="Tahoma" w:hAnsi="Tahoma" w:cs="Tahoma"/>
          <w:sz w:val="20"/>
        </w:rPr>
        <w:fldChar w:fldCharType="end"/>
      </w:r>
    </w:p>
    <w:p w14:paraId="793BBFA3" w14:textId="77777777" w:rsidR="00657BF4" w:rsidRPr="00BE6A40" w:rsidRDefault="00DC523B" w:rsidP="00BE6A40">
      <w:pPr>
        <w:numPr>
          <w:ilvl w:val="0"/>
          <w:numId w:val="1"/>
        </w:numPr>
        <w:spacing w:before="120" w:after="120"/>
        <w:outlineLvl w:val="0"/>
        <w:rPr>
          <w:rFonts w:ascii="Tahoma" w:hAnsi="Tahoma" w:cs="Tahoma"/>
          <w:b/>
          <w:sz w:val="20"/>
          <w:szCs w:val="20"/>
        </w:rPr>
      </w:pPr>
      <w:r w:rsidRPr="00BE6A40">
        <w:rPr>
          <w:rFonts w:ascii="Tahoma" w:hAnsi="Tahoma" w:cs="Tahoma"/>
        </w:rPr>
        <w:br w:type="page"/>
      </w:r>
      <w:bookmarkStart w:id="2" w:name="_Toc144482451"/>
      <w:bookmarkStart w:id="3" w:name="_Toc178166120"/>
      <w:r w:rsidRPr="00BE6A40">
        <w:rPr>
          <w:rFonts w:ascii="Tahoma" w:hAnsi="Tahoma" w:cs="Tahoma"/>
          <w:b/>
          <w:sz w:val="20"/>
        </w:rPr>
        <w:lastRenderedPageBreak/>
        <w:t>Overview</w:t>
      </w:r>
      <w:bookmarkEnd w:id="2"/>
      <w:bookmarkEnd w:id="3"/>
    </w:p>
    <w:p w14:paraId="0433D0B9" w14:textId="77777777" w:rsidR="00657BF4" w:rsidRPr="00BE6A40" w:rsidRDefault="00657BF4" w:rsidP="00BE6A40">
      <w:pPr>
        <w:pStyle w:val="30"/>
        <w:spacing w:after="120"/>
        <w:ind w:left="360"/>
        <w:rPr>
          <w:rFonts w:ascii="Tahoma" w:hAnsi="Tahoma" w:cs="Tahoma"/>
        </w:rPr>
      </w:pPr>
    </w:p>
    <w:p w14:paraId="52DAEA1A" w14:textId="13B3FF85" w:rsidR="00227CE1" w:rsidRPr="00BE6A40" w:rsidRDefault="00227CE1" w:rsidP="00BE6A40">
      <w:pPr>
        <w:numPr>
          <w:ilvl w:val="1"/>
          <w:numId w:val="1"/>
        </w:numPr>
        <w:tabs>
          <w:tab w:val="num" w:pos="1000"/>
        </w:tabs>
        <w:spacing w:before="120" w:after="120"/>
        <w:jc w:val="both"/>
        <w:rPr>
          <w:rStyle w:val="af3"/>
          <w:rFonts w:ascii="Tahoma" w:hAnsi="Tahoma" w:cs="Tahoma"/>
        </w:rPr>
      </w:pPr>
      <w:bookmarkStart w:id="4" w:name="_Ref424309154"/>
      <w:r w:rsidRPr="00BE6A40">
        <w:rPr>
          <w:rStyle w:val="af3"/>
          <w:rFonts w:ascii="Tahoma" w:hAnsi="Tahoma" w:cs="Tahoma"/>
        </w:rPr>
        <w:t>The following terms and definitions shall apply in this Methodology for calculation of the MOEX Index of Russian Bonds denominated in foreign currency by Public Joint-Stock Company Moscow Exchange MICEX-RTS (the "Methodology"):</w:t>
      </w:r>
      <w:bookmarkEnd w:id="4"/>
    </w:p>
    <w:p w14:paraId="3353B752" w14:textId="535E27A3" w:rsidR="001425E5" w:rsidRPr="00BE6A40" w:rsidRDefault="001425E5" w:rsidP="00BE6A40">
      <w:pPr>
        <w:pStyle w:val="af2"/>
        <w:numPr>
          <w:ilvl w:val="0"/>
          <w:numId w:val="9"/>
        </w:numPr>
        <w:spacing w:before="120" w:after="120"/>
        <w:jc w:val="both"/>
        <w:rPr>
          <w:rStyle w:val="af3"/>
          <w:rFonts w:ascii="Tahoma" w:hAnsi="Tahoma" w:cs="Tahoma"/>
        </w:rPr>
      </w:pPr>
      <w:r w:rsidRPr="00BE6A40">
        <w:rPr>
          <w:rStyle w:val="af3"/>
          <w:rFonts w:ascii="Tahoma" w:hAnsi="Tahoma" w:cs="Tahoma"/>
          <w:u w:val="single"/>
        </w:rPr>
        <w:t>Index Constituents</w:t>
      </w:r>
      <w:r w:rsidR="00BE6A40" w:rsidRPr="00BE6A40">
        <w:rPr>
          <w:rStyle w:val="af3"/>
          <w:rFonts w:ascii="Tahoma" w:hAnsi="Tahoma" w:cs="Tahoma"/>
          <w:u w:val="single"/>
        </w:rPr>
        <w:t xml:space="preserve"> </w:t>
      </w:r>
      <w:r w:rsidRPr="00BE6A40">
        <w:rPr>
          <w:rStyle w:val="af3"/>
          <w:rFonts w:ascii="Tahoma" w:hAnsi="Tahoma" w:cs="Tahoma"/>
        </w:rPr>
        <w:t>means the list of bonds used for the calculation of the Index, approved by the Exchange according to the procedure stipulated by this Methodology;</w:t>
      </w:r>
    </w:p>
    <w:p w14:paraId="2DAC9065" w14:textId="3526328C" w:rsidR="001425E5" w:rsidRPr="00BE6A40" w:rsidRDefault="001425E5" w:rsidP="00BE6A40">
      <w:pPr>
        <w:pStyle w:val="af2"/>
        <w:numPr>
          <w:ilvl w:val="0"/>
          <w:numId w:val="9"/>
        </w:numPr>
        <w:spacing w:before="120" w:after="120"/>
        <w:jc w:val="both"/>
        <w:rPr>
          <w:rStyle w:val="af3"/>
          <w:rFonts w:ascii="Tahoma" w:hAnsi="Tahoma" w:cs="Tahoma"/>
        </w:rPr>
      </w:pPr>
      <w:r w:rsidRPr="00BE6A40">
        <w:rPr>
          <w:rStyle w:val="af3"/>
          <w:rFonts w:ascii="Tahoma" w:hAnsi="Tahoma" w:cs="Tahoma"/>
          <w:u w:val="single"/>
        </w:rPr>
        <w:t>The Exchange, Moscow Exchange</w:t>
      </w:r>
      <w:r w:rsidRPr="00BE6A40">
        <w:rPr>
          <w:rStyle w:val="af3"/>
          <w:rFonts w:ascii="Tahoma" w:hAnsi="Tahoma" w:cs="Tahoma"/>
        </w:rPr>
        <w:t xml:space="preserve"> means Public Joint-Stock Company Moscow Exchange MICEX-RTS;</w:t>
      </w:r>
    </w:p>
    <w:p w14:paraId="36210901" w14:textId="618DCC50" w:rsidR="00D8247B" w:rsidRPr="00BE6A40" w:rsidRDefault="00674D52" w:rsidP="00BE6A40">
      <w:pPr>
        <w:pStyle w:val="af2"/>
        <w:numPr>
          <w:ilvl w:val="0"/>
          <w:numId w:val="9"/>
        </w:numPr>
        <w:spacing w:before="120" w:after="120"/>
        <w:jc w:val="both"/>
        <w:rPr>
          <w:rFonts w:ascii="Tahoma" w:hAnsi="Tahoma" w:cs="Tahoma"/>
          <w:sz w:val="20"/>
          <w:szCs w:val="20"/>
        </w:rPr>
      </w:pPr>
      <w:r w:rsidRPr="00BE6A40">
        <w:rPr>
          <w:rStyle w:val="af3"/>
          <w:rFonts w:ascii="Tahoma" w:hAnsi="Tahoma" w:cs="Tahoma"/>
          <w:u w:val="single"/>
        </w:rPr>
        <w:t>Index Review Date</w:t>
      </w:r>
      <w:r w:rsidRPr="00BE6A40">
        <w:rPr>
          <w:rFonts w:ascii="Tahoma" w:hAnsi="Tahoma" w:cs="Tahoma"/>
        </w:rPr>
        <w:t xml:space="preserve"> means 1 February, 1 May, 1 August and 1 November;</w:t>
      </w:r>
      <w:r w:rsidRPr="00BE6A40">
        <w:rPr>
          <w:rFonts w:ascii="Tahoma" w:hAnsi="Tahoma" w:cs="Tahoma"/>
          <w:sz w:val="20"/>
        </w:rPr>
        <w:t xml:space="preserve"> If any of these dates is a non-working day, the Index Review Date shall be the nearest following working day;</w:t>
      </w:r>
    </w:p>
    <w:p w14:paraId="110262DF" w14:textId="01514F9D" w:rsidR="00934C24" w:rsidRPr="00BE6A40" w:rsidRDefault="009B2788" w:rsidP="00BE6A40">
      <w:pPr>
        <w:pStyle w:val="af2"/>
        <w:numPr>
          <w:ilvl w:val="0"/>
          <w:numId w:val="9"/>
        </w:numPr>
        <w:spacing w:before="120" w:after="120"/>
        <w:jc w:val="both"/>
        <w:rPr>
          <w:rFonts w:ascii="Tahoma" w:hAnsi="Tahoma" w:cs="Tahoma"/>
          <w:sz w:val="20"/>
          <w:szCs w:val="20"/>
        </w:rPr>
      </w:pPr>
      <w:r w:rsidRPr="00BE6A40">
        <w:rPr>
          <w:rFonts w:ascii="Tahoma" w:hAnsi="Tahoma" w:cs="Tahoma"/>
          <w:sz w:val="20"/>
          <w:u w:val="single"/>
        </w:rPr>
        <w:t>Additional Factors</w:t>
      </w:r>
      <w:r w:rsidRPr="00BE6A40">
        <w:rPr>
          <w:rFonts w:ascii="Tahoma" w:hAnsi="Tahoma" w:cs="Tahoma"/>
          <w:sz w:val="20"/>
        </w:rPr>
        <w:t xml:space="preserve"> is the Index's Weighted Average Return and Weighted Average Duration;</w:t>
      </w:r>
    </w:p>
    <w:p w14:paraId="6E899637" w14:textId="30D97489" w:rsidR="00227CE1" w:rsidRPr="00BE6A40" w:rsidRDefault="00227CE1" w:rsidP="00BE6A40">
      <w:pPr>
        <w:pStyle w:val="af2"/>
        <w:numPr>
          <w:ilvl w:val="0"/>
          <w:numId w:val="9"/>
        </w:numPr>
        <w:spacing w:before="120" w:after="120"/>
        <w:jc w:val="both"/>
        <w:rPr>
          <w:rFonts w:ascii="Tahoma" w:hAnsi="Tahoma" w:cs="Tahoma"/>
          <w:sz w:val="20"/>
          <w:szCs w:val="20"/>
        </w:rPr>
      </w:pPr>
      <w:r w:rsidRPr="00BE6A40">
        <w:rPr>
          <w:rFonts w:ascii="Tahoma" w:hAnsi="Tahoma" w:cs="Tahoma"/>
          <w:sz w:val="20"/>
          <w:u w:val="single"/>
        </w:rPr>
        <w:t>Bonds</w:t>
      </w:r>
      <w:r w:rsidRPr="00BE6A40">
        <w:rPr>
          <w:rFonts w:ascii="Tahoma" w:hAnsi="Tahoma" w:cs="Tahoma"/>
          <w:sz w:val="20"/>
        </w:rPr>
        <w:t xml:space="preserve"> is bonds denominated in a currency other than the currency of the Russian Federation, issued by Russian issuers, including issues of replacement bonds of Russian issuers, as well as sovereign Eurobonds admitted to on-exchange trading (listed on the Exchange), except for subordinated, perpetual and amortised bonds, as well as Eurobonds issued by Russian issuers and/or on behalf of Russian issuers, including on behalf of special purpose vehicles;</w:t>
      </w:r>
    </w:p>
    <w:p w14:paraId="613163E8" w14:textId="376AF15F" w:rsidR="001425E5" w:rsidRPr="00BE6A40" w:rsidRDefault="001425E5" w:rsidP="00BE6A40">
      <w:pPr>
        <w:pStyle w:val="af2"/>
        <w:numPr>
          <w:ilvl w:val="0"/>
          <w:numId w:val="9"/>
        </w:numPr>
        <w:spacing w:before="120" w:after="120"/>
        <w:jc w:val="both"/>
        <w:rPr>
          <w:rFonts w:ascii="Tahoma" w:hAnsi="Tahoma" w:cs="Tahoma"/>
          <w:sz w:val="20"/>
          <w:szCs w:val="20"/>
        </w:rPr>
      </w:pPr>
      <w:r w:rsidRPr="00BE6A40">
        <w:rPr>
          <w:rFonts w:ascii="Tahoma" w:hAnsi="Tahoma" w:cs="Tahoma"/>
          <w:sz w:val="20"/>
          <w:u w:val="single"/>
        </w:rPr>
        <w:t>Accrued Coupon Income, ACI</w:t>
      </w:r>
      <w:r w:rsidRPr="00BE6A40">
        <w:rPr>
          <w:rFonts w:ascii="Tahoma" w:hAnsi="Tahoma" w:cs="Tahoma"/>
          <w:sz w:val="20"/>
        </w:rPr>
        <w:t xml:space="preserve"> means the earnings accumulated on the Bonds in US dollars.</w:t>
      </w:r>
    </w:p>
    <w:p w14:paraId="3030F21D" w14:textId="700B7B86" w:rsidR="001425E5" w:rsidRPr="00BE6A40" w:rsidRDefault="001425E5" w:rsidP="00BE6A40">
      <w:pPr>
        <w:pStyle w:val="af2"/>
        <w:numPr>
          <w:ilvl w:val="0"/>
          <w:numId w:val="9"/>
        </w:numPr>
        <w:spacing w:before="120" w:after="120"/>
        <w:jc w:val="both"/>
        <w:rPr>
          <w:rFonts w:ascii="Tahoma" w:hAnsi="Tahoma" w:cs="Tahoma"/>
          <w:sz w:val="20"/>
          <w:szCs w:val="20"/>
        </w:rPr>
      </w:pPr>
      <w:r w:rsidRPr="00BE6A40">
        <w:rPr>
          <w:rFonts w:ascii="Tahoma" w:hAnsi="Tahoma" w:cs="Tahoma"/>
          <w:sz w:val="20"/>
          <w:u w:val="single"/>
        </w:rPr>
        <w:t>Put Option, Offer</w:t>
      </w:r>
      <w:r w:rsidRPr="00BE6A40">
        <w:rPr>
          <w:rFonts w:ascii="Tahoma" w:hAnsi="Tahoma" w:cs="Tahoma"/>
          <w:sz w:val="20"/>
        </w:rPr>
        <w:t xml:space="preserve"> is the right of bond holders to tender for early redemption on a specified date;</w:t>
      </w:r>
    </w:p>
    <w:p w14:paraId="3B9AC6FE" w14:textId="4B3C8666" w:rsidR="00764F4E" w:rsidRPr="00BE6A40" w:rsidRDefault="00764F4E" w:rsidP="00BE6A40">
      <w:pPr>
        <w:pStyle w:val="af2"/>
        <w:numPr>
          <w:ilvl w:val="0"/>
          <w:numId w:val="9"/>
        </w:numPr>
        <w:spacing w:before="120" w:after="120"/>
        <w:jc w:val="both"/>
        <w:rPr>
          <w:rFonts w:ascii="Tahoma" w:hAnsi="Tahoma" w:cs="Tahoma"/>
          <w:sz w:val="20"/>
          <w:szCs w:val="20"/>
        </w:rPr>
      </w:pPr>
      <w:r w:rsidRPr="00BE6A40">
        <w:rPr>
          <w:rFonts w:ascii="Tahoma" w:hAnsi="Tahoma" w:cs="Tahoma"/>
          <w:sz w:val="20"/>
          <w:u w:val="single"/>
        </w:rPr>
        <w:t>Rating Agencies</w:t>
      </w:r>
      <w:r w:rsidRPr="00BE6A40">
        <w:rPr>
          <w:rFonts w:ascii="Tahoma" w:hAnsi="Tahoma" w:cs="Tahoma"/>
          <w:sz w:val="20"/>
        </w:rPr>
        <w:t xml:space="preserve"> means Russian rating agencies included in the Register of Credit Rating Agencies accredited by the Bank of Russia as of the date of the Index Review or the date of the Extraordinary Review of the Index;</w:t>
      </w:r>
    </w:p>
    <w:p w14:paraId="4545546B" w14:textId="0B631E0D" w:rsidR="00764F4E" w:rsidRPr="00BE6A40" w:rsidRDefault="00764F4E" w:rsidP="00BE6A40">
      <w:pPr>
        <w:pStyle w:val="af2"/>
        <w:numPr>
          <w:ilvl w:val="0"/>
          <w:numId w:val="9"/>
        </w:numPr>
        <w:spacing w:before="120" w:after="120"/>
        <w:jc w:val="both"/>
        <w:rPr>
          <w:rFonts w:ascii="Tahoma" w:hAnsi="Tahoma" w:cs="Tahoma"/>
          <w:sz w:val="20"/>
          <w:szCs w:val="20"/>
        </w:rPr>
      </w:pPr>
      <w:r w:rsidRPr="00BE6A40">
        <w:rPr>
          <w:rFonts w:ascii="Tahoma" w:hAnsi="Tahoma" w:cs="Tahoma"/>
          <w:sz w:val="20"/>
          <w:u w:val="single"/>
        </w:rPr>
        <w:t>Rating</w:t>
      </w:r>
      <w:r w:rsidRPr="00BE6A40">
        <w:rPr>
          <w:rFonts w:ascii="Tahoma" w:hAnsi="Tahoma" w:cs="Tahoma"/>
          <w:sz w:val="20"/>
        </w:rPr>
        <w:t xml:space="preserve"> means a credit rating level assigned to the Bond issuer or Bond issue by the Rating Agency;</w:t>
      </w:r>
    </w:p>
    <w:p w14:paraId="5713D078" w14:textId="531139EA" w:rsidR="008B0EF4" w:rsidRPr="00BE6A40" w:rsidRDefault="008B0EF4" w:rsidP="00BE6A40">
      <w:pPr>
        <w:pStyle w:val="af2"/>
        <w:numPr>
          <w:ilvl w:val="0"/>
          <w:numId w:val="9"/>
        </w:numPr>
        <w:spacing w:before="120" w:after="120"/>
        <w:jc w:val="both"/>
        <w:rPr>
          <w:rFonts w:ascii="Tahoma" w:hAnsi="Tahoma" w:cs="Tahoma"/>
          <w:sz w:val="20"/>
          <w:szCs w:val="20"/>
        </w:rPr>
      </w:pPr>
      <w:r w:rsidRPr="00BE6A40">
        <w:rPr>
          <w:rFonts w:ascii="Tahoma" w:hAnsi="Tahoma" w:cs="Tahoma"/>
          <w:sz w:val="20"/>
          <w:u w:val="single"/>
        </w:rPr>
        <w:t>Sovereign Eurobonds</w:t>
      </w:r>
      <w:r w:rsidRPr="00BE6A40">
        <w:rPr>
          <w:rFonts w:ascii="Tahoma" w:hAnsi="Tahoma" w:cs="Tahoma"/>
          <w:sz w:val="20"/>
        </w:rPr>
        <w:t xml:space="preserve"> means bonds issued by the Russian Federation, excluding amortised issues, denominated in US dollars, with maturity date until 2030. </w:t>
      </w:r>
    </w:p>
    <w:p w14:paraId="05C17655" w14:textId="58DFAE25" w:rsidR="00765EB2" w:rsidRPr="00BE6A40" w:rsidRDefault="00765EB2" w:rsidP="00BE6A40">
      <w:pPr>
        <w:numPr>
          <w:ilvl w:val="1"/>
          <w:numId w:val="1"/>
        </w:numPr>
        <w:spacing w:before="120" w:after="120"/>
        <w:jc w:val="both"/>
        <w:rPr>
          <w:rFonts w:ascii="Tahoma" w:hAnsi="Tahoma" w:cs="Tahoma"/>
          <w:sz w:val="20"/>
          <w:szCs w:val="20"/>
        </w:rPr>
      </w:pPr>
      <w:r w:rsidRPr="00BE6A40">
        <w:rPr>
          <w:rFonts w:ascii="Tahoma" w:hAnsi="Tahoma" w:cs="Tahoma"/>
          <w:sz w:val="20"/>
        </w:rPr>
        <w:t>Terms not specifically defined herein shall be construed in accordance with other documents of the Exchange as well as the law and regulatory acts of the Bank of Russia.</w:t>
      </w:r>
    </w:p>
    <w:p w14:paraId="69E5619C" w14:textId="44794C7E" w:rsidR="00642785" w:rsidRPr="00BE6A40" w:rsidRDefault="00B42708" w:rsidP="00BE6A40">
      <w:pPr>
        <w:numPr>
          <w:ilvl w:val="1"/>
          <w:numId w:val="1"/>
        </w:numPr>
        <w:spacing w:before="120" w:after="120"/>
        <w:jc w:val="both"/>
        <w:rPr>
          <w:rFonts w:ascii="Tahoma" w:hAnsi="Tahoma" w:cs="Tahoma"/>
          <w:sz w:val="20"/>
          <w:szCs w:val="20"/>
        </w:rPr>
      </w:pPr>
      <w:r w:rsidRPr="00BE6A40">
        <w:rPr>
          <w:rFonts w:ascii="Tahoma" w:hAnsi="Tahoma" w:cs="Tahoma"/>
          <w:sz w:val="20"/>
        </w:rPr>
        <w:t>The Index calculated in accordance with this Methodology shall have the following names and codes:</w:t>
      </w:r>
    </w:p>
    <w:p w14:paraId="1FDE897F" w14:textId="68FA6D0C" w:rsidR="00C14286" w:rsidRPr="00BE6A40" w:rsidRDefault="00C14286" w:rsidP="00BE6A40">
      <w:pPr>
        <w:numPr>
          <w:ilvl w:val="0"/>
          <w:numId w:val="6"/>
        </w:numPr>
        <w:spacing w:before="120" w:after="120"/>
        <w:jc w:val="both"/>
        <w:rPr>
          <w:rFonts w:ascii="Tahoma" w:hAnsi="Tahoma" w:cs="Tahoma"/>
          <w:sz w:val="20"/>
          <w:szCs w:val="20"/>
        </w:rPr>
      </w:pPr>
      <w:r w:rsidRPr="00BE6A40">
        <w:rPr>
          <w:rFonts w:ascii="Tahoma" w:hAnsi="Tahoma" w:cs="Tahoma"/>
          <w:sz w:val="20"/>
        </w:rPr>
        <w:t>Name in Russian: "</w:t>
      </w:r>
      <w:proofErr w:type="spellStart"/>
      <w:r w:rsidRPr="00BE6A40">
        <w:rPr>
          <w:rFonts w:ascii="Tahoma" w:hAnsi="Tahoma" w:cs="Tahoma"/>
          <w:sz w:val="20"/>
        </w:rPr>
        <w:t>Индекс</w:t>
      </w:r>
      <w:proofErr w:type="spellEnd"/>
      <w:r w:rsidRPr="00BE6A40">
        <w:rPr>
          <w:rFonts w:ascii="Tahoma" w:hAnsi="Tahoma" w:cs="Tahoma"/>
          <w:sz w:val="20"/>
        </w:rPr>
        <w:t xml:space="preserve"> </w:t>
      </w:r>
      <w:proofErr w:type="spellStart"/>
      <w:r w:rsidRPr="00BE6A40">
        <w:rPr>
          <w:rFonts w:ascii="Tahoma" w:hAnsi="Tahoma" w:cs="Tahoma"/>
          <w:sz w:val="20"/>
        </w:rPr>
        <w:t>МосБиржи</w:t>
      </w:r>
      <w:proofErr w:type="spellEnd"/>
      <w:r w:rsidRPr="00BE6A40">
        <w:rPr>
          <w:rFonts w:ascii="Tahoma" w:hAnsi="Tahoma" w:cs="Tahoma"/>
          <w:sz w:val="20"/>
        </w:rPr>
        <w:t xml:space="preserve"> </w:t>
      </w:r>
      <w:proofErr w:type="spellStart"/>
      <w:r w:rsidRPr="00BE6A40">
        <w:rPr>
          <w:rFonts w:ascii="Tahoma" w:hAnsi="Tahoma" w:cs="Tahoma"/>
          <w:sz w:val="20"/>
        </w:rPr>
        <w:t>российских</w:t>
      </w:r>
      <w:proofErr w:type="spellEnd"/>
      <w:r w:rsidRPr="00BE6A40">
        <w:rPr>
          <w:rFonts w:ascii="Tahoma" w:hAnsi="Tahoma" w:cs="Tahoma"/>
          <w:sz w:val="20"/>
        </w:rPr>
        <w:t xml:space="preserve"> </w:t>
      </w:r>
      <w:proofErr w:type="spellStart"/>
      <w:r w:rsidRPr="00BE6A40">
        <w:rPr>
          <w:rFonts w:ascii="Tahoma" w:hAnsi="Tahoma" w:cs="Tahoma"/>
          <w:sz w:val="20"/>
        </w:rPr>
        <w:t>облигаций</w:t>
      </w:r>
      <w:proofErr w:type="spellEnd"/>
      <w:r w:rsidRPr="00BE6A40">
        <w:rPr>
          <w:rFonts w:ascii="Tahoma" w:hAnsi="Tahoma" w:cs="Tahoma"/>
          <w:sz w:val="20"/>
        </w:rPr>
        <w:t xml:space="preserve">, </w:t>
      </w:r>
      <w:proofErr w:type="spellStart"/>
      <w:r w:rsidRPr="00BE6A40">
        <w:rPr>
          <w:rFonts w:ascii="Tahoma" w:hAnsi="Tahoma" w:cs="Tahoma"/>
          <w:sz w:val="20"/>
        </w:rPr>
        <w:t>номинированных</w:t>
      </w:r>
      <w:proofErr w:type="spellEnd"/>
      <w:r w:rsidRPr="00BE6A40">
        <w:rPr>
          <w:rFonts w:ascii="Tahoma" w:hAnsi="Tahoma" w:cs="Tahoma"/>
          <w:sz w:val="20"/>
        </w:rPr>
        <w:t xml:space="preserve"> в </w:t>
      </w:r>
      <w:proofErr w:type="spellStart"/>
      <w:r w:rsidRPr="00BE6A40">
        <w:rPr>
          <w:rFonts w:ascii="Tahoma" w:hAnsi="Tahoma" w:cs="Tahoma"/>
          <w:sz w:val="20"/>
        </w:rPr>
        <w:t>иностранной</w:t>
      </w:r>
      <w:proofErr w:type="spellEnd"/>
      <w:r w:rsidRPr="00BE6A40">
        <w:rPr>
          <w:rFonts w:ascii="Tahoma" w:hAnsi="Tahoma" w:cs="Tahoma"/>
          <w:sz w:val="20"/>
        </w:rPr>
        <w:t xml:space="preserve"> </w:t>
      </w:r>
      <w:proofErr w:type="spellStart"/>
      <w:r w:rsidRPr="00BE6A40">
        <w:rPr>
          <w:rFonts w:ascii="Tahoma" w:hAnsi="Tahoma" w:cs="Tahoma"/>
          <w:sz w:val="20"/>
        </w:rPr>
        <w:t>валюте</w:t>
      </w:r>
      <w:proofErr w:type="spellEnd"/>
      <w:r w:rsidRPr="00BE6A40">
        <w:rPr>
          <w:rFonts w:ascii="Tahoma" w:hAnsi="Tahoma" w:cs="Tahoma"/>
          <w:sz w:val="20"/>
        </w:rPr>
        <w:t>" (name before the effective date of this version of the Methodology was "</w:t>
      </w:r>
      <w:proofErr w:type="spellStart"/>
      <w:r w:rsidRPr="00BE6A40">
        <w:rPr>
          <w:rFonts w:ascii="Tahoma" w:hAnsi="Tahoma" w:cs="Tahoma"/>
          <w:sz w:val="20"/>
        </w:rPr>
        <w:t>Индекс</w:t>
      </w:r>
      <w:proofErr w:type="spellEnd"/>
      <w:r w:rsidRPr="00BE6A40">
        <w:rPr>
          <w:rFonts w:ascii="Tahoma" w:hAnsi="Tahoma" w:cs="Tahoma"/>
          <w:sz w:val="20"/>
        </w:rPr>
        <w:t xml:space="preserve"> </w:t>
      </w:r>
      <w:proofErr w:type="spellStart"/>
      <w:r w:rsidRPr="00BE6A40">
        <w:rPr>
          <w:rFonts w:ascii="Tahoma" w:hAnsi="Tahoma" w:cs="Tahoma"/>
          <w:sz w:val="20"/>
        </w:rPr>
        <w:t>МосБиржи</w:t>
      </w:r>
      <w:proofErr w:type="spellEnd"/>
      <w:r w:rsidRPr="00BE6A40">
        <w:rPr>
          <w:rFonts w:ascii="Tahoma" w:hAnsi="Tahoma" w:cs="Tahoma"/>
          <w:sz w:val="20"/>
        </w:rPr>
        <w:t xml:space="preserve"> </w:t>
      </w:r>
      <w:proofErr w:type="spellStart"/>
      <w:r w:rsidRPr="00BE6A40">
        <w:rPr>
          <w:rFonts w:ascii="Tahoma" w:hAnsi="Tahoma" w:cs="Tahoma"/>
          <w:sz w:val="20"/>
        </w:rPr>
        <w:t>российских</w:t>
      </w:r>
      <w:proofErr w:type="spellEnd"/>
      <w:r w:rsidRPr="00BE6A40">
        <w:rPr>
          <w:rFonts w:ascii="Tahoma" w:hAnsi="Tahoma" w:cs="Tahoma"/>
          <w:sz w:val="20"/>
        </w:rPr>
        <w:t xml:space="preserve"> </w:t>
      </w:r>
      <w:proofErr w:type="spellStart"/>
      <w:r w:rsidRPr="00BE6A40">
        <w:rPr>
          <w:rFonts w:ascii="Tahoma" w:hAnsi="Tahoma" w:cs="Tahoma"/>
          <w:sz w:val="20"/>
        </w:rPr>
        <w:t>ликвидных</w:t>
      </w:r>
      <w:proofErr w:type="spellEnd"/>
      <w:r w:rsidRPr="00BE6A40">
        <w:rPr>
          <w:rFonts w:ascii="Tahoma" w:hAnsi="Tahoma" w:cs="Tahoma"/>
          <w:sz w:val="20"/>
        </w:rPr>
        <w:t xml:space="preserve"> </w:t>
      </w:r>
      <w:proofErr w:type="spellStart"/>
      <w:r w:rsidRPr="00BE6A40">
        <w:rPr>
          <w:rFonts w:ascii="Tahoma" w:hAnsi="Tahoma" w:cs="Tahoma"/>
          <w:sz w:val="20"/>
        </w:rPr>
        <w:t>еврооблигаций</w:t>
      </w:r>
      <w:proofErr w:type="spellEnd"/>
      <w:r w:rsidRPr="00BE6A40">
        <w:rPr>
          <w:rFonts w:ascii="Tahoma" w:hAnsi="Tahoma" w:cs="Tahoma"/>
          <w:sz w:val="20"/>
        </w:rPr>
        <w:t>");</w:t>
      </w:r>
    </w:p>
    <w:p w14:paraId="7C7860AD" w14:textId="760840DD" w:rsidR="00324A29" w:rsidRPr="00BE6A40" w:rsidRDefault="00C14286" w:rsidP="00BE6A40">
      <w:pPr>
        <w:numPr>
          <w:ilvl w:val="0"/>
          <w:numId w:val="6"/>
        </w:numPr>
        <w:spacing w:before="120" w:after="120"/>
        <w:jc w:val="both"/>
        <w:rPr>
          <w:rFonts w:ascii="Tahoma" w:hAnsi="Tahoma" w:cs="Tahoma"/>
          <w:sz w:val="20"/>
          <w:szCs w:val="20"/>
        </w:rPr>
      </w:pPr>
      <w:r w:rsidRPr="00BE6A40">
        <w:rPr>
          <w:rFonts w:ascii="Tahoma" w:hAnsi="Tahoma" w:cs="Tahoma"/>
          <w:sz w:val="20"/>
        </w:rPr>
        <w:t>Name in English: "MOEX Index of Russian Bonds denominated in foreign currency" (name before the effective date of this version of the Methodology was "MOEX Russian Liquid Eurobonds Index");</w:t>
      </w:r>
    </w:p>
    <w:p w14:paraId="374D8F39" w14:textId="4AC1A8E0" w:rsidR="00C14286" w:rsidRPr="00BE6A40" w:rsidRDefault="00324A29" w:rsidP="00BE6A40">
      <w:pPr>
        <w:numPr>
          <w:ilvl w:val="0"/>
          <w:numId w:val="6"/>
        </w:numPr>
        <w:spacing w:before="120" w:after="120"/>
        <w:jc w:val="both"/>
        <w:rPr>
          <w:rFonts w:ascii="Tahoma" w:hAnsi="Tahoma" w:cs="Tahoma"/>
          <w:sz w:val="20"/>
          <w:szCs w:val="20"/>
        </w:rPr>
      </w:pPr>
      <w:r w:rsidRPr="00BE6A40">
        <w:rPr>
          <w:rFonts w:ascii="Tahoma" w:hAnsi="Tahoma" w:cs="Tahoma"/>
          <w:sz w:val="20"/>
        </w:rPr>
        <w:t>The Index code is RUEU10.</w:t>
      </w:r>
    </w:p>
    <w:p w14:paraId="6B39D53E" w14:textId="0A70E639" w:rsidR="00127B9D" w:rsidRPr="00BE6A40" w:rsidRDefault="00127B9D" w:rsidP="00BE6A40">
      <w:pPr>
        <w:numPr>
          <w:ilvl w:val="1"/>
          <w:numId w:val="1"/>
        </w:numPr>
        <w:tabs>
          <w:tab w:val="num" w:pos="1000"/>
        </w:tabs>
        <w:spacing w:before="120" w:after="120"/>
        <w:jc w:val="both"/>
        <w:rPr>
          <w:rFonts w:ascii="Tahoma" w:hAnsi="Tahoma" w:cs="Tahoma"/>
          <w:sz w:val="20"/>
          <w:szCs w:val="20"/>
        </w:rPr>
      </w:pPr>
      <w:r w:rsidRPr="00BE6A40">
        <w:rPr>
          <w:rFonts w:ascii="Tahoma" w:hAnsi="Tahoma" w:cs="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357C5F7D" w14:textId="77777777" w:rsidR="00657BF4" w:rsidRPr="00BE6A40" w:rsidRDefault="00657BF4" w:rsidP="00BE6A40">
      <w:pPr>
        <w:numPr>
          <w:ilvl w:val="1"/>
          <w:numId w:val="1"/>
        </w:numPr>
        <w:tabs>
          <w:tab w:val="num" w:pos="1000"/>
        </w:tabs>
        <w:spacing w:before="120" w:after="120"/>
        <w:jc w:val="both"/>
        <w:rPr>
          <w:rFonts w:ascii="Tahoma" w:hAnsi="Tahoma" w:cs="Tahoma"/>
          <w:sz w:val="20"/>
          <w:szCs w:val="20"/>
        </w:rPr>
      </w:pPr>
      <w:r w:rsidRPr="00BE6A40">
        <w:rPr>
          <w:rFonts w:ascii="Tahoma" w:hAnsi="Tahoma" w:cs="Tahoma"/>
          <w:sz w:val="20"/>
        </w:rPr>
        <w:t>This Methodology, as well as all amendments and additions hereto are approved by the Exchange and come into effect on the date determined by the Exchange. It may be amended and supplemented no more frequently than once a quarter.</w:t>
      </w:r>
    </w:p>
    <w:p w14:paraId="7F6819D2" w14:textId="545754A7" w:rsidR="00657BF4" w:rsidRPr="00BE6A40" w:rsidRDefault="00657BF4" w:rsidP="00BE6A40">
      <w:pPr>
        <w:spacing w:before="120" w:after="120"/>
        <w:rPr>
          <w:rFonts w:ascii="Tahoma" w:hAnsi="Tahoma" w:cs="Tahoma"/>
          <w:sz w:val="20"/>
          <w:szCs w:val="20"/>
        </w:rPr>
      </w:pPr>
    </w:p>
    <w:p w14:paraId="57B37E34" w14:textId="77777777" w:rsidR="00657BF4" w:rsidRPr="00BE6A40" w:rsidRDefault="00657BF4" w:rsidP="00BE6A40">
      <w:pPr>
        <w:numPr>
          <w:ilvl w:val="0"/>
          <w:numId w:val="1"/>
        </w:numPr>
        <w:spacing w:before="120" w:after="120"/>
        <w:outlineLvl w:val="0"/>
        <w:rPr>
          <w:rFonts w:ascii="Tahoma" w:hAnsi="Tahoma" w:cs="Tahoma"/>
          <w:b/>
          <w:sz w:val="20"/>
          <w:szCs w:val="20"/>
        </w:rPr>
      </w:pPr>
      <w:bookmarkStart w:id="5" w:name="_Toc144482452"/>
      <w:bookmarkStart w:id="6" w:name="_Toc178166121"/>
      <w:r w:rsidRPr="00BE6A40">
        <w:rPr>
          <w:rFonts w:ascii="Tahoma" w:hAnsi="Tahoma" w:cs="Tahoma"/>
          <w:b/>
          <w:sz w:val="20"/>
        </w:rPr>
        <w:t>General Index Calculation Overview</w:t>
      </w:r>
      <w:bookmarkEnd w:id="5"/>
      <w:bookmarkEnd w:id="6"/>
    </w:p>
    <w:p w14:paraId="1BFD86E8" w14:textId="77777777" w:rsidR="00442407" w:rsidRPr="00BE6A40" w:rsidRDefault="00442407" w:rsidP="00BE6A40">
      <w:pPr>
        <w:spacing w:before="120" w:after="120"/>
        <w:ind w:left="360"/>
        <w:outlineLvl w:val="0"/>
        <w:rPr>
          <w:rFonts w:ascii="Tahoma" w:hAnsi="Tahoma" w:cs="Tahoma"/>
          <w:b/>
          <w:sz w:val="20"/>
          <w:szCs w:val="20"/>
        </w:rPr>
      </w:pPr>
    </w:p>
    <w:p w14:paraId="682D28FA" w14:textId="61D4A67D" w:rsidR="008F0DC8" w:rsidRPr="00BE6A40" w:rsidRDefault="00B42708" w:rsidP="00BE6A40">
      <w:pPr>
        <w:numPr>
          <w:ilvl w:val="1"/>
          <w:numId w:val="1"/>
        </w:numPr>
        <w:spacing w:before="120" w:after="120"/>
        <w:rPr>
          <w:rFonts w:ascii="Tahoma" w:hAnsi="Tahoma" w:cs="Tahoma"/>
          <w:sz w:val="20"/>
          <w:szCs w:val="20"/>
        </w:rPr>
      </w:pPr>
      <w:bookmarkStart w:id="7" w:name="п_2_1"/>
      <w:r w:rsidRPr="00BE6A40">
        <w:rPr>
          <w:rFonts w:ascii="Tahoma" w:hAnsi="Tahoma" w:cs="Tahoma"/>
          <w:sz w:val="20"/>
        </w:rPr>
        <w:t>The Index is calculated every trading day after the closing of the main trading session. The Exchange may change the start time and/or end time of the Index calculation.</w:t>
      </w:r>
    </w:p>
    <w:p w14:paraId="4CAF000A" w14:textId="125465A7" w:rsidR="00B12D9C" w:rsidRPr="00BE6A40" w:rsidRDefault="00E71EA3" w:rsidP="00BE6A40">
      <w:pPr>
        <w:numPr>
          <w:ilvl w:val="1"/>
          <w:numId w:val="1"/>
        </w:numPr>
        <w:spacing w:before="120" w:after="120"/>
        <w:jc w:val="both"/>
        <w:rPr>
          <w:rFonts w:ascii="Tahoma" w:hAnsi="Tahoma" w:cs="Tahoma"/>
          <w:sz w:val="20"/>
          <w:szCs w:val="20"/>
        </w:rPr>
      </w:pPr>
      <w:r w:rsidRPr="00BE6A40">
        <w:rPr>
          <w:rFonts w:ascii="Tahoma" w:hAnsi="Tahoma" w:cs="Tahoma"/>
          <w:sz w:val="20"/>
        </w:rPr>
        <w:t>The Index is based on the value of the Bonds, determined as the sum of the price and the Accrued Coupon Interest with reinvested coupon payments. The Index is calculated using the following formula:</w:t>
      </w:r>
    </w:p>
    <w:p w14:paraId="74A69877" w14:textId="77777777" w:rsidR="009B2788" w:rsidRPr="00BE6A40" w:rsidRDefault="00BE6A40" w:rsidP="00BE6A40">
      <w:pPr>
        <w:spacing w:before="120" w:after="120"/>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36340E2F" w14:textId="77777777" w:rsidR="009B2788" w:rsidRPr="00BE6A40" w:rsidRDefault="009B2788" w:rsidP="00BE6A40">
      <w:pPr>
        <w:spacing w:before="120" w:after="120"/>
        <w:ind w:left="1559"/>
        <w:jc w:val="both"/>
        <w:rPr>
          <w:rFonts w:ascii="Tahoma" w:hAnsi="Tahoma" w:cs="Tahoma"/>
          <w:sz w:val="20"/>
          <w:szCs w:val="20"/>
        </w:rPr>
      </w:pPr>
      <w:r w:rsidRPr="00BE6A40">
        <w:rPr>
          <w:rFonts w:ascii="Tahoma" w:hAnsi="Tahoma" w:cs="Tahoma"/>
          <w:sz w:val="20"/>
        </w:rPr>
        <w:t>where:</w:t>
      </w:r>
    </w:p>
    <w:p w14:paraId="35B0CC4B" w14:textId="4ACC6AC5" w:rsidR="009B2788" w:rsidRPr="00BE6A40" w:rsidRDefault="009B2788" w:rsidP="00BE6A40">
      <w:pPr>
        <w:pStyle w:val="af7"/>
        <w:spacing w:before="120"/>
        <w:contextualSpacing w:val="0"/>
        <w:rPr>
          <w:rFonts w:cs="Tahoma"/>
        </w:rPr>
      </w:pPr>
      <w:proofErr w:type="spellStart"/>
      <w:r w:rsidRPr="00BE6A40">
        <w:rPr>
          <w:rFonts w:cs="Tahoma"/>
        </w:rPr>
        <w:t>CIn</w:t>
      </w:r>
      <w:proofErr w:type="spellEnd"/>
      <w:r w:rsidRPr="00BE6A40">
        <w:rPr>
          <w:rFonts w:cs="Tahoma"/>
        </w:rPr>
        <w:t xml:space="preserve"> – the value of the Index on day n;</w:t>
      </w:r>
    </w:p>
    <w:p w14:paraId="5A9A1E1B" w14:textId="7DA9EC78" w:rsidR="009B2788" w:rsidRPr="00BE6A40" w:rsidRDefault="009B2788" w:rsidP="00BE6A40">
      <w:pPr>
        <w:pStyle w:val="af7"/>
        <w:spacing w:before="120"/>
        <w:contextualSpacing w:val="0"/>
        <w:rPr>
          <w:rFonts w:cs="Tahoma"/>
        </w:rPr>
      </w:pPr>
      <w:proofErr w:type="spellStart"/>
      <w:proofErr w:type="gramStart"/>
      <w:r w:rsidRPr="00BE6A40">
        <w:rPr>
          <w:rFonts w:cs="Tahoma"/>
        </w:rPr>
        <w:t>Pi,n</w:t>
      </w:r>
      <w:proofErr w:type="spellEnd"/>
      <w:proofErr w:type="gramEnd"/>
      <w:r w:rsidRPr="00BE6A40">
        <w:rPr>
          <w:rFonts w:cs="Tahoma"/>
        </w:rPr>
        <w:t xml:space="preserve"> - the weighted average price of the Bond of the </w:t>
      </w:r>
      <w:proofErr w:type="spellStart"/>
      <w:r w:rsidRPr="00BE6A40">
        <w:rPr>
          <w:rFonts w:cs="Tahoma"/>
        </w:rPr>
        <w:t>i</w:t>
      </w:r>
      <w:r w:rsidRPr="00BE6A40">
        <w:rPr>
          <w:rFonts w:cs="Tahoma"/>
          <w:vertAlign w:val="superscript"/>
        </w:rPr>
        <w:t>th</w:t>
      </w:r>
      <w:proofErr w:type="spellEnd"/>
      <w:r w:rsidRPr="00BE6A40">
        <w:rPr>
          <w:rFonts w:cs="Tahoma"/>
        </w:rPr>
        <w:t xml:space="preserve"> issue on day n, expressed as a percentage of the principal value;</w:t>
      </w:r>
    </w:p>
    <w:p w14:paraId="6581C8E0" w14:textId="3E4F7623" w:rsidR="009B2788" w:rsidRPr="00BE6A40" w:rsidRDefault="009B2788" w:rsidP="00BE6A40">
      <w:pPr>
        <w:pStyle w:val="af7"/>
        <w:spacing w:before="120"/>
        <w:contextualSpacing w:val="0"/>
        <w:rPr>
          <w:rFonts w:cs="Tahoma"/>
        </w:rPr>
      </w:pPr>
      <w:proofErr w:type="spellStart"/>
      <w:proofErr w:type="gramStart"/>
      <w:r w:rsidRPr="00BE6A40">
        <w:rPr>
          <w:rFonts w:cs="Tahoma"/>
        </w:rPr>
        <w:t>FVi,n</w:t>
      </w:r>
      <w:proofErr w:type="spellEnd"/>
      <w:proofErr w:type="gramEnd"/>
      <w:r w:rsidRPr="00BE6A40">
        <w:rPr>
          <w:rFonts w:cs="Tahoma"/>
        </w:rPr>
        <w:t xml:space="preserve"> - the principal value of the Bonds of the </w:t>
      </w:r>
      <w:proofErr w:type="spellStart"/>
      <w:r w:rsidRPr="00BE6A40">
        <w:rPr>
          <w:rFonts w:cs="Tahoma"/>
        </w:rPr>
        <w:t>i</w:t>
      </w:r>
      <w:r w:rsidRPr="00BE6A40">
        <w:rPr>
          <w:rFonts w:cs="Tahoma"/>
          <w:vertAlign w:val="superscript"/>
        </w:rPr>
        <w:t>th</w:t>
      </w:r>
      <w:proofErr w:type="spellEnd"/>
      <w:r w:rsidRPr="00BE6A40">
        <w:rPr>
          <w:rFonts w:cs="Tahoma"/>
        </w:rPr>
        <w:t xml:space="preserve"> issue on day n, in currency units;</w:t>
      </w:r>
    </w:p>
    <w:p w14:paraId="3F0415C3" w14:textId="3DF217D9" w:rsidR="009B2788" w:rsidRPr="00BE6A40" w:rsidRDefault="009B2788" w:rsidP="00BE6A40">
      <w:pPr>
        <w:pStyle w:val="af7"/>
        <w:spacing w:before="120"/>
        <w:contextualSpacing w:val="0"/>
        <w:rPr>
          <w:rFonts w:cs="Tahoma"/>
        </w:rPr>
      </w:pPr>
      <w:proofErr w:type="spellStart"/>
      <w:proofErr w:type="gramStart"/>
      <w:r w:rsidRPr="00BE6A40">
        <w:rPr>
          <w:rFonts w:cs="Tahoma"/>
        </w:rPr>
        <w:t>Ai,n</w:t>
      </w:r>
      <w:proofErr w:type="spellEnd"/>
      <w:proofErr w:type="gramEnd"/>
      <w:r w:rsidRPr="00BE6A40">
        <w:rPr>
          <w:rFonts w:cs="Tahoma"/>
        </w:rPr>
        <w:t xml:space="preserve"> - the accrued coupon interest of the Bonds of the </w:t>
      </w:r>
      <w:proofErr w:type="spellStart"/>
      <w:r w:rsidRPr="00BE6A40">
        <w:rPr>
          <w:rFonts w:cs="Tahoma"/>
        </w:rPr>
        <w:t>i</w:t>
      </w:r>
      <w:r w:rsidRPr="00BE6A40">
        <w:rPr>
          <w:rFonts w:cs="Tahoma"/>
          <w:vertAlign w:val="superscript"/>
        </w:rPr>
        <w:t>th</w:t>
      </w:r>
      <w:proofErr w:type="spellEnd"/>
      <w:r w:rsidRPr="00BE6A40">
        <w:rPr>
          <w:rFonts w:cs="Tahoma"/>
        </w:rPr>
        <w:t xml:space="preserve"> issue on day n, in currency units;</w:t>
      </w:r>
    </w:p>
    <w:p w14:paraId="1AC3B242" w14:textId="3DFB0947" w:rsidR="009B2788" w:rsidRPr="00BE6A40" w:rsidRDefault="009B2788" w:rsidP="00BE6A40">
      <w:pPr>
        <w:pStyle w:val="af7"/>
        <w:spacing w:before="120"/>
        <w:contextualSpacing w:val="0"/>
        <w:rPr>
          <w:rFonts w:cs="Tahoma"/>
        </w:rPr>
      </w:pPr>
      <w:proofErr w:type="spellStart"/>
      <w:proofErr w:type="gramStart"/>
      <w:r w:rsidRPr="00BE6A40">
        <w:rPr>
          <w:rFonts w:cs="Tahoma"/>
        </w:rPr>
        <w:t>Gi,n</w:t>
      </w:r>
      <w:proofErr w:type="spellEnd"/>
      <w:proofErr w:type="gramEnd"/>
      <w:r w:rsidRPr="00BE6A40">
        <w:rPr>
          <w:rFonts w:cs="Tahoma"/>
        </w:rPr>
        <w:t xml:space="preserve"> - the amount of coupon interest paid on the Bonds of the </w:t>
      </w:r>
      <w:proofErr w:type="spellStart"/>
      <w:r w:rsidRPr="00BE6A40">
        <w:rPr>
          <w:rFonts w:cs="Tahoma"/>
        </w:rPr>
        <w:t>i</w:t>
      </w:r>
      <w:r w:rsidRPr="00BE6A40">
        <w:rPr>
          <w:rFonts w:cs="Tahoma"/>
          <w:vertAlign w:val="superscript"/>
        </w:rPr>
        <w:t>th</w:t>
      </w:r>
      <w:proofErr w:type="spellEnd"/>
      <w:r w:rsidRPr="00BE6A40">
        <w:rPr>
          <w:rFonts w:cs="Tahoma"/>
        </w:rPr>
        <w:t xml:space="preserve"> issue on day n, expressed in currency units;</w:t>
      </w:r>
    </w:p>
    <w:p w14:paraId="609A4E57" w14:textId="24A1A20B" w:rsidR="009B2788" w:rsidRPr="00BE6A40" w:rsidRDefault="009B2788" w:rsidP="00BE6A40">
      <w:pPr>
        <w:pStyle w:val="af7"/>
        <w:spacing w:before="120"/>
        <w:contextualSpacing w:val="0"/>
        <w:rPr>
          <w:rFonts w:cs="Tahoma"/>
        </w:rPr>
      </w:pPr>
      <w:proofErr w:type="spellStart"/>
      <w:proofErr w:type="gramStart"/>
      <w:r w:rsidRPr="00BE6A40">
        <w:rPr>
          <w:rFonts w:cs="Tahoma"/>
        </w:rPr>
        <w:t>Ni,n</w:t>
      </w:r>
      <w:proofErr w:type="spellEnd"/>
      <w:proofErr w:type="gramEnd"/>
      <w:r w:rsidRPr="00BE6A40">
        <w:rPr>
          <w:rFonts w:cs="Tahoma"/>
        </w:rPr>
        <w:t xml:space="preserve"> - volume of the </w:t>
      </w:r>
      <w:proofErr w:type="spellStart"/>
      <w:r w:rsidRPr="00BE6A40">
        <w:rPr>
          <w:rFonts w:cs="Tahoma"/>
        </w:rPr>
        <w:t>i</w:t>
      </w:r>
      <w:r w:rsidRPr="00BE6A40">
        <w:rPr>
          <w:rFonts w:cs="Tahoma"/>
          <w:vertAlign w:val="superscript"/>
        </w:rPr>
        <w:t>th</w:t>
      </w:r>
      <w:proofErr w:type="spellEnd"/>
      <w:r w:rsidRPr="00BE6A40">
        <w:rPr>
          <w:rFonts w:cs="Tahoma"/>
        </w:rPr>
        <w:t xml:space="preserve"> Bond issue on day n, expressed in units of securities;</w:t>
      </w:r>
    </w:p>
    <w:p w14:paraId="1ABC3A92" w14:textId="0B1B0070" w:rsidR="009B2788" w:rsidRPr="00BE6A40" w:rsidRDefault="009B2788" w:rsidP="00BE6A40">
      <w:pPr>
        <w:pStyle w:val="af7"/>
        <w:spacing w:before="120"/>
        <w:contextualSpacing w:val="0"/>
        <w:rPr>
          <w:rFonts w:cs="Tahoma"/>
        </w:rPr>
      </w:pPr>
      <w:proofErr w:type="spellStart"/>
      <w:proofErr w:type="gramStart"/>
      <w:r w:rsidRPr="00BE6A40">
        <w:rPr>
          <w:rFonts w:cs="Tahoma"/>
        </w:rPr>
        <w:t>Wi,n</w:t>
      </w:r>
      <w:proofErr w:type="spellEnd"/>
      <w:proofErr w:type="gramEnd"/>
      <w:r w:rsidRPr="00BE6A40">
        <w:rPr>
          <w:rFonts w:cs="Tahoma"/>
        </w:rPr>
        <w:t xml:space="preserve"> – a coefficient restricting the proportion of capitalisation of the </w:t>
      </w:r>
      <w:proofErr w:type="spellStart"/>
      <w:r w:rsidRPr="00BE6A40">
        <w:rPr>
          <w:rFonts w:cs="Tahoma"/>
        </w:rPr>
        <w:t>i</w:t>
      </w:r>
      <w:r w:rsidRPr="00BE6A40">
        <w:rPr>
          <w:rFonts w:cs="Tahoma"/>
          <w:vertAlign w:val="superscript"/>
        </w:rPr>
        <w:t>th</w:t>
      </w:r>
      <w:proofErr w:type="spellEnd"/>
      <w:r w:rsidRPr="00BE6A40">
        <w:rPr>
          <w:rFonts w:cs="Tahoma"/>
        </w:rPr>
        <w:t xml:space="preserve"> Bond Issuer (the Weighting Factor). It equals one unless otherwise set out in Clause 5 below. </w:t>
      </w:r>
    </w:p>
    <w:p w14:paraId="1C3A4FE3" w14:textId="77777777" w:rsidR="009B2788" w:rsidRPr="00BE6A40" w:rsidRDefault="009B2788" w:rsidP="00BE6A40">
      <w:pPr>
        <w:numPr>
          <w:ilvl w:val="1"/>
          <w:numId w:val="1"/>
        </w:numPr>
        <w:tabs>
          <w:tab w:val="num" w:pos="1224"/>
        </w:tabs>
        <w:spacing w:before="120" w:after="120"/>
        <w:jc w:val="both"/>
        <w:rPr>
          <w:rFonts w:ascii="Tahoma" w:hAnsi="Tahoma" w:cs="Tahoma"/>
          <w:sz w:val="20"/>
          <w:szCs w:val="20"/>
        </w:rPr>
      </w:pPr>
      <w:r w:rsidRPr="00BE6A40">
        <w:rPr>
          <w:rFonts w:ascii="Tahoma" w:hAnsi="Tahoma" w:cs="Tahoma"/>
          <w:sz w:val="20"/>
        </w:rPr>
        <w:t>Additional Factors are calculated according to the following formulas:</w:t>
      </w:r>
    </w:p>
    <w:p w14:paraId="041789E4" w14:textId="3BAC5BB9" w:rsidR="009B2788" w:rsidRPr="00BE6A40" w:rsidRDefault="009B2788" w:rsidP="00BE6A40">
      <w:pPr>
        <w:numPr>
          <w:ilvl w:val="2"/>
          <w:numId w:val="8"/>
        </w:numPr>
        <w:tabs>
          <w:tab w:val="clear" w:pos="504"/>
          <w:tab w:val="left" w:pos="567"/>
          <w:tab w:val="left" w:pos="1560"/>
        </w:tabs>
        <w:spacing w:before="120" w:after="120"/>
        <w:ind w:left="1560" w:hanging="567"/>
        <w:rPr>
          <w:rFonts w:ascii="Tahoma" w:hAnsi="Tahoma" w:cs="Tahoma"/>
          <w:sz w:val="20"/>
          <w:szCs w:val="20"/>
        </w:rPr>
      </w:pPr>
      <w:r w:rsidRPr="00BE6A40">
        <w:rPr>
          <w:rFonts w:ascii="Tahoma" w:hAnsi="Tahoma" w:cs="Tahoma"/>
          <w:sz w:val="20"/>
        </w:rPr>
        <w:t>The Weighted Average Duration is calculated using the following formula:</w:t>
      </w:r>
    </w:p>
    <w:p w14:paraId="16119BD0" w14:textId="77777777" w:rsidR="009B2788" w:rsidRPr="00BE6A40" w:rsidRDefault="009B2788" w:rsidP="00BE6A40">
      <w:pPr>
        <w:spacing w:before="120" w:after="120"/>
        <w:jc w:val="both"/>
        <w:rPr>
          <w:rStyle w:val="af3"/>
          <w:rFonts w:ascii="Tahoma" w:hAnsi="Tahoma" w:cs="Tahoma"/>
        </w:rPr>
      </w:pPr>
    </w:p>
    <w:p w14:paraId="3C9345F1" w14:textId="77777777" w:rsidR="009B2788" w:rsidRPr="00BE6A40" w:rsidRDefault="00BE6A40" w:rsidP="00BE6A40">
      <w:pPr>
        <w:pStyle w:val="af7"/>
        <w:spacing w:before="120"/>
        <w:contextualSpacing w:val="0"/>
        <w:jc w:val="center"/>
        <w:rPr>
          <w:rFonts w:cs="Tahoma"/>
        </w:rPr>
      </w:pPr>
      <m:oMathPara>
        <m:oMath>
          <m:sSub>
            <m:sSubPr>
              <m:ctrlPr>
                <w:rPr>
                  <w:rFonts w:ascii="Cambria Math" w:hAnsi="Cambria Math" w:cs="Tahoma"/>
                  <w:i/>
                  <w:sz w:val="24"/>
                  <w:lang w:val="en-US"/>
                </w:rPr>
              </m:ctrlPr>
            </m:sSubPr>
            <m:e>
              <m:r>
                <w:rPr>
                  <w:rFonts w:ascii="Cambria Math" w:hAnsi="Cambria Math" w:cs="Tahoma"/>
                  <w:sz w:val="24"/>
                  <w:lang w:val="en-US"/>
                </w:rPr>
                <m:t>D</m:t>
              </m:r>
            </m:e>
            <m:sub>
              <m:r>
                <w:rPr>
                  <w:rFonts w:ascii="Cambria Math" w:hAnsi="Cambria Math" w:cs="Tahoma"/>
                  <w:sz w:val="24"/>
                  <w:lang w:val="en-US"/>
                </w:rPr>
                <m:t>n</m:t>
              </m:r>
            </m:sub>
          </m:sSub>
          <m:r>
            <w:rPr>
              <w:rFonts w:ascii="Cambria Math" w:hAnsi="Cambria Math" w:cs="Tahoma"/>
              <w:sz w:val="24"/>
            </w:rPr>
            <m:t>=</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i,n</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78EEFE0C" w14:textId="77777777" w:rsidR="009B2788" w:rsidRPr="00BE6A40" w:rsidRDefault="009B2788" w:rsidP="00BE6A40">
      <w:pPr>
        <w:pStyle w:val="af7"/>
        <w:spacing w:before="120"/>
        <w:contextualSpacing w:val="0"/>
        <w:rPr>
          <w:rFonts w:cs="Tahoma"/>
        </w:rPr>
      </w:pPr>
      <w:r w:rsidRPr="00BE6A40">
        <w:rPr>
          <w:rFonts w:cs="Tahoma"/>
        </w:rPr>
        <w:t>where:</w:t>
      </w:r>
    </w:p>
    <w:p w14:paraId="039507DA" w14:textId="28CB5B58" w:rsidR="009B2788" w:rsidRPr="00BE6A40" w:rsidRDefault="009B2788" w:rsidP="00BE6A40">
      <w:pPr>
        <w:pStyle w:val="af7"/>
        <w:spacing w:before="120"/>
        <w:contextualSpacing w:val="0"/>
        <w:rPr>
          <w:rFonts w:cs="Tahoma"/>
        </w:rPr>
      </w:pPr>
      <w:proofErr w:type="spellStart"/>
      <w:r w:rsidRPr="00BE6A40">
        <w:rPr>
          <w:rFonts w:cs="Tahoma"/>
        </w:rPr>
        <w:t>D</w:t>
      </w:r>
      <w:r w:rsidRPr="00BE6A40">
        <w:rPr>
          <w:rFonts w:cs="Tahoma"/>
          <w:vertAlign w:val="subscript"/>
        </w:rPr>
        <w:t>n</w:t>
      </w:r>
      <w:proofErr w:type="spellEnd"/>
      <w:r w:rsidRPr="00BE6A40">
        <w:rPr>
          <w:rFonts w:cs="Tahoma"/>
        </w:rPr>
        <w:t xml:space="preserve"> – the Weighted Average Duration on day n;</w:t>
      </w:r>
    </w:p>
    <w:p w14:paraId="075AE27B" w14:textId="5C6EF2A2" w:rsidR="009B2788" w:rsidRPr="00BE6A40" w:rsidRDefault="009B2788" w:rsidP="00BE6A40">
      <w:pPr>
        <w:pStyle w:val="af7"/>
        <w:spacing w:before="120"/>
        <w:contextualSpacing w:val="0"/>
        <w:rPr>
          <w:rFonts w:cs="Tahoma"/>
        </w:rPr>
      </w:pPr>
      <w:proofErr w:type="spellStart"/>
      <w:proofErr w:type="gramStart"/>
      <w:r w:rsidRPr="00BE6A40">
        <w:rPr>
          <w:rFonts w:cs="Tahoma"/>
        </w:rPr>
        <w:t>D</w:t>
      </w:r>
      <w:r w:rsidRPr="00BE6A40">
        <w:rPr>
          <w:rFonts w:cs="Tahoma"/>
          <w:vertAlign w:val="subscript"/>
        </w:rPr>
        <w:t>i,n</w:t>
      </w:r>
      <w:proofErr w:type="spellEnd"/>
      <w:proofErr w:type="gramEnd"/>
      <w:r w:rsidRPr="00BE6A40">
        <w:rPr>
          <w:rFonts w:cs="Tahoma"/>
        </w:rPr>
        <w:t xml:space="preserve"> - the duration of the Bond of the </w:t>
      </w:r>
      <w:proofErr w:type="spellStart"/>
      <w:r w:rsidRPr="00BE6A40">
        <w:rPr>
          <w:rFonts w:cs="Tahoma"/>
        </w:rPr>
        <w:t>i</w:t>
      </w:r>
      <w:r w:rsidRPr="00BE6A40">
        <w:rPr>
          <w:rFonts w:cs="Tahoma"/>
          <w:vertAlign w:val="superscript"/>
        </w:rPr>
        <w:t>th</w:t>
      </w:r>
      <w:proofErr w:type="spellEnd"/>
      <w:r w:rsidRPr="00BE6A40">
        <w:rPr>
          <w:rFonts w:cs="Tahoma"/>
        </w:rPr>
        <w:t xml:space="preserve"> issue on day n, expressed in days;</w:t>
      </w:r>
    </w:p>
    <w:p w14:paraId="44AF4992" w14:textId="077CD3B2" w:rsidR="009B2788" w:rsidRPr="00BE6A40" w:rsidRDefault="009B2788" w:rsidP="00BE6A40">
      <w:pPr>
        <w:pStyle w:val="af7"/>
        <w:spacing w:before="120"/>
        <w:contextualSpacing w:val="0"/>
        <w:rPr>
          <w:rFonts w:cs="Tahoma"/>
        </w:rPr>
      </w:pPr>
      <w:proofErr w:type="spellStart"/>
      <w:proofErr w:type="gramStart"/>
      <w:r w:rsidRPr="00BE6A40">
        <w:rPr>
          <w:rFonts w:cs="Tahoma"/>
        </w:rPr>
        <w:t>P</w:t>
      </w:r>
      <w:r w:rsidRPr="00BE6A40">
        <w:rPr>
          <w:rFonts w:cs="Tahoma"/>
          <w:vertAlign w:val="subscript"/>
        </w:rPr>
        <w:t>i,n</w:t>
      </w:r>
      <w:proofErr w:type="spellEnd"/>
      <w:proofErr w:type="gramEnd"/>
      <w:r w:rsidRPr="00BE6A40">
        <w:rPr>
          <w:rFonts w:cs="Tahoma"/>
        </w:rPr>
        <w:t xml:space="preserve"> - the weighted average price of the Bond of the </w:t>
      </w:r>
      <w:proofErr w:type="spellStart"/>
      <w:r w:rsidRPr="00BE6A40">
        <w:rPr>
          <w:rFonts w:cs="Tahoma"/>
        </w:rPr>
        <w:t>i</w:t>
      </w:r>
      <w:r w:rsidRPr="00BE6A40">
        <w:rPr>
          <w:rFonts w:cs="Tahoma"/>
          <w:vertAlign w:val="superscript"/>
        </w:rPr>
        <w:t>th</w:t>
      </w:r>
      <w:proofErr w:type="spellEnd"/>
      <w:r w:rsidRPr="00BE6A40">
        <w:rPr>
          <w:rFonts w:cs="Tahoma"/>
        </w:rPr>
        <w:t xml:space="preserve"> issue on day n, expressed as a percentage of the principal value;</w:t>
      </w:r>
    </w:p>
    <w:p w14:paraId="13A64B6C" w14:textId="47827513" w:rsidR="009B2788" w:rsidRPr="00BE6A40" w:rsidRDefault="009B2788" w:rsidP="00BE6A40">
      <w:pPr>
        <w:pStyle w:val="af7"/>
        <w:spacing w:before="120"/>
        <w:contextualSpacing w:val="0"/>
        <w:rPr>
          <w:rFonts w:cs="Tahoma"/>
        </w:rPr>
      </w:pPr>
      <w:proofErr w:type="spellStart"/>
      <w:proofErr w:type="gramStart"/>
      <w:r w:rsidRPr="00BE6A40">
        <w:rPr>
          <w:rFonts w:cs="Tahoma"/>
        </w:rPr>
        <w:t>FV</w:t>
      </w:r>
      <w:r w:rsidRPr="00BE6A40">
        <w:rPr>
          <w:rFonts w:cs="Tahoma"/>
          <w:vertAlign w:val="subscript"/>
        </w:rPr>
        <w:t>i,n</w:t>
      </w:r>
      <w:proofErr w:type="spellEnd"/>
      <w:proofErr w:type="gramEnd"/>
      <w:r w:rsidRPr="00BE6A40">
        <w:rPr>
          <w:rFonts w:cs="Tahoma"/>
        </w:rPr>
        <w:t xml:space="preserve"> - the principal value of the Bonds of the </w:t>
      </w:r>
      <w:proofErr w:type="spellStart"/>
      <w:r w:rsidRPr="00BE6A40">
        <w:rPr>
          <w:rFonts w:cs="Tahoma"/>
        </w:rPr>
        <w:t>i</w:t>
      </w:r>
      <w:r w:rsidRPr="00BE6A40">
        <w:rPr>
          <w:rFonts w:cs="Tahoma"/>
          <w:vertAlign w:val="superscript"/>
        </w:rPr>
        <w:t>th</w:t>
      </w:r>
      <w:proofErr w:type="spellEnd"/>
      <w:r w:rsidRPr="00BE6A40">
        <w:rPr>
          <w:rFonts w:cs="Tahoma"/>
        </w:rPr>
        <w:t xml:space="preserve"> issue on day n, in currency units;</w:t>
      </w:r>
    </w:p>
    <w:p w14:paraId="6DA8187E" w14:textId="07BE332E" w:rsidR="009B2788" w:rsidRPr="00BE6A40" w:rsidRDefault="009B2788" w:rsidP="00BE6A40">
      <w:pPr>
        <w:pStyle w:val="af7"/>
        <w:spacing w:before="120"/>
        <w:contextualSpacing w:val="0"/>
        <w:rPr>
          <w:rFonts w:cs="Tahoma"/>
        </w:rPr>
      </w:pPr>
      <w:proofErr w:type="spellStart"/>
      <w:proofErr w:type="gramStart"/>
      <w:r w:rsidRPr="00BE6A40">
        <w:rPr>
          <w:rFonts w:cs="Tahoma"/>
        </w:rPr>
        <w:t>A</w:t>
      </w:r>
      <w:r w:rsidRPr="00BE6A40">
        <w:rPr>
          <w:rFonts w:cs="Tahoma"/>
          <w:vertAlign w:val="subscript"/>
        </w:rPr>
        <w:t>i,n</w:t>
      </w:r>
      <w:proofErr w:type="spellEnd"/>
      <w:proofErr w:type="gramEnd"/>
      <w:r w:rsidRPr="00BE6A40">
        <w:rPr>
          <w:rFonts w:cs="Tahoma"/>
        </w:rPr>
        <w:t xml:space="preserve"> - the accrued coupon interest of the Bond on day n, expressed in currency units;</w:t>
      </w:r>
    </w:p>
    <w:p w14:paraId="64C084B2" w14:textId="64AE5DE7" w:rsidR="009B2788" w:rsidRPr="00BE6A40" w:rsidRDefault="009B2788" w:rsidP="00BE6A40">
      <w:pPr>
        <w:pStyle w:val="af7"/>
        <w:spacing w:before="120"/>
        <w:contextualSpacing w:val="0"/>
        <w:rPr>
          <w:rFonts w:cs="Tahoma"/>
        </w:rPr>
      </w:pPr>
      <w:proofErr w:type="spellStart"/>
      <w:proofErr w:type="gramStart"/>
      <w:r w:rsidRPr="00BE6A40">
        <w:rPr>
          <w:rFonts w:cs="Tahoma"/>
        </w:rPr>
        <w:t>G</w:t>
      </w:r>
      <w:r w:rsidRPr="00BE6A40">
        <w:rPr>
          <w:rFonts w:cs="Tahoma"/>
          <w:vertAlign w:val="subscript"/>
        </w:rPr>
        <w:t>i,n</w:t>
      </w:r>
      <w:proofErr w:type="spellEnd"/>
      <w:proofErr w:type="gramEnd"/>
      <w:r w:rsidRPr="00BE6A40">
        <w:rPr>
          <w:rFonts w:cs="Tahoma"/>
        </w:rPr>
        <w:t xml:space="preserve"> - the amount of coupon interest paid on the Bonds of the </w:t>
      </w:r>
      <w:proofErr w:type="spellStart"/>
      <w:r w:rsidRPr="00BE6A40">
        <w:rPr>
          <w:rFonts w:cs="Tahoma"/>
        </w:rPr>
        <w:t>i</w:t>
      </w:r>
      <w:r w:rsidRPr="00BE6A40">
        <w:rPr>
          <w:rFonts w:cs="Tahoma"/>
          <w:vertAlign w:val="superscript"/>
        </w:rPr>
        <w:t>th</w:t>
      </w:r>
      <w:proofErr w:type="spellEnd"/>
      <w:r w:rsidRPr="00BE6A40">
        <w:rPr>
          <w:rFonts w:cs="Tahoma"/>
        </w:rPr>
        <w:t xml:space="preserve"> issue on day n, expressed in currency units;</w:t>
      </w:r>
    </w:p>
    <w:p w14:paraId="48AF824C" w14:textId="35F7B23B" w:rsidR="009B2788" w:rsidRPr="00BE6A40" w:rsidRDefault="009B2788" w:rsidP="00BE6A40">
      <w:pPr>
        <w:pStyle w:val="af7"/>
        <w:spacing w:before="120"/>
        <w:contextualSpacing w:val="0"/>
        <w:rPr>
          <w:rFonts w:cs="Tahoma"/>
        </w:rPr>
      </w:pPr>
      <w:proofErr w:type="spellStart"/>
      <w:proofErr w:type="gramStart"/>
      <w:r w:rsidRPr="00BE6A40">
        <w:rPr>
          <w:rFonts w:cs="Tahoma"/>
        </w:rPr>
        <w:t>N</w:t>
      </w:r>
      <w:r w:rsidRPr="00BE6A40">
        <w:rPr>
          <w:rFonts w:cs="Tahoma"/>
          <w:vertAlign w:val="subscript"/>
        </w:rPr>
        <w:t>i,n</w:t>
      </w:r>
      <w:proofErr w:type="spellEnd"/>
      <w:proofErr w:type="gramEnd"/>
      <w:r w:rsidRPr="00BE6A40">
        <w:rPr>
          <w:rFonts w:cs="Tahoma"/>
        </w:rPr>
        <w:t xml:space="preserve"> - the volume of the </w:t>
      </w:r>
      <w:proofErr w:type="spellStart"/>
      <w:r w:rsidRPr="00BE6A40">
        <w:rPr>
          <w:rFonts w:cs="Tahoma"/>
        </w:rPr>
        <w:t>i</w:t>
      </w:r>
      <w:r w:rsidRPr="00BE6A40">
        <w:rPr>
          <w:rFonts w:cs="Tahoma"/>
          <w:vertAlign w:val="superscript"/>
        </w:rPr>
        <w:t>th</w:t>
      </w:r>
      <w:proofErr w:type="spellEnd"/>
      <w:r w:rsidRPr="00BE6A40">
        <w:rPr>
          <w:rFonts w:cs="Tahoma"/>
        </w:rPr>
        <w:t xml:space="preserve"> Bond issue on day n, expressed in units of securities;</w:t>
      </w:r>
    </w:p>
    <w:p w14:paraId="10266B17" w14:textId="2757C90E" w:rsidR="009B2788" w:rsidRPr="00BE6A40" w:rsidRDefault="009B2788" w:rsidP="00BE6A40">
      <w:pPr>
        <w:pStyle w:val="af7"/>
        <w:spacing w:before="120"/>
        <w:contextualSpacing w:val="0"/>
        <w:rPr>
          <w:rFonts w:cs="Tahoma"/>
        </w:rPr>
      </w:pPr>
      <w:proofErr w:type="spellStart"/>
      <w:proofErr w:type="gramStart"/>
      <w:r w:rsidRPr="00BE6A40">
        <w:rPr>
          <w:rFonts w:cs="Tahoma"/>
        </w:rPr>
        <w:t>W</w:t>
      </w:r>
      <w:r w:rsidRPr="00BE6A40">
        <w:rPr>
          <w:rFonts w:cs="Tahoma"/>
          <w:vertAlign w:val="subscript"/>
        </w:rPr>
        <w:t>i,n</w:t>
      </w:r>
      <w:proofErr w:type="spellEnd"/>
      <w:proofErr w:type="gramEnd"/>
      <w:r w:rsidRPr="00BE6A40">
        <w:rPr>
          <w:rFonts w:cs="Tahoma"/>
        </w:rPr>
        <w:t xml:space="preserve"> – the coefficient restricting the proportion of capitalisation of the </w:t>
      </w:r>
      <w:proofErr w:type="spellStart"/>
      <w:r w:rsidRPr="00BE6A40">
        <w:rPr>
          <w:rFonts w:cs="Tahoma"/>
        </w:rPr>
        <w:t>i</w:t>
      </w:r>
      <w:r w:rsidRPr="00BE6A40">
        <w:rPr>
          <w:rFonts w:cs="Tahoma"/>
          <w:vertAlign w:val="superscript"/>
        </w:rPr>
        <w:t>th</w:t>
      </w:r>
      <w:proofErr w:type="spellEnd"/>
      <w:r w:rsidRPr="00BE6A40">
        <w:rPr>
          <w:rFonts w:cs="Tahoma"/>
        </w:rPr>
        <w:t xml:space="preserve"> Bond Issuer (the Weighting Factor). It equals one unless otherwise set out in Clause 5 below.</w:t>
      </w:r>
    </w:p>
    <w:p w14:paraId="2CE6FDCA" w14:textId="77777777" w:rsidR="009B2788" w:rsidRPr="00BE6A40" w:rsidRDefault="009B2788" w:rsidP="00BE6A40">
      <w:pPr>
        <w:spacing w:before="120" w:after="120"/>
        <w:jc w:val="both"/>
        <w:rPr>
          <w:rStyle w:val="af3"/>
          <w:rFonts w:ascii="Tahoma" w:hAnsi="Tahoma" w:cs="Tahoma"/>
        </w:rPr>
      </w:pPr>
    </w:p>
    <w:p w14:paraId="34A2FD35" w14:textId="222D0674" w:rsidR="009B2788" w:rsidRPr="00BE6A40" w:rsidRDefault="009B2788" w:rsidP="00BE6A40">
      <w:pPr>
        <w:numPr>
          <w:ilvl w:val="2"/>
          <w:numId w:val="8"/>
        </w:numPr>
        <w:tabs>
          <w:tab w:val="clear" w:pos="504"/>
          <w:tab w:val="left" w:pos="567"/>
          <w:tab w:val="left" w:pos="1560"/>
        </w:tabs>
        <w:spacing w:before="120" w:after="120"/>
        <w:ind w:left="1560" w:hanging="567"/>
        <w:rPr>
          <w:rFonts w:ascii="Tahoma" w:hAnsi="Tahoma" w:cs="Tahoma"/>
          <w:sz w:val="20"/>
          <w:szCs w:val="20"/>
        </w:rPr>
      </w:pPr>
      <w:r w:rsidRPr="00BE6A40">
        <w:rPr>
          <w:rFonts w:ascii="Tahoma" w:hAnsi="Tahoma" w:cs="Tahoma"/>
          <w:sz w:val="20"/>
        </w:rPr>
        <w:t>The Weighted Average Return is calculated using the following formula:</w:t>
      </w:r>
    </w:p>
    <w:p w14:paraId="740048B3" w14:textId="77777777" w:rsidR="009B2788" w:rsidRPr="00BE6A40" w:rsidRDefault="00BE6A40" w:rsidP="00BE6A40">
      <w:pPr>
        <w:spacing w:before="120" w:after="120"/>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szCs w:val="20"/>
                  <w:lang w:val="en-US"/>
                </w:rPr>
                <m:t>Y</m:t>
              </m:r>
            </m:e>
            <m:sub>
              <m:r>
                <w:rPr>
                  <w:rFonts w:ascii="Cambria Math" w:hAnsi="Cambria Math" w:cs="Tahoma"/>
                  <w:szCs w:val="20"/>
                  <w:lang w:val="en-US"/>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e>
              </m:nary>
            </m:den>
          </m:f>
        </m:oMath>
      </m:oMathPara>
    </w:p>
    <w:p w14:paraId="49F1DF0E" w14:textId="77777777" w:rsidR="009B2788" w:rsidRPr="00BE6A40" w:rsidRDefault="009B2788" w:rsidP="00BE6A40">
      <w:pPr>
        <w:spacing w:before="120" w:after="120"/>
        <w:ind w:left="1416"/>
        <w:jc w:val="both"/>
        <w:rPr>
          <w:rFonts w:ascii="Tahoma" w:hAnsi="Tahoma" w:cs="Tahoma"/>
          <w:sz w:val="20"/>
          <w:szCs w:val="20"/>
        </w:rPr>
      </w:pPr>
      <w:r w:rsidRPr="00BE6A40">
        <w:rPr>
          <w:rFonts w:ascii="Tahoma" w:hAnsi="Tahoma" w:cs="Tahoma"/>
          <w:sz w:val="20"/>
        </w:rPr>
        <w:t>where:</w:t>
      </w:r>
    </w:p>
    <w:p w14:paraId="5F0708CE" w14:textId="1C7C0F4B" w:rsidR="009B2788" w:rsidRPr="00BE6A40" w:rsidRDefault="009B2788" w:rsidP="00BE6A40">
      <w:pPr>
        <w:spacing w:before="120" w:after="120"/>
        <w:ind w:left="1416"/>
        <w:jc w:val="both"/>
        <w:rPr>
          <w:rFonts w:ascii="Tahoma" w:hAnsi="Tahoma" w:cs="Tahoma"/>
          <w:sz w:val="20"/>
          <w:szCs w:val="20"/>
        </w:rPr>
      </w:pPr>
      <w:proofErr w:type="spellStart"/>
      <w:r w:rsidRPr="00BE6A40">
        <w:rPr>
          <w:rFonts w:ascii="Tahoma" w:hAnsi="Tahoma" w:cs="Tahoma"/>
          <w:sz w:val="20"/>
        </w:rPr>
        <w:t>Y</w:t>
      </w:r>
      <w:r w:rsidRPr="00BE6A40">
        <w:rPr>
          <w:rFonts w:ascii="Tahoma" w:hAnsi="Tahoma" w:cs="Tahoma"/>
          <w:sz w:val="20"/>
          <w:vertAlign w:val="subscript"/>
        </w:rPr>
        <w:t>n</w:t>
      </w:r>
      <w:proofErr w:type="spellEnd"/>
      <w:r w:rsidRPr="00BE6A40">
        <w:rPr>
          <w:rFonts w:ascii="Tahoma" w:hAnsi="Tahoma" w:cs="Tahoma"/>
          <w:sz w:val="20"/>
        </w:rPr>
        <w:t xml:space="preserve"> – the Weighted Average Return value on day n;</w:t>
      </w:r>
    </w:p>
    <w:p w14:paraId="2BE9B62E" w14:textId="07EA023D" w:rsidR="009B2788" w:rsidRPr="00BE6A40" w:rsidRDefault="009B2788" w:rsidP="00BE6A40">
      <w:pPr>
        <w:spacing w:before="120" w:after="120"/>
        <w:ind w:left="1416"/>
        <w:jc w:val="both"/>
        <w:rPr>
          <w:rFonts w:ascii="Tahoma" w:hAnsi="Tahoma" w:cs="Tahoma"/>
          <w:sz w:val="20"/>
          <w:szCs w:val="20"/>
        </w:rPr>
      </w:pPr>
      <w:proofErr w:type="spellStart"/>
      <w:proofErr w:type="gramStart"/>
      <w:r w:rsidRPr="00BE6A40">
        <w:rPr>
          <w:rFonts w:ascii="Tahoma" w:hAnsi="Tahoma" w:cs="Tahoma"/>
          <w:sz w:val="20"/>
        </w:rPr>
        <w:t>Y</w:t>
      </w:r>
      <w:r w:rsidRPr="00BE6A40">
        <w:rPr>
          <w:rFonts w:ascii="Tahoma" w:hAnsi="Tahoma" w:cs="Tahoma"/>
          <w:sz w:val="20"/>
          <w:vertAlign w:val="subscript"/>
        </w:rPr>
        <w:t>i,n</w:t>
      </w:r>
      <w:proofErr w:type="spellEnd"/>
      <w:proofErr w:type="gramEnd"/>
      <w:r w:rsidRPr="00BE6A40">
        <w:rPr>
          <w:rFonts w:ascii="Tahoma" w:hAnsi="Tahoma" w:cs="Tahoma"/>
          <w:sz w:val="20"/>
        </w:rPr>
        <w:t xml:space="preserve"> - the return of the Bond of the </w:t>
      </w:r>
      <w:proofErr w:type="spellStart"/>
      <w:r w:rsidRPr="00BE6A40">
        <w:rPr>
          <w:rFonts w:ascii="Tahoma" w:hAnsi="Tahoma" w:cs="Tahoma"/>
          <w:sz w:val="20"/>
        </w:rPr>
        <w:t>i</w:t>
      </w:r>
      <w:r w:rsidRPr="00BE6A40">
        <w:rPr>
          <w:rFonts w:ascii="Tahoma" w:hAnsi="Tahoma" w:cs="Tahoma"/>
          <w:sz w:val="20"/>
          <w:vertAlign w:val="superscript"/>
        </w:rPr>
        <w:t>th</w:t>
      </w:r>
      <w:proofErr w:type="spellEnd"/>
      <w:r w:rsidRPr="00BE6A40">
        <w:rPr>
          <w:rFonts w:ascii="Tahoma" w:hAnsi="Tahoma" w:cs="Tahoma"/>
          <w:sz w:val="20"/>
        </w:rPr>
        <w:t xml:space="preserve"> issue on day n, expressed in percent;</w:t>
      </w:r>
    </w:p>
    <w:p w14:paraId="3FFED967" w14:textId="2725B80C" w:rsidR="009B2788" w:rsidRPr="00BE6A40" w:rsidRDefault="009B2788" w:rsidP="00BE6A40">
      <w:pPr>
        <w:spacing w:before="120" w:after="120"/>
        <w:ind w:left="1416"/>
        <w:jc w:val="both"/>
        <w:rPr>
          <w:rFonts w:ascii="Tahoma" w:hAnsi="Tahoma" w:cs="Tahoma"/>
          <w:sz w:val="20"/>
          <w:szCs w:val="20"/>
        </w:rPr>
      </w:pPr>
      <w:proofErr w:type="spellStart"/>
      <w:proofErr w:type="gramStart"/>
      <w:r w:rsidRPr="00BE6A40">
        <w:rPr>
          <w:rFonts w:ascii="Tahoma" w:hAnsi="Tahoma" w:cs="Tahoma"/>
          <w:sz w:val="20"/>
        </w:rPr>
        <w:t>P</w:t>
      </w:r>
      <w:r w:rsidRPr="00BE6A40">
        <w:rPr>
          <w:rFonts w:ascii="Tahoma" w:hAnsi="Tahoma" w:cs="Tahoma"/>
          <w:sz w:val="20"/>
          <w:vertAlign w:val="subscript"/>
        </w:rPr>
        <w:t>i,n</w:t>
      </w:r>
      <w:proofErr w:type="spellEnd"/>
      <w:proofErr w:type="gramEnd"/>
      <w:r w:rsidRPr="00BE6A40">
        <w:rPr>
          <w:rFonts w:ascii="Tahoma" w:hAnsi="Tahoma" w:cs="Tahoma"/>
          <w:sz w:val="20"/>
        </w:rPr>
        <w:t xml:space="preserve"> - the weighted average price of the Bond of the </w:t>
      </w:r>
      <w:proofErr w:type="spellStart"/>
      <w:r w:rsidRPr="00BE6A40">
        <w:rPr>
          <w:rFonts w:ascii="Tahoma" w:hAnsi="Tahoma" w:cs="Tahoma"/>
          <w:sz w:val="20"/>
        </w:rPr>
        <w:t>i</w:t>
      </w:r>
      <w:r w:rsidRPr="00BE6A40">
        <w:rPr>
          <w:rFonts w:ascii="Tahoma" w:hAnsi="Tahoma" w:cs="Tahoma"/>
          <w:sz w:val="20"/>
          <w:vertAlign w:val="superscript"/>
        </w:rPr>
        <w:t>th</w:t>
      </w:r>
      <w:proofErr w:type="spellEnd"/>
      <w:r w:rsidRPr="00BE6A40">
        <w:rPr>
          <w:rFonts w:ascii="Tahoma" w:hAnsi="Tahoma" w:cs="Tahoma"/>
          <w:sz w:val="20"/>
        </w:rPr>
        <w:t xml:space="preserve"> issue on day n, expressed as a percentage of the principal value;</w:t>
      </w:r>
    </w:p>
    <w:p w14:paraId="2EE72454" w14:textId="743EF8B9" w:rsidR="009B2788" w:rsidRPr="00BE6A40" w:rsidRDefault="009B2788" w:rsidP="00BE6A40">
      <w:pPr>
        <w:spacing w:before="120" w:after="120"/>
        <w:ind w:left="1416"/>
        <w:jc w:val="both"/>
        <w:rPr>
          <w:rFonts w:ascii="Tahoma" w:hAnsi="Tahoma" w:cs="Tahoma"/>
          <w:sz w:val="20"/>
          <w:szCs w:val="20"/>
        </w:rPr>
      </w:pPr>
      <w:proofErr w:type="spellStart"/>
      <w:proofErr w:type="gramStart"/>
      <w:r w:rsidRPr="00BE6A40">
        <w:rPr>
          <w:rFonts w:ascii="Tahoma" w:hAnsi="Tahoma" w:cs="Tahoma"/>
          <w:sz w:val="20"/>
        </w:rPr>
        <w:t>FV</w:t>
      </w:r>
      <w:r w:rsidRPr="00BE6A40">
        <w:rPr>
          <w:rFonts w:ascii="Tahoma" w:hAnsi="Tahoma" w:cs="Tahoma"/>
          <w:sz w:val="20"/>
          <w:vertAlign w:val="subscript"/>
        </w:rPr>
        <w:t>i,n</w:t>
      </w:r>
      <w:proofErr w:type="spellEnd"/>
      <w:proofErr w:type="gramEnd"/>
      <w:r w:rsidRPr="00BE6A40">
        <w:rPr>
          <w:rFonts w:ascii="Tahoma" w:hAnsi="Tahoma" w:cs="Tahoma"/>
          <w:sz w:val="20"/>
        </w:rPr>
        <w:t xml:space="preserve"> - the principal value of the Bonds of the </w:t>
      </w:r>
      <w:proofErr w:type="spellStart"/>
      <w:r w:rsidRPr="00BE6A40">
        <w:rPr>
          <w:rFonts w:ascii="Tahoma" w:hAnsi="Tahoma" w:cs="Tahoma"/>
          <w:sz w:val="20"/>
        </w:rPr>
        <w:t>i</w:t>
      </w:r>
      <w:r w:rsidRPr="00BE6A40">
        <w:rPr>
          <w:rFonts w:ascii="Tahoma" w:hAnsi="Tahoma" w:cs="Tahoma"/>
          <w:sz w:val="20"/>
          <w:vertAlign w:val="superscript"/>
        </w:rPr>
        <w:t>th</w:t>
      </w:r>
      <w:proofErr w:type="spellEnd"/>
      <w:r w:rsidRPr="00BE6A40">
        <w:rPr>
          <w:rFonts w:ascii="Tahoma" w:hAnsi="Tahoma" w:cs="Tahoma"/>
          <w:sz w:val="20"/>
        </w:rPr>
        <w:t xml:space="preserve"> issue on day n, in currency units;</w:t>
      </w:r>
    </w:p>
    <w:p w14:paraId="7469712C" w14:textId="4AADAB84" w:rsidR="009B2788" w:rsidRPr="00BE6A40" w:rsidRDefault="009B2788" w:rsidP="00BE6A40">
      <w:pPr>
        <w:spacing w:before="120" w:after="120"/>
        <w:ind w:left="1416"/>
        <w:jc w:val="both"/>
        <w:rPr>
          <w:rFonts w:ascii="Tahoma" w:hAnsi="Tahoma" w:cs="Tahoma"/>
          <w:sz w:val="20"/>
          <w:szCs w:val="20"/>
        </w:rPr>
      </w:pPr>
      <w:proofErr w:type="spellStart"/>
      <w:proofErr w:type="gramStart"/>
      <w:r w:rsidRPr="00BE6A40">
        <w:rPr>
          <w:rFonts w:ascii="Tahoma" w:hAnsi="Tahoma" w:cs="Tahoma"/>
          <w:sz w:val="20"/>
        </w:rPr>
        <w:t>A</w:t>
      </w:r>
      <w:r w:rsidRPr="00BE6A40">
        <w:rPr>
          <w:rFonts w:ascii="Tahoma" w:hAnsi="Tahoma" w:cs="Tahoma"/>
          <w:sz w:val="20"/>
          <w:vertAlign w:val="subscript"/>
        </w:rPr>
        <w:t>i,n</w:t>
      </w:r>
      <w:proofErr w:type="spellEnd"/>
      <w:proofErr w:type="gramEnd"/>
      <w:r w:rsidRPr="00BE6A40">
        <w:rPr>
          <w:rFonts w:ascii="Tahoma" w:hAnsi="Tahoma" w:cs="Tahoma"/>
          <w:sz w:val="20"/>
        </w:rPr>
        <w:t xml:space="preserve"> - the accrued coupon interest of the Bond on day n, expressed in currency units;</w:t>
      </w:r>
    </w:p>
    <w:p w14:paraId="0C2789D7" w14:textId="3FBEF84D" w:rsidR="009B2788" w:rsidRPr="00BE6A40" w:rsidRDefault="009B2788" w:rsidP="00BE6A40">
      <w:pPr>
        <w:spacing w:before="120" w:after="120"/>
        <w:ind w:left="1416"/>
        <w:jc w:val="both"/>
        <w:rPr>
          <w:rFonts w:ascii="Tahoma" w:hAnsi="Tahoma" w:cs="Tahoma"/>
          <w:sz w:val="20"/>
          <w:szCs w:val="20"/>
        </w:rPr>
      </w:pPr>
      <w:proofErr w:type="spellStart"/>
      <w:proofErr w:type="gramStart"/>
      <w:r w:rsidRPr="00BE6A40">
        <w:rPr>
          <w:rFonts w:ascii="Tahoma" w:hAnsi="Tahoma" w:cs="Tahoma"/>
          <w:sz w:val="20"/>
        </w:rPr>
        <w:t>G</w:t>
      </w:r>
      <w:r w:rsidRPr="00BE6A40">
        <w:rPr>
          <w:rFonts w:ascii="Tahoma" w:hAnsi="Tahoma" w:cs="Tahoma"/>
          <w:sz w:val="20"/>
          <w:vertAlign w:val="subscript"/>
        </w:rPr>
        <w:t>i,n</w:t>
      </w:r>
      <w:proofErr w:type="spellEnd"/>
      <w:proofErr w:type="gramEnd"/>
      <w:r w:rsidRPr="00BE6A40">
        <w:rPr>
          <w:rFonts w:ascii="Tahoma" w:hAnsi="Tahoma" w:cs="Tahoma"/>
          <w:sz w:val="20"/>
        </w:rPr>
        <w:t xml:space="preserve"> - the amount of coupon interest paid on the Bonds of the </w:t>
      </w:r>
      <w:proofErr w:type="spellStart"/>
      <w:r w:rsidRPr="00BE6A40">
        <w:rPr>
          <w:rFonts w:ascii="Tahoma" w:hAnsi="Tahoma" w:cs="Tahoma"/>
          <w:sz w:val="20"/>
        </w:rPr>
        <w:t>i</w:t>
      </w:r>
      <w:r w:rsidRPr="00BE6A40">
        <w:rPr>
          <w:rFonts w:ascii="Tahoma" w:hAnsi="Tahoma" w:cs="Tahoma"/>
          <w:sz w:val="20"/>
          <w:vertAlign w:val="superscript"/>
        </w:rPr>
        <w:t>th</w:t>
      </w:r>
      <w:proofErr w:type="spellEnd"/>
      <w:r w:rsidRPr="00BE6A40">
        <w:rPr>
          <w:rFonts w:ascii="Tahoma" w:hAnsi="Tahoma" w:cs="Tahoma"/>
          <w:sz w:val="20"/>
        </w:rPr>
        <w:t xml:space="preserve"> issue on day n, expressed in currency units;</w:t>
      </w:r>
    </w:p>
    <w:p w14:paraId="63DFC376" w14:textId="24AB81C3" w:rsidR="009B2788" w:rsidRPr="00BE6A40" w:rsidRDefault="009B2788" w:rsidP="00BE6A40">
      <w:pPr>
        <w:spacing w:before="120" w:after="120"/>
        <w:ind w:left="1416"/>
        <w:jc w:val="both"/>
        <w:rPr>
          <w:rFonts w:ascii="Tahoma" w:hAnsi="Tahoma" w:cs="Tahoma"/>
          <w:sz w:val="20"/>
          <w:szCs w:val="20"/>
        </w:rPr>
      </w:pPr>
      <w:proofErr w:type="spellStart"/>
      <w:proofErr w:type="gramStart"/>
      <w:r w:rsidRPr="00BE6A40">
        <w:rPr>
          <w:rFonts w:ascii="Tahoma" w:hAnsi="Tahoma" w:cs="Tahoma"/>
          <w:sz w:val="20"/>
        </w:rPr>
        <w:t>N</w:t>
      </w:r>
      <w:r w:rsidRPr="00BE6A40">
        <w:rPr>
          <w:rFonts w:ascii="Tahoma" w:hAnsi="Tahoma" w:cs="Tahoma"/>
          <w:sz w:val="20"/>
          <w:vertAlign w:val="subscript"/>
        </w:rPr>
        <w:t>i,n</w:t>
      </w:r>
      <w:proofErr w:type="spellEnd"/>
      <w:proofErr w:type="gramEnd"/>
      <w:r w:rsidRPr="00BE6A40">
        <w:rPr>
          <w:rFonts w:ascii="Tahoma" w:hAnsi="Tahoma" w:cs="Tahoma"/>
          <w:sz w:val="20"/>
        </w:rPr>
        <w:t xml:space="preserve"> - the volume of the </w:t>
      </w:r>
      <w:proofErr w:type="spellStart"/>
      <w:r w:rsidRPr="00BE6A40">
        <w:rPr>
          <w:rFonts w:ascii="Tahoma" w:hAnsi="Tahoma" w:cs="Tahoma"/>
          <w:sz w:val="20"/>
        </w:rPr>
        <w:t>i</w:t>
      </w:r>
      <w:r w:rsidRPr="00BE6A40">
        <w:rPr>
          <w:rFonts w:ascii="Tahoma" w:hAnsi="Tahoma" w:cs="Tahoma"/>
          <w:sz w:val="20"/>
          <w:vertAlign w:val="superscript"/>
        </w:rPr>
        <w:t>th</w:t>
      </w:r>
      <w:proofErr w:type="spellEnd"/>
      <w:r w:rsidRPr="00BE6A40">
        <w:rPr>
          <w:rFonts w:ascii="Tahoma" w:hAnsi="Tahoma" w:cs="Tahoma"/>
          <w:sz w:val="20"/>
        </w:rPr>
        <w:t xml:space="preserve"> Bond issue on day n, expressed in units of securities;</w:t>
      </w:r>
    </w:p>
    <w:p w14:paraId="1A5A7537" w14:textId="542A97A0" w:rsidR="009B2788" w:rsidRPr="00BE6A40" w:rsidRDefault="009B2788" w:rsidP="00BE6A40">
      <w:pPr>
        <w:spacing w:before="120" w:after="120"/>
        <w:ind w:left="1416"/>
        <w:jc w:val="both"/>
        <w:rPr>
          <w:rFonts w:ascii="Tahoma" w:hAnsi="Tahoma" w:cs="Tahoma"/>
          <w:sz w:val="20"/>
          <w:szCs w:val="20"/>
        </w:rPr>
      </w:pPr>
      <w:proofErr w:type="spellStart"/>
      <w:proofErr w:type="gramStart"/>
      <w:r w:rsidRPr="00BE6A40">
        <w:rPr>
          <w:rFonts w:ascii="Tahoma" w:hAnsi="Tahoma" w:cs="Tahoma"/>
          <w:sz w:val="20"/>
        </w:rPr>
        <w:t>W</w:t>
      </w:r>
      <w:r w:rsidRPr="00BE6A40">
        <w:rPr>
          <w:rFonts w:ascii="Tahoma" w:hAnsi="Tahoma" w:cs="Tahoma"/>
          <w:sz w:val="20"/>
          <w:vertAlign w:val="subscript"/>
        </w:rPr>
        <w:t>i,n</w:t>
      </w:r>
      <w:proofErr w:type="spellEnd"/>
      <w:proofErr w:type="gramEnd"/>
      <w:r w:rsidRPr="00BE6A40">
        <w:rPr>
          <w:rFonts w:ascii="Tahoma" w:hAnsi="Tahoma" w:cs="Tahoma"/>
          <w:sz w:val="20"/>
        </w:rPr>
        <w:t xml:space="preserve"> – the coefficient restricting the proportion of capitalisation of the </w:t>
      </w:r>
      <w:proofErr w:type="spellStart"/>
      <w:r w:rsidRPr="00BE6A40">
        <w:rPr>
          <w:rFonts w:ascii="Tahoma" w:hAnsi="Tahoma" w:cs="Tahoma"/>
          <w:sz w:val="20"/>
        </w:rPr>
        <w:t>i</w:t>
      </w:r>
      <w:r w:rsidRPr="00BE6A40">
        <w:rPr>
          <w:rFonts w:ascii="Tahoma" w:hAnsi="Tahoma" w:cs="Tahoma"/>
          <w:sz w:val="20"/>
          <w:vertAlign w:val="superscript"/>
        </w:rPr>
        <w:t>th</w:t>
      </w:r>
      <w:proofErr w:type="spellEnd"/>
      <w:r w:rsidRPr="00BE6A40">
        <w:rPr>
          <w:rFonts w:ascii="Tahoma" w:hAnsi="Tahoma" w:cs="Tahoma"/>
          <w:sz w:val="20"/>
        </w:rPr>
        <w:t xml:space="preserve"> Bond Issuer (the Weighting Factor). It equals one unless otherwise set out in Clause 5 below. </w:t>
      </w:r>
    </w:p>
    <w:bookmarkEnd w:id="7"/>
    <w:p w14:paraId="07F9A145" w14:textId="51C213FF" w:rsidR="00D93735" w:rsidRPr="00BE6A40" w:rsidRDefault="00D93735" w:rsidP="00BE6A40">
      <w:pPr>
        <w:pStyle w:val="af2"/>
        <w:numPr>
          <w:ilvl w:val="1"/>
          <w:numId w:val="1"/>
        </w:numPr>
        <w:spacing w:before="120" w:after="120"/>
        <w:jc w:val="both"/>
        <w:rPr>
          <w:rFonts w:ascii="Tahoma" w:hAnsi="Tahoma" w:cs="Tahoma"/>
          <w:sz w:val="20"/>
          <w:szCs w:val="20"/>
        </w:rPr>
      </w:pPr>
      <w:r w:rsidRPr="00BE6A40">
        <w:rPr>
          <w:rFonts w:ascii="Tahoma" w:hAnsi="Tahoma" w:cs="Tahoma"/>
          <w:sz w:val="20"/>
        </w:rPr>
        <w:t>The Index, as well as the Additional Factors, are calculated once a day. This single value of the Index for the day is both the current value and the closing value before the next calculation of this Index on the next trading day.</w:t>
      </w:r>
    </w:p>
    <w:p w14:paraId="645EAEEA" w14:textId="129A0100" w:rsidR="001001FB" w:rsidRPr="00BE6A40" w:rsidRDefault="001001FB" w:rsidP="00BE6A40">
      <w:pPr>
        <w:numPr>
          <w:ilvl w:val="1"/>
          <w:numId w:val="1"/>
        </w:numPr>
        <w:spacing w:before="120" w:after="120"/>
        <w:jc w:val="both"/>
        <w:rPr>
          <w:rFonts w:ascii="Tahoma" w:hAnsi="Tahoma" w:cs="Tahoma"/>
          <w:sz w:val="20"/>
          <w:szCs w:val="20"/>
        </w:rPr>
      </w:pPr>
      <w:r w:rsidRPr="00BE6A40">
        <w:rPr>
          <w:rFonts w:ascii="Tahoma" w:hAnsi="Tahoma" w:cs="Tahoma"/>
          <w:sz w:val="20"/>
        </w:rPr>
        <w:t>The Index and the Weighted Average Return are calculated to two decimal places.</w:t>
      </w:r>
      <w:r w:rsidRPr="00BE6A40">
        <w:rPr>
          <w:rFonts w:ascii="Tahoma" w:hAnsi="Tahoma" w:cs="Tahoma"/>
        </w:rPr>
        <w:t xml:space="preserve"> </w:t>
      </w:r>
      <w:r w:rsidRPr="00BE6A40">
        <w:rPr>
          <w:rFonts w:ascii="Tahoma" w:hAnsi="Tahoma" w:cs="Tahoma"/>
          <w:sz w:val="20"/>
        </w:rPr>
        <w:t>The Weighted Average Duration is calculated to the nearest integer.</w:t>
      </w:r>
    </w:p>
    <w:p w14:paraId="53D743F8" w14:textId="77777777" w:rsidR="00175BAA" w:rsidRPr="00BE6A40" w:rsidRDefault="00E7250B" w:rsidP="00BE6A40">
      <w:pPr>
        <w:numPr>
          <w:ilvl w:val="1"/>
          <w:numId w:val="1"/>
        </w:numPr>
        <w:spacing w:before="120" w:after="120"/>
        <w:jc w:val="both"/>
        <w:rPr>
          <w:rFonts w:ascii="Tahoma" w:hAnsi="Tahoma" w:cs="Tahoma"/>
          <w:sz w:val="20"/>
          <w:szCs w:val="20"/>
        </w:rPr>
      </w:pPr>
      <w:r w:rsidRPr="00BE6A40">
        <w:rPr>
          <w:rFonts w:ascii="Tahoma" w:hAnsi="Tahoma" w:cs="Tahoma"/>
          <w:sz w:val="20"/>
        </w:rPr>
        <w:t xml:space="preserve">The start date of calculation of the Index is 30 Dec 2016. The initial value of the Index is 100. </w:t>
      </w:r>
    </w:p>
    <w:p w14:paraId="212EDEB6" w14:textId="76C79344" w:rsidR="00E7250B" w:rsidRPr="00BE6A40" w:rsidRDefault="00175BAA" w:rsidP="00BE6A40">
      <w:pPr>
        <w:numPr>
          <w:ilvl w:val="1"/>
          <w:numId w:val="1"/>
        </w:numPr>
        <w:spacing w:before="120" w:after="120"/>
        <w:jc w:val="both"/>
        <w:rPr>
          <w:rFonts w:ascii="Tahoma" w:hAnsi="Tahoma" w:cs="Tahoma"/>
          <w:sz w:val="20"/>
          <w:szCs w:val="20"/>
        </w:rPr>
      </w:pPr>
      <w:r w:rsidRPr="00BE6A40">
        <w:rPr>
          <w:rFonts w:ascii="Tahoma" w:hAnsi="Tahoma" w:cs="Tahoma"/>
          <w:sz w:val="20"/>
        </w:rPr>
        <w:lastRenderedPageBreak/>
        <w:t>The Index was not calculated from 5 April 2022 until the date of entry into force of this edition of the Methodology.</w:t>
      </w:r>
    </w:p>
    <w:p w14:paraId="13022E30" w14:textId="2263E4A2" w:rsidR="006927B9" w:rsidRPr="00BE6A40" w:rsidRDefault="006927B9" w:rsidP="00BE6A40">
      <w:pPr>
        <w:spacing w:before="120" w:after="120"/>
        <w:ind w:left="1224"/>
        <w:jc w:val="both"/>
        <w:rPr>
          <w:rFonts w:ascii="Tahoma" w:hAnsi="Tahoma" w:cs="Tahoma"/>
          <w:sz w:val="20"/>
          <w:szCs w:val="20"/>
        </w:rPr>
      </w:pPr>
      <w:bookmarkStart w:id="8" w:name="Р_4"/>
    </w:p>
    <w:p w14:paraId="55B297D7" w14:textId="77777777" w:rsidR="00657BF4" w:rsidRPr="00BE6A40" w:rsidRDefault="0060121C" w:rsidP="00BE6A40">
      <w:pPr>
        <w:numPr>
          <w:ilvl w:val="0"/>
          <w:numId w:val="1"/>
        </w:numPr>
        <w:spacing w:before="120" w:after="120"/>
        <w:outlineLvl w:val="0"/>
        <w:rPr>
          <w:rFonts w:ascii="Tahoma" w:hAnsi="Tahoma" w:cs="Tahoma"/>
          <w:b/>
          <w:sz w:val="20"/>
          <w:szCs w:val="20"/>
        </w:rPr>
      </w:pPr>
      <w:bookmarkStart w:id="9" w:name="_Toc144482454"/>
      <w:bookmarkStart w:id="10" w:name="_Toc178166122"/>
      <w:r w:rsidRPr="00BE6A40">
        <w:rPr>
          <w:rFonts w:ascii="Tahoma" w:hAnsi="Tahoma" w:cs="Tahoma"/>
          <w:b/>
          <w:sz w:val="20"/>
        </w:rPr>
        <w:t>Index Construction and Review</w:t>
      </w:r>
      <w:bookmarkEnd w:id="9"/>
      <w:bookmarkEnd w:id="10"/>
    </w:p>
    <w:p w14:paraId="3F77F9FB" w14:textId="77777777" w:rsidR="00442407" w:rsidRPr="00BE6A40" w:rsidRDefault="00442407" w:rsidP="00BE6A40">
      <w:pPr>
        <w:spacing w:before="120" w:after="120"/>
        <w:ind w:left="360"/>
        <w:outlineLvl w:val="0"/>
        <w:rPr>
          <w:rFonts w:ascii="Tahoma" w:hAnsi="Tahoma" w:cs="Tahoma"/>
          <w:b/>
          <w:sz w:val="20"/>
          <w:szCs w:val="20"/>
        </w:rPr>
      </w:pPr>
    </w:p>
    <w:p w14:paraId="3A8717E3" w14:textId="333CF275" w:rsidR="00674D52" w:rsidRPr="00BE6A40" w:rsidRDefault="00674D52" w:rsidP="00BE6A40">
      <w:pPr>
        <w:numPr>
          <w:ilvl w:val="1"/>
          <w:numId w:val="1"/>
        </w:numPr>
        <w:spacing w:before="120" w:after="120"/>
        <w:jc w:val="both"/>
        <w:rPr>
          <w:rFonts w:ascii="Tahoma" w:hAnsi="Tahoma" w:cs="Tahoma"/>
          <w:sz w:val="20"/>
          <w:szCs w:val="20"/>
        </w:rPr>
      </w:pPr>
      <w:bookmarkStart w:id="11" w:name="п_4_7"/>
      <w:bookmarkStart w:id="12" w:name="_Ref181774352"/>
      <w:bookmarkEnd w:id="8"/>
      <w:r w:rsidRPr="00BE6A40">
        <w:rPr>
          <w:rFonts w:ascii="Tahoma" w:hAnsi="Tahoma" w:cs="Tahoma"/>
          <w:sz w:val="20"/>
        </w:rPr>
        <w:t xml:space="preserve">Stocks are added to and removed from the Index at Index Reviews. </w:t>
      </w:r>
    </w:p>
    <w:p w14:paraId="07AC0572" w14:textId="4D822E06" w:rsidR="00674D52" w:rsidRPr="00BE6A40" w:rsidRDefault="00674D52" w:rsidP="00BE6A40">
      <w:pPr>
        <w:numPr>
          <w:ilvl w:val="1"/>
          <w:numId w:val="1"/>
        </w:numPr>
        <w:spacing w:before="120" w:after="120"/>
        <w:jc w:val="both"/>
        <w:rPr>
          <w:rFonts w:ascii="Tahoma" w:hAnsi="Tahoma" w:cs="Tahoma"/>
          <w:sz w:val="20"/>
          <w:szCs w:val="20"/>
        </w:rPr>
      </w:pPr>
      <w:r w:rsidRPr="00BE6A40">
        <w:rPr>
          <w:rFonts w:ascii="Tahoma" w:hAnsi="Tahoma" w:cs="Tahoma"/>
          <w:sz w:val="20"/>
        </w:rPr>
        <w:t xml:space="preserve">Regular Index Reviews shall be carried out no more frequently than once a quarter, except as provided for in this Methodology. Regular Index reviews and approval of Index Constituents take </w:t>
      </w:r>
      <w:r w:rsidR="00BE6A40" w:rsidRPr="00BE6A40">
        <w:rPr>
          <w:rFonts w:ascii="Tahoma" w:hAnsi="Tahoma" w:cs="Tahoma"/>
          <w:sz w:val="20"/>
        </w:rPr>
        <w:t>place</w:t>
      </w:r>
      <w:r w:rsidRPr="00BE6A40">
        <w:rPr>
          <w:rFonts w:ascii="Tahoma" w:hAnsi="Tahoma" w:cs="Tahoma"/>
          <w:sz w:val="20"/>
        </w:rPr>
        <w:t xml:space="preserve"> on 15 February, 15 May, 15 August and 15 November. The review shall be effective from the start of trading in the Trading Mode T+ of the trading day following the last trading day of February, May, August and November. The Exchange may decide to set other dates of coming into effect of the Index Constituents after review.</w:t>
      </w:r>
    </w:p>
    <w:p w14:paraId="78BDFB14" w14:textId="73E8AF10" w:rsidR="00B67C72" w:rsidRPr="00BE6A40" w:rsidRDefault="008C1938" w:rsidP="00BE6A40">
      <w:pPr>
        <w:numPr>
          <w:ilvl w:val="1"/>
          <w:numId w:val="1"/>
        </w:numPr>
        <w:spacing w:before="120" w:after="120"/>
        <w:jc w:val="both"/>
        <w:rPr>
          <w:rFonts w:ascii="Tahoma" w:hAnsi="Tahoma" w:cs="Tahoma"/>
          <w:sz w:val="20"/>
          <w:szCs w:val="20"/>
        </w:rPr>
      </w:pPr>
      <w:r w:rsidRPr="00BE6A40">
        <w:rPr>
          <w:rFonts w:ascii="Tahoma" w:hAnsi="Tahoma" w:cs="Tahoma"/>
          <w:sz w:val="20"/>
        </w:rPr>
        <w:t>Bonds are eligible for inclusion in the Index if they comply with the following requirements:</w:t>
      </w:r>
    </w:p>
    <w:p w14:paraId="2B5639DC" w14:textId="1229FD2C" w:rsidR="00561455" w:rsidRPr="00BE6A40" w:rsidRDefault="00561455" w:rsidP="00BE6A40">
      <w:pPr>
        <w:numPr>
          <w:ilvl w:val="2"/>
          <w:numId w:val="8"/>
        </w:numPr>
        <w:tabs>
          <w:tab w:val="clear" w:pos="504"/>
          <w:tab w:val="left" w:pos="567"/>
          <w:tab w:val="left" w:pos="1560"/>
        </w:tabs>
        <w:spacing w:before="120" w:after="120"/>
        <w:ind w:left="1560" w:hanging="567"/>
        <w:jc w:val="both"/>
        <w:rPr>
          <w:rFonts w:ascii="Tahoma" w:hAnsi="Tahoma" w:cs="Tahoma"/>
          <w:sz w:val="20"/>
          <w:szCs w:val="20"/>
        </w:rPr>
      </w:pPr>
      <w:r w:rsidRPr="00BE6A40">
        <w:rPr>
          <w:rFonts w:ascii="Tahoma" w:hAnsi="Tahoma" w:cs="Tahoma"/>
          <w:sz w:val="20"/>
        </w:rPr>
        <w:t>The denomination of the Bond issue is US dollars.</w:t>
      </w:r>
    </w:p>
    <w:p w14:paraId="7A276057" w14:textId="57E723D5" w:rsidR="00A815AD" w:rsidRPr="00BE6A40" w:rsidRDefault="003E303C" w:rsidP="00BE6A40">
      <w:pPr>
        <w:numPr>
          <w:ilvl w:val="2"/>
          <w:numId w:val="8"/>
        </w:numPr>
        <w:tabs>
          <w:tab w:val="clear" w:pos="504"/>
          <w:tab w:val="left" w:pos="567"/>
          <w:tab w:val="left" w:pos="1560"/>
        </w:tabs>
        <w:spacing w:before="120" w:after="120"/>
        <w:ind w:left="1560" w:hanging="567"/>
        <w:jc w:val="both"/>
        <w:rPr>
          <w:rFonts w:ascii="Tahoma" w:hAnsi="Tahoma" w:cs="Tahoma"/>
          <w:sz w:val="20"/>
          <w:szCs w:val="20"/>
        </w:rPr>
      </w:pPr>
      <w:r w:rsidRPr="00BE6A40">
        <w:rPr>
          <w:rFonts w:ascii="Tahoma" w:hAnsi="Tahoma" w:cs="Tahoma"/>
          <w:sz w:val="20"/>
        </w:rPr>
        <w:t>The amount of the face value of the Bond issue outstanding is not less than USD 100 million.</w:t>
      </w:r>
    </w:p>
    <w:p w14:paraId="2D685BC2" w14:textId="59569851" w:rsidR="00FF0D86" w:rsidRPr="00BE6A40" w:rsidRDefault="008B1FA9" w:rsidP="00BE6A40">
      <w:pPr>
        <w:numPr>
          <w:ilvl w:val="2"/>
          <w:numId w:val="8"/>
        </w:numPr>
        <w:tabs>
          <w:tab w:val="clear" w:pos="504"/>
          <w:tab w:val="left" w:pos="567"/>
          <w:tab w:val="left" w:pos="1560"/>
        </w:tabs>
        <w:spacing w:before="120" w:after="120"/>
        <w:ind w:left="1560" w:hanging="567"/>
        <w:jc w:val="both"/>
        <w:rPr>
          <w:rFonts w:ascii="Tahoma" w:hAnsi="Tahoma" w:cs="Tahoma"/>
          <w:sz w:val="20"/>
          <w:szCs w:val="20"/>
        </w:rPr>
      </w:pPr>
      <w:r w:rsidRPr="00BE6A40">
        <w:rPr>
          <w:rFonts w:ascii="Tahoma" w:hAnsi="Tahoma" w:cs="Tahoma"/>
          <w:sz w:val="20"/>
        </w:rPr>
        <w:t>The term to maturity or the date of the nearest Put Option (the "term to maturity") on the Index Review Date is not less than three months, with the redemption or nearest early redemption of the Bond issue occurring not later than 2031.</w:t>
      </w:r>
    </w:p>
    <w:p w14:paraId="73953F54" w14:textId="678F718A" w:rsidR="00880172" w:rsidRPr="00BE6A40" w:rsidRDefault="00880172" w:rsidP="00BE6A40">
      <w:pPr>
        <w:numPr>
          <w:ilvl w:val="2"/>
          <w:numId w:val="8"/>
        </w:numPr>
        <w:tabs>
          <w:tab w:val="clear" w:pos="504"/>
          <w:tab w:val="left" w:pos="567"/>
          <w:tab w:val="left" w:pos="1560"/>
        </w:tabs>
        <w:spacing w:before="120" w:after="120"/>
        <w:ind w:left="1560" w:hanging="567"/>
        <w:jc w:val="both"/>
        <w:rPr>
          <w:rFonts w:ascii="Tahoma" w:hAnsi="Tahoma" w:cs="Tahoma"/>
          <w:sz w:val="20"/>
          <w:szCs w:val="20"/>
        </w:rPr>
      </w:pPr>
      <w:r w:rsidRPr="00BE6A40">
        <w:rPr>
          <w:rFonts w:ascii="Tahoma" w:hAnsi="Tahoma" w:cs="Tahoma"/>
          <w:sz w:val="20"/>
        </w:rPr>
        <w:t>During the three months preceding the Index Review Date, there were at least five trading days when trades in the Eurobond issue were executed during the Main Trading Session and Additional Trading Session in the Central Order Book and Central Order Book T+.</w:t>
      </w:r>
    </w:p>
    <w:p w14:paraId="0408C1EC" w14:textId="7485BBC9" w:rsidR="00071DF2" w:rsidRPr="00BE6A40" w:rsidRDefault="001040BC" w:rsidP="00BE6A40">
      <w:pPr>
        <w:numPr>
          <w:ilvl w:val="2"/>
          <w:numId w:val="8"/>
        </w:numPr>
        <w:tabs>
          <w:tab w:val="clear" w:pos="504"/>
          <w:tab w:val="left" w:pos="567"/>
          <w:tab w:val="left" w:pos="1560"/>
        </w:tabs>
        <w:spacing w:before="120" w:after="120"/>
        <w:ind w:left="1560" w:hanging="567"/>
        <w:jc w:val="both"/>
        <w:rPr>
          <w:rFonts w:ascii="Tahoma" w:hAnsi="Tahoma" w:cs="Tahoma"/>
          <w:sz w:val="20"/>
          <w:szCs w:val="20"/>
        </w:rPr>
      </w:pPr>
      <w:r w:rsidRPr="00BE6A40">
        <w:rPr>
          <w:rFonts w:ascii="Tahoma" w:hAnsi="Tahoma" w:cs="Tahoma"/>
          <w:sz w:val="20"/>
        </w:rPr>
        <w:t>The Index may only include Bonds for which the rates of all coupon payments for the term to maturity have been determined as a fixed value on of the Index Review Date.</w:t>
      </w:r>
    </w:p>
    <w:p w14:paraId="62E26093" w14:textId="42E3A7D1" w:rsidR="00146CF7" w:rsidRPr="00BE6A40" w:rsidRDefault="00146CF7" w:rsidP="00BE6A40">
      <w:pPr>
        <w:numPr>
          <w:ilvl w:val="2"/>
          <w:numId w:val="8"/>
        </w:numPr>
        <w:tabs>
          <w:tab w:val="clear" w:pos="504"/>
          <w:tab w:val="left" w:pos="567"/>
          <w:tab w:val="left" w:pos="1560"/>
        </w:tabs>
        <w:spacing w:before="120" w:after="120"/>
        <w:ind w:left="1560" w:hanging="567"/>
        <w:jc w:val="both"/>
        <w:rPr>
          <w:rFonts w:ascii="Tahoma" w:hAnsi="Tahoma" w:cs="Tahoma"/>
          <w:sz w:val="20"/>
          <w:szCs w:val="20"/>
        </w:rPr>
      </w:pPr>
      <w:r w:rsidRPr="00BE6A40">
        <w:rPr>
          <w:rFonts w:ascii="Tahoma" w:hAnsi="Tahoma" w:cs="Tahoma"/>
          <w:sz w:val="20"/>
        </w:rPr>
        <w:t xml:space="preserve">The Bond Rating is at least BBB+(RU). When selecting a Bond to the Index, the highest Rating assigned by the Rating Agencies is </w:t>
      </w:r>
      <w:proofErr w:type="gramStart"/>
      <w:r w:rsidRPr="00BE6A40">
        <w:rPr>
          <w:rFonts w:ascii="Tahoma" w:hAnsi="Tahoma" w:cs="Tahoma"/>
          <w:sz w:val="20"/>
        </w:rPr>
        <w:t>taken into account</w:t>
      </w:r>
      <w:proofErr w:type="gramEnd"/>
      <w:r w:rsidRPr="00BE6A40">
        <w:rPr>
          <w:rFonts w:ascii="Tahoma" w:hAnsi="Tahoma" w:cs="Tahoma"/>
          <w:sz w:val="20"/>
        </w:rPr>
        <w:t>.</w:t>
      </w:r>
    </w:p>
    <w:p w14:paraId="3F82CF23" w14:textId="3708C13D" w:rsidR="008F00FE" w:rsidRPr="00BE6A40" w:rsidRDefault="00EF12E9" w:rsidP="00BE6A40">
      <w:pPr>
        <w:numPr>
          <w:ilvl w:val="1"/>
          <w:numId w:val="1"/>
        </w:numPr>
        <w:spacing w:before="120" w:after="120"/>
        <w:jc w:val="both"/>
        <w:rPr>
          <w:rFonts w:ascii="Tahoma" w:hAnsi="Tahoma" w:cs="Tahoma"/>
          <w:sz w:val="20"/>
          <w:szCs w:val="20"/>
        </w:rPr>
      </w:pPr>
      <w:bookmarkStart w:id="13" w:name="_Toc372540155"/>
      <w:bookmarkStart w:id="14" w:name="_Toc372540156"/>
      <w:bookmarkEnd w:id="11"/>
      <w:bookmarkEnd w:id="12"/>
      <w:bookmarkEnd w:id="13"/>
      <w:bookmarkEnd w:id="14"/>
      <w:r w:rsidRPr="00BE6A40">
        <w:rPr>
          <w:rFonts w:ascii="Tahoma" w:hAnsi="Tahoma" w:cs="Tahoma"/>
          <w:sz w:val="20"/>
        </w:rPr>
        <w:t xml:space="preserve">If the number of Bonds fulfilling the requirements of clause 4.1 of this Methodology and additional issues is less than 12 in total, the Exchange may include in the Index Sovereign Eurobonds issued by the Russian Federation with a maturity up to 2030. </w:t>
      </w:r>
    </w:p>
    <w:p w14:paraId="5D458D18" w14:textId="12CE9BBF" w:rsidR="00EC66A8" w:rsidRPr="00BE6A40" w:rsidRDefault="00EC66A8" w:rsidP="00BE6A40">
      <w:pPr>
        <w:numPr>
          <w:ilvl w:val="1"/>
          <w:numId w:val="1"/>
        </w:numPr>
        <w:spacing w:before="120" w:after="120"/>
        <w:jc w:val="both"/>
        <w:rPr>
          <w:rFonts w:ascii="Tahoma" w:hAnsi="Tahoma" w:cs="Tahoma"/>
          <w:sz w:val="20"/>
          <w:szCs w:val="20"/>
        </w:rPr>
      </w:pPr>
      <w:r w:rsidRPr="00BE6A40">
        <w:rPr>
          <w:rFonts w:ascii="Tahoma" w:hAnsi="Tahoma" w:cs="Tahoma"/>
          <w:sz w:val="20"/>
        </w:rPr>
        <w:t xml:space="preserve"> If the number of Bond issuers meeting the requirements of clause 4.3 of this Methodology does not allow for the application of the restrictions set forth in clause 5 of this Methodology, the Exchange may include in the Index the Sovereign Bond meeting the requirements of clauses 3.3.1-3.3.5 above.</w:t>
      </w:r>
    </w:p>
    <w:p w14:paraId="0233D39B" w14:textId="41D83993" w:rsidR="00D37163" w:rsidRPr="00BE6A40" w:rsidRDefault="00D37163" w:rsidP="00BE6A40">
      <w:pPr>
        <w:numPr>
          <w:ilvl w:val="1"/>
          <w:numId w:val="1"/>
        </w:numPr>
        <w:spacing w:before="120" w:after="120"/>
        <w:jc w:val="both"/>
        <w:rPr>
          <w:rFonts w:ascii="Tahoma" w:hAnsi="Tahoma" w:cs="Tahoma"/>
          <w:sz w:val="20"/>
          <w:szCs w:val="20"/>
        </w:rPr>
      </w:pPr>
      <w:r w:rsidRPr="00BE6A40">
        <w:rPr>
          <w:rFonts w:ascii="Tahoma" w:hAnsi="Tahoma" w:cs="Tahoma"/>
          <w:sz w:val="20"/>
        </w:rPr>
        <w:t xml:space="preserve">The Exchange is entitled to </w:t>
      </w:r>
      <w:r w:rsidR="00BE6A40" w:rsidRPr="00BE6A40">
        <w:rPr>
          <w:rFonts w:ascii="Tahoma" w:hAnsi="Tahoma" w:cs="Tahoma"/>
          <w:sz w:val="20"/>
        </w:rPr>
        <w:t>decide</w:t>
      </w:r>
      <w:r w:rsidRPr="00BE6A40">
        <w:rPr>
          <w:rFonts w:ascii="Tahoma" w:hAnsi="Tahoma" w:cs="Tahoma"/>
          <w:sz w:val="20"/>
        </w:rPr>
        <w:t xml:space="preserve"> on inclusion in the Index of Bond Issues that do not meet requirements specified in clause 4.1 and in a manner different from that set out in clauses 3.2-3.5 of the Methodology.</w:t>
      </w:r>
    </w:p>
    <w:p w14:paraId="1949996F" w14:textId="3D0D0E5B" w:rsidR="00122AEA" w:rsidRPr="00BE6A40" w:rsidRDefault="00142DD0" w:rsidP="00BE6A40">
      <w:pPr>
        <w:numPr>
          <w:ilvl w:val="1"/>
          <w:numId w:val="1"/>
        </w:numPr>
        <w:spacing w:before="120" w:after="120"/>
        <w:jc w:val="both"/>
        <w:rPr>
          <w:rFonts w:ascii="Tahoma" w:hAnsi="Tahoma" w:cs="Tahoma"/>
          <w:sz w:val="20"/>
          <w:szCs w:val="20"/>
        </w:rPr>
      </w:pPr>
      <w:r w:rsidRPr="00BE6A40">
        <w:rPr>
          <w:rFonts w:ascii="Tahoma" w:hAnsi="Tahoma" w:cs="Tahoma"/>
          <w:sz w:val="20"/>
        </w:rPr>
        <w:t>In order for the Index to appropriately reflect the current market situation, the Exchange may decide to change the number of Bond in the Index, as well as to change the algorithm of the Index construction.</w:t>
      </w:r>
    </w:p>
    <w:p w14:paraId="378FECAD" w14:textId="66287A99" w:rsidR="0011077D" w:rsidRPr="00BE6A40" w:rsidRDefault="0011077D" w:rsidP="00BE6A40">
      <w:pPr>
        <w:numPr>
          <w:ilvl w:val="1"/>
          <w:numId w:val="1"/>
        </w:numPr>
        <w:spacing w:before="120" w:after="120"/>
        <w:jc w:val="both"/>
        <w:rPr>
          <w:rFonts w:ascii="Tahoma" w:hAnsi="Tahoma" w:cs="Tahoma"/>
          <w:sz w:val="20"/>
          <w:szCs w:val="20"/>
        </w:rPr>
      </w:pPr>
      <w:r w:rsidRPr="00BE6A40">
        <w:rPr>
          <w:rFonts w:ascii="Tahoma" w:hAnsi="Tahoma" w:cs="Tahoma"/>
          <w:sz w:val="20"/>
        </w:rPr>
        <w:t>The Exchange may decide to remove a Bond issue from the Index and replace them with a new issue on an extraordinary basis, on a date determined by the Exchange, in the following cases:</w:t>
      </w:r>
    </w:p>
    <w:p w14:paraId="27777FEB" w14:textId="6BCFF644" w:rsidR="00F61BA1" w:rsidRPr="00BE6A40" w:rsidRDefault="00F61BA1" w:rsidP="00BE6A40">
      <w:pPr>
        <w:numPr>
          <w:ilvl w:val="2"/>
          <w:numId w:val="8"/>
        </w:numPr>
        <w:tabs>
          <w:tab w:val="clear" w:pos="504"/>
          <w:tab w:val="left" w:pos="567"/>
          <w:tab w:val="left" w:pos="1560"/>
        </w:tabs>
        <w:spacing w:before="120" w:after="120"/>
        <w:ind w:left="1560" w:hanging="567"/>
        <w:rPr>
          <w:rFonts w:ascii="Tahoma" w:hAnsi="Tahoma" w:cs="Tahoma"/>
          <w:sz w:val="20"/>
          <w:szCs w:val="20"/>
        </w:rPr>
      </w:pPr>
      <w:r w:rsidRPr="00BE6A40">
        <w:rPr>
          <w:rFonts w:ascii="Tahoma" w:hAnsi="Tahoma" w:cs="Tahoma"/>
          <w:sz w:val="20"/>
        </w:rPr>
        <w:t>If the issuer of the Bond included in the Index defaults in full on the payment of coupons, repurchase on offer, redemption of the issue or issues of the Bond and/or other bonds of that issuer.</w:t>
      </w:r>
    </w:p>
    <w:p w14:paraId="2E731065" w14:textId="274C17E2" w:rsidR="00BF42BE" w:rsidRPr="00BE6A40" w:rsidRDefault="000D3709" w:rsidP="00BE6A40">
      <w:pPr>
        <w:numPr>
          <w:ilvl w:val="2"/>
          <w:numId w:val="8"/>
        </w:numPr>
        <w:tabs>
          <w:tab w:val="clear" w:pos="504"/>
          <w:tab w:val="left" w:pos="567"/>
          <w:tab w:val="left" w:pos="1560"/>
        </w:tabs>
        <w:spacing w:before="120" w:after="120"/>
        <w:ind w:left="1560" w:hanging="567"/>
        <w:rPr>
          <w:rFonts w:ascii="Tahoma" w:hAnsi="Tahoma" w:cs="Tahoma"/>
          <w:sz w:val="20"/>
          <w:szCs w:val="20"/>
        </w:rPr>
      </w:pPr>
      <w:r w:rsidRPr="00BE6A40">
        <w:rPr>
          <w:rFonts w:ascii="Tahoma" w:hAnsi="Tahoma" w:cs="Tahoma"/>
          <w:sz w:val="20"/>
        </w:rPr>
        <w:t>In case the Bond Rating does not comply with the requirements of clause 3.3.6 of this Methodology.</w:t>
      </w:r>
    </w:p>
    <w:p w14:paraId="273BAFBC" w14:textId="77777777" w:rsidR="0011077D" w:rsidRPr="00BE6A40" w:rsidRDefault="0011077D" w:rsidP="00BE6A40">
      <w:pPr>
        <w:numPr>
          <w:ilvl w:val="2"/>
          <w:numId w:val="8"/>
        </w:numPr>
        <w:tabs>
          <w:tab w:val="clear" w:pos="504"/>
          <w:tab w:val="left" w:pos="567"/>
          <w:tab w:val="left" w:pos="1560"/>
        </w:tabs>
        <w:spacing w:before="120" w:after="120"/>
        <w:ind w:left="1560" w:hanging="567"/>
        <w:rPr>
          <w:rFonts w:ascii="Tahoma" w:hAnsi="Tahoma" w:cs="Tahoma"/>
          <w:sz w:val="20"/>
          <w:szCs w:val="20"/>
        </w:rPr>
      </w:pPr>
      <w:r w:rsidRPr="00BE6A40">
        <w:rPr>
          <w:rFonts w:ascii="Tahoma" w:hAnsi="Tahoma" w:cs="Tahoma"/>
          <w:sz w:val="20"/>
        </w:rPr>
        <w:t>In case of occurrence of other events not stipulated by this Methodology, resulting in a significant impact on the calculation of the Index.</w:t>
      </w:r>
    </w:p>
    <w:p w14:paraId="37D1868E" w14:textId="77777777" w:rsidR="00657BF4" w:rsidRPr="00BE6A40" w:rsidRDefault="00657BF4" w:rsidP="00BE6A40">
      <w:pPr>
        <w:spacing w:before="120" w:after="120"/>
        <w:rPr>
          <w:rFonts w:ascii="Tahoma" w:hAnsi="Tahoma" w:cs="Tahoma"/>
          <w:sz w:val="20"/>
          <w:szCs w:val="20"/>
        </w:rPr>
      </w:pPr>
    </w:p>
    <w:p w14:paraId="035B0B79" w14:textId="61EF5C32" w:rsidR="001D6B5C" w:rsidRPr="00BE6A40" w:rsidRDefault="001D6B5C" w:rsidP="00BE6A40">
      <w:pPr>
        <w:keepNext/>
        <w:numPr>
          <w:ilvl w:val="0"/>
          <w:numId w:val="1"/>
        </w:numPr>
        <w:spacing w:before="120" w:after="120"/>
        <w:ind w:left="357" w:hanging="357"/>
        <w:outlineLvl w:val="0"/>
        <w:rPr>
          <w:rFonts w:ascii="Tahoma" w:hAnsi="Tahoma" w:cs="Tahoma"/>
          <w:b/>
          <w:sz w:val="20"/>
          <w:szCs w:val="20"/>
        </w:rPr>
      </w:pPr>
      <w:bookmarkStart w:id="15" w:name="_Toc144482455"/>
      <w:bookmarkStart w:id="16" w:name="_Toc178166123"/>
      <w:r w:rsidRPr="00BE6A40">
        <w:rPr>
          <w:rFonts w:ascii="Tahoma" w:hAnsi="Tahoma" w:cs="Tahoma"/>
          <w:b/>
          <w:sz w:val="20"/>
        </w:rPr>
        <w:t>Limitation of the Bond Contribution to the Index</w:t>
      </w:r>
      <w:bookmarkEnd w:id="15"/>
      <w:bookmarkEnd w:id="16"/>
    </w:p>
    <w:p w14:paraId="56D3DF12" w14:textId="77777777" w:rsidR="00442407" w:rsidRPr="00BE6A40" w:rsidRDefault="00442407" w:rsidP="00BE6A40">
      <w:pPr>
        <w:spacing w:before="120" w:after="120"/>
        <w:ind w:left="360"/>
        <w:outlineLvl w:val="0"/>
        <w:rPr>
          <w:rFonts w:ascii="Tahoma" w:hAnsi="Tahoma" w:cs="Tahoma"/>
          <w:b/>
          <w:sz w:val="20"/>
          <w:szCs w:val="20"/>
        </w:rPr>
      </w:pPr>
    </w:p>
    <w:p w14:paraId="2923D5B5" w14:textId="27969EF4" w:rsidR="00EC3C30" w:rsidRPr="00BE6A40" w:rsidRDefault="00EC3C30" w:rsidP="00BE6A40">
      <w:pPr>
        <w:numPr>
          <w:ilvl w:val="1"/>
          <w:numId w:val="1"/>
        </w:numPr>
        <w:spacing w:before="120" w:after="120"/>
        <w:jc w:val="both"/>
        <w:rPr>
          <w:rFonts w:ascii="Tahoma" w:hAnsi="Tahoma" w:cs="Tahoma"/>
          <w:sz w:val="20"/>
          <w:szCs w:val="20"/>
        </w:rPr>
      </w:pPr>
      <w:bookmarkStart w:id="17" w:name="_Ref40346449"/>
      <w:bookmarkStart w:id="18" w:name="_Ref272826482"/>
      <w:bookmarkStart w:id="19" w:name="п_6_1"/>
      <w:r w:rsidRPr="00BE6A40">
        <w:rPr>
          <w:rFonts w:ascii="Tahoma" w:hAnsi="Tahoma" w:cs="Tahoma"/>
          <w:sz w:val="20"/>
        </w:rPr>
        <w:t>The maximum proportion of the Bond issue of an issuer with a Rating higher than AA+(RU)</w:t>
      </w:r>
      <w:r w:rsidR="00305B11" w:rsidRPr="00BE6A40">
        <w:rPr>
          <w:rStyle w:val="afb"/>
          <w:rFonts w:ascii="Tahoma" w:hAnsi="Tahoma" w:cs="Tahoma"/>
          <w:sz w:val="20"/>
          <w:szCs w:val="20"/>
        </w:rPr>
        <w:footnoteReference w:id="2"/>
      </w:r>
      <w:r w:rsidRPr="00BE6A40">
        <w:rPr>
          <w:rFonts w:ascii="Tahoma" w:hAnsi="Tahoma" w:cs="Tahoma"/>
          <w:sz w:val="20"/>
        </w:rPr>
        <w:t xml:space="preserve"> in the total value of the Bonds in the Index as of the Index Review Date shall not exceed 9%. The maximum proportion of the Bond issue of an issuer with a Rating at least BBB+(RU) but not higher AA+(RU), in the total value of the Bonds in the Index as of the Index Review Date shall </w:t>
      </w:r>
      <w:r w:rsidRPr="00BE6A40">
        <w:rPr>
          <w:rFonts w:ascii="Tahoma" w:hAnsi="Tahoma" w:cs="Tahoma"/>
          <w:sz w:val="20"/>
        </w:rPr>
        <w:lastRenderedPageBreak/>
        <w:t>not exceed 5%. If it is not possible to comply with the simultaneous limitation of the maximum proportion of a Bond issue with a Rating higher than AA+(</w:t>
      </w:r>
      <w:proofErr w:type="gramStart"/>
      <w:r w:rsidRPr="00BE6A40">
        <w:rPr>
          <w:rFonts w:ascii="Tahoma" w:hAnsi="Tahoma" w:cs="Tahoma"/>
          <w:sz w:val="20"/>
        </w:rPr>
        <w:t>RU)[</w:t>
      </w:r>
      <w:proofErr w:type="gramEnd"/>
      <w:r w:rsidRPr="00BE6A40">
        <w:rPr>
          <w:rFonts w:ascii="Tahoma" w:hAnsi="Tahoma" w:cs="Tahoma"/>
          <w:sz w:val="20"/>
        </w:rPr>
        <w:t xml:space="preserve">1] and the maximum proportion of a Bond issue of Issuers with a rating not lower than BBB+(RU) but not higher than AA+(RU), the Exchange has the right to include Sovereign Eurobonds in the Index in order to comply with the requirements of this section of the Methodology. The share of Sovereign Eurobonds in the Index is not limited. </w:t>
      </w:r>
    </w:p>
    <w:bookmarkEnd w:id="17"/>
    <w:p w14:paraId="5ECA3859" w14:textId="35EBEC5F" w:rsidR="00EC3C30" w:rsidRPr="00BE6A40" w:rsidRDefault="00EC3C30" w:rsidP="00BE6A40">
      <w:pPr>
        <w:numPr>
          <w:ilvl w:val="1"/>
          <w:numId w:val="1"/>
        </w:numPr>
        <w:spacing w:before="120" w:after="120"/>
        <w:jc w:val="both"/>
        <w:rPr>
          <w:rFonts w:ascii="Tahoma" w:hAnsi="Tahoma" w:cs="Tahoma"/>
          <w:sz w:val="20"/>
          <w:szCs w:val="20"/>
        </w:rPr>
      </w:pPr>
      <w:r w:rsidRPr="00BE6A40">
        <w:rPr>
          <w:rFonts w:ascii="Tahoma" w:hAnsi="Tahoma" w:cs="Tahoma"/>
          <w:sz w:val="20"/>
        </w:rPr>
        <w:t xml:space="preserve">If, as of the Index Review date, the share of the Bond issue in the Index does not meet the requirements of clause 4.1, the Exchange is entitled to adjust volume </w:t>
      </w:r>
      <w:proofErr w:type="gramStart"/>
      <w:r w:rsidRPr="00BE6A40">
        <w:rPr>
          <w:rFonts w:ascii="Tahoma" w:hAnsi="Tahoma" w:cs="Tahoma"/>
          <w:sz w:val="20"/>
        </w:rPr>
        <w:t>N</w:t>
      </w:r>
      <w:r w:rsidRPr="00BE6A40">
        <w:rPr>
          <w:rFonts w:ascii="Tahoma" w:hAnsi="Tahoma" w:cs="Tahoma"/>
          <w:sz w:val="20"/>
          <w:vertAlign w:val="subscript"/>
        </w:rPr>
        <w:t>i,t</w:t>
      </w:r>
      <w:proofErr w:type="gramEnd"/>
      <w:r w:rsidRPr="00BE6A40">
        <w:rPr>
          <w:rFonts w:ascii="Tahoma" w:hAnsi="Tahoma" w:cs="Tahoma"/>
          <w:sz w:val="20"/>
          <w:vertAlign w:val="subscript"/>
        </w:rPr>
        <w:t>-1</w:t>
      </w:r>
      <w:r w:rsidRPr="00BE6A40">
        <w:rPr>
          <w:rFonts w:ascii="Tahoma" w:hAnsi="Tahoma" w:cs="Tahoma"/>
          <w:sz w:val="20"/>
        </w:rPr>
        <w:t xml:space="preserve"> of the Bond issue used for the calculation of the Index in accordance with clause 2.2 of the Methodology, so that the share of the Bond issue in the Index does not exceed the value set by clause 4.1.</w:t>
      </w:r>
    </w:p>
    <w:p w14:paraId="1854DCB8" w14:textId="7DE275F1" w:rsidR="00305A98" w:rsidRPr="00BE6A40" w:rsidRDefault="00305A98" w:rsidP="00BE6A40">
      <w:pPr>
        <w:widowControl w:val="0"/>
        <w:spacing w:before="120" w:after="120"/>
        <w:jc w:val="both"/>
        <w:rPr>
          <w:rFonts w:ascii="Tahoma" w:hAnsi="Tahoma" w:cs="Tahoma"/>
          <w:sz w:val="20"/>
          <w:szCs w:val="20"/>
        </w:rPr>
      </w:pPr>
    </w:p>
    <w:p w14:paraId="58923960" w14:textId="77777777" w:rsidR="0088016F" w:rsidRPr="00BE6A40" w:rsidRDefault="0088016F" w:rsidP="00BE6A40">
      <w:pPr>
        <w:numPr>
          <w:ilvl w:val="0"/>
          <w:numId w:val="1"/>
        </w:numPr>
        <w:spacing w:before="120" w:after="120"/>
        <w:outlineLvl w:val="0"/>
        <w:rPr>
          <w:rFonts w:ascii="Tahoma" w:hAnsi="Tahoma" w:cs="Tahoma"/>
          <w:b/>
          <w:sz w:val="20"/>
          <w:szCs w:val="20"/>
        </w:rPr>
      </w:pPr>
      <w:bookmarkStart w:id="20" w:name="_Toc424122380"/>
      <w:bookmarkStart w:id="21" w:name="_Toc438206745"/>
      <w:bookmarkStart w:id="22" w:name="_Toc438206781"/>
      <w:bookmarkStart w:id="23" w:name="_Toc438207001"/>
      <w:bookmarkStart w:id="24" w:name="_Toc433902917"/>
      <w:bookmarkStart w:id="25" w:name="_Toc463443775"/>
      <w:bookmarkStart w:id="26" w:name="_Toc488065488"/>
      <w:bookmarkStart w:id="27" w:name="_Toc514669049"/>
      <w:bookmarkStart w:id="28" w:name="_Toc55935487"/>
      <w:bookmarkStart w:id="29" w:name="_Toc178166124"/>
      <w:r w:rsidRPr="00BE6A40">
        <w:rPr>
          <w:rFonts w:ascii="Tahoma" w:hAnsi="Tahoma" w:cs="Tahoma"/>
          <w:b/>
          <w:sz w:val="20"/>
        </w:rPr>
        <w:t>Control Over Calculation of the Index</w:t>
      </w:r>
      <w:bookmarkEnd w:id="20"/>
      <w:bookmarkEnd w:id="21"/>
      <w:bookmarkEnd w:id="22"/>
      <w:bookmarkEnd w:id="23"/>
      <w:bookmarkEnd w:id="24"/>
      <w:bookmarkEnd w:id="25"/>
      <w:bookmarkEnd w:id="26"/>
      <w:bookmarkEnd w:id="27"/>
      <w:bookmarkEnd w:id="28"/>
      <w:bookmarkEnd w:id="29"/>
    </w:p>
    <w:p w14:paraId="7CAFF71B" w14:textId="77777777" w:rsidR="0088016F" w:rsidRPr="00BE6A40" w:rsidRDefault="0088016F" w:rsidP="00BE6A40">
      <w:pPr>
        <w:spacing w:before="120" w:after="120"/>
        <w:ind w:left="360"/>
        <w:outlineLvl w:val="0"/>
        <w:rPr>
          <w:rFonts w:ascii="Tahoma" w:hAnsi="Tahoma" w:cs="Tahoma"/>
          <w:b/>
          <w:sz w:val="20"/>
        </w:rPr>
      </w:pPr>
    </w:p>
    <w:p w14:paraId="05A7C1D8" w14:textId="77777777" w:rsidR="0088016F" w:rsidRPr="00BE6A40" w:rsidRDefault="0088016F" w:rsidP="00BE6A40">
      <w:pPr>
        <w:numPr>
          <w:ilvl w:val="1"/>
          <w:numId w:val="1"/>
        </w:numPr>
        <w:spacing w:before="120" w:after="120"/>
        <w:jc w:val="both"/>
        <w:rPr>
          <w:rFonts w:ascii="Tahoma" w:hAnsi="Tahoma" w:cs="Tahoma"/>
          <w:sz w:val="20"/>
          <w:szCs w:val="20"/>
        </w:rPr>
      </w:pPr>
      <w:r w:rsidRPr="00BE6A40">
        <w:rPr>
          <w:rFonts w:ascii="Tahoma" w:hAnsi="Tahoma" w:cs="Tahoma"/>
          <w:sz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shall be carried out within the shortest possible time from the moment of detection of the technical failure. Upon recalculation of the Index, the Exchange posts the relevant announcement on its website.</w:t>
      </w:r>
    </w:p>
    <w:p w14:paraId="0FC438D7" w14:textId="77777777" w:rsidR="0088016F" w:rsidRPr="00BE6A40" w:rsidRDefault="0088016F" w:rsidP="00BE6A40">
      <w:pPr>
        <w:numPr>
          <w:ilvl w:val="1"/>
          <w:numId w:val="1"/>
        </w:numPr>
        <w:spacing w:before="120" w:after="120"/>
        <w:jc w:val="both"/>
        <w:rPr>
          <w:rFonts w:ascii="Tahoma" w:hAnsi="Tahoma" w:cs="Tahoma"/>
          <w:sz w:val="20"/>
          <w:szCs w:val="20"/>
        </w:rPr>
      </w:pPr>
      <w:r w:rsidRPr="00BE6A40">
        <w:rPr>
          <w:rFonts w:ascii="Tahoma" w:hAnsi="Tahoma" w:cs="Tahoma"/>
          <w:sz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29A7A772" w14:textId="184A1AE5" w:rsidR="006C4061" w:rsidRPr="00BE6A40" w:rsidRDefault="006C4061" w:rsidP="00BE6A40">
      <w:pPr>
        <w:widowControl w:val="0"/>
        <w:spacing w:before="120" w:after="120"/>
        <w:jc w:val="both"/>
        <w:rPr>
          <w:rFonts w:ascii="Tahoma" w:hAnsi="Tahoma" w:cs="Tahoma"/>
          <w:sz w:val="20"/>
          <w:szCs w:val="20"/>
        </w:rPr>
      </w:pPr>
    </w:p>
    <w:p w14:paraId="0AA4407C" w14:textId="77777777" w:rsidR="00657BF4" w:rsidRPr="00BE6A40" w:rsidRDefault="00657BF4" w:rsidP="00BE6A40">
      <w:pPr>
        <w:numPr>
          <w:ilvl w:val="0"/>
          <w:numId w:val="1"/>
        </w:numPr>
        <w:spacing w:before="120" w:after="120"/>
        <w:jc w:val="both"/>
        <w:outlineLvl w:val="0"/>
        <w:rPr>
          <w:rFonts w:ascii="Tahoma" w:hAnsi="Tahoma" w:cs="Tahoma"/>
          <w:b/>
          <w:sz w:val="20"/>
          <w:szCs w:val="20"/>
        </w:rPr>
      </w:pPr>
      <w:bookmarkStart w:id="30" w:name="_Toc144482456"/>
      <w:bookmarkStart w:id="31" w:name="_Toc178166125"/>
      <w:bookmarkEnd w:id="18"/>
      <w:bookmarkEnd w:id="19"/>
      <w:r w:rsidRPr="00BE6A40">
        <w:rPr>
          <w:rFonts w:ascii="Tahoma" w:hAnsi="Tahoma" w:cs="Tahoma"/>
          <w:b/>
          <w:sz w:val="20"/>
        </w:rPr>
        <w:t>Publication</w:t>
      </w:r>
      <w:bookmarkEnd w:id="30"/>
      <w:bookmarkEnd w:id="31"/>
    </w:p>
    <w:p w14:paraId="5A4A8D04" w14:textId="77777777" w:rsidR="00657BF4" w:rsidRPr="00BE6A40" w:rsidRDefault="00657BF4" w:rsidP="00BE6A40">
      <w:pPr>
        <w:pStyle w:val="a3"/>
        <w:spacing w:before="120"/>
        <w:ind w:left="360"/>
        <w:jc w:val="both"/>
        <w:rPr>
          <w:rFonts w:ascii="Tahoma" w:hAnsi="Tahoma" w:cs="Tahoma"/>
          <w:sz w:val="20"/>
        </w:rPr>
      </w:pPr>
    </w:p>
    <w:p w14:paraId="7910C697" w14:textId="77777777" w:rsidR="00FD04CE" w:rsidRPr="00BE6A40" w:rsidRDefault="00FD04CE" w:rsidP="00BE6A40">
      <w:pPr>
        <w:numPr>
          <w:ilvl w:val="1"/>
          <w:numId w:val="1"/>
        </w:numPr>
        <w:spacing w:before="120" w:after="120"/>
        <w:jc w:val="both"/>
        <w:rPr>
          <w:rFonts w:ascii="Tahoma" w:hAnsi="Tahoma" w:cs="Tahoma"/>
          <w:sz w:val="20"/>
          <w:szCs w:val="20"/>
        </w:rPr>
      </w:pPr>
      <w:r w:rsidRPr="00BE6A40">
        <w:rPr>
          <w:rFonts w:ascii="Tahoma" w:hAnsi="Tahoma" w:cs="Tahoma"/>
          <w:sz w:val="20"/>
        </w:rPr>
        <w:t>Disclosure of information provided for by this Methodology, is made on the Exchange official website.</w:t>
      </w:r>
    </w:p>
    <w:p w14:paraId="50DB68D0" w14:textId="0F2E8A35" w:rsidR="000C6916" w:rsidRPr="00BE6A40" w:rsidRDefault="000C6916" w:rsidP="00BE6A40">
      <w:pPr>
        <w:numPr>
          <w:ilvl w:val="1"/>
          <w:numId w:val="1"/>
        </w:numPr>
        <w:spacing w:before="120" w:after="120"/>
        <w:jc w:val="both"/>
        <w:rPr>
          <w:rFonts w:ascii="Tahoma" w:hAnsi="Tahoma" w:cs="Tahoma"/>
          <w:sz w:val="20"/>
          <w:szCs w:val="20"/>
        </w:rPr>
      </w:pPr>
      <w:r w:rsidRPr="00BE6A40">
        <w:rPr>
          <w:rFonts w:ascii="Tahoma" w:hAnsi="Tahoma" w:cs="Tahoma"/>
          <w:sz w:val="20"/>
        </w:rPr>
        <w:t>The values of the Index and the Additional Factors for the previous trading day are published each trading day not later than 12:00 (noon) Moscow time.</w:t>
      </w:r>
    </w:p>
    <w:p w14:paraId="139F7D87" w14:textId="786E80EE" w:rsidR="00434DA7" w:rsidRPr="00BE6A40" w:rsidRDefault="00434DA7" w:rsidP="00BE6A40">
      <w:pPr>
        <w:numPr>
          <w:ilvl w:val="1"/>
          <w:numId w:val="1"/>
        </w:numPr>
        <w:spacing w:before="120" w:after="120"/>
        <w:jc w:val="both"/>
        <w:rPr>
          <w:rFonts w:ascii="Tahoma" w:hAnsi="Tahoma" w:cs="Tahoma"/>
          <w:sz w:val="20"/>
          <w:szCs w:val="20"/>
        </w:rPr>
      </w:pPr>
      <w:r w:rsidRPr="00BE6A40">
        <w:rPr>
          <w:rFonts w:ascii="Tahoma" w:hAnsi="Tahoma" w:cs="Tahoma"/>
          <w:sz w:val="20"/>
        </w:rPr>
        <w:t xml:space="preserve">The Methodology shall be published on the </w:t>
      </w:r>
      <w:r w:rsidR="00BE6A40" w:rsidRPr="00BE6A40">
        <w:rPr>
          <w:rFonts w:ascii="Tahoma" w:hAnsi="Tahoma" w:cs="Tahoma"/>
          <w:sz w:val="20"/>
        </w:rPr>
        <w:t>official website</w:t>
      </w:r>
      <w:r w:rsidRPr="00BE6A40">
        <w:rPr>
          <w:rFonts w:ascii="Tahoma" w:hAnsi="Tahoma" w:cs="Tahoma"/>
          <w:sz w:val="20"/>
        </w:rPr>
        <w:t xml:space="preserve"> of Moscow Exchange not later than three working days prior to its effective date, unless the Exchange resolves otherwise.</w:t>
      </w:r>
    </w:p>
    <w:p w14:paraId="62441B42" w14:textId="77777777" w:rsidR="00973E3C" w:rsidRPr="00BE6A40" w:rsidRDefault="00973E3C" w:rsidP="00BE6A40">
      <w:pPr>
        <w:pStyle w:val="af2"/>
        <w:numPr>
          <w:ilvl w:val="1"/>
          <w:numId w:val="1"/>
        </w:numPr>
        <w:spacing w:before="120" w:after="120"/>
        <w:jc w:val="both"/>
        <w:rPr>
          <w:rFonts w:ascii="Tahoma" w:hAnsi="Tahoma" w:cs="Tahoma"/>
          <w:sz w:val="20"/>
          <w:szCs w:val="20"/>
        </w:rPr>
      </w:pPr>
      <w:r w:rsidRPr="00BE6A40">
        <w:rPr>
          <w:rFonts w:ascii="Tahoma" w:hAnsi="Tahoma" w:cs="Tahoma"/>
          <w:sz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67F0D956" w14:textId="77777777" w:rsidR="009523B4" w:rsidRPr="00BE6A40" w:rsidRDefault="009523B4" w:rsidP="00BE6A40">
      <w:pPr>
        <w:numPr>
          <w:ilvl w:val="1"/>
          <w:numId w:val="1"/>
        </w:numPr>
        <w:spacing w:before="120" w:after="120"/>
        <w:jc w:val="both"/>
        <w:rPr>
          <w:rFonts w:ascii="Tahoma" w:hAnsi="Tahoma" w:cs="Tahoma"/>
          <w:sz w:val="20"/>
          <w:szCs w:val="20"/>
        </w:rPr>
      </w:pPr>
      <w:r w:rsidRPr="00BE6A40">
        <w:rPr>
          <w:rFonts w:ascii="Tahoma" w:hAnsi="Tahoma" w:cs="Tahoma"/>
          <w:sz w:val="20"/>
        </w:rPr>
        <w:t>Notification on extraordinary Index Reviews are disclosed on the Exchange's official website not later than the day preceding the effective date of the Exchange's decision on approval of the new Index Constituents.</w:t>
      </w:r>
    </w:p>
    <w:p w14:paraId="1DCE96CE" w14:textId="77777777" w:rsidR="006C34EC" w:rsidRPr="00BE6A40" w:rsidRDefault="00657BF4" w:rsidP="00BE6A40">
      <w:pPr>
        <w:numPr>
          <w:ilvl w:val="1"/>
          <w:numId w:val="1"/>
        </w:numPr>
        <w:spacing w:before="120" w:after="120"/>
        <w:jc w:val="both"/>
        <w:rPr>
          <w:rFonts w:ascii="Tahoma" w:hAnsi="Tahoma" w:cs="Tahoma"/>
          <w:sz w:val="20"/>
          <w:szCs w:val="20"/>
        </w:rPr>
      </w:pPr>
      <w:r w:rsidRPr="00BE6A40">
        <w:rPr>
          <w:rFonts w:ascii="Tahoma" w:hAnsi="Tahoma" w:cs="Tahoma"/>
          <w:sz w:val="20"/>
        </w:rPr>
        <w:t>Information subject to disclosure in accordance with this Methodology on the Exchange official website may additionally be disseminated by other means, including through information agencies disseminating MOEX market data.</w:t>
      </w:r>
    </w:p>
    <w:p w14:paraId="79750516" w14:textId="72EBF83E" w:rsidR="0031044C" w:rsidRPr="00BE6A40" w:rsidRDefault="0031044C" w:rsidP="00BE6A40">
      <w:pPr>
        <w:spacing w:before="120" w:after="120"/>
        <w:jc w:val="both"/>
        <w:rPr>
          <w:rFonts w:ascii="Tahoma" w:hAnsi="Tahoma" w:cs="Tahoma"/>
          <w:sz w:val="20"/>
          <w:szCs w:val="20"/>
        </w:rPr>
      </w:pPr>
    </w:p>
    <w:p w14:paraId="619F4BCC" w14:textId="372BB2E4" w:rsidR="00101ACC" w:rsidRPr="00BE6A40" w:rsidRDefault="00101ACC" w:rsidP="00BE6A40">
      <w:pPr>
        <w:spacing w:before="120" w:after="120"/>
        <w:jc w:val="both"/>
        <w:rPr>
          <w:rFonts w:ascii="Tahoma" w:hAnsi="Tahoma" w:cs="Tahoma"/>
          <w:sz w:val="20"/>
          <w:szCs w:val="20"/>
        </w:rPr>
      </w:pPr>
    </w:p>
    <w:p w14:paraId="2F779FD7" w14:textId="77777777" w:rsidR="00101ACC" w:rsidRPr="00BE6A40" w:rsidRDefault="00101ACC" w:rsidP="00BE6A40">
      <w:pPr>
        <w:spacing w:before="120" w:after="120"/>
        <w:jc w:val="right"/>
        <w:rPr>
          <w:rFonts w:ascii="Tahoma" w:hAnsi="Tahoma" w:cs="Tahoma"/>
          <w:sz w:val="20"/>
          <w:szCs w:val="20"/>
        </w:rPr>
      </w:pPr>
    </w:p>
    <w:sectPr w:rsidR="00101ACC" w:rsidRPr="00BE6A40" w:rsidSect="0000094C">
      <w:headerReference w:type="default" r:id="rId8"/>
      <w:footerReference w:type="even" r:id="rId9"/>
      <w:footerReference w:type="default" r:id="rId10"/>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E8DFE" w14:textId="77777777" w:rsidR="009346B8" w:rsidRDefault="009346B8">
      <w:r>
        <w:separator/>
      </w:r>
    </w:p>
  </w:endnote>
  <w:endnote w:type="continuationSeparator" w:id="0">
    <w:p w14:paraId="52E9FE4A" w14:textId="77777777" w:rsidR="009346B8" w:rsidRDefault="009346B8">
      <w:r>
        <w:continuationSeparator/>
      </w:r>
    </w:p>
  </w:endnote>
  <w:endnote w:type="continuationNotice" w:id="1">
    <w:p w14:paraId="3E22C2EB" w14:textId="77777777" w:rsidR="009346B8" w:rsidRDefault="00934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6A85" w14:textId="7DBAD830" w:rsidR="00FA496B" w:rsidRDefault="00FA496B" w:rsidP="002606AA">
    <w:pPr>
      <w:pStyle w:val="a9"/>
      <w:framePr w:wrap="around" w:vAnchor="text" w:hAnchor="margin" w:xAlign="right" w:y="1"/>
      <w:rPr>
        <w:rStyle w:val="aa"/>
      </w:rPr>
    </w:pPr>
    <w:r>
      <w:rPr>
        <w:rStyle w:val="aa"/>
      </w:rPr>
      <w:fldChar w:fldCharType="begin"/>
    </w:r>
    <w:r>
      <w:rPr>
        <w:rStyle w:val="aa"/>
      </w:rPr>
      <w:instrText xml:space="preserve">PAGE  </w:instrText>
    </w:r>
    <w:r w:rsidR="00BE6A40">
      <w:rPr>
        <w:rStyle w:val="aa"/>
      </w:rPr>
      <w:fldChar w:fldCharType="separate"/>
    </w:r>
    <w:r w:rsidR="00BE6A40">
      <w:rPr>
        <w:rStyle w:val="aa"/>
        <w:noProof/>
      </w:rPr>
      <w:t>6</w:t>
    </w:r>
    <w:r>
      <w:rPr>
        <w:rStyle w:val="aa"/>
      </w:rPr>
      <w:fldChar w:fldCharType="end"/>
    </w:r>
  </w:p>
  <w:p w14:paraId="23E71BB4" w14:textId="77777777" w:rsidR="00FA496B" w:rsidRDefault="00FA496B"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DA11" w14:textId="77777777" w:rsidR="00FA496B" w:rsidRPr="006D19CD" w:rsidRDefault="00FA496B"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2</w:t>
    </w:r>
    <w:r w:rsidRPr="006D19CD">
      <w:rPr>
        <w:rStyle w:val="aa"/>
        <w:rFonts w:ascii="Arial" w:hAnsi="Arial" w:cs="Arial"/>
        <w:sz w:val="20"/>
      </w:rPr>
      <w:fldChar w:fldCharType="end"/>
    </w:r>
  </w:p>
  <w:p w14:paraId="3DC6B0BE" w14:textId="77777777" w:rsidR="00FA496B" w:rsidRDefault="00FA496B"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40128" w14:textId="77777777" w:rsidR="009346B8" w:rsidRDefault="009346B8">
      <w:r>
        <w:separator/>
      </w:r>
    </w:p>
  </w:footnote>
  <w:footnote w:type="continuationSeparator" w:id="0">
    <w:p w14:paraId="76358B3F" w14:textId="77777777" w:rsidR="009346B8" w:rsidRDefault="009346B8">
      <w:r>
        <w:continuationSeparator/>
      </w:r>
    </w:p>
  </w:footnote>
  <w:footnote w:type="continuationNotice" w:id="1">
    <w:p w14:paraId="294810AD" w14:textId="77777777" w:rsidR="009346B8" w:rsidRDefault="009346B8"/>
  </w:footnote>
  <w:footnote w:id="2">
    <w:p w14:paraId="17CC9A66" w14:textId="021E01E3" w:rsidR="00FA496B" w:rsidRPr="00305B11" w:rsidRDefault="00FA496B">
      <w:pPr>
        <w:pStyle w:val="af9"/>
        <w:rPr>
          <w:rFonts w:ascii="Tahoma" w:hAnsi="Tahoma" w:cs="Tahoma"/>
          <w:sz w:val="18"/>
          <w:szCs w:val="18"/>
        </w:rPr>
      </w:pPr>
      <w:r>
        <w:rPr>
          <w:rStyle w:val="afb"/>
          <w:sz w:val="18"/>
          <w:szCs w:val="18"/>
        </w:rPr>
        <w:footnoteRef/>
      </w:r>
      <w:r>
        <w:rPr>
          <w:sz w:val="18"/>
        </w:rPr>
        <w:t xml:space="preserve"> </w:t>
      </w:r>
      <w:r>
        <w:rPr>
          <w:rFonts w:ascii="Tahoma" w:hAnsi="Tahoma"/>
          <w:sz w:val="18"/>
        </w:rPr>
        <w:t xml:space="preserve">National Scale Rating level of ACRA and corresponding Ratings of Expert RA, National Rating </w:t>
      </w:r>
      <w:r w:rsidR="00BE6A40">
        <w:rPr>
          <w:rFonts w:ascii="Tahoma" w:hAnsi="Tahoma"/>
          <w:sz w:val="18"/>
        </w:rPr>
        <w:t>Agency and</w:t>
      </w:r>
      <w:r>
        <w:rPr>
          <w:rFonts w:ascii="Tahoma" w:hAnsi="Tahoma"/>
          <w:sz w:val="18"/>
        </w:rPr>
        <w:t xml:space="preserve"> National Credit Ratings.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7709C" w14:textId="77777777" w:rsidR="009346B8" w:rsidRDefault="009346B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3"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4" w15:restartNumberingAfterBreak="0">
    <w:nsid w:val="35EF47FD"/>
    <w:multiLevelType w:val="hybridMultilevel"/>
    <w:tmpl w:val="EB780FA6"/>
    <w:lvl w:ilvl="0" w:tplc="DCEAA83A">
      <w:start w:val="1"/>
      <w:numFmt w:val="bullet"/>
      <w:lvlText w:val="-"/>
      <w:lvlJc w:val="left"/>
      <w:pPr>
        <w:ind w:left="1571"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540C289A"/>
    <w:multiLevelType w:val="multilevel"/>
    <w:tmpl w:val="84A8B05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2"/>
  </w:num>
  <w:num w:numId="3">
    <w:abstractNumId w:val="1"/>
  </w:num>
  <w:num w:numId="4">
    <w:abstractNumId w:val="0"/>
  </w:num>
  <w:num w:numId="5">
    <w:abstractNumId w:val="7"/>
  </w:num>
  <w:num w:numId="6">
    <w:abstractNumId w:val="6"/>
  </w:num>
  <w:num w:numId="7">
    <w:abstractNumId w:val="3"/>
  </w:num>
  <w:num w:numId="8">
    <w:abstractNumId w:val="5"/>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094C"/>
    <w:rsid w:val="0000137A"/>
    <w:rsid w:val="00001973"/>
    <w:rsid w:val="00001C77"/>
    <w:rsid w:val="00001E00"/>
    <w:rsid w:val="00002D56"/>
    <w:rsid w:val="0000383E"/>
    <w:rsid w:val="00003F00"/>
    <w:rsid w:val="000052C9"/>
    <w:rsid w:val="0000537C"/>
    <w:rsid w:val="000057B1"/>
    <w:rsid w:val="00005C3D"/>
    <w:rsid w:val="00005F86"/>
    <w:rsid w:val="00006A72"/>
    <w:rsid w:val="00006E2C"/>
    <w:rsid w:val="00010E7F"/>
    <w:rsid w:val="00012255"/>
    <w:rsid w:val="00013643"/>
    <w:rsid w:val="00014201"/>
    <w:rsid w:val="00014370"/>
    <w:rsid w:val="00014845"/>
    <w:rsid w:val="00014BB7"/>
    <w:rsid w:val="00014E31"/>
    <w:rsid w:val="000156F5"/>
    <w:rsid w:val="00015D70"/>
    <w:rsid w:val="00017088"/>
    <w:rsid w:val="000174D1"/>
    <w:rsid w:val="00017B26"/>
    <w:rsid w:val="00017CDA"/>
    <w:rsid w:val="00017D6E"/>
    <w:rsid w:val="00017FD1"/>
    <w:rsid w:val="000200A2"/>
    <w:rsid w:val="0002032B"/>
    <w:rsid w:val="0002071B"/>
    <w:rsid w:val="000209E1"/>
    <w:rsid w:val="00020C32"/>
    <w:rsid w:val="00020E7B"/>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20F"/>
    <w:rsid w:val="00033A1A"/>
    <w:rsid w:val="00033C3D"/>
    <w:rsid w:val="00035132"/>
    <w:rsid w:val="00035CED"/>
    <w:rsid w:val="00036606"/>
    <w:rsid w:val="00037772"/>
    <w:rsid w:val="00040096"/>
    <w:rsid w:val="00040DBD"/>
    <w:rsid w:val="0004118E"/>
    <w:rsid w:val="00041BAD"/>
    <w:rsid w:val="0004241E"/>
    <w:rsid w:val="000426EF"/>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F6A"/>
    <w:rsid w:val="00052C04"/>
    <w:rsid w:val="00053C47"/>
    <w:rsid w:val="0005407A"/>
    <w:rsid w:val="000548FC"/>
    <w:rsid w:val="00054DC4"/>
    <w:rsid w:val="00055138"/>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DF8"/>
    <w:rsid w:val="00066E06"/>
    <w:rsid w:val="00066EEF"/>
    <w:rsid w:val="00067025"/>
    <w:rsid w:val="00067894"/>
    <w:rsid w:val="00067A61"/>
    <w:rsid w:val="00067DAE"/>
    <w:rsid w:val="00070564"/>
    <w:rsid w:val="00071DF2"/>
    <w:rsid w:val="00071F37"/>
    <w:rsid w:val="000725D7"/>
    <w:rsid w:val="00072A00"/>
    <w:rsid w:val="00073E13"/>
    <w:rsid w:val="00075C76"/>
    <w:rsid w:val="00076644"/>
    <w:rsid w:val="00076956"/>
    <w:rsid w:val="00076D09"/>
    <w:rsid w:val="00077C31"/>
    <w:rsid w:val="000801B5"/>
    <w:rsid w:val="00080249"/>
    <w:rsid w:val="00080834"/>
    <w:rsid w:val="00080DAB"/>
    <w:rsid w:val="00080FD4"/>
    <w:rsid w:val="0008280D"/>
    <w:rsid w:val="00082DB5"/>
    <w:rsid w:val="00083708"/>
    <w:rsid w:val="0008386E"/>
    <w:rsid w:val="0008533B"/>
    <w:rsid w:val="00085FB5"/>
    <w:rsid w:val="0008600B"/>
    <w:rsid w:val="00086286"/>
    <w:rsid w:val="00086B7B"/>
    <w:rsid w:val="00086BDD"/>
    <w:rsid w:val="00087020"/>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AE6"/>
    <w:rsid w:val="000A37C8"/>
    <w:rsid w:val="000A430C"/>
    <w:rsid w:val="000A4ACC"/>
    <w:rsid w:val="000A4C28"/>
    <w:rsid w:val="000A5803"/>
    <w:rsid w:val="000A5AAA"/>
    <w:rsid w:val="000A618F"/>
    <w:rsid w:val="000A6293"/>
    <w:rsid w:val="000A6617"/>
    <w:rsid w:val="000A6C67"/>
    <w:rsid w:val="000B005B"/>
    <w:rsid w:val="000B0D4C"/>
    <w:rsid w:val="000B1117"/>
    <w:rsid w:val="000B1512"/>
    <w:rsid w:val="000B1E75"/>
    <w:rsid w:val="000B2665"/>
    <w:rsid w:val="000B47FE"/>
    <w:rsid w:val="000B5305"/>
    <w:rsid w:val="000B5B7B"/>
    <w:rsid w:val="000B624A"/>
    <w:rsid w:val="000B65FE"/>
    <w:rsid w:val="000B665E"/>
    <w:rsid w:val="000B678B"/>
    <w:rsid w:val="000B6C13"/>
    <w:rsid w:val="000B6EA2"/>
    <w:rsid w:val="000B718E"/>
    <w:rsid w:val="000B7444"/>
    <w:rsid w:val="000B751D"/>
    <w:rsid w:val="000B75AE"/>
    <w:rsid w:val="000B7D25"/>
    <w:rsid w:val="000C173A"/>
    <w:rsid w:val="000C1C0B"/>
    <w:rsid w:val="000C1C63"/>
    <w:rsid w:val="000C2944"/>
    <w:rsid w:val="000C2AED"/>
    <w:rsid w:val="000C357E"/>
    <w:rsid w:val="000C373D"/>
    <w:rsid w:val="000C378F"/>
    <w:rsid w:val="000C6325"/>
    <w:rsid w:val="000C6916"/>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A1F"/>
    <w:rsid w:val="000E0ECB"/>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6A8"/>
    <w:rsid w:val="000F4CD4"/>
    <w:rsid w:val="000F4E39"/>
    <w:rsid w:val="000F5C30"/>
    <w:rsid w:val="000F64BE"/>
    <w:rsid w:val="000F7FE1"/>
    <w:rsid w:val="001001FB"/>
    <w:rsid w:val="00101ACC"/>
    <w:rsid w:val="00101C6B"/>
    <w:rsid w:val="001028DE"/>
    <w:rsid w:val="00103637"/>
    <w:rsid w:val="00103B76"/>
    <w:rsid w:val="00103E59"/>
    <w:rsid w:val="001040A2"/>
    <w:rsid w:val="001040BC"/>
    <w:rsid w:val="00106E61"/>
    <w:rsid w:val="0011077D"/>
    <w:rsid w:val="00110F5E"/>
    <w:rsid w:val="00110FC6"/>
    <w:rsid w:val="00113288"/>
    <w:rsid w:val="00115892"/>
    <w:rsid w:val="001173DD"/>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67B6"/>
    <w:rsid w:val="00146CF7"/>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706E"/>
    <w:rsid w:val="001675DA"/>
    <w:rsid w:val="00167635"/>
    <w:rsid w:val="0016797C"/>
    <w:rsid w:val="00167BA3"/>
    <w:rsid w:val="00170B1F"/>
    <w:rsid w:val="001723CD"/>
    <w:rsid w:val="00172E7E"/>
    <w:rsid w:val="00172F22"/>
    <w:rsid w:val="0017428E"/>
    <w:rsid w:val="00174B8F"/>
    <w:rsid w:val="00174D14"/>
    <w:rsid w:val="00175BAA"/>
    <w:rsid w:val="00175E40"/>
    <w:rsid w:val="00175FB5"/>
    <w:rsid w:val="00176DC2"/>
    <w:rsid w:val="00177817"/>
    <w:rsid w:val="0018019F"/>
    <w:rsid w:val="00180E9A"/>
    <w:rsid w:val="0018116B"/>
    <w:rsid w:val="00182166"/>
    <w:rsid w:val="001824CE"/>
    <w:rsid w:val="00185A65"/>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A0451"/>
    <w:rsid w:val="001A1388"/>
    <w:rsid w:val="001A178E"/>
    <w:rsid w:val="001A1A6E"/>
    <w:rsid w:val="001A1D4C"/>
    <w:rsid w:val="001A2CF0"/>
    <w:rsid w:val="001A30B4"/>
    <w:rsid w:val="001A32A1"/>
    <w:rsid w:val="001A3CA0"/>
    <w:rsid w:val="001A4315"/>
    <w:rsid w:val="001A4458"/>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06F"/>
    <w:rsid w:val="001C32F8"/>
    <w:rsid w:val="001C35C2"/>
    <w:rsid w:val="001C3681"/>
    <w:rsid w:val="001C3B67"/>
    <w:rsid w:val="001C3FA9"/>
    <w:rsid w:val="001C4735"/>
    <w:rsid w:val="001C4A61"/>
    <w:rsid w:val="001C4E07"/>
    <w:rsid w:val="001C5169"/>
    <w:rsid w:val="001C5B9F"/>
    <w:rsid w:val="001C652B"/>
    <w:rsid w:val="001D0B14"/>
    <w:rsid w:val="001D1782"/>
    <w:rsid w:val="001D2032"/>
    <w:rsid w:val="001D2DB5"/>
    <w:rsid w:val="001D3A1F"/>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5B4"/>
    <w:rsid w:val="001E2F58"/>
    <w:rsid w:val="001E328D"/>
    <w:rsid w:val="001E3DE2"/>
    <w:rsid w:val="001E496A"/>
    <w:rsid w:val="001E49DE"/>
    <w:rsid w:val="001E4BB5"/>
    <w:rsid w:val="001E5BF5"/>
    <w:rsid w:val="001E5E0D"/>
    <w:rsid w:val="001E6BFE"/>
    <w:rsid w:val="001E71D5"/>
    <w:rsid w:val="001E7AB5"/>
    <w:rsid w:val="001F02B2"/>
    <w:rsid w:val="001F0784"/>
    <w:rsid w:val="001F0814"/>
    <w:rsid w:val="001F0A7A"/>
    <w:rsid w:val="001F10AC"/>
    <w:rsid w:val="001F1502"/>
    <w:rsid w:val="001F15DF"/>
    <w:rsid w:val="001F17A0"/>
    <w:rsid w:val="001F1907"/>
    <w:rsid w:val="001F246A"/>
    <w:rsid w:val="001F2B72"/>
    <w:rsid w:val="001F4224"/>
    <w:rsid w:val="001F57D1"/>
    <w:rsid w:val="001F5A96"/>
    <w:rsid w:val="001F7F0B"/>
    <w:rsid w:val="0020092B"/>
    <w:rsid w:val="002027E3"/>
    <w:rsid w:val="00202A1E"/>
    <w:rsid w:val="00202A7C"/>
    <w:rsid w:val="0020328C"/>
    <w:rsid w:val="00203334"/>
    <w:rsid w:val="002047C0"/>
    <w:rsid w:val="00204C78"/>
    <w:rsid w:val="00204C7C"/>
    <w:rsid w:val="00204D50"/>
    <w:rsid w:val="00205E1D"/>
    <w:rsid w:val="00205F41"/>
    <w:rsid w:val="0020621D"/>
    <w:rsid w:val="00206386"/>
    <w:rsid w:val="00206662"/>
    <w:rsid w:val="00207D2B"/>
    <w:rsid w:val="002102F1"/>
    <w:rsid w:val="002105E4"/>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D2"/>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9C4"/>
    <w:rsid w:val="00231232"/>
    <w:rsid w:val="00232740"/>
    <w:rsid w:val="002332C7"/>
    <w:rsid w:val="0023411B"/>
    <w:rsid w:val="002349E7"/>
    <w:rsid w:val="0023549E"/>
    <w:rsid w:val="00235668"/>
    <w:rsid w:val="00235925"/>
    <w:rsid w:val="002362F3"/>
    <w:rsid w:val="00236D24"/>
    <w:rsid w:val="0023759B"/>
    <w:rsid w:val="002375C7"/>
    <w:rsid w:val="0024042C"/>
    <w:rsid w:val="002406A2"/>
    <w:rsid w:val="00241058"/>
    <w:rsid w:val="0024153A"/>
    <w:rsid w:val="00242B24"/>
    <w:rsid w:val="00242E65"/>
    <w:rsid w:val="00243DC4"/>
    <w:rsid w:val="002442F3"/>
    <w:rsid w:val="00244335"/>
    <w:rsid w:val="002444AB"/>
    <w:rsid w:val="00244757"/>
    <w:rsid w:val="00244AE4"/>
    <w:rsid w:val="00245357"/>
    <w:rsid w:val="00245B58"/>
    <w:rsid w:val="00245C9E"/>
    <w:rsid w:val="0024656E"/>
    <w:rsid w:val="00246B3D"/>
    <w:rsid w:val="00246BC9"/>
    <w:rsid w:val="00246EB1"/>
    <w:rsid w:val="00247E62"/>
    <w:rsid w:val="00250DD1"/>
    <w:rsid w:val="00251E4B"/>
    <w:rsid w:val="00252310"/>
    <w:rsid w:val="002532CE"/>
    <w:rsid w:val="00254463"/>
    <w:rsid w:val="00254481"/>
    <w:rsid w:val="002545D3"/>
    <w:rsid w:val="002553EF"/>
    <w:rsid w:val="00255EE3"/>
    <w:rsid w:val="002567CF"/>
    <w:rsid w:val="00257028"/>
    <w:rsid w:val="0026001D"/>
    <w:rsid w:val="002603BA"/>
    <w:rsid w:val="002606AA"/>
    <w:rsid w:val="002607BB"/>
    <w:rsid w:val="002629D6"/>
    <w:rsid w:val="00262DB5"/>
    <w:rsid w:val="00263E96"/>
    <w:rsid w:val="002640AE"/>
    <w:rsid w:val="002640C4"/>
    <w:rsid w:val="00265C38"/>
    <w:rsid w:val="00265C4F"/>
    <w:rsid w:val="00265E60"/>
    <w:rsid w:val="00265EDE"/>
    <w:rsid w:val="00266B01"/>
    <w:rsid w:val="00267288"/>
    <w:rsid w:val="002673C9"/>
    <w:rsid w:val="00267B1F"/>
    <w:rsid w:val="00267EB9"/>
    <w:rsid w:val="002707C7"/>
    <w:rsid w:val="00271844"/>
    <w:rsid w:val="00272962"/>
    <w:rsid w:val="00272C55"/>
    <w:rsid w:val="00273339"/>
    <w:rsid w:val="00273CE3"/>
    <w:rsid w:val="00274CB3"/>
    <w:rsid w:val="00274D2A"/>
    <w:rsid w:val="00274F28"/>
    <w:rsid w:val="002751E7"/>
    <w:rsid w:val="0027546F"/>
    <w:rsid w:val="00275F4E"/>
    <w:rsid w:val="00275FAC"/>
    <w:rsid w:val="002771E1"/>
    <w:rsid w:val="0027770E"/>
    <w:rsid w:val="00277727"/>
    <w:rsid w:val="00277F31"/>
    <w:rsid w:val="002801A1"/>
    <w:rsid w:val="002814EC"/>
    <w:rsid w:val="002816CD"/>
    <w:rsid w:val="00281EC5"/>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3956"/>
    <w:rsid w:val="002B4BD8"/>
    <w:rsid w:val="002B51FB"/>
    <w:rsid w:val="002B5240"/>
    <w:rsid w:val="002B562B"/>
    <w:rsid w:val="002B57C4"/>
    <w:rsid w:val="002B5927"/>
    <w:rsid w:val="002B5AD6"/>
    <w:rsid w:val="002B5B71"/>
    <w:rsid w:val="002B6261"/>
    <w:rsid w:val="002B655E"/>
    <w:rsid w:val="002B6B00"/>
    <w:rsid w:val="002B6D0B"/>
    <w:rsid w:val="002B6F0F"/>
    <w:rsid w:val="002B6F3A"/>
    <w:rsid w:val="002B7635"/>
    <w:rsid w:val="002B7DB9"/>
    <w:rsid w:val="002C0697"/>
    <w:rsid w:val="002C06E4"/>
    <w:rsid w:val="002C0C79"/>
    <w:rsid w:val="002C1347"/>
    <w:rsid w:val="002C1A3F"/>
    <w:rsid w:val="002C1D31"/>
    <w:rsid w:val="002C1E00"/>
    <w:rsid w:val="002C2696"/>
    <w:rsid w:val="002C2B06"/>
    <w:rsid w:val="002C2FF6"/>
    <w:rsid w:val="002C3295"/>
    <w:rsid w:val="002C3639"/>
    <w:rsid w:val="002C3866"/>
    <w:rsid w:val="002C43AC"/>
    <w:rsid w:val="002C48D1"/>
    <w:rsid w:val="002C50E3"/>
    <w:rsid w:val="002C5EF1"/>
    <w:rsid w:val="002C6E26"/>
    <w:rsid w:val="002C6F05"/>
    <w:rsid w:val="002C7B63"/>
    <w:rsid w:val="002D1021"/>
    <w:rsid w:val="002D120A"/>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D2E"/>
    <w:rsid w:val="002E3307"/>
    <w:rsid w:val="002E342F"/>
    <w:rsid w:val="002E5086"/>
    <w:rsid w:val="002E51BB"/>
    <w:rsid w:val="002E549B"/>
    <w:rsid w:val="002E5A43"/>
    <w:rsid w:val="002E5A9F"/>
    <w:rsid w:val="002E5F58"/>
    <w:rsid w:val="002E6B39"/>
    <w:rsid w:val="002E7003"/>
    <w:rsid w:val="002E725A"/>
    <w:rsid w:val="002E7370"/>
    <w:rsid w:val="002F17BA"/>
    <w:rsid w:val="002F1993"/>
    <w:rsid w:val="002F1E22"/>
    <w:rsid w:val="002F1E2C"/>
    <w:rsid w:val="002F2039"/>
    <w:rsid w:val="002F22FF"/>
    <w:rsid w:val="002F3368"/>
    <w:rsid w:val="002F3D21"/>
    <w:rsid w:val="002F52E8"/>
    <w:rsid w:val="002F65ED"/>
    <w:rsid w:val="002F6BD9"/>
    <w:rsid w:val="002F6BE7"/>
    <w:rsid w:val="002F6F97"/>
    <w:rsid w:val="002F7EB1"/>
    <w:rsid w:val="00300129"/>
    <w:rsid w:val="003008A7"/>
    <w:rsid w:val="00301184"/>
    <w:rsid w:val="003022B1"/>
    <w:rsid w:val="00302843"/>
    <w:rsid w:val="00302D4B"/>
    <w:rsid w:val="00303946"/>
    <w:rsid w:val="00303DB4"/>
    <w:rsid w:val="00304625"/>
    <w:rsid w:val="0030540D"/>
    <w:rsid w:val="00305A98"/>
    <w:rsid w:val="00305B11"/>
    <w:rsid w:val="0030639A"/>
    <w:rsid w:val="00306D78"/>
    <w:rsid w:val="003071DB"/>
    <w:rsid w:val="0030797D"/>
    <w:rsid w:val="0031044C"/>
    <w:rsid w:val="003108C0"/>
    <w:rsid w:val="00310945"/>
    <w:rsid w:val="003110FE"/>
    <w:rsid w:val="00311928"/>
    <w:rsid w:val="00311E74"/>
    <w:rsid w:val="0031232F"/>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92B"/>
    <w:rsid w:val="00326233"/>
    <w:rsid w:val="00326453"/>
    <w:rsid w:val="003268C5"/>
    <w:rsid w:val="00326DE6"/>
    <w:rsid w:val="00327881"/>
    <w:rsid w:val="00327A2D"/>
    <w:rsid w:val="00332250"/>
    <w:rsid w:val="00332A4D"/>
    <w:rsid w:val="00332A82"/>
    <w:rsid w:val="00332FDF"/>
    <w:rsid w:val="00333238"/>
    <w:rsid w:val="003333AB"/>
    <w:rsid w:val="003335D4"/>
    <w:rsid w:val="003339F2"/>
    <w:rsid w:val="0033410F"/>
    <w:rsid w:val="00334118"/>
    <w:rsid w:val="00334A13"/>
    <w:rsid w:val="00334B91"/>
    <w:rsid w:val="00334FD4"/>
    <w:rsid w:val="003356F3"/>
    <w:rsid w:val="00335975"/>
    <w:rsid w:val="003362B6"/>
    <w:rsid w:val="00336969"/>
    <w:rsid w:val="003370E1"/>
    <w:rsid w:val="0033718B"/>
    <w:rsid w:val="003372D0"/>
    <w:rsid w:val="003402B9"/>
    <w:rsid w:val="00340B17"/>
    <w:rsid w:val="00340BEE"/>
    <w:rsid w:val="003417E8"/>
    <w:rsid w:val="003420AD"/>
    <w:rsid w:val="00343709"/>
    <w:rsid w:val="00343CFA"/>
    <w:rsid w:val="00344D88"/>
    <w:rsid w:val="00346080"/>
    <w:rsid w:val="0034625D"/>
    <w:rsid w:val="00346591"/>
    <w:rsid w:val="00346A13"/>
    <w:rsid w:val="00346FEE"/>
    <w:rsid w:val="00347131"/>
    <w:rsid w:val="00347201"/>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7610"/>
    <w:rsid w:val="003576A0"/>
    <w:rsid w:val="00357E1E"/>
    <w:rsid w:val="00357E3E"/>
    <w:rsid w:val="00360D26"/>
    <w:rsid w:val="0036322E"/>
    <w:rsid w:val="0036328D"/>
    <w:rsid w:val="00364BE2"/>
    <w:rsid w:val="00364DE1"/>
    <w:rsid w:val="00366435"/>
    <w:rsid w:val="003665B9"/>
    <w:rsid w:val="003667C2"/>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8E6"/>
    <w:rsid w:val="00390315"/>
    <w:rsid w:val="00390FBE"/>
    <w:rsid w:val="003911D5"/>
    <w:rsid w:val="003915AE"/>
    <w:rsid w:val="00391738"/>
    <w:rsid w:val="00391F6B"/>
    <w:rsid w:val="00392100"/>
    <w:rsid w:val="00392390"/>
    <w:rsid w:val="00392682"/>
    <w:rsid w:val="00392993"/>
    <w:rsid w:val="00392AAF"/>
    <w:rsid w:val="00394B4B"/>
    <w:rsid w:val="00395852"/>
    <w:rsid w:val="00395E30"/>
    <w:rsid w:val="00396BB2"/>
    <w:rsid w:val="00396D60"/>
    <w:rsid w:val="00396D6A"/>
    <w:rsid w:val="0039746E"/>
    <w:rsid w:val="00397CF8"/>
    <w:rsid w:val="00397F41"/>
    <w:rsid w:val="003A062B"/>
    <w:rsid w:val="003A1059"/>
    <w:rsid w:val="003A1E47"/>
    <w:rsid w:val="003A27F2"/>
    <w:rsid w:val="003A294B"/>
    <w:rsid w:val="003A2DF4"/>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6BB"/>
    <w:rsid w:val="003E020C"/>
    <w:rsid w:val="003E02BE"/>
    <w:rsid w:val="003E07AA"/>
    <w:rsid w:val="003E0C2D"/>
    <w:rsid w:val="003E1290"/>
    <w:rsid w:val="003E13A5"/>
    <w:rsid w:val="003E19D1"/>
    <w:rsid w:val="003E1C4A"/>
    <w:rsid w:val="003E1F1D"/>
    <w:rsid w:val="003E2036"/>
    <w:rsid w:val="003E214F"/>
    <w:rsid w:val="003E242D"/>
    <w:rsid w:val="003E24E2"/>
    <w:rsid w:val="003E287B"/>
    <w:rsid w:val="003E303C"/>
    <w:rsid w:val="003E3F2C"/>
    <w:rsid w:val="003E441E"/>
    <w:rsid w:val="003E4D2A"/>
    <w:rsid w:val="003E6AB8"/>
    <w:rsid w:val="003E7046"/>
    <w:rsid w:val="003F090A"/>
    <w:rsid w:val="003F144F"/>
    <w:rsid w:val="003F178B"/>
    <w:rsid w:val="003F24A5"/>
    <w:rsid w:val="003F27BB"/>
    <w:rsid w:val="003F2CD3"/>
    <w:rsid w:val="003F37DA"/>
    <w:rsid w:val="003F488C"/>
    <w:rsid w:val="003F4D4D"/>
    <w:rsid w:val="003F4E65"/>
    <w:rsid w:val="003F4F7D"/>
    <w:rsid w:val="003F56CA"/>
    <w:rsid w:val="003F5782"/>
    <w:rsid w:val="003F58AA"/>
    <w:rsid w:val="003F5945"/>
    <w:rsid w:val="003F5A43"/>
    <w:rsid w:val="003F6D59"/>
    <w:rsid w:val="003F6E41"/>
    <w:rsid w:val="003F72E3"/>
    <w:rsid w:val="003F78AF"/>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833"/>
    <w:rsid w:val="00412B00"/>
    <w:rsid w:val="00412BF1"/>
    <w:rsid w:val="00412CEB"/>
    <w:rsid w:val="00412D99"/>
    <w:rsid w:val="00413E95"/>
    <w:rsid w:val="004145E5"/>
    <w:rsid w:val="0041520A"/>
    <w:rsid w:val="00415E7B"/>
    <w:rsid w:val="00416006"/>
    <w:rsid w:val="00416629"/>
    <w:rsid w:val="00416AF1"/>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09F"/>
    <w:rsid w:val="004352E5"/>
    <w:rsid w:val="004354F9"/>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272A"/>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4D6"/>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8C4"/>
    <w:rsid w:val="00481970"/>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85B"/>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D62"/>
    <w:rsid w:val="004B0F3C"/>
    <w:rsid w:val="004B1907"/>
    <w:rsid w:val="004B22B4"/>
    <w:rsid w:val="004B325D"/>
    <w:rsid w:val="004B3F74"/>
    <w:rsid w:val="004B4DE2"/>
    <w:rsid w:val="004B4ECD"/>
    <w:rsid w:val="004B52F3"/>
    <w:rsid w:val="004B5312"/>
    <w:rsid w:val="004B6010"/>
    <w:rsid w:val="004B6074"/>
    <w:rsid w:val="004B60C4"/>
    <w:rsid w:val="004B683C"/>
    <w:rsid w:val="004B6A8E"/>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498A"/>
    <w:rsid w:val="004D4DC8"/>
    <w:rsid w:val="004D5720"/>
    <w:rsid w:val="004D58A6"/>
    <w:rsid w:val="004D5D3E"/>
    <w:rsid w:val="004D5DB9"/>
    <w:rsid w:val="004D6101"/>
    <w:rsid w:val="004D62FF"/>
    <w:rsid w:val="004D6CB3"/>
    <w:rsid w:val="004D6DCB"/>
    <w:rsid w:val="004D70E0"/>
    <w:rsid w:val="004D7569"/>
    <w:rsid w:val="004D7D82"/>
    <w:rsid w:val="004E096F"/>
    <w:rsid w:val="004E0D16"/>
    <w:rsid w:val="004E1217"/>
    <w:rsid w:val="004E1D7D"/>
    <w:rsid w:val="004E1E45"/>
    <w:rsid w:val="004E2177"/>
    <w:rsid w:val="004E268A"/>
    <w:rsid w:val="004E2FDD"/>
    <w:rsid w:val="004E34EE"/>
    <w:rsid w:val="004E46D6"/>
    <w:rsid w:val="004E4783"/>
    <w:rsid w:val="004E49BC"/>
    <w:rsid w:val="004E5B93"/>
    <w:rsid w:val="004E643A"/>
    <w:rsid w:val="004E683B"/>
    <w:rsid w:val="004E6A91"/>
    <w:rsid w:val="004E6BD2"/>
    <w:rsid w:val="004E6C13"/>
    <w:rsid w:val="004E7374"/>
    <w:rsid w:val="004E752D"/>
    <w:rsid w:val="004F00B5"/>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1EE"/>
    <w:rsid w:val="00503B37"/>
    <w:rsid w:val="00503FAC"/>
    <w:rsid w:val="0050474F"/>
    <w:rsid w:val="00504AEA"/>
    <w:rsid w:val="005055BC"/>
    <w:rsid w:val="005060BE"/>
    <w:rsid w:val="005066E4"/>
    <w:rsid w:val="005068B1"/>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C2"/>
    <w:rsid w:val="00545D44"/>
    <w:rsid w:val="0054675C"/>
    <w:rsid w:val="0054702B"/>
    <w:rsid w:val="0055020C"/>
    <w:rsid w:val="005506B5"/>
    <w:rsid w:val="00550810"/>
    <w:rsid w:val="00550DAC"/>
    <w:rsid w:val="005514C1"/>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61E"/>
    <w:rsid w:val="00572727"/>
    <w:rsid w:val="00572B87"/>
    <w:rsid w:val="00572F2A"/>
    <w:rsid w:val="005730A8"/>
    <w:rsid w:val="005731CB"/>
    <w:rsid w:val="00573C58"/>
    <w:rsid w:val="00574DD7"/>
    <w:rsid w:val="00574F17"/>
    <w:rsid w:val="00575522"/>
    <w:rsid w:val="005758A1"/>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A0054"/>
    <w:rsid w:val="005A0111"/>
    <w:rsid w:val="005A10EB"/>
    <w:rsid w:val="005A2879"/>
    <w:rsid w:val="005A40EE"/>
    <w:rsid w:val="005A4E1B"/>
    <w:rsid w:val="005A4F7F"/>
    <w:rsid w:val="005A5A8D"/>
    <w:rsid w:val="005A5B48"/>
    <w:rsid w:val="005A5E1D"/>
    <w:rsid w:val="005A7AA5"/>
    <w:rsid w:val="005B0682"/>
    <w:rsid w:val="005B0824"/>
    <w:rsid w:val="005B0DCB"/>
    <w:rsid w:val="005B0FF4"/>
    <w:rsid w:val="005B133A"/>
    <w:rsid w:val="005B1ECE"/>
    <w:rsid w:val="005B1F1F"/>
    <w:rsid w:val="005B2979"/>
    <w:rsid w:val="005B3ED2"/>
    <w:rsid w:val="005B43FE"/>
    <w:rsid w:val="005B45E5"/>
    <w:rsid w:val="005B4C82"/>
    <w:rsid w:val="005B4DFB"/>
    <w:rsid w:val="005B5612"/>
    <w:rsid w:val="005B62E2"/>
    <w:rsid w:val="005B7E04"/>
    <w:rsid w:val="005B7FAE"/>
    <w:rsid w:val="005C21BA"/>
    <w:rsid w:val="005C27CE"/>
    <w:rsid w:val="005C2C09"/>
    <w:rsid w:val="005C2FDC"/>
    <w:rsid w:val="005C352B"/>
    <w:rsid w:val="005C3C50"/>
    <w:rsid w:val="005C4637"/>
    <w:rsid w:val="005C4690"/>
    <w:rsid w:val="005C4891"/>
    <w:rsid w:val="005C4C63"/>
    <w:rsid w:val="005C7271"/>
    <w:rsid w:val="005D0459"/>
    <w:rsid w:val="005D056C"/>
    <w:rsid w:val="005D1093"/>
    <w:rsid w:val="005D153F"/>
    <w:rsid w:val="005D23D9"/>
    <w:rsid w:val="005D2822"/>
    <w:rsid w:val="005D2B28"/>
    <w:rsid w:val="005D2E25"/>
    <w:rsid w:val="005D3CE3"/>
    <w:rsid w:val="005D538F"/>
    <w:rsid w:val="005D780C"/>
    <w:rsid w:val="005E041F"/>
    <w:rsid w:val="005E06DB"/>
    <w:rsid w:val="005E0770"/>
    <w:rsid w:val="005E0799"/>
    <w:rsid w:val="005E0CC4"/>
    <w:rsid w:val="005E1751"/>
    <w:rsid w:val="005E3D98"/>
    <w:rsid w:val="005E3DA9"/>
    <w:rsid w:val="005E3F21"/>
    <w:rsid w:val="005E4228"/>
    <w:rsid w:val="005E464C"/>
    <w:rsid w:val="005E5EB0"/>
    <w:rsid w:val="005E6DC5"/>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7E6B"/>
    <w:rsid w:val="0060019F"/>
    <w:rsid w:val="00600886"/>
    <w:rsid w:val="00600B3C"/>
    <w:rsid w:val="00600FA2"/>
    <w:rsid w:val="006010BA"/>
    <w:rsid w:val="0060121C"/>
    <w:rsid w:val="006015A4"/>
    <w:rsid w:val="00601769"/>
    <w:rsid w:val="00601DBB"/>
    <w:rsid w:val="00603ACB"/>
    <w:rsid w:val="00603D42"/>
    <w:rsid w:val="00606336"/>
    <w:rsid w:val="00606E43"/>
    <w:rsid w:val="00606F4B"/>
    <w:rsid w:val="00607248"/>
    <w:rsid w:val="0060778F"/>
    <w:rsid w:val="00607AF8"/>
    <w:rsid w:val="00607C4D"/>
    <w:rsid w:val="00610050"/>
    <w:rsid w:val="0061032B"/>
    <w:rsid w:val="0061097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263"/>
    <w:rsid w:val="00623552"/>
    <w:rsid w:val="0062498E"/>
    <w:rsid w:val="00624EBC"/>
    <w:rsid w:val="00625B87"/>
    <w:rsid w:val="006262A5"/>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2785"/>
    <w:rsid w:val="00642E9E"/>
    <w:rsid w:val="00644704"/>
    <w:rsid w:val="00644E3A"/>
    <w:rsid w:val="006457BA"/>
    <w:rsid w:val="00646A6D"/>
    <w:rsid w:val="00647C7A"/>
    <w:rsid w:val="00650120"/>
    <w:rsid w:val="006504B5"/>
    <w:rsid w:val="0065106A"/>
    <w:rsid w:val="0065113F"/>
    <w:rsid w:val="006514CE"/>
    <w:rsid w:val="006522A3"/>
    <w:rsid w:val="00653326"/>
    <w:rsid w:val="0065559D"/>
    <w:rsid w:val="00655A14"/>
    <w:rsid w:val="00655EFE"/>
    <w:rsid w:val="00655F10"/>
    <w:rsid w:val="006563A5"/>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4046"/>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3DAD"/>
    <w:rsid w:val="00674137"/>
    <w:rsid w:val="0067493B"/>
    <w:rsid w:val="00674D52"/>
    <w:rsid w:val="00674F91"/>
    <w:rsid w:val="00675127"/>
    <w:rsid w:val="0067581A"/>
    <w:rsid w:val="00676D6A"/>
    <w:rsid w:val="00677DDA"/>
    <w:rsid w:val="006801C4"/>
    <w:rsid w:val="00680BE0"/>
    <w:rsid w:val="00681D4C"/>
    <w:rsid w:val="00681D99"/>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43DF"/>
    <w:rsid w:val="00694A9A"/>
    <w:rsid w:val="00694BC5"/>
    <w:rsid w:val="006955D3"/>
    <w:rsid w:val="00695826"/>
    <w:rsid w:val="006958F5"/>
    <w:rsid w:val="006972D7"/>
    <w:rsid w:val="00697B16"/>
    <w:rsid w:val="00697D0C"/>
    <w:rsid w:val="006A2101"/>
    <w:rsid w:val="006A21CD"/>
    <w:rsid w:val="006A3321"/>
    <w:rsid w:val="006A3D04"/>
    <w:rsid w:val="006A3DE5"/>
    <w:rsid w:val="006A6006"/>
    <w:rsid w:val="006A6105"/>
    <w:rsid w:val="006A6263"/>
    <w:rsid w:val="006A6963"/>
    <w:rsid w:val="006A6DE0"/>
    <w:rsid w:val="006A7057"/>
    <w:rsid w:val="006A755D"/>
    <w:rsid w:val="006A767A"/>
    <w:rsid w:val="006B0022"/>
    <w:rsid w:val="006B0984"/>
    <w:rsid w:val="006B0B95"/>
    <w:rsid w:val="006B14D7"/>
    <w:rsid w:val="006B1BA8"/>
    <w:rsid w:val="006B2C2A"/>
    <w:rsid w:val="006B3418"/>
    <w:rsid w:val="006B3C2E"/>
    <w:rsid w:val="006B4667"/>
    <w:rsid w:val="006B516B"/>
    <w:rsid w:val="006B5661"/>
    <w:rsid w:val="006B676B"/>
    <w:rsid w:val="006B6F06"/>
    <w:rsid w:val="006B7618"/>
    <w:rsid w:val="006B7B2A"/>
    <w:rsid w:val="006C0F48"/>
    <w:rsid w:val="006C2C15"/>
    <w:rsid w:val="006C34EC"/>
    <w:rsid w:val="006C3506"/>
    <w:rsid w:val="006C3992"/>
    <w:rsid w:val="006C3E97"/>
    <w:rsid w:val="006C4061"/>
    <w:rsid w:val="006C4AFA"/>
    <w:rsid w:val="006C5269"/>
    <w:rsid w:val="006C54C3"/>
    <w:rsid w:val="006C5575"/>
    <w:rsid w:val="006C57EC"/>
    <w:rsid w:val="006C5B43"/>
    <w:rsid w:val="006C6F9A"/>
    <w:rsid w:val="006C7DFD"/>
    <w:rsid w:val="006D0DC9"/>
    <w:rsid w:val="006D13C6"/>
    <w:rsid w:val="006D19CD"/>
    <w:rsid w:val="006D1EC9"/>
    <w:rsid w:val="006D269F"/>
    <w:rsid w:val="006D2DFB"/>
    <w:rsid w:val="006D318A"/>
    <w:rsid w:val="006D3629"/>
    <w:rsid w:val="006D4980"/>
    <w:rsid w:val="006D4AC0"/>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2AC8"/>
    <w:rsid w:val="006E322A"/>
    <w:rsid w:val="006E369C"/>
    <w:rsid w:val="006E3739"/>
    <w:rsid w:val="006E553C"/>
    <w:rsid w:val="006E6207"/>
    <w:rsid w:val="006E71DD"/>
    <w:rsid w:val="006F0063"/>
    <w:rsid w:val="006F03D8"/>
    <w:rsid w:val="006F07E5"/>
    <w:rsid w:val="006F1455"/>
    <w:rsid w:val="006F166C"/>
    <w:rsid w:val="006F2A1D"/>
    <w:rsid w:val="006F36F9"/>
    <w:rsid w:val="006F3D2A"/>
    <w:rsid w:val="006F5899"/>
    <w:rsid w:val="006F58D6"/>
    <w:rsid w:val="006F5975"/>
    <w:rsid w:val="006F5977"/>
    <w:rsid w:val="006F6EDB"/>
    <w:rsid w:val="006F758A"/>
    <w:rsid w:val="006F771D"/>
    <w:rsid w:val="006F7A7E"/>
    <w:rsid w:val="006F7E41"/>
    <w:rsid w:val="00701285"/>
    <w:rsid w:val="00702113"/>
    <w:rsid w:val="00702710"/>
    <w:rsid w:val="00702E81"/>
    <w:rsid w:val="0070301B"/>
    <w:rsid w:val="00704046"/>
    <w:rsid w:val="007045CE"/>
    <w:rsid w:val="00705052"/>
    <w:rsid w:val="00706096"/>
    <w:rsid w:val="007060AC"/>
    <w:rsid w:val="00707F5D"/>
    <w:rsid w:val="007121BE"/>
    <w:rsid w:val="007121DC"/>
    <w:rsid w:val="007126BE"/>
    <w:rsid w:val="00712B7F"/>
    <w:rsid w:val="00713521"/>
    <w:rsid w:val="00713B7C"/>
    <w:rsid w:val="00714972"/>
    <w:rsid w:val="00715A8C"/>
    <w:rsid w:val="00716A62"/>
    <w:rsid w:val="007208A2"/>
    <w:rsid w:val="007213DE"/>
    <w:rsid w:val="00721787"/>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139E"/>
    <w:rsid w:val="0073167F"/>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37045"/>
    <w:rsid w:val="0074050F"/>
    <w:rsid w:val="00740C76"/>
    <w:rsid w:val="00742176"/>
    <w:rsid w:val="00742AF5"/>
    <w:rsid w:val="00742B75"/>
    <w:rsid w:val="00744D31"/>
    <w:rsid w:val="007453B4"/>
    <w:rsid w:val="00745CB7"/>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F4E"/>
    <w:rsid w:val="00764FDC"/>
    <w:rsid w:val="00765068"/>
    <w:rsid w:val="0076573B"/>
    <w:rsid w:val="007659ED"/>
    <w:rsid w:val="00765A25"/>
    <w:rsid w:val="00765EB2"/>
    <w:rsid w:val="007671B2"/>
    <w:rsid w:val="00767458"/>
    <w:rsid w:val="007677CF"/>
    <w:rsid w:val="00767DC8"/>
    <w:rsid w:val="007702EE"/>
    <w:rsid w:val="00771094"/>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88E"/>
    <w:rsid w:val="00782FA9"/>
    <w:rsid w:val="00784512"/>
    <w:rsid w:val="0078495D"/>
    <w:rsid w:val="00785F34"/>
    <w:rsid w:val="00786B30"/>
    <w:rsid w:val="00786CCC"/>
    <w:rsid w:val="007876AB"/>
    <w:rsid w:val="00790073"/>
    <w:rsid w:val="00790DCE"/>
    <w:rsid w:val="007913F1"/>
    <w:rsid w:val="0079232E"/>
    <w:rsid w:val="007929F3"/>
    <w:rsid w:val="00792B1E"/>
    <w:rsid w:val="00793183"/>
    <w:rsid w:val="00794585"/>
    <w:rsid w:val="0079491D"/>
    <w:rsid w:val="00794926"/>
    <w:rsid w:val="00794FA3"/>
    <w:rsid w:val="00795074"/>
    <w:rsid w:val="00795770"/>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804"/>
    <w:rsid w:val="007A3790"/>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992"/>
    <w:rsid w:val="007B6EB3"/>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42"/>
    <w:rsid w:val="00815FC9"/>
    <w:rsid w:val="00816A73"/>
    <w:rsid w:val="00817220"/>
    <w:rsid w:val="00817AC3"/>
    <w:rsid w:val="00817E52"/>
    <w:rsid w:val="008209B3"/>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407B"/>
    <w:rsid w:val="0083590A"/>
    <w:rsid w:val="00835D8C"/>
    <w:rsid w:val="00836D77"/>
    <w:rsid w:val="008371C3"/>
    <w:rsid w:val="00837358"/>
    <w:rsid w:val="00837964"/>
    <w:rsid w:val="00840827"/>
    <w:rsid w:val="00840B9D"/>
    <w:rsid w:val="0084181F"/>
    <w:rsid w:val="0084187C"/>
    <w:rsid w:val="008429C8"/>
    <w:rsid w:val="00843604"/>
    <w:rsid w:val="008437A6"/>
    <w:rsid w:val="00843843"/>
    <w:rsid w:val="00843865"/>
    <w:rsid w:val="00843AEF"/>
    <w:rsid w:val="00845446"/>
    <w:rsid w:val="00845B23"/>
    <w:rsid w:val="00846978"/>
    <w:rsid w:val="00846F0B"/>
    <w:rsid w:val="00847411"/>
    <w:rsid w:val="00850026"/>
    <w:rsid w:val="00850344"/>
    <w:rsid w:val="008508D1"/>
    <w:rsid w:val="008516CE"/>
    <w:rsid w:val="00851B36"/>
    <w:rsid w:val="00851CCC"/>
    <w:rsid w:val="008526D7"/>
    <w:rsid w:val="0085278E"/>
    <w:rsid w:val="0085347D"/>
    <w:rsid w:val="008538F0"/>
    <w:rsid w:val="00854172"/>
    <w:rsid w:val="0085447C"/>
    <w:rsid w:val="00855328"/>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1158"/>
    <w:rsid w:val="00872E4B"/>
    <w:rsid w:val="008733E6"/>
    <w:rsid w:val="00873439"/>
    <w:rsid w:val="00874C8E"/>
    <w:rsid w:val="00875DBD"/>
    <w:rsid w:val="0087640A"/>
    <w:rsid w:val="00876E2F"/>
    <w:rsid w:val="00877068"/>
    <w:rsid w:val="00877889"/>
    <w:rsid w:val="008778B3"/>
    <w:rsid w:val="0088016F"/>
    <w:rsid w:val="00880172"/>
    <w:rsid w:val="008802F7"/>
    <w:rsid w:val="008818FD"/>
    <w:rsid w:val="008819A3"/>
    <w:rsid w:val="00881E4B"/>
    <w:rsid w:val="00883283"/>
    <w:rsid w:val="00883606"/>
    <w:rsid w:val="008843CA"/>
    <w:rsid w:val="0088489F"/>
    <w:rsid w:val="00884D5A"/>
    <w:rsid w:val="00886DB4"/>
    <w:rsid w:val="00886DFE"/>
    <w:rsid w:val="00887D84"/>
    <w:rsid w:val="008906D2"/>
    <w:rsid w:val="00890818"/>
    <w:rsid w:val="008918F9"/>
    <w:rsid w:val="00891C08"/>
    <w:rsid w:val="008931AA"/>
    <w:rsid w:val="00893ADC"/>
    <w:rsid w:val="008947BD"/>
    <w:rsid w:val="008948C4"/>
    <w:rsid w:val="00894E84"/>
    <w:rsid w:val="00895F3C"/>
    <w:rsid w:val="008964C3"/>
    <w:rsid w:val="00896B74"/>
    <w:rsid w:val="00896CA2"/>
    <w:rsid w:val="00897588"/>
    <w:rsid w:val="008975FC"/>
    <w:rsid w:val="00897A05"/>
    <w:rsid w:val="00897BC7"/>
    <w:rsid w:val="00897C49"/>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0EF4"/>
    <w:rsid w:val="008B13A3"/>
    <w:rsid w:val="008B14DC"/>
    <w:rsid w:val="008B1E6D"/>
    <w:rsid w:val="008B1FA9"/>
    <w:rsid w:val="008B25DF"/>
    <w:rsid w:val="008B2EED"/>
    <w:rsid w:val="008B3721"/>
    <w:rsid w:val="008B3944"/>
    <w:rsid w:val="008B3ADB"/>
    <w:rsid w:val="008B3B05"/>
    <w:rsid w:val="008B408C"/>
    <w:rsid w:val="008B426B"/>
    <w:rsid w:val="008B521F"/>
    <w:rsid w:val="008B5F4A"/>
    <w:rsid w:val="008B63B9"/>
    <w:rsid w:val="008B6830"/>
    <w:rsid w:val="008B73DB"/>
    <w:rsid w:val="008B75AD"/>
    <w:rsid w:val="008C13F2"/>
    <w:rsid w:val="008C1938"/>
    <w:rsid w:val="008C233E"/>
    <w:rsid w:val="008C2682"/>
    <w:rsid w:val="008C2A81"/>
    <w:rsid w:val="008C301A"/>
    <w:rsid w:val="008C4716"/>
    <w:rsid w:val="008C51BF"/>
    <w:rsid w:val="008C51D6"/>
    <w:rsid w:val="008C5400"/>
    <w:rsid w:val="008C67B2"/>
    <w:rsid w:val="008C6CF1"/>
    <w:rsid w:val="008C7123"/>
    <w:rsid w:val="008C782D"/>
    <w:rsid w:val="008C7B99"/>
    <w:rsid w:val="008D2006"/>
    <w:rsid w:val="008D2305"/>
    <w:rsid w:val="008D2A1A"/>
    <w:rsid w:val="008D397B"/>
    <w:rsid w:val="008D499E"/>
    <w:rsid w:val="008D4C01"/>
    <w:rsid w:val="008D4CA0"/>
    <w:rsid w:val="008D553B"/>
    <w:rsid w:val="008D5C27"/>
    <w:rsid w:val="008D6292"/>
    <w:rsid w:val="008D6EDE"/>
    <w:rsid w:val="008D74FF"/>
    <w:rsid w:val="008D789D"/>
    <w:rsid w:val="008D7D92"/>
    <w:rsid w:val="008E1168"/>
    <w:rsid w:val="008E2403"/>
    <w:rsid w:val="008E32D9"/>
    <w:rsid w:val="008E35F2"/>
    <w:rsid w:val="008E3939"/>
    <w:rsid w:val="008E4134"/>
    <w:rsid w:val="008E4EED"/>
    <w:rsid w:val="008E5A21"/>
    <w:rsid w:val="008E5BC7"/>
    <w:rsid w:val="008E6001"/>
    <w:rsid w:val="008E6029"/>
    <w:rsid w:val="008E67EF"/>
    <w:rsid w:val="008E7C56"/>
    <w:rsid w:val="008F00FE"/>
    <w:rsid w:val="008F0DC8"/>
    <w:rsid w:val="008F2410"/>
    <w:rsid w:val="008F2B6A"/>
    <w:rsid w:val="008F2E91"/>
    <w:rsid w:val="008F2FFC"/>
    <w:rsid w:val="008F33AB"/>
    <w:rsid w:val="008F440C"/>
    <w:rsid w:val="008F7209"/>
    <w:rsid w:val="008F726E"/>
    <w:rsid w:val="008F7A8E"/>
    <w:rsid w:val="009006E6"/>
    <w:rsid w:val="009009C8"/>
    <w:rsid w:val="00900F60"/>
    <w:rsid w:val="00901877"/>
    <w:rsid w:val="00901C82"/>
    <w:rsid w:val="009023EA"/>
    <w:rsid w:val="009025B9"/>
    <w:rsid w:val="009029E7"/>
    <w:rsid w:val="00903543"/>
    <w:rsid w:val="009038E2"/>
    <w:rsid w:val="00903D63"/>
    <w:rsid w:val="00903FC3"/>
    <w:rsid w:val="00905234"/>
    <w:rsid w:val="0090593C"/>
    <w:rsid w:val="00905B0F"/>
    <w:rsid w:val="00906255"/>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276"/>
    <w:rsid w:val="0091555B"/>
    <w:rsid w:val="0091621E"/>
    <w:rsid w:val="00916A53"/>
    <w:rsid w:val="00917D5C"/>
    <w:rsid w:val="00917D9F"/>
    <w:rsid w:val="00917E37"/>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46B8"/>
    <w:rsid w:val="00934C24"/>
    <w:rsid w:val="00936448"/>
    <w:rsid w:val="00936F19"/>
    <w:rsid w:val="0093758D"/>
    <w:rsid w:val="00941090"/>
    <w:rsid w:val="0094129B"/>
    <w:rsid w:val="009415AF"/>
    <w:rsid w:val="00941A24"/>
    <w:rsid w:val="009427BD"/>
    <w:rsid w:val="00942AB6"/>
    <w:rsid w:val="00944312"/>
    <w:rsid w:val="0094587C"/>
    <w:rsid w:val="00945B62"/>
    <w:rsid w:val="00945BD3"/>
    <w:rsid w:val="00946B9D"/>
    <w:rsid w:val="0094797F"/>
    <w:rsid w:val="00947D06"/>
    <w:rsid w:val="009509C0"/>
    <w:rsid w:val="00950C03"/>
    <w:rsid w:val="00950D33"/>
    <w:rsid w:val="009523B4"/>
    <w:rsid w:val="00952EFE"/>
    <w:rsid w:val="00953010"/>
    <w:rsid w:val="00953993"/>
    <w:rsid w:val="00953B65"/>
    <w:rsid w:val="00954A0C"/>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6CD"/>
    <w:rsid w:val="009650C9"/>
    <w:rsid w:val="00967642"/>
    <w:rsid w:val="00967716"/>
    <w:rsid w:val="00967732"/>
    <w:rsid w:val="00970425"/>
    <w:rsid w:val="00970553"/>
    <w:rsid w:val="00970614"/>
    <w:rsid w:val="009714BF"/>
    <w:rsid w:val="0097342D"/>
    <w:rsid w:val="00973BDB"/>
    <w:rsid w:val="00973E3C"/>
    <w:rsid w:val="0097411A"/>
    <w:rsid w:val="0097419C"/>
    <w:rsid w:val="0097445D"/>
    <w:rsid w:val="009760A4"/>
    <w:rsid w:val="009766AA"/>
    <w:rsid w:val="009767D8"/>
    <w:rsid w:val="00976B54"/>
    <w:rsid w:val="00976C61"/>
    <w:rsid w:val="009778BF"/>
    <w:rsid w:val="00980B85"/>
    <w:rsid w:val="0098146C"/>
    <w:rsid w:val="009814F6"/>
    <w:rsid w:val="00981ED0"/>
    <w:rsid w:val="00981F8F"/>
    <w:rsid w:val="009823D9"/>
    <w:rsid w:val="00982A49"/>
    <w:rsid w:val="00982C46"/>
    <w:rsid w:val="00982DC9"/>
    <w:rsid w:val="009834D3"/>
    <w:rsid w:val="009839F4"/>
    <w:rsid w:val="00983CFB"/>
    <w:rsid w:val="00985DD7"/>
    <w:rsid w:val="00986113"/>
    <w:rsid w:val="0098662C"/>
    <w:rsid w:val="0098662E"/>
    <w:rsid w:val="009870D9"/>
    <w:rsid w:val="00990094"/>
    <w:rsid w:val="00990927"/>
    <w:rsid w:val="00990BAE"/>
    <w:rsid w:val="00990D9F"/>
    <w:rsid w:val="009910FA"/>
    <w:rsid w:val="00991168"/>
    <w:rsid w:val="00991B42"/>
    <w:rsid w:val="009924AA"/>
    <w:rsid w:val="009926FB"/>
    <w:rsid w:val="00992E85"/>
    <w:rsid w:val="00993153"/>
    <w:rsid w:val="009935DD"/>
    <w:rsid w:val="00993B68"/>
    <w:rsid w:val="009946AF"/>
    <w:rsid w:val="0099481F"/>
    <w:rsid w:val="0099482E"/>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A7F8F"/>
    <w:rsid w:val="009B01D1"/>
    <w:rsid w:val="009B09F6"/>
    <w:rsid w:val="009B0DDD"/>
    <w:rsid w:val="009B132E"/>
    <w:rsid w:val="009B1F0A"/>
    <w:rsid w:val="009B2788"/>
    <w:rsid w:val="009B2F58"/>
    <w:rsid w:val="009B31EC"/>
    <w:rsid w:val="009B32A5"/>
    <w:rsid w:val="009B34C2"/>
    <w:rsid w:val="009B5449"/>
    <w:rsid w:val="009B7DAF"/>
    <w:rsid w:val="009C0956"/>
    <w:rsid w:val="009C10D9"/>
    <w:rsid w:val="009C1EB6"/>
    <w:rsid w:val="009C1FBC"/>
    <w:rsid w:val="009C204C"/>
    <w:rsid w:val="009C227F"/>
    <w:rsid w:val="009C2DEA"/>
    <w:rsid w:val="009C2FBD"/>
    <w:rsid w:val="009C414A"/>
    <w:rsid w:val="009C4D6A"/>
    <w:rsid w:val="009C50C2"/>
    <w:rsid w:val="009C6BEC"/>
    <w:rsid w:val="009C71D8"/>
    <w:rsid w:val="009C7F5B"/>
    <w:rsid w:val="009D00A2"/>
    <w:rsid w:val="009D0C64"/>
    <w:rsid w:val="009D113F"/>
    <w:rsid w:val="009D221F"/>
    <w:rsid w:val="009D2BAE"/>
    <w:rsid w:val="009D3EF7"/>
    <w:rsid w:val="009D5625"/>
    <w:rsid w:val="009D5B7D"/>
    <w:rsid w:val="009D5BE6"/>
    <w:rsid w:val="009D5C8F"/>
    <w:rsid w:val="009E00E8"/>
    <w:rsid w:val="009E0C2E"/>
    <w:rsid w:val="009E0C64"/>
    <w:rsid w:val="009E0FD7"/>
    <w:rsid w:val="009E16C7"/>
    <w:rsid w:val="009E2B6C"/>
    <w:rsid w:val="009E3A8C"/>
    <w:rsid w:val="009E3CD3"/>
    <w:rsid w:val="009E4789"/>
    <w:rsid w:val="009E481B"/>
    <w:rsid w:val="009E51EC"/>
    <w:rsid w:val="009E5666"/>
    <w:rsid w:val="009E59B4"/>
    <w:rsid w:val="009E5DB1"/>
    <w:rsid w:val="009E60BA"/>
    <w:rsid w:val="009F0655"/>
    <w:rsid w:val="009F07FF"/>
    <w:rsid w:val="009F0E84"/>
    <w:rsid w:val="009F1658"/>
    <w:rsid w:val="009F1822"/>
    <w:rsid w:val="009F261C"/>
    <w:rsid w:val="009F2941"/>
    <w:rsid w:val="009F37EC"/>
    <w:rsid w:val="009F4BB5"/>
    <w:rsid w:val="009F509E"/>
    <w:rsid w:val="009F555F"/>
    <w:rsid w:val="009F6225"/>
    <w:rsid w:val="009F6243"/>
    <w:rsid w:val="009F691A"/>
    <w:rsid w:val="009F6C5A"/>
    <w:rsid w:val="009F6FD8"/>
    <w:rsid w:val="009F710C"/>
    <w:rsid w:val="009F780E"/>
    <w:rsid w:val="009F7C59"/>
    <w:rsid w:val="00A00110"/>
    <w:rsid w:val="00A00933"/>
    <w:rsid w:val="00A01173"/>
    <w:rsid w:val="00A0225A"/>
    <w:rsid w:val="00A02D8D"/>
    <w:rsid w:val="00A045F5"/>
    <w:rsid w:val="00A05344"/>
    <w:rsid w:val="00A05998"/>
    <w:rsid w:val="00A05CE5"/>
    <w:rsid w:val="00A0630D"/>
    <w:rsid w:val="00A06678"/>
    <w:rsid w:val="00A0688A"/>
    <w:rsid w:val="00A07797"/>
    <w:rsid w:val="00A07991"/>
    <w:rsid w:val="00A108AF"/>
    <w:rsid w:val="00A1095C"/>
    <w:rsid w:val="00A111F5"/>
    <w:rsid w:val="00A11237"/>
    <w:rsid w:val="00A117AA"/>
    <w:rsid w:val="00A11ACD"/>
    <w:rsid w:val="00A122AE"/>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5E2"/>
    <w:rsid w:val="00A33840"/>
    <w:rsid w:val="00A33A12"/>
    <w:rsid w:val="00A33A8B"/>
    <w:rsid w:val="00A33BE6"/>
    <w:rsid w:val="00A33F24"/>
    <w:rsid w:val="00A3403F"/>
    <w:rsid w:val="00A3443E"/>
    <w:rsid w:val="00A35459"/>
    <w:rsid w:val="00A35596"/>
    <w:rsid w:val="00A365E8"/>
    <w:rsid w:val="00A36B18"/>
    <w:rsid w:val="00A37C21"/>
    <w:rsid w:val="00A40005"/>
    <w:rsid w:val="00A40B1A"/>
    <w:rsid w:val="00A40B49"/>
    <w:rsid w:val="00A40E5B"/>
    <w:rsid w:val="00A414B1"/>
    <w:rsid w:val="00A41B14"/>
    <w:rsid w:val="00A41EA7"/>
    <w:rsid w:val="00A42711"/>
    <w:rsid w:val="00A42C42"/>
    <w:rsid w:val="00A4340A"/>
    <w:rsid w:val="00A44619"/>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3316"/>
    <w:rsid w:val="00A64770"/>
    <w:rsid w:val="00A649FF"/>
    <w:rsid w:val="00A65728"/>
    <w:rsid w:val="00A659AC"/>
    <w:rsid w:val="00A670E7"/>
    <w:rsid w:val="00A67179"/>
    <w:rsid w:val="00A70316"/>
    <w:rsid w:val="00A70350"/>
    <w:rsid w:val="00A7090F"/>
    <w:rsid w:val="00A718A4"/>
    <w:rsid w:val="00A73468"/>
    <w:rsid w:val="00A73A30"/>
    <w:rsid w:val="00A73C3E"/>
    <w:rsid w:val="00A73D4F"/>
    <w:rsid w:val="00A744FE"/>
    <w:rsid w:val="00A74E5A"/>
    <w:rsid w:val="00A74FC6"/>
    <w:rsid w:val="00A750A5"/>
    <w:rsid w:val="00A75680"/>
    <w:rsid w:val="00A75C8C"/>
    <w:rsid w:val="00A76755"/>
    <w:rsid w:val="00A76936"/>
    <w:rsid w:val="00A76D48"/>
    <w:rsid w:val="00A801B5"/>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295C"/>
    <w:rsid w:val="00A92E6E"/>
    <w:rsid w:val="00A937D4"/>
    <w:rsid w:val="00A93E7F"/>
    <w:rsid w:val="00A93F41"/>
    <w:rsid w:val="00A94A6D"/>
    <w:rsid w:val="00A951AB"/>
    <w:rsid w:val="00A9522A"/>
    <w:rsid w:val="00A955A4"/>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DBC"/>
    <w:rsid w:val="00AB4ABB"/>
    <w:rsid w:val="00AB4F6B"/>
    <w:rsid w:val="00AB536E"/>
    <w:rsid w:val="00AB5911"/>
    <w:rsid w:val="00AB5A88"/>
    <w:rsid w:val="00AB6859"/>
    <w:rsid w:val="00AB6E5C"/>
    <w:rsid w:val="00AB7056"/>
    <w:rsid w:val="00AB780B"/>
    <w:rsid w:val="00AB7C1E"/>
    <w:rsid w:val="00AC0613"/>
    <w:rsid w:val="00AC0A0A"/>
    <w:rsid w:val="00AC14B9"/>
    <w:rsid w:val="00AC17A9"/>
    <w:rsid w:val="00AC1F06"/>
    <w:rsid w:val="00AC2003"/>
    <w:rsid w:val="00AC2227"/>
    <w:rsid w:val="00AC3F82"/>
    <w:rsid w:val="00AC4F5C"/>
    <w:rsid w:val="00AC524C"/>
    <w:rsid w:val="00AC541B"/>
    <w:rsid w:val="00AC57B2"/>
    <w:rsid w:val="00AC60AB"/>
    <w:rsid w:val="00AC60D6"/>
    <w:rsid w:val="00AD1ABD"/>
    <w:rsid w:val="00AD1B51"/>
    <w:rsid w:val="00AD252F"/>
    <w:rsid w:val="00AD27EC"/>
    <w:rsid w:val="00AD2AAB"/>
    <w:rsid w:val="00AD385A"/>
    <w:rsid w:val="00AD39B3"/>
    <w:rsid w:val="00AD3C6F"/>
    <w:rsid w:val="00AD3F8C"/>
    <w:rsid w:val="00AD4357"/>
    <w:rsid w:val="00AD43B5"/>
    <w:rsid w:val="00AD45EA"/>
    <w:rsid w:val="00AD4A16"/>
    <w:rsid w:val="00AD4D9D"/>
    <w:rsid w:val="00AD5031"/>
    <w:rsid w:val="00AD64DA"/>
    <w:rsid w:val="00AD65E5"/>
    <w:rsid w:val="00AD6C6C"/>
    <w:rsid w:val="00AD78FF"/>
    <w:rsid w:val="00AD7BA9"/>
    <w:rsid w:val="00AD7CEC"/>
    <w:rsid w:val="00AE0395"/>
    <w:rsid w:val="00AE0587"/>
    <w:rsid w:val="00AE0643"/>
    <w:rsid w:val="00AE094E"/>
    <w:rsid w:val="00AE0EED"/>
    <w:rsid w:val="00AE20A3"/>
    <w:rsid w:val="00AE381A"/>
    <w:rsid w:val="00AE4422"/>
    <w:rsid w:val="00AE4C21"/>
    <w:rsid w:val="00AE5489"/>
    <w:rsid w:val="00AE58D5"/>
    <w:rsid w:val="00AE70FE"/>
    <w:rsid w:val="00AE7DE0"/>
    <w:rsid w:val="00AF0709"/>
    <w:rsid w:val="00AF0761"/>
    <w:rsid w:val="00AF1261"/>
    <w:rsid w:val="00AF1A45"/>
    <w:rsid w:val="00AF2F8F"/>
    <w:rsid w:val="00AF4CDF"/>
    <w:rsid w:val="00AF53BD"/>
    <w:rsid w:val="00AF5749"/>
    <w:rsid w:val="00AF5AD4"/>
    <w:rsid w:val="00AF5F4B"/>
    <w:rsid w:val="00AF6D69"/>
    <w:rsid w:val="00AF6DF7"/>
    <w:rsid w:val="00AF6FB9"/>
    <w:rsid w:val="00AF702A"/>
    <w:rsid w:val="00AF72A0"/>
    <w:rsid w:val="00AF753B"/>
    <w:rsid w:val="00AF77D9"/>
    <w:rsid w:val="00B00005"/>
    <w:rsid w:val="00B00E70"/>
    <w:rsid w:val="00B029F2"/>
    <w:rsid w:val="00B02A46"/>
    <w:rsid w:val="00B04139"/>
    <w:rsid w:val="00B04B25"/>
    <w:rsid w:val="00B06A12"/>
    <w:rsid w:val="00B07867"/>
    <w:rsid w:val="00B07C60"/>
    <w:rsid w:val="00B07EEA"/>
    <w:rsid w:val="00B103D4"/>
    <w:rsid w:val="00B10B75"/>
    <w:rsid w:val="00B10DF1"/>
    <w:rsid w:val="00B10EFA"/>
    <w:rsid w:val="00B11290"/>
    <w:rsid w:val="00B11669"/>
    <w:rsid w:val="00B12C80"/>
    <w:rsid w:val="00B12D9C"/>
    <w:rsid w:val="00B12E5A"/>
    <w:rsid w:val="00B131C9"/>
    <w:rsid w:val="00B13756"/>
    <w:rsid w:val="00B13894"/>
    <w:rsid w:val="00B13CA8"/>
    <w:rsid w:val="00B13F68"/>
    <w:rsid w:val="00B14121"/>
    <w:rsid w:val="00B14512"/>
    <w:rsid w:val="00B15538"/>
    <w:rsid w:val="00B15679"/>
    <w:rsid w:val="00B15A9A"/>
    <w:rsid w:val="00B161DF"/>
    <w:rsid w:val="00B16302"/>
    <w:rsid w:val="00B1689C"/>
    <w:rsid w:val="00B16BE0"/>
    <w:rsid w:val="00B17208"/>
    <w:rsid w:val="00B17398"/>
    <w:rsid w:val="00B177C8"/>
    <w:rsid w:val="00B17EBC"/>
    <w:rsid w:val="00B2022A"/>
    <w:rsid w:val="00B20780"/>
    <w:rsid w:val="00B20A6F"/>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5261"/>
    <w:rsid w:val="00B3533C"/>
    <w:rsid w:val="00B357BE"/>
    <w:rsid w:val="00B36643"/>
    <w:rsid w:val="00B3683B"/>
    <w:rsid w:val="00B37515"/>
    <w:rsid w:val="00B407D0"/>
    <w:rsid w:val="00B41258"/>
    <w:rsid w:val="00B41B99"/>
    <w:rsid w:val="00B41CDA"/>
    <w:rsid w:val="00B426E2"/>
    <w:rsid w:val="00B42708"/>
    <w:rsid w:val="00B42B4E"/>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49DE"/>
    <w:rsid w:val="00B55A6C"/>
    <w:rsid w:val="00B55B4E"/>
    <w:rsid w:val="00B55C18"/>
    <w:rsid w:val="00B55DD4"/>
    <w:rsid w:val="00B6266F"/>
    <w:rsid w:val="00B62BFB"/>
    <w:rsid w:val="00B63D92"/>
    <w:rsid w:val="00B64156"/>
    <w:rsid w:val="00B64953"/>
    <w:rsid w:val="00B64A9F"/>
    <w:rsid w:val="00B650C9"/>
    <w:rsid w:val="00B66627"/>
    <w:rsid w:val="00B66E39"/>
    <w:rsid w:val="00B6727F"/>
    <w:rsid w:val="00B67C72"/>
    <w:rsid w:val="00B70644"/>
    <w:rsid w:val="00B70FDA"/>
    <w:rsid w:val="00B71191"/>
    <w:rsid w:val="00B7154C"/>
    <w:rsid w:val="00B7246B"/>
    <w:rsid w:val="00B73F7D"/>
    <w:rsid w:val="00B74583"/>
    <w:rsid w:val="00B7503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DD8"/>
    <w:rsid w:val="00B86A44"/>
    <w:rsid w:val="00B86EF4"/>
    <w:rsid w:val="00B870F7"/>
    <w:rsid w:val="00B87BB0"/>
    <w:rsid w:val="00B87DD1"/>
    <w:rsid w:val="00B87DD3"/>
    <w:rsid w:val="00B87E9C"/>
    <w:rsid w:val="00B90404"/>
    <w:rsid w:val="00B9177A"/>
    <w:rsid w:val="00B92ACC"/>
    <w:rsid w:val="00B93A3A"/>
    <w:rsid w:val="00B93E4C"/>
    <w:rsid w:val="00B94972"/>
    <w:rsid w:val="00B9578A"/>
    <w:rsid w:val="00B965B4"/>
    <w:rsid w:val="00B968D0"/>
    <w:rsid w:val="00B96936"/>
    <w:rsid w:val="00B96963"/>
    <w:rsid w:val="00BA0095"/>
    <w:rsid w:val="00BA015D"/>
    <w:rsid w:val="00BA14EC"/>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A31"/>
    <w:rsid w:val="00BC2A84"/>
    <w:rsid w:val="00BC2BF9"/>
    <w:rsid w:val="00BC3310"/>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5023"/>
    <w:rsid w:val="00BD5882"/>
    <w:rsid w:val="00BD5A09"/>
    <w:rsid w:val="00BD5ED9"/>
    <w:rsid w:val="00BD6A59"/>
    <w:rsid w:val="00BD70EF"/>
    <w:rsid w:val="00BD71C0"/>
    <w:rsid w:val="00BD76A3"/>
    <w:rsid w:val="00BE042E"/>
    <w:rsid w:val="00BE1A46"/>
    <w:rsid w:val="00BE2D8A"/>
    <w:rsid w:val="00BE41D0"/>
    <w:rsid w:val="00BE41E4"/>
    <w:rsid w:val="00BE50A6"/>
    <w:rsid w:val="00BE51B5"/>
    <w:rsid w:val="00BE55B8"/>
    <w:rsid w:val="00BE5D3A"/>
    <w:rsid w:val="00BE6A40"/>
    <w:rsid w:val="00BE6CAC"/>
    <w:rsid w:val="00BE7BFA"/>
    <w:rsid w:val="00BF0CB5"/>
    <w:rsid w:val="00BF0D91"/>
    <w:rsid w:val="00BF1A1F"/>
    <w:rsid w:val="00BF24DD"/>
    <w:rsid w:val="00BF289B"/>
    <w:rsid w:val="00BF363F"/>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35CD"/>
    <w:rsid w:val="00C045B1"/>
    <w:rsid w:val="00C04689"/>
    <w:rsid w:val="00C051F2"/>
    <w:rsid w:val="00C05454"/>
    <w:rsid w:val="00C058AB"/>
    <w:rsid w:val="00C061C9"/>
    <w:rsid w:val="00C067CA"/>
    <w:rsid w:val="00C06DB3"/>
    <w:rsid w:val="00C071F3"/>
    <w:rsid w:val="00C0773D"/>
    <w:rsid w:val="00C07DE2"/>
    <w:rsid w:val="00C1033D"/>
    <w:rsid w:val="00C10714"/>
    <w:rsid w:val="00C10720"/>
    <w:rsid w:val="00C11389"/>
    <w:rsid w:val="00C113B0"/>
    <w:rsid w:val="00C113F6"/>
    <w:rsid w:val="00C12113"/>
    <w:rsid w:val="00C1276F"/>
    <w:rsid w:val="00C1328B"/>
    <w:rsid w:val="00C13870"/>
    <w:rsid w:val="00C14286"/>
    <w:rsid w:val="00C14290"/>
    <w:rsid w:val="00C14A7D"/>
    <w:rsid w:val="00C16E10"/>
    <w:rsid w:val="00C17DC7"/>
    <w:rsid w:val="00C20551"/>
    <w:rsid w:val="00C20809"/>
    <w:rsid w:val="00C208AC"/>
    <w:rsid w:val="00C20DFF"/>
    <w:rsid w:val="00C20F9F"/>
    <w:rsid w:val="00C21B55"/>
    <w:rsid w:val="00C21BD1"/>
    <w:rsid w:val="00C24485"/>
    <w:rsid w:val="00C24C36"/>
    <w:rsid w:val="00C26002"/>
    <w:rsid w:val="00C26301"/>
    <w:rsid w:val="00C26C63"/>
    <w:rsid w:val="00C26E34"/>
    <w:rsid w:val="00C302E1"/>
    <w:rsid w:val="00C309AF"/>
    <w:rsid w:val="00C30D29"/>
    <w:rsid w:val="00C30EF7"/>
    <w:rsid w:val="00C30F50"/>
    <w:rsid w:val="00C31E4D"/>
    <w:rsid w:val="00C3223B"/>
    <w:rsid w:val="00C3234F"/>
    <w:rsid w:val="00C3284C"/>
    <w:rsid w:val="00C3455D"/>
    <w:rsid w:val="00C36FC3"/>
    <w:rsid w:val="00C37118"/>
    <w:rsid w:val="00C373A3"/>
    <w:rsid w:val="00C374E2"/>
    <w:rsid w:val="00C379A8"/>
    <w:rsid w:val="00C37F6F"/>
    <w:rsid w:val="00C408BC"/>
    <w:rsid w:val="00C412D0"/>
    <w:rsid w:val="00C427DC"/>
    <w:rsid w:val="00C43C48"/>
    <w:rsid w:val="00C43D3B"/>
    <w:rsid w:val="00C44DFF"/>
    <w:rsid w:val="00C4517C"/>
    <w:rsid w:val="00C45F94"/>
    <w:rsid w:val="00C46542"/>
    <w:rsid w:val="00C46619"/>
    <w:rsid w:val="00C467A4"/>
    <w:rsid w:val="00C47110"/>
    <w:rsid w:val="00C476F1"/>
    <w:rsid w:val="00C47A20"/>
    <w:rsid w:val="00C47BD0"/>
    <w:rsid w:val="00C51206"/>
    <w:rsid w:val="00C5177B"/>
    <w:rsid w:val="00C51867"/>
    <w:rsid w:val="00C52A71"/>
    <w:rsid w:val="00C53A8B"/>
    <w:rsid w:val="00C54830"/>
    <w:rsid w:val="00C54879"/>
    <w:rsid w:val="00C552D5"/>
    <w:rsid w:val="00C55A10"/>
    <w:rsid w:val="00C55F52"/>
    <w:rsid w:val="00C567F7"/>
    <w:rsid w:val="00C615BA"/>
    <w:rsid w:val="00C615CE"/>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2AC5"/>
    <w:rsid w:val="00C83078"/>
    <w:rsid w:val="00C833EE"/>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7123"/>
    <w:rsid w:val="00C972C1"/>
    <w:rsid w:val="00C97679"/>
    <w:rsid w:val="00C97693"/>
    <w:rsid w:val="00C97705"/>
    <w:rsid w:val="00C9784C"/>
    <w:rsid w:val="00CA02F4"/>
    <w:rsid w:val="00CA1FFE"/>
    <w:rsid w:val="00CA3438"/>
    <w:rsid w:val="00CA3C1F"/>
    <w:rsid w:val="00CA3EDC"/>
    <w:rsid w:val="00CA41A3"/>
    <w:rsid w:val="00CA487C"/>
    <w:rsid w:val="00CA64C6"/>
    <w:rsid w:val="00CA6951"/>
    <w:rsid w:val="00CA6BF1"/>
    <w:rsid w:val="00CA6DAF"/>
    <w:rsid w:val="00CA759C"/>
    <w:rsid w:val="00CA7A5F"/>
    <w:rsid w:val="00CB14DE"/>
    <w:rsid w:val="00CB17B9"/>
    <w:rsid w:val="00CB1C9E"/>
    <w:rsid w:val="00CB1CA4"/>
    <w:rsid w:val="00CB3841"/>
    <w:rsid w:val="00CB3928"/>
    <w:rsid w:val="00CB3C94"/>
    <w:rsid w:val="00CB4908"/>
    <w:rsid w:val="00CB4B7F"/>
    <w:rsid w:val="00CB4BCA"/>
    <w:rsid w:val="00CB4F06"/>
    <w:rsid w:val="00CB4F74"/>
    <w:rsid w:val="00CB511A"/>
    <w:rsid w:val="00CB5216"/>
    <w:rsid w:val="00CB5438"/>
    <w:rsid w:val="00CB6444"/>
    <w:rsid w:val="00CB6817"/>
    <w:rsid w:val="00CB6A30"/>
    <w:rsid w:val="00CB6C0D"/>
    <w:rsid w:val="00CB6F70"/>
    <w:rsid w:val="00CB7DEA"/>
    <w:rsid w:val="00CC007A"/>
    <w:rsid w:val="00CC09B2"/>
    <w:rsid w:val="00CC1A85"/>
    <w:rsid w:val="00CC200A"/>
    <w:rsid w:val="00CC25A8"/>
    <w:rsid w:val="00CC4121"/>
    <w:rsid w:val="00CC42CB"/>
    <w:rsid w:val="00CC43BB"/>
    <w:rsid w:val="00CC4BDC"/>
    <w:rsid w:val="00CC51AB"/>
    <w:rsid w:val="00CC5610"/>
    <w:rsid w:val="00CC57B1"/>
    <w:rsid w:val="00CC7299"/>
    <w:rsid w:val="00CC7587"/>
    <w:rsid w:val="00CC7D40"/>
    <w:rsid w:val="00CD052C"/>
    <w:rsid w:val="00CD05A2"/>
    <w:rsid w:val="00CD1140"/>
    <w:rsid w:val="00CD1384"/>
    <w:rsid w:val="00CD16CE"/>
    <w:rsid w:val="00CD185D"/>
    <w:rsid w:val="00CD1982"/>
    <w:rsid w:val="00CD1E34"/>
    <w:rsid w:val="00CD2683"/>
    <w:rsid w:val="00CD2910"/>
    <w:rsid w:val="00CD2F61"/>
    <w:rsid w:val="00CD3E59"/>
    <w:rsid w:val="00CD3F40"/>
    <w:rsid w:val="00CD4224"/>
    <w:rsid w:val="00CD4C9B"/>
    <w:rsid w:val="00CD5B1C"/>
    <w:rsid w:val="00CD700F"/>
    <w:rsid w:val="00CD7087"/>
    <w:rsid w:val="00CE0DF5"/>
    <w:rsid w:val="00CE1139"/>
    <w:rsid w:val="00CE1199"/>
    <w:rsid w:val="00CE1266"/>
    <w:rsid w:val="00CE1389"/>
    <w:rsid w:val="00CE23BA"/>
    <w:rsid w:val="00CE298E"/>
    <w:rsid w:val="00CE38B1"/>
    <w:rsid w:val="00CE421B"/>
    <w:rsid w:val="00CE5A1D"/>
    <w:rsid w:val="00CE5DAD"/>
    <w:rsid w:val="00CE605D"/>
    <w:rsid w:val="00CE65C2"/>
    <w:rsid w:val="00CE6ED2"/>
    <w:rsid w:val="00CE78BF"/>
    <w:rsid w:val="00CE7B7D"/>
    <w:rsid w:val="00CF130F"/>
    <w:rsid w:val="00CF31FD"/>
    <w:rsid w:val="00CF385E"/>
    <w:rsid w:val="00CF3C49"/>
    <w:rsid w:val="00CF4133"/>
    <w:rsid w:val="00CF4CF2"/>
    <w:rsid w:val="00CF4DC4"/>
    <w:rsid w:val="00CF5BC7"/>
    <w:rsid w:val="00CF66EC"/>
    <w:rsid w:val="00CF69EB"/>
    <w:rsid w:val="00CF6A3A"/>
    <w:rsid w:val="00CF6B8E"/>
    <w:rsid w:val="00CF6D48"/>
    <w:rsid w:val="00CF6DEE"/>
    <w:rsid w:val="00CF7AE5"/>
    <w:rsid w:val="00CF7B1A"/>
    <w:rsid w:val="00CF7B66"/>
    <w:rsid w:val="00D00A1E"/>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8C8"/>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31BA"/>
    <w:rsid w:val="00D23350"/>
    <w:rsid w:val="00D23CAC"/>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5270"/>
    <w:rsid w:val="00D55489"/>
    <w:rsid w:val="00D55C39"/>
    <w:rsid w:val="00D55C8F"/>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21FB"/>
    <w:rsid w:val="00D7233D"/>
    <w:rsid w:val="00D72885"/>
    <w:rsid w:val="00D74CE1"/>
    <w:rsid w:val="00D74E2F"/>
    <w:rsid w:val="00D75604"/>
    <w:rsid w:val="00D76ED6"/>
    <w:rsid w:val="00D77549"/>
    <w:rsid w:val="00D8105E"/>
    <w:rsid w:val="00D8174B"/>
    <w:rsid w:val="00D81889"/>
    <w:rsid w:val="00D81F28"/>
    <w:rsid w:val="00D8247B"/>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735"/>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692"/>
    <w:rsid w:val="00DA6627"/>
    <w:rsid w:val="00DA6C08"/>
    <w:rsid w:val="00DA6E66"/>
    <w:rsid w:val="00DA7397"/>
    <w:rsid w:val="00DA73E2"/>
    <w:rsid w:val="00DA769A"/>
    <w:rsid w:val="00DA7EDA"/>
    <w:rsid w:val="00DB028A"/>
    <w:rsid w:val="00DB08F5"/>
    <w:rsid w:val="00DB0E8B"/>
    <w:rsid w:val="00DB1E09"/>
    <w:rsid w:val="00DB1FF7"/>
    <w:rsid w:val="00DB2D19"/>
    <w:rsid w:val="00DB2F27"/>
    <w:rsid w:val="00DB2FA7"/>
    <w:rsid w:val="00DB3856"/>
    <w:rsid w:val="00DB3E81"/>
    <w:rsid w:val="00DB4AB5"/>
    <w:rsid w:val="00DB4AED"/>
    <w:rsid w:val="00DB4C9A"/>
    <w:rsid w:val="00DB5480"/>
    <w:rsid w:val="00DB5E55"/>
    <w:rsid w:val="00DB6158"/>
    <w:rsid w:val="00DB64E0"/>
    <w:rsid w:val="00DB65D8"/>
    <w:rsid w:val="00DB6BD7"/>
    <w:rsid w:val="00DB6EE1"/>
    <w:rsid w:val="00DB7718"/>
    <w:rsid w:val="00DB77A6"/>
    <w:rsid w:val="00DB7883"/>
    <w:rsid w:val="00DB7B76"/>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1DBA"/>
    <w:rsid w:val="00DD21C3"/>
    <w:rsid w:val="00DD275B"/>
    <w:rsid w:val="00DD2D4D"/>
    <w:rsid w:val="00DD329C"/>
    <w:rsid w:val="00DD352F"/>
    <w:rsid w:val="00DD3D77"/>
    <w:rsid w:val="00DD4319"/>
    <w:rsid w:val="00DD56EE"/>
    <w:rsid w:val="00DD6B2F"/>
    <w:rsid w:val="00DD6D3D"/>
    <w:rsid w:val="00DD7B2A"/>
    <w:rsid w:val="00DD7B4B"/>
    <w:rsid w:val="00DE015E"/>
    <w:rsid w:val="00DE0FB5"/>
    <w:rsid w:val="00DE1137"/>
    <w:rsid w:val="00DE12F2"/>
    <w:rsid w:val="00DE2765"/>
    <w:rsid w:val="00DE2EE4"/>
    <w:rsid w:val="00DE3AC9"/>
    <w:rsid w:val="00DE3C18"/>
    <w:rsid w:val="00DE5196"/>
    <w:rsid w:val="00DE5957"/>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BD3"/>
    <w:rsid w:val="00DF76F2"/>
    <w:rsid w:val="00E003E7"/>
    <w:rsid w:val="00E02E1D"/>
    <w:rsid w:val="00E0349D"/>
    <w:rsid w:val="00E0359F"/>
    <w:rsid w:val="00E036F9"/>
    <w:rsid w:val="00E03991"/>
    <w:rsid w:val="00E03A29"/>
    <w:rsid w:val="00E03B7D"/>
    <w:rsid w:val="00E04623"/>
    <w:rsid w:val="00E047B3"/>
    <w:rsid w:val="00E051D5"/>
    <w:rsid w:val="00E05763"/>
    <w:rsid w:val="00E060ED"/>
    <w:rsid w:val="00E06A48"/>
    <w:rsid w:val="00E07BED"/>
    <w:rsid w:val="00E07CE3"/>
    <w:rsid w:val="00E07D89"/>
    <w:rsid w:val="00E07FBC"/>
    <w:rsid w:val="00E10133"/>
    <w:rsid w:val="00E105D1"/>
    <w:rsid w:val="00E1066B"/>
    <w:rsid w:val="00E10925"/>
    <w:rsid w:val="00E1093B"/>
    <w:rsid w:val="00E10DDD"/>
    <w:rsid w:val="00E10E85"/>
    <w:rsid w:val="00E11293"/>
    <w:rsid w:val="00E114E2"/>
    <w:rsid w:val="00E11991"/>
    <w:rsid w:val="00E11F57"/>
    <w:rsid w:val="00E12059"/>
    <w:rsid w:val="00E12232"/>
    <w:rsid w:val="00E13251"/>
    <w:rsid w:val="00E13424"/>
    <w:rsid w:val="00E13601"/>
    <w:rsid w:val="00E141B9"/>
    <w:rsid w:val="00E1440E"/>
    <w:rsid w:val="00E1504C"/>
    <w:rsid w:val="00E15D3C"/>
    <w:rsid w:val="00E16828"/>
    <w:rsid w:val="00E17049"/>
    <w:rsid w:val="00E1765C"/>
    <w:rsid w:val="00E176D6"/>
    <w:rsid w:val="00E17C7B"/>
    <w:rsid w:val="00E17CEC"/>
    <w:rsid w:val="00E17DF4"/>
    <w:rsid w:val="00E200B1"/>
    <w:rsid w:val="00E20116"/>
    <w:rsid w:val="00E204F0"/>
    <w:rsid w:val="00E210D3"/>
    <w:rsid w:val="00E21158"/>
    <w:rsid w:val="00E211AF"/>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3012B"/>
    <w:rsid w:val="00E30F02"/>
    <w:rsid w:val="00E315DA"/>
    <w:rsid w:val="00E31C84"/>
    <w:rsid w:val="00E32C59"/>
    <w:rsid w:val="00E333F7"/>
    <w:rsid w:val="00E33513"/>
    <w:rsid w:val="00E33596"/>
    <w:rsid w:val="00E344AF"/>
    <w:rsid w:val="00E34B81"/>
    <w:rsid w:val="00E35569"/>
    <w:rsid w:val="00E35692"/>
    <w:rsid w:val="00E36F04"/>
    <w:rsid w:val="00E400AC"/>
    <w:rsid w:val="00E407C4"/>
    <w:rsid w:val="00E40BB0"/>
    <w:rsid w:val="00E41198"/>
    <w:rsid w:val="00E41244"/>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6014"/>
    <w:rsid w:val="00E77094"/>
    <w:rsid w:val="00E773F1"/>
    <w:rsid w:val="00E80147"/>
    <w:rsid w:val="00E80526"/>
    <w:rsid w:val="00E80AE3"/>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D51"/>
    <w:rsid w:val="00E95FE8"/>
    <w:rsid w:val="00E96108"/>
    <w:rsid w:val="00E9701C"/>
    <w:rsid w:val="00E971E2"/>
    <w:rsid w:val="00E97D88"/>
    <w:rsid w:val="00EA2467"/>
    <w:rsid w:val="00EA281F"/>
    <w:rsid w:val="00EA2DC1"/>
    <w:rsid w:val="00EA46A3"/>
    <w:rsid w:val="00EA54B1"/>
    <w:rsid w:val="00EA5BC9"/>
    <w:rsid w:val="00EA62B0"/>
    <w:rsid w:val="00EA70F5"/>
    <w:rsid w:val="00EA716F"/>
    <w:rsid w:val="00EA7403"/>
    <w:rsid w:val="00EA7421"/>
    <w:rsid w:val="00EB01D7"/>
    <w:rsid w:val="00EB0DAE"/>
    <w:rsid w:val="00EB0F1A"/>
    <w:rsid w:val="00EB221F"/>
    <w:rsid w:val="00EB40FF"/>
    <w:rsid w:val="00EB4160"/>
    <w:rsid w:val="00EB4DA9"/>
    <w:rsid w:val="00EB4F55"/>
    <w:rsid w:val="00EB5C19"/>
    <w:rsid w:val="00EB5F18"/>
    <w:rsid w:val="00EB62F5"/>
    <w:rsid w:val="00EB6978"/>
    <w:rsid w:val="00EB69B2"/>
    <w:rsid w:val="00EB7131"/>
    <w:rsid w:val="00EB77AA"/>
    <w:rsid w:val="00EB77EA"/>
    <w:rsid w:val="00EB7972"/>
    <w:rsid w:val="00EB7BAB"/>
    <w:rsid w:val="00EB7E00"/>
    <w:rsid w:val="00EC0803"/>
    <w:rsid w:val="00EC148B"/>
    <w:rsid w:val="00EC21DA"/>
    <w:rsid w:val="00EC2A9E"/>
    <w:rsid w:val="00EC346D"/>
    <w:rsid w:val="00EC3B4C"/>
    <w:rsid w:val="00EC3C30"/>
    <w:rsid w:val="00EC3F68"/>
    <w:rsid w:val="00EC439F"/>
    <w:rsid w:val="00EC43C8"/>
    <w:rsid w:val="00EC485D"/>
    <w:rsid w:val="00EC4D6A"/>
    <w:rsid w:val="00EC4E7B"/>
    <w:rsid w:val="00EC556F"/>
    <w:rsid w:val="00EC629B"/>
    <w:rsid w:val="00EC66A8"/>
    <w:rsid w:val="00EC6D77"/>
    <w:rsid w:val="00EC6E11"/>
    <w:rsid w:val="00EC701F"/>
    <w:rsid w:val="00EC7063"/>
    <w:rsid w:val="00EC7641"/>
    <w:rsid w:val="00ED00F8"/>
    <w:rsid w:val="00ED084D"/>
    <w:rsid w:val="00ED0B48"/>
    <w:rsid w:val="00ED1C72"/>
    <w:rsid w:val="00ED2070"/>
    <w:rsid w:val="00ED223B"/>
    <w:rsid w:val="00ED2A75"/>
    <w:rsid w:val="00ED3004"/>
    <w:rsid w:val="00ED341F"/>
    <w:rsid w:val="00ED3FAC"/>
    <w:rsid w:val="00ED56DB"/>
    <w:rsid w:val="00ED5968"/>
    <w:rsid w:val="00ED5AC1"/>
    <w:rsid w:val="00ED623E"/>
    <w:rsid w:val="00ED769A"/>
    <w:rsid w:val="00EE01FF"/>
    <w:rsid w:val="00EE1784"/>
    <w:rsid w:val="00EE18B9"/>
    <w:rsid w:val="00EE1EAB"/>
    <w:rsid w:val="00EE20BC"/>
    <w:rsid w:val="00EE2520"/>
    <w:rsid w:val="00EE3188"/>
    <w:rsid w:val="00EE3326"/>
    <w:rsid w:val="00EE3B1E"/>
    <w:rsid w:val="00EE3EAA"/>
    <w:rsid w:val="00EE40EF"/>
    <w:rsid w:val="00EE45D3"/>
    <w:rsid w:val="00EE52C9"/>
    <w:rsid w:val="00EE5678"/>
    <w:rsid w:val="00EE5A16"/>
    <w:rsid w:val="00EE6732"/>
    <w:rsid w:val="00EE686C"/>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EF6E00"/>
    <w:rsid w:val="00F001CD"/>
    <w:rsid w:val="00F002A5"/>
    <w:rsid w:val="00F00FF9"/>
    <w:rsid w:val="00F014E1"/>
    <w:rsid w:val="00F01593"/>
    <w:rsid w:val="00F0177C"/>
    <w:rsid w:val="00F01E94"/>
    <w:rsid w:val="00F02B2D"/>
    <w:rsid w:val="00F02E10"/>
    <w:rsid w:val="00F03486"/>
    <w:rsid w:val="00F0352B"/>
    <w:rsid w:val="00F04606"/>
    <w:rsid w:val="00F05992"/>
    <w:rsid w:val="00F06293"/>
    <w:rsid w:val="00F0683B"/>
    <w:rsid w:val="00F06D59"/>
    <w:rsid w:val="00F07469"/>
    <w:rsid w:val="00F074EA"/>
    <w:rsid w:val="00F101E1"/>
    <w:rsid w:val="00F10AF0"/>
    <w:rsid w:val="00F11F8B"/>
    <w:rsid w:val="00F1216E"/>
    <w:rsid w:val="00F128BD"/>
    <w:rsid w:val="00F128ED"/>
    <w:rsid w:val="00F13258"/>
    <w:rsid w:val="00F13F49"/>
    <w:rsid w:val="00F14078"/>
    <w:rsid w:val="00F149C8"/>
    <w:rsid w:val="00F1684E"/>
    <w:rsid w:val="00F16F14"/>
    <w:rsid w:val="00F16FE4"/>
    <w:rsid w:val="00F17E9F"/>
    <w:rsid w:val="00F20CA8"/>
    <w:rsid w:val="00F21384"/>
    <w:rsid w:val="00F221A7"/>
    <w:rsid w:val="00F22878"/>
    <w:rsid w:val="00F231FF"/>
    <w:rsid w:val="00F24687"/>
    <w:rsid w:val="00F2533A"/>
    <w:rsid w:val="00F25B35"/>
    <w:rsid w:val="00F25DC7"/>
    <w:rsid w:val="00F265DF"/>
    <w:rsid w:val="00F2697C"/>
    <w:rsid w:val="00F273B8"/>
    <w:rsid w:val="00F2776E"/>
    <w:rsid w:val="00F27CC2"/>
    <w:rsid w:val="00F3054C"/>
    <w:rsid w:val="00F30CC9"/>
    <w:rsid w:val="00F31484"/>
    <w:rsid w:val="00F3191D"/>
    <w:rsid w:val="00F3216E"/>
    <w:rsid w:val="00F3341A"/>
    <w:rsid w:val="00F33F87"/>
    <w:rsid w:val="00F3429F"/>
    <w:rsid w:val="00F3480D"/>
    <w:rsid w:val="00F34820"/>
    <w:rsid w:val="00F35519"/>
    <w:rsid w:val="00F36777"/>
    <w:rsid w:val="00F3780D"/>
    <w:rsid w:val="00F37EA0"/>
    <w:rsid w:val="00F40199"/>
    <w:rsid w:val="00F401EE"/>
    <w:rsid w:val="00F414E4"/>
    <w:rsid w:val="00F41937"/>
    <w:rsid w:val="00F41CDE"/>
    <w:rsid w:val="00F420ED"/>
    <w:rsid w:val="00F437C0"/>
    <w:rsid w:val="00F43BEA"/>
    <w:rsid w:val="00F43F06"/>
    <w:rsid w:val="00F45603"/>
    <w:rsid w:val="00F46831"/>
    <w:rsid w:val="00F46AFD"/>
    <w:rsid w:val="00F47991"/>
    <w:rsid w:val="00F504EC"/>
    <w:rsid w:val="00F50882"/>
    <w:rsid w:val="00F50E6C"/>
    <w:rsid w:val="00F5209F"/>
    <w:rsid w:val="00F52483"/>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207"/>
    <w:rsid w:val="00F753F3"/>
    <w:rsid w:val="00F75AEE"/>
    <w:rsid w:val="00F75BA9"/>
    <w:rsid w:val="00F75FAD"/>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7D2"/>
    <w:rsid w:val="00F84835"/>
    <w:rsid w:val="00F848B7"/>
    <w:rsid w:val="00F849D3"/>
    <w:rsid w:val="00F84E5B"/>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D65"/>
    <w:rsid w:val="00F93ED3"/>
    <w:rsid w:val="00F93F98"/>
    <w:rsid w:val="00F94BFF"/>
    <w:rsid w:val="00F94C71"/>
    <w:rsid w:val="00F951F9"/>
    <w:rsid w:val="00F96029"/>
    <w:rsid w:val="00F961EB"/>
    <w:rsid w:val="00F969FC"/>
    <w:rsid w:val="00F97487"/>
    <w:rsid w:val="00FA010B"/>
    <w:rsid w:val="00FA1984"/>
    <w:rsid w:val="00FA1C43"/>
    <w:rsid w:val="00FA2523"/>
    <w:rsid w:val="00FA346E"/>
    <w:rsid w:val="00FA36BE"/>
    <w:rsid w:val="00FA3B5E"/>
    <w:rsid w:val="00FA496B"/>
    <w:rsid w:val="00FA52E2"/>
    <w:rsid w:val="00FA567F"/>
    <w:rsid w:val="00FA5A19"/>
    <w:rsid w:val="00FA6455"/>
    <w:rsid w:val="00FA7395"/>
    <w:rsid w:val="00FA7727"/>
    <w:rsid w:val="00FB0010"/>
    <w:rsid w:val="00FB0989"/>
    <w:rsid w:val="00FB15F3"/>
    <w:rsid w:val="00FB19E8"/>
    <w:rsid w:val="00FB1F39"/>
    <w:rsid w:val="00FB29EB"/>
    <w:rsid w:val="00FB3296"/>
    <w:rsid w:val="00FB3466"/>
    <w:rsid w:val="00FB34BD"/>
    <w:rsid w:val="00FB39BF"/>
    <w:rsid w:val="00FB44FB"/>
    <w:rsid w:val="00FB4A5F"/>
    <w:rsid w:val="00FB5325"/>
    <w:rsid w:val="00FB5547"/>
    <w:rsid w:val="00FB5FBB"/>
    <w:rsid w:val="00FB655C"/>
    <w:rsid w:val="00FB6EF6"/>
    <w:rsid w:val="00FB7673"/>
    <w:rsid w:val="00FC0A01"/>
    <w:rsid w:val="00FC0AF5"/>
    <w:rsid w:val="00FC1761"/>
    <w:rsid w:val="00FC201D"/>
    <w:rsid w:val="00FC28C2"/>
    <w:rsid w:val="00FC2A34"/>
    <w:rsid w:val="00FC36D8"/>
    <w:rsid w:val="00FC522F"/>
    <w:rsid w:val="00FC5700"/>
    <w:rsid w:val="00FC5DB9"/>
    <w:rsid w:val="00FC5E8F"/>
    <w:rsid w:val="00FD04CE"/>
    <w:rsid w:val="00FD123D"/>
    <w:rsid w:val="00FD273F"/>
    <w:rsid w:val="00FD2C04"/>
    <w:rsid w:val="00FD3FF8"/>
    <w:rsid w:val="00FD4776"/>
    <w:rsid w:val="00FD4C84"/>
    <w:rsid w:val="00FD5582"/>
    <w:rsid w:val="00FD55B7"/>
    <w:rsid w:val="00FD5B0F"/>
    <w:rsid w:val="00FD6228"/>
    <w:rsid w:val="00FD6A9A"/>
    <w:rsid w:val="00FD6DA0"/>
    <w:rsid w:val="00FD73D6"/>
    <w:rsid w:val="00FD79AB"/>
    <w:rsid w:val="00FE0376"/>
    <w:rsid w:val="00FE0871"/>
    <w:rsid w:val="00FE0F4B"/>
    <w:rsid w:val="00FE1847"/>
    <w:rsid w:val="00FE1D6F"/>
    <w:rsid w:val="00FE1F8E"/>
    <w:rsid w:val="00FE317D"/>
    <w:rsid w:val="00FE34A3"/>
    <w:rsid w:val="00FE3A84"/>
    <w:rsid w:val="00FE46F9"/>
    <w:rsid w:val="00FE4A43"/>
    <w:rsid w:val="00FE5088"/>
    <w:rsid w:val="00FE5161"/>
    <w:rsid w:val="00FE5BC5"/>
    <w:rsid w:val="00FE6D10"/>
    <w:rsid w:val="00FE6E12"/>
    <w:rsid w:val="00FE6F69"/>
    <w:rsid w:val="00FE7B88"/>
    <w:rsid w:val="00FE7BD3"/>
    <w:rsid w:val="00FF0459"/>
    <w:rsid w:val="00FF0D86"/>
    <w:rsid w:val="00FF202E"/>
    <w:rsid w:val="00FF2250"/>
    <w:rsid w:val="00FF2562"/>
    <w:rsid w:val="00FF55B4"/>
    <w:rsid w:val="00FF55DF"/>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DFE9"/>
  <w15:chartTrackingRefBased/>
  <w15:docId w15:val="{9B04CE5E-50FB-4EE6-8C13-4E9DDB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Default Paragraph Font" w:uiPriority="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5"/>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7"/>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B12D9C"/>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B12D9C"/>
    <w:rPr>
      <w:rFonts w:ascii="Tahoma" w:hAnsi="Tahoma" w:cs="Arial"/>
    </w:rPr>
  </w:style>
  <w:style w:type="paragraph" w:styleId="af9">
    <w:name w:val="footnote text"/>
    <w:basedOn w:val="a"/>
    <w:link w:val="afa"/>
    <w:rsid w:val="00305B11"/>
    <w:rPr>
      <w:sz w:val="20"/>
      <w:szCs w:val="20"/>
    </w:rPr>
  </w:style>
  <w:style w:type="character" w:customStyle="1" w:styleId="afa">
    <w:name w:val="Текст сноски Знак"/>
    <w:basedOn w:val="a0"/>
    <w:link w:val="af9"/>
    <w:rsid w:val="00305B11"/>
  </w:style>
  <w:style w:type="character" w:styleId="afb">
    <w:name w:val="footnote reference"/>
    <w:basedOn w:val="a0"/>
    <w:rsid w:val="00305B11"/>
    <w:rPr>
      <w:vertAlign w:val="superscript"/>
    </w:rPr>
  </w:style>
  <w:style w:type="paragraph" w:styleId="afc">
    <w:name w:val="endnote text"/>
    <w:basedOn w:val="a"/>
    <w:link w:val="afd"/>
    <w:rsid w:val="000C6916"/>
    <w:rPr>
      <w:sz w:val="20"/>
      <w:szCs w:val="20"/>
    </w:rPr>
  </w:style>
  <w:style w:type="character" w:customStyle="1" w:styleId="afd">
    <w:name w:val="Текст концевой сноски Знак"/>
    <w:basedOn w:val="a0"/>
    <w:link w:val="afc"/>
    <w:rsid w:val="000C6916"/>
  </w:style>
  <w:style w:type="character" w:styleId="afe">
    <w:name w:val="endnote reference"/>
    <w:basedOn w:val="a0"/>
    <w:rsid w:val="000C69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79FC58-C337-4F70-976C-0F4B6031E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2406</Words>
  <Characters>12360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
  <LinksUpToDate>false</LinksUpToDate>
  <CharactersWithSpaces>14737</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subject/>
  <dc:creator>Губин Денис Борисович</dc:creator>
  <cp:keywords/>
  <cp:lastModifiedBy>Лошкарева Кристина Викторовна</cp:lastModifiedBy>
  <cp:revision>3</cp:revision>
  <cp:lastPrinted>2018-04-28T12:53:00Z</cp:lastPrinted>
  <dcterms:created xsi:type="dcterms:W3CDTF">2024-09-25T09:55:00Z</dcterms:created>
  <dcterms:modified xsi:type="dcterms:W3CDTF">2024-09-25T11:19:00Z</dcterms:modified>
</cp:coreProperties>
</file>