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6EF1D" w14:textId="77777777" w:rsidR="003C0CFF" w:rsidRPr="006E1E03" w:rsidRDefault="00C7171E" w:rsidP="001D6A80">
      <w:pPr>
        <w:spacing w:line="360" w:lineRule="auto"/>
        <w:ind w:left="4962"/>
        <w:jc w:val="right"/>
        <w:rPr>
          <w:rStyle w:val="msoins0"/>
          <w:rFonts w:ascii="Times New Roman" w:hAnsi="Times New Roman"/>
          <w:sz w:val="24"/>
          <w:szCs w:val="24"/>
        </w:rPr>
      </w:pPr>
      <w:r w:rsidRPr="006E1E03">
        <w:rPr>
          <w:rStyle w:val="msoins0"/>
          <w:rFonts w:ascii="Times New Roman" w:hAnsi="Times New Roman"/>
          <w:sz w:val="24"/>
          <w:szCs w:val="24"/>
        </w:rPr>
        <w:t xml:space="preserve">УТВЕРЖДЕНА </w:t>
      </w:r>
    </w:p>
    <w:p w14:paraId="78D188DF" w14:textId="77777777" w:rsidR="001D6A80" w:rsidRPr="006E1E03" w:rsidRDefault="00C7171E" w:rsidP="001D6A80">
      <w:pPr>
        <w:tabs>
          <w:tab w:val="left" w:pos="102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>решением Наблюдательного совета</w:t>
      </w:r>
    </w:p>
    <w:p w14:paraId="197CC222" w14:textId="77777777" w:rsidR="001D6A80" w:rsidRPr="006E1E03" w:rsidRDefault="00C7171E" w:rsidP="001D6A80">
      <w:pPr>
        <w:tabs>
          <w:tab w:val="left" w:pos="102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>ПАО Московская Биржа</w:t>
      </w:r>
    </w:p>
    <w:p w14:paraId="62305436" w14:textId="28A8969D" w:rsidR="001D6A80" w:rsidRPr="006E1E03" w:rsidRDefault="00711E12" w:rsidP="001D6A80">
      <w:pPr>
        <w:tabs>
          <w:tab w:val="left" w:pos="102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07.08.2024 </w:t>
      </w:r>
      <w:bookmarkStart w:id="0" w:name="_GoBack"/>
      <w:bookmarkEnd w:id="0"/>
      <w:r w:rsidR="00C7171E" w:rsidRPr="006E1E03">
        <w:rPr>
          <w:rFonts w:ascii="Times New Roman" w:hAnsi="Times New Roman" w:cs="Times New Roman"/>
          <w:sz w:val="24"/>
          <w:szCs w:val="24"/>
        </w:rPr>
        <w:t xml:space="preserve">года (Протокол № </w:t>
      </w:r>
      <w:r>
        <w:rPr>
          <w:rFonts w:ascii="Times New Roman" w:hAnsi="Times New Roman" w:cs="Times New Roman"/>
          <w:sz w:val="24"/>
          <w:szCs w:val="24"/>
        </w:rPr>
        <w:t>5</w:t>
      </w:r>
      <w:r w:rsidR="00C7171E" w:rsidRPr="006E1E03">
        <w:rPr>
          <w:rFonts w:ascii="Times New Roman" w:hAnsi="Times New Roman" w:cs="Times New Roman"/>
          <w:sz w:val="24"/>
          <w:szCs w:val="24"/>
        </w:rPr>
        <w:t>)</w:t>
      </w:r>
    </w:p>
    <w:p w14:paraId="731B8EDB" w14:textId="77777777" w:rsidR="001D6A80" w:rsidRPr="006E1E03" w:rsidRDefault="001D6A80" w:rsidP="001D6A80">
      <w:pPr>
        <w:tabs>
          <w:tab w:val="left" w:pos="102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08BBDFFB" w14:textId="723C5A63" w:rsidR="001D6A80" w:rsidRPr="006E1E03" w:rsidRDefault="001D6A80" w:rsidP="001D6A80">
      <w:pPr>
        <w:tabs>
          <w:tab w:val="left" w:pos="1021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67E3D07E" w14:textId="77777777" w:rsidR="001D6A80" w:rsidRPr="006E1E03" w:rsidRDefault="001D6A80" w:rsidP="001D6A80">
      <w:pPr>
        <w:spacing w:after="0" w:line="240" w:lineRule="auto"/>
        <w:ind w:left="4961"/>
        <w:jc w:val="right"/>
        <w:rPr>
          <w:rStyle w:val="msoins0"/>
          <w:rFonts w:ascii="Times New Roman" w:hAnsi="Times New Roman"/>
          <w:sz w:val="24"/>
          <w:szCs w:val="24"/>
        </w:rPr>
      </w:pPr>
    </w:p>
    <w:p w14:paraId="1D26EF22" w14:textId="77777777" w:rsidR="003C0CFF" w:rsidRPr="006E1E03" w:rsidRDefault="003C0CFF" w:rsidP="003C0CFF">
      <w:pPr>
        <w:spacing w:after="3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26EF23" w14:textId="0421DFF6" w:rsidR="003C0CFF" w:rsidRPr="006E1E03" w:rsidRDefault="003C0CFF" w:rsidP="003C0CFF">
      <w:pPr>
        <w:spacing w:after="3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2999A5D" w14:textId="77777777" w:rsidR="001D6A80" w:rsidRPr="006E1E03" w:rsidRDefault="001D6A80" w:rsidP="003C0CFF">
      <w:pPr>
        <w:spacing w:after="3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26EF24" w14:textId="77777777" w:rsidR="003C0CFF" w:rsidRPr="006E1E03" w:rsidRDefault="003C0CFF" w:rsidP="003C0C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6EF25" w14:textId="77777777" w:rsidR="003C0CFF" w:rsidRPr="006E1E03" w:rsidRDefault="00C7171E" w:rsidP="003C0C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t>Методика определения контрольных показателей</w:t>
      </w:r>
    </w:p>
    <w:p w14:paraId="1D26EF26" w14:textId="77777777" w:rsidR="003C0CFF" w:rsidRPr="006E1E03" w:rsidRDefault="00C7171E" w:rsidP="003C0C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t xml:space="preserve"> риск-аппетита </w:t>
      </w:r>
      <w:bookmarkStart w:id="1" w:name="_Hlk56078784"/>
      <w:r w:rsidRPr="006E1E03">
        <w:rPr>
          <w:rFonts w:ascii="Times New Roman" w:hAnsi="Times New Roman" w:cs="Times New Roman"/>
          <w:b/>
          <w:sz w:val="24"/>
          <w:szCs w:val="24"/>
        </w:rPr>
        <w:t xml:space="preserve">ПАО Московская Биржа </w:t>
      </w:r>
      <w:bookmarkEnd w:id="1"/>
    </w:p>
    <w:p w14:paraId="1D26EF27" w14:textId="77777777" w:rsidR="003C0CFF" w:rsidRPr="006E1E03" w:rsidRDefault="003C0CFF" w:rsidP="003C0CF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26EF29" w14:textId="77777777" w:rsidR="003C0CFF" w:rsidRPr="006E1E03" w:rsidRDefault="003C0CFF" w:rsidP="003C0CFF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26EF2A" w14:textId="77777777" w:rsidR="003C0CFF" w:rsidRPr="006E1E03" w:rsidRDefault="003C0CFF" w:rsidP="003C0CFF">
      <w:pPr>
        <w:pStyle w:val="11"/>
        <w:rPr>
          <w:rFonts w:cs="Times New Roman"/>
          <w:lang w:val="ru-RU"/>
        </w:rPr>
      </w:pPr>
    </w:p>
    <w:p w14:paraId="1D26EF2B" w14:textId="77777777" w:rsidR="003C0CFF" w:rsidRPr="006E1E03" w:rsidRDefault="003C0CFF" w:rsidP="003C0CFF">
      <w:pPr>
        <w:spacing w:line="360" w:lineRule="auto"/>
        <w:rPr>
          <w:rFonts w:ascii="Times New Roman" w:hAnsi="Times New Roman" w:cs="Times New Roman"/>
        </w:rPr>
      </w:pPr>
    </w:p>
    <w:p w14:paraId="1D26EF2C" w14:textId="77777777" w:rsidR="003C0CFF" w:rsidRPr="006E1E03" w:rsidRDefault="003C0CFF" w:rsidP="003C0CFF">
      <w:pPr>
        <w:spacing w:line="360" w:lineRule="auto"/>
        <w:rPr>
          <w:rFonts w:ascii="Times New Roman" w:hAnsi="Times New Roman" w:cs="Times New Roman"/>
        </w:rPr>
      </w:pPr>
    </w:p>
    <w:p w14:paraId="1D26EF2D" w14:textId="77777777" w:rsidR="003C0CFF" w:rsidRPr="006E1E03" w:rsidRDefault="003C0CFF" w:rsidP="003C0CFF">
      <w:pPr>
        <w:spacing w:line="360" w:lineRule="auto"/>
        <w:rPr>
          <w:rFonts w:ascii="Times New Roman" w:hAnsi="Times New Roman" w:cs="Times New Roman"/>
        </w:rPr>
      </w:pPr>
    </w:p>
    <w:p w14:paraId="1D26EF2E" w14:textId="77777777" w:rsidR="003C0CFF" w:rsidRPr="006E1E03" w:rsidRDefault="003C0CFF" w:rsidP="003C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26EF2F" w14:textId="77777777" w:rsidR="003C0CFF" w:rsidRPr="006E1E03" w:rsidRDefault="003C0CFF" w:rsidP="003C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26EF30" w14:textId="7AFFAEE0" w:rsidR="003C0CFF" w:rsidRPr="006E1E03" w:rsidRDefault="003C0CFF" w:rsidP="003C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E4CE19" w14:textId="0DC35F57" w:rsidR="00676C0D" w:rsidRPr="006E1E03" w:rsidRDefault="00676C0D" w:rsidP="003C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2D404F" w14:textId="3208D6EA" w:rsidR="00676C0D" w:rsidRPr="006E1E03" w:rsidRDefault="00676C0D" w:rsidP="003C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299C09" w14:textId="0F53D49F" w:rsidR="00676C0D" w:rsidRPr="006E1E03" w:rsidRDefault="00676C0D" w:rsidP="003C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1098F4" w14:textId="77777777" w:rsidR="00676C0D" w:rsidRPr="006E1E03" w:rsidRDefault="00676C0D" w:rsidP="003C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26EF31" w14:textId="77777777" w:rsidR="003C0CFF" w:rsidRPr="006E1E03" w:rsidRDefault="003C0CFF" w:rsidP="003C0C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26EF32" w14:textId="4BC420E5" w:rsidR="003C0CFF" w:rsidRPr="006E1E03" w:rsidRDefault="00C7171E" w:rsidP="003C0C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 xml:space="preserve">Москва, </w:t>
      </w:r>
      <w:r w:rsidR="003801F3" w:rsidRPr="006E1E03">
        <w:rPr>
          <w:rFonts w:ascii="Times New Roman" w:hAnsi="Times New Roman" w:cs="Times New Roman"/>
          <w:sz w:val="24"/>
          <w:szCs w:val="24"/>
        </w:rPr>
        <w:t>202</w:t>
      </w:r>
      <w:r w:rsidR="00653509">
        <w:rPr>
          <w:rFonts w:ascii="Times New Roman" w:hAnsi="Times New Roman" w:cs="Times New Roman"/>
          <w:sz w:val="24"/>
          <w:szCs w:val="24"/>
        </w:rPr>
        <w:t>4</w:t>
      </w:r>
    </w:p>
    <w:p w14:paraId="1D26EF33" w14:textId="77777777" w:rsidR="003C0CFF" w:rsidRPr="006E1E03" w:rsidRDefault="00C7171E" w:rsidP="003C0C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E03">
        <w:rPr>
          <w:rFonts w:ascii="Times New Roman" w:hAnsi="Times New Roman" w:cs="Times New Roman"/>
          <w:sz w:val="24"/>
        </w:rPr>
        <w:br w:type="page"/>
      </w:r>
      <w:r w:rsidRPr="006E1E03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1333293038"/>
        <w:docPartObj>
          <w:docPartGallery w:val="Table of Contents"/>
          <w:docPartUnique/>
        </w:docPartObj>
      </w:sdtPr>
      <w:sdtEndPr>
        <w:rPr>
          <w:szCs w:val="22"/>
        </w:rPr>
      </w:sdtEndPr>
      <w:sdtContent>
        <w:p w14:paraId="1D26EF34" w14:textId="77777777" w:rsidR="003C0CFF" w:rsidRPr="006E1E03" w:rsidRDefault="003C0CFF" w:rsidP="003C0CFF">
          <w:pPr>
            <w:pStyle w:val="af8"/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1D26EF35" w14:textId="4B22DBE5" w:rsidR="003C0CFF" w:rsidRPr="006E1E03" w:rsidRDefault="00C7171E" w:rsidP="003C0CFF">
          <w:pPr>
            <w:pStyle w:val="11"/>
            <w:rPr>
              <w:rFonts w:cs="Times New Roman"/>
              <w:b w:val="0"/>
              <w:bCs w:val="0"/>
              <w:sz w:val="24"/>
              <w:szCs w:val="24"/>
              <w:lang w:val="ru-RU" w:eastAsia="ru-RU"/>
            </w:rPr>
          </w:pPr>
          <w:r w:rsidRPr="006E1E03">
            <w:rPr>
              <w:rFonts w:cs="Times New Roman"/>
              <w:sz w:val="24"/>
              <w:szCs w:val="24"/>
            </w:rPr>
            <w:fldChar w:fldCharType="begin"/>
          </w:r>
          <w:r w:rsidRPr="006E1E03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6E1E03">
            <w:rPr>
              <w:rFonts w:cs="Times New Roman"/>
              <w:sz w:val="24"/>
              <w:szCs w:val="24"/>
            </w:rPr>
            <w:fldChar w:fldCharType="separate"/>
          </w:r>
          <w:hyperlink w:anchor="_Toc58239986" w:history="1">
            <w:r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1.</w:t>
            </w:r>
            <w:r w:rsidRPr="006E1E03">
              <w:rPr>
                <w:rFonts w:cs="Times New Roman"/>
                <w:b w:val="0"/>
                <w:bCs w:val="0"/>
                <w:sz w:val="24"/>
                <w:szCs w:val="24"/>
                <w:lang w:val="ru-RU" w:eastAsia="ru-RU"/>
              </w:rPr>
              <w:tab/>
            </w:r>
            <w:r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Общие положения</w:t>
            </w:r>
            <w:r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ab/>
            </w:r>
            <w:r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instrText xml:space="preserve"> PAGEREF _Toc58239986 \h </w:instrText>
            </w:r>
            <w:r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</w:r>
            <w:r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A00D18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>3</w:t>
            </w:r>
            <w:r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1D26EF36" w14:textId="1A498DD5" w:rsidR="003C0CFF" w:rsidRPr="006E1E03" w:rsidRDefault="00711E12" w:rsidP="003C0CFF">
          <w:pPr>
            <w:pStyle w:val="11"/>
            <w:rPr>
              <w:rFonts w:cs="Times New Roman"/>
              <w:b w:val="0"/>
              <w:bCs w:val="0"/>
              <w:sz w:val="24"/>
              <w:szCs w:val="24"/>
              <w:lang w:val="ru-RU" w:eastAsia="ru-RU"/>
            </w:rPr>
          </w:pPr>
          <w:hyperlink w:anchor="_Toc58239987" w:history="1">
            <w:r w:rsidR="001129EE"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2.</w:t>
            </w:r>
            <w:r w:rsidR="001129EE" w:rsidRPr="006E1E03">
              <w:rPr>
                <w:rFonts w:cs="Times New Roman"/>
                <w:b w:val="0"/>
                <w:bCs w:val="0"/>
                <w:sz w:val="24"/>
                <w:szCs w:val="24"/>
                <w:lang w:val="ru-RU" w:eastAsia="ru-RU"/>
              </w:rPr>
              <w:tab/>
            </w:r>
            <w:r w:rsidR="001129EE"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Термины и определения</w: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ab/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instrText xml:space="preserve"> PAGEREF _Toc58239987 \h </w:instrTex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A00D18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>4</w: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1D26EF37" w14:textId="3D428325" w:rsidR="003C0CFF" w:rsidRPr="006E1E03" w:rsidRDefault="00711E12" w:rsidP="003C0CFF">
          <w:pPr>
            <w:pStyle w:val="11"/>
            <w:rPr>
              <w:rFonts w:cs="Times New Roman"/>
              <w:b w:val="0"/>
              <w:bCs w:val="0"/>
              <w:sz w:val="24"/>
              <w:szCs w:val="24"/>
              <w:lang w:val="ru-RU" w:eastAsia="ru-RU"/>
            </w:rPr>
          </w:pPr>
          <w:hyperlink w:anchor="_Toc58239988" w:history="1">
            <w:r w:rsidR="001129EE"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3.</w:t>
            </w:r>
            <w:r w:rsidR="001129EE" w:rsidRPr="006E1E03">
              <w:rPr>
                <w:rFonts w:cs="Times New Roman"/>
                <w:b w:val="0"/>
                <w:bCs w:val="0"/>
                <w:sz w:val="24"/>
                <w:szCs w:val="24"/>
                <w:lang w:val="ru-RU" w:eastAsia="ru-RU"/>
              </w:rPr>
              <w:tab/>
            </w:r>
            <w:r w:rsidR="001129EE"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Цели и задачи установления предельного и совокупного предельного уровней риска через установление риск-аппетита</w: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ab/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instrText xml:space="preserve"> PAGEREF _Toc58239988 \h </w:instrTex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A00D18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>8</w: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1D26EF38" w14:textId="1D1BA32D" w:rsidR="003C0CFF" w:rsidRPr="006E1E03" w:rsidRDefault="00711E12" w:rsidP="003C0CFF">
          <w:pPr>
            <w:pStyle w:val="11"/>
            <w:rPr>
              <w:rFonts w:cs="Times New Roman"/>
              <w:b w:val="0"/>
              <w:bCs w:val="0"/>
              <w:sz w:val="24"/>
              <w:szCs w:val="24"/>
              <w:lang w:val="ru-RU" w:eastAsia="ru-RU"/>
            </w:rPr>
          </w:pPr>
          <w:hyperlink w:anchor="_Toc58239989" w:history="1">
            <w:r w:rsidR="001129EE"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4.</w:t>
            </w:r>
            <w:r w:rsidR="001129EE" w:rsidRPr="006E1E03">
              <w:rPr>
                <w:rFonts w:cs="Times New Roman"/>
                <w:b w:val="0"/>
                <w:bCs w:val="0"/>
                <w:sz w:val="24"/>
                <w:szCs w:val="24"/>
                <w:lang w:val="ru-RU" w:eastAsia="ru-RU"/>
              </w:rPr>
              <w:tab/>
            </w:r>
            <w:r w:rsidR="001129EE"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Определение перечня показателей риск-аппетита и методика определения их пороговых и фактических значений ПАО Московская биржа</w: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ab/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instrText xml:space="preserve"> PAGEREF _Toc58239989 \h </w:instrTex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A00D18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>8</w: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1D26EF39" w14:textId="33BEB04F" w:rsidR="003C0CFF" w:rsidRPr="006E1E03" w:rsidRDefault="00711E12" w:rsidP="003C0CFF">
          <w:pPr>
            <w:pStyle w:val="11"/>
            <w:rPr>
              <w:rFonts w:cs="Times New Roman"/>
              <w:b w:val="0"/>
              <w:bCs w:val="0"/>
              <w:sz w:val="24"/>
              <w:szCs w:val="24"/>
              <w:lang w:val="ru-RU" w:eastAsia="ru-RU"/>
            </w:rPr>
          </w:pPr>
          <w:hyperlink w:anchor="_Toc58239990" w:history="1">
            <w:r w:rsidR="001129EE"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5.</w:t>
            </w:r>
            <w:r w:rsidR="001129EE" w:rsidRPr="006E1E03">
              <w:rPr>
                <w:rFonts w:cs="Times New Roman"/>
                <w:b w:val="0"/>
                <w:bCs w:val="0"/>
                <w:sz w:val="24"/>
                <w:szCs w:val="24"/>
                <w:lang w:val="ru-RU" w:eastAsia="ru-RU"/>
              </w:rPr>
              <w:tab/>
            </w:r>
            <w:r w:rsidR="001129EE"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Определение перечня показателей риск-аппетита и методика определения их пороговых и фактических значений Группы</w: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ab/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instrText xml:space="preserve"> PAGEREF _Toc58239990 \h </w:instrTex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A00D18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>10</w: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1D26EF3A" w14:textId="5204CC4B" w:rsidR="003C0CFF" w:rsidRPr="006E1E03" w:rsidRDefault="00711E12" w:rsidP="003C0CFF">
          <w:pPr>
            <w:pStyle w:val="11"/>
            <w:rPr>
              <w:rFonts w:cs="Times New Roman"/>
              <w:b w:val="0"/>
              <w:bCs w:val="0"/>
              <w:sz w:val="24"/>
              <w:szCs w:val="24"/>
              <w:lang w:val="ru-RU" w:eastAsia="ru-RU"/>
            </w:rPr>
          </w:pPr>
          <w:hyperlink w:anchor="_Toc58239991" w:history="1">
            <w:r w:rsidR="001129EE"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6.</w:t>
            </w:r>
            <w:r w:rsidR="001129EE" w:rsidRPr="006E1E03">
              <w:rPr>
                <w:rFonts w:cs="Times New Roman"/>
                <w:b w:val="0"/>
                <w:bCs w:val="0"/>
                <w:sz w:val="24"/>
                <w:szCs w:val="24"/>
                <w:lang w:val="ru-RU" w:eastAsia="ru-RU"/>
              </w:rPr>
              <w:tab/>
            </w:r>
            <w:r w:rsidR="001129EE"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Мониторинг соблюдения риск-аппетита и отчетность ПАО Московская Биржа</w: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ab/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instrText xml:space="preserve"> PAGEREF _Toc58239991 \h </w:instrTex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A00D18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>13</w: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1D26EF3B" w14:textId="2A44688C" w:rsidR="003C0CFF" w:rsidRPr="006E1E03" w:rsidRDefault="00711E12" w:rsidP="003C0CFF">
          <w:pPr>
            <w:pStyle w:val="11"/>
            <w:rPr>
              <w:rFonts w:cs="Times New Roman"/>
              <w:b w:val="0"/>
              <w:bCs w:val="0"/>
              <w:sz w:val="24"/>
              <w:szCs w:val="24"/>
              <w:lang w:val="ru-RU" w:eastAsia="ru-RU"/>
            </w:rPr>
          </w:pPr>
          <w:hyperlink w:anchor="_Toc58239992" w:history="1">
            <w:r w:rsidR="001129EE"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7.</w:t>
            </w:r>
            <w:r w:rsidR="001129EE" w:rsidRPr="006E1E03">
              <w:rPr>
                <w:rFonts w:cs="Times New Roman"/>
                <w:b w:val="0"/>
                <w:bCs w:val="0"/>
                <w:sz w:val="24"/>
                <w:szCs w:val="24"/>
                <w:lang w:val="ru-RU" w:eastAsia="ru-RU"/>
              </w:rPr>
              <w:tab/>
            </w:r>
            <w:r w:rsidR="001129EE" w:rsidRPr="006E1E03">
              <w:rPr>
                <w:rStyle w:val="af7"/>
                <w:rFonts w:ascii="Times New Roman" w:hAnsi="Times New Roman"/>
                <w:b w:val="0"/>
                <w:bCs w:val="0"/>
                <w:sz w:val="24"/>
                <w:szCs w:val="24"/>
              </w:rPr>
              <w:t>Мониторинг соблюдения риск-аппетита и отчетность Группы</w: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ab/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begin"/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instrText xml:space="preserve"> PAGEREF _Toc58239992 \h </w:instrTex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separate"/>
            </w:r>
            <w:r w:rsidR="00A00D18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t>17</w:t>
            </w:r>
            <w:r w:rsidR="001129EE" w:rsidRPr="006E1E03">
              <w:rPr>
                <w:rFonts w:cs="Times New Roman"/>
                <w:b w:val="0"/>
                <w:bCs w:val="0"/>
                <w:webHidden/>
                <w:sz w:val="24"/>
                <w:szCs w:val="24"/>
              </w:rPr>
              <w:fldChar w:fldCharType="end"/>
            </w:r>
          </w:hyperlink>
        </w:p>
        <w:p w14:paraId="1D26EF3C" w14:textId="5DDE5723" w:rsidR="003C0CFF" w:rsidRPr="006E1E03" w:rsidRDefault="00C7171E" w:rsidP="003C0CFF">
          <w:pPr>
            <w:spacing w:line="360" w:lineRule="auto"/>
            <w:jc w:val="both"/>
            <w:rPr>
              <w:rFonts w:ascii="Times New Roman" w:hAnsi="Times New Roman" w:cs="Times New Roman"/>
            </w:rPr>
          </w:pPr>
          <w:r w:rsidRPr="006E1E0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1D26EF3D" w14:textId="77777777" w:rsidR="003C0CFF" w:rsidRPr="006E1E03" w:rsidRDefault="00C7171E" w:rsidP="003C0CFF">
      <w:pPr>
        <w:spacing w:line="360" w:lineRule="auto"/>
        <w:jc w:val="center"/>
        <w:rPr>
          <w:rFonts w:ascii="Times New Roman" w:hAnsi="Times New Roman" w:cs="Times New Roman"/>
        </w:rPr>
      </w:pPr>
      <w:r w:rsidRPr="006E1E03">
        <w:rPr>
          <w:rFonts w:ascii="Times New Roman" w:hAnsi="Times New Roman" w:cs="Times New Roman"/>
          <w:sz w:val="24"/>
        </w:rPr>
        <w:fldChar w:fldCharType="begin"/>
      </w:r>
      <w:r w:rsidRPr="006E1E03">
        <w:rPr>
          <w:rFonts w:ascii="Times New Roman" w:hAnsi="Times New Roman" w:cs="Times New Roman"/>
          <w:sz w:val="24"/>
        </w:rPr>
        <w:instrText xml:space="preserve"> TOC \o "1-3" \h \z \u </w:instrText>
      </w:r>
      <w:r w:rsidRPr="006E1E03">
        <w:rPr>
          <w:rFonts w:ascii="Times New Roman" w:hAnsi="Times New Roman" w:cs="Times New Roman"/>
          <w:sz w:val="24"/>
        </w:rPr>
        <w:fldChar w:fldCharType="separate"/>
      </w:r>
    </w:p>
    <w:p w14:paraId="1D26EF3E" w14:textId="77777777" w:rsidR="003C0CFF" w:rsidRPr="006E1E03" w:rsidRDefault="00C7171E" w:rsidP="003C0C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E1E03">
        <w:rPr>
          <w:rFonts w:ascii="Times New Roman" w:hAnsi="Times New Roman" w:cs="Times New Roman"/>
          <w:sz w:val="24"/>
        </w:rPr>
        <w:fldChar w:fldCharType="end"/>
      </w:r>
    </w:p>
    <w:p w14:paraId="1D26EF3F" w14:textId="77777777" w:rsidR="003C0CFF" w:rsidRPr="006E1E03" w:rsidRDefault="00C7171E" w:rsidP="003C0CFF">
      <w:pPr>
        <w:spacing w:line="360" w:lineRule="auto"/>
        <w:rPr>
          <w:rFonts w:ascii="Times New Roman" w:hAnsi="Times New Roman" w:cs="Times New Roman"/>
          <w:sz w:val="24"/>
        </w:rPr>
      </w:pPr>
      <w:r w:rsidRPr="006E1E03">
        <w:rPr>
          <w:rFonts w:ascii="Times New Roman" w:hAnsi="Times New Roman" w:cs="Times New Roman"/>
          <w:sz w:val="28"/>
        </w:rPr>
        <w:br w:type="page"/>
      </w:r>
    </w:p>
    <w:p w14:paraId="1D26EF40" w14:textId="77777777" w:rsidR="003C0CFF" w:rsidRPr="006E1E03" w:rsidRDefault="00C7171E" w:rsidP="003C0CFF">
      <w:pPr>
        <w:pStyle w:val="1"/>
        <w:keepLines w:val="0"/>
        <w:numPr>
          <w:ilvl w:val="1"/>
          <w:numId w:val="2"/>
        </w:numPr>
        <w:spacing w:before="360" w:after="240" w:line="36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bookmarkStart w:id="2" w:name="_Toc26193693"/>
      <w:bookmarkStart w:id="3" w:name="_Toc56779703"/>
      <w:bookmarkStart w:id="4" w:name="_Toc57822314"/>
      <w:bookmarkStart w:id="5" w:name="_Toc58239986"/>
      <w:r w:rsidRPr="006E1E03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lastRenderedPageBreak/>
        <w:t>Общие положения</w:t>
      </w:r>
      <w:bookmarkEnd w:id="2"/>
      <w:bookmarkEnd w:id="3"/>
      <w:bookmarkEnd w:id="4"/>
      <w:bookmarkEnd w:id="5"/>
    </w:p>
    <w:p w14:paraId="1D26EF41" w14:textId="3E32ABCE" w:rsidR="003C0CFF" w:rsidRPr="006E1E03" w:rsidRDefault="00C7171E" w:rsidP="003C0CFF">
      <w:pPr>
        <w:pStyle w:val="a7"/>
        <w:numPr>
          <w:ilvl w:val="1"/>
          <w:numId w:val="3"/>
        </w:numPr>
        <w:autoSpaceDE w:val="0"/>
        <w:autoSpaceDN w:val="0"/>
        <w:adjustRightInd w:val="0"/>
        <w:spacing w:before="120" w:after="567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0"/>
        </w:rPr>
      </w:pPr>
      <w:r w:rsidRPr="006E1E03">
        <w:rPr>
          <w:rFonts w:ascii="Times New Roman" w:eastAsiaTheme="minorEastAsia" w:hAnsi="Times New Roman" w:cs="Times New Roman"/>
          <w:sz w:val="24"/>
          <w:szCs w:val="20"/>
        </w:rPr>
        <w:t>Методика определения контрольных показателей риск-аппетита (далее – Методика) ПАО Московская Биржа разработана в рамках системы управления рисками ПАО Московская Биржа, совмещающего деятельность организатора торговли и оператора финансовой платформы. Методика разработана в соответствии с Указанием Банка России от 07</w:t>
      </w:r>
      <w:r w:rsidR="002D0428" w:rsidRPr="006E1E03">
        <w:rPr>
          <w:rFonts w:ascii="Times New Roman" w:eastAsiaTheme="minorEastAsia" w:hAnsi="Times New Roman" w:cs="Times New Roman"/>
          <w:sz w:val="24"/>
          <w:szCs w:val="20"/>
        </w:rPr>
        <w:t>.05.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2018 № 4791-У «О требованиях к организации организатором торговли системы управления рисками, связанными с организацией торгов, а также с осуществлением операций с собственным имуществом, и к документам организатора торговли, определяющим меры, направленные на снижение указанных рисков и предотвращение конфликта интересов», Федеральным законом от 20.07.2020 № 211-ФЗ «О совершении финансовых сделок с использованием финансовой платформы»</w:t>
      </w:r>
      <w:r w:rsidR="002D0428" w:rsidRPr="006E1E03">
        <w:rPr>
          <w:rFonts w:ascii="Times New Roman" w:eastAsiaTheme="minorEastAsia" w:hAnsi="Times New Roman" w:cs="Times New Roman"/>
          <w:sz w:val="24"/>
          <w:szCs w:val="20"/>
        </w:rPr>
        <w:t>,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а также </w:t>
      </w:r>
      <w:bookmarkStart w:id="6" w:name="_Hlk57189513"/>
      <w:r w:rsidRPr="006E1E03">
        <w:rPr>
          <w:rFonts w:ascii="Times New Roman" w:eastAsiaTheme="minorEastAsia" w:hAnsi="Times New Roman" w:cs="Times New Roman"/>
          <w:sz w:val="24"/>
          <w:szCs w:val="20"/>
        </w:rPr>
        <w:t>следующими внутренними документами</w:t>
      </w:r>
      <w:bookmarkEnd w:id="6"/>
      <w:r w:rsidRPr="006E1E03">
        <w:rPr>
          <w:rFonts w:ascii="Times New Roman" w:eastAsiaTheme="minorEastAsia" w:hAnsi="Times New Roman" w:cs="Times New Roman"/>
          <w:sz w:val="24"/>
          <w:szCs w:val="20"/>
        </w:rPr>
        <w:t>:</w:t>
      </w:r>
    </w:p>
    <w:p w14:paraId="1D26EF42" w14:textId="77777777" w:rsidR="003C0CFF" w:rsidRPr="006E1E03" w:rsidRDefault="00C7171E" w:rsidP="003C0CFF">
      <w:pPr>
        <w:pStyle w:val="a7"/>
        <w:numPr>
          <w:ilvl w:val="0"/>
          <w:numId w:val="1"/>
        </w:numPr>
        <w:spacing w:after="120" w:line="360" w:lineRule="auto"/>
        <w:ind w:left="714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>Правилами управления рисками, связанными с осуществлением деятельности организатора торговли;</w:t>
      </w:r>
    </w:p>
    <w:p w14:paraId="1D26EF43" w14:textId="1B92CA03" w:rsidR="003C0CFF" w:rsidRPr="006E1E03" w:rsidRDefault="00C7171E" w:rsidP="003C0CFF">
      <w:pPr>
        <w:pStyle w:val="a7"/>
        <w:numPr>
          <w:ilvl w:val="0"/>
          <w:numId w:val="1"/>
        </w:numPr>
        <w:spacing w:after="120" w:line="360" w:lineRule="auto"/>
        <w:ind w:left="714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>Правилами управления рисками, связанными с осуществлением деятельности Оператора финансовой платформы</w:t>
      </w:r>
      <w:r w:rsidR="004F7BEA" w:rsidRPr="006E1E03">
        <w:rPr>
          <w:rFonts w:ascii="Times New Roman" w:hAnsi="Times New Roman" w:cs="Times New Roman"/>
          <w:sz w:val="24"/>
          <w:szCs w:val="24"/>
        </w:rPr>
        <w:t xml:space="preserve"> и Оператора обмена цифровых финансовых активов</w:t>
      </w:r>
      <w:r w:rsidRPr="006E1E03">
        <w:rPr>
          <w:rFonts w:ascii="Times New Roman" w:hAnsi="Times New Roman" w:cs="Times New Roman"/>
          <w:sz w:val="24"/>
          <w:szCs w:val="24"/>
        </w:rPr>
        <w:t>;</w:t>
      </w:r>
    </w:p>
    <w:p w14:paraId="1D26EF44" w14:textId="77777777" w:rsidR="003C0CFF" w:rsidRPr="006E1E03" w:rsidRDefault="00C7171E" w:rsidP="003C0CFF">
      <w:pPr>
        <w:pStyle w:val="a7"/>
        <w:numPr>
          <w:ilvl w:val="0"/>
          <w:numId w:val="1"/>
        </w:numPr>
        <w:spacing w:after="120" w:line="360" w:lineRule="auto"/>
        <w:ind w:left="714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>Политикой по управлению финансовыми рисками;</w:t>
      </w:r>
    </w:p>
    <w:p w14:paraId="1D26EF45" w14:textId="77777777" w:rsidR="003C0CFF" w:rsidRPr="006E1E03" w:rsidRDefault="00C7171E" w:rsidP="003C0CFF">
      <w:pPr>
        <w:pStyle w:val="a7"/>
        <w:numPr>
          <w:ilvl w:val="0"/>
          <w:numId w:val="1"/>
        </w:numPr>
        <w:spacing w:after="120" w:line="360" w:lineRule="auto"/>
        <w:ind w:left="714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>Политикой управления операционным риском</w:t>
      </w:r>
      <w:r w:rsidRPr="006E1E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D26EF46" w14:textId="77777777" w:rsidR="003C0CFF" w:rsidRPr="006E1E03" w:rsidRDefault="00C7171E" w:rsidP="003C0CFF">
      <w:pPr>
        <w:pStyle w:val="a7"/>
        <w:numPr>
          <w:ilvl w:val="0"/>
          <w:numId w:val="1"/>
        </w:numPr>
        <w:spacing w:after="120" w:line="360" w:lineRule="auto"/>
        <w:ind w:left="714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>Политикой управления стратегическим риском</w:t>
      </w:r>
      <w:r w:rsidRPr="006E1E03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D26EF47" w14:textId="6D7289D1" w:rsidR="003C0CFF" w:rsidRPr="006E1E03" w:rsidRDefault="00C7171E" w:rsidP="003C0CFF">
      <w:pPr>
        <w:pStyle w:val="a7"/>
        <w:numPr>
          <w:ilvl w:val="0"/>
          <w:numId w:val="1"/>
        </w:numPr>
        <w:spacing w:after="120" w:line="360" w:lineRule="auto"/>
        <w:ind w:left="714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>Политикой управления регуляторным</w:t>
      </w:r>
      <w:r w:rsidR="00255EB7" w:rsidRPr="006E1E03">
        <w:rPr>
          <w:rFonts w:ascii="Times New Roman" w:hAnsi="Times New Roman" w:cs="Times New Roman"/>
          <w:sz w:val="24"/>
          <w:szCs w:val="24"/>
        </w:rPr>
        <w:t>и</w:t>
      </w:r>
      <w:r w:rsidRPr="006E1E03">
        <w:rPr>
          <w:rFonts w:ascii="Times New Roman" w:hAnsi="Times New Roman" w:cs="Times New Roman"/>
          <w:sz w:val="24"/>
          <w:szCs w:val="24"/>
        </w:rPr>
        <w:t xml:space="preserve"> </w:t>
      </w:r>
      <w:r w:rsidR="00255EB7" w:rsidRPr="006E1E03">
        <w:rPr>
          <w:rFonts w:ascii="Times New Roman" w:hAnsi="Times New Roman" w:cs="Times New Roman"/>
          <w:sz w:val="24"/>
          <w:szCs w:val="24"/>
        </w:rPr>
        <w:t>рисками</w:t>
      </w:r>
      <w:r w:rsidRPr="006E1E03">
        <w:rPr>
          <w:rFonts w:ascii="Times New Roman" w:hAnsi="Times New Roman" w:cs="Times New Roman"/>
          <w:sz w:val="24"/>
          <w:szCs w:val="24"/>
        </w:rPr>
        <w:t>;</w:t>
      </w:r>
    </w:p>
    <w:p w14:paraId="1D26EF48" w14:textId="1A6FA0E7" w:rsidR="003C0CFF" w:rsidRPr="006E1E03" w:rsidRDefault="00C7171E" w:rsidP="003C0CFF">
      <w:pPr>
        <w:pStyle w:val="a7"/>
        <w:numPr>
          <w:ilvl w:val="0"/>
          <w:numId w:val="1"/>
        </w:numPr>
        <w:spacing w:after="120" w:line="360" w:lineRule="auto"/>
        <w:ind w:left="714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>Политикой управления риском потери деловой репутации;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77C7CEF" w14:textId="61439667" w:rsidR="00001ACE" w:rsidRPr="006E1E03" w:rsidRDefault="00C7171E" w:rsidP="003C0CFF">
      <w:pPr>
        <w:pStyle w:val="a7"/>
        <w:numPr>
          <w:ilvl w:val="0"/>
          <w:numId w:val="1"/>
        </w:numPr>
        <w:spacing w:after="120" w:line="360" w:lineRule="auto"/>
        <w:ind w:left="714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Политикой управления налоговым риском;</w:t>
      </w:r>
    </w:p>
    <w:p w14:paraId="1D26EF49" w14:textId="77777777" w:rsidR="003C0CFF" w:rsidRPr="006E1E03" w:rsidRDefault="00C7171E" w:rsidP="003C0CFF">
      <w:pPr>
        <w:pStyle w:val="a7"/>
        <w:numPr>
          <w:ilvl w:val="0"/>
          <w:numId w:val="1"/>
        </w:numPr>
        <w:spacing w:after="120" w:line="360" w:lineRule="auto"/>
        <w:ind w:left="714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Стратегией управления рисками Группы;</w:t>
      </w:r>
    </w:p>
    <w:p w14:paraId="1D26EF4A" w14:textId="77777777" w:rsidR="003C0CFF" w:rsidRPr="006E1E03" w:rsidRDefault="00C7171E" w:rsidP="003C0CFF">
      <w:pPr>
        <w:pStyle w:val="a7"/>
        <w:numPr>
          <w:ilvl w:val="0"/>
          <w:numId w:val="1"/>
        </w:numPr>
        <w:spacing w:after="120" w:line="360" w:lineRule="auto"/>
        <w:ind w:left="714" w:firstLine="276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>иными внутренними документами по управлению отдельными видами рисков.</w:t>
      </w:r>
    </w:p>
    <w:p w14:paraId="1D26EF4B" w14:textId="77777777" w:rsidR="003C0CFF" w:rsidRPr="006E1E03" w:rsidRDefault="00C7171E" w:rsidP="003C0CFF">
      <w:pPr>
        <w:pStyle w:val="a7"/>
        <w:numPr>
          <w:ilvl w:val="1"/>
          <w:numId w:val="3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0"/>
        </w:rPr>
      </w:pPr>
      <w:r w:rsidRPr="006E1E03">
        <w:rPr>
          <w:rFonts w:ascii="Times New Roman" w:eastAsiaTheme="minorEastAsia" w:hAnsi="Times New Roman" w:cs="Times New Roman"/>
          <w:sz w:val="24"/>
          <w:szCs w:val="20"/>
        </w:rPr>
        <w:t>Методика устанавливает перечень показателей риск-аппетита, правила и параметры расчета их пороговых и фактических значений.</w:t>
      </w:r>
    </w:p>
    <w:p w14:paraId="1D26EF4C" w14:textId="65908B73" w:rsidR="003C0CFF" w:rsidRPr="006E1E03" w:rsidRDefault="00C7171E" w:rsidP="003C0CFF">
      <w:pPr>
        <w:pStyle w:val="a7"/>
        <w:numPr>
          <w:ilvl w:val="1"/>
          <w:numId w:val="3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0"/>
        </w:rPr>
      </w:pP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Методика отражает единый подход к определению приемлемости рисков для ПАО Московская Биржа. Все управленческие решения </w:t>
      </w:r>
      <w:bookmarkStart w:id="7" w:name="_Hlk57285178"/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bookmarkEnd w:id="7"/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принимаются с учетом установленных показателей риск-аппетита и их пороговых значений. Пороговые значения показателей риск-аппетита учитываются на всех уровнях принятия решений при определении подхода к каскадированию риск-аппетита в рамках Группы. </w:t>
      </w:r>
    </w:p>
    <w:p w14:paraId="754299A2" w14:textId="61013061" w:rsidR="0048758C" w:rsidRPr="006E1E03" w:rsidRDefault="00C7171E" w:rsidP="0048758C">
      <w:pPr>
        <w:pStyle w:val="a7"/>
        <w:numPr>
          <w:ilvl w:val="1"/>
          <w:numId w:val="3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0"/>
        </w:rPr>
      </w:pPr>
      <w:bookmarkStart w:id="8" w:name="_Hlk87740232"/>
      <w:r w:rsidRPr="006E1E03">
        <w:rPr>
          <w:rFonts w:ascii="Times New Roman" w:eastAsiaTheme="minorEastAsia" w:hAnsi="Times New Roman" w:cs="Times New Roman"/>
          <w:sz w:val="24"/>
          <w:szCs w:val="20"/>
        </w:rPr>
        <w:t>Показатели риск-аппетита и их пороговые значения подлежат актуализации на ежегодной основе.</w:t>
      </w:r>
    </w:p>
    <w:p w14:paraId="1D26EF4D" w14:textId="77777777" w:rsidR="003C0CFF" w:rsidRPr="006E1E03" w:rsidRDefault="00C7171E" w:rsidP="003C0CFF">
      <w:pPr>
        <w:pStyle w:val="1"/>
        <w:keepLines w:val="0"/>
        <w:numPr>
          <w:ilvl w:val="1"/>
          <w:numId w:val="2"/>
        </w:numPr>
        <w:spacing w:before="360" w:after="240" w:line="360" w:lineRule="auto"/>
        <w:ind w:left="540" w:hanging="540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bookmarkStart w:id="9" w:name="_Toc26193694"/>
      <w:bookmarkStart w:id="10" w:name="_Toc56779704"/>
      <w:bookmarkStart w:id="11" w:name="_Toc57822315"/>
      <w:bookmarkStart w:id="12" w:name="_Toc58239987"/>
      <w:bookmarkEnd w:id="8"/>
      <w:r w:rsidRPr="006E1E03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lastRenderedPageBreak/>
        <w:t>Термины и определения</w:t>
      </w:r>
      <w:bookmarkEnd w:id="9"/>
      <w:bookmarkEnd w:id="10"/>
      <w:bookmarkEnd w:id="11"/>
      <w:bookmarkEnd w:id="12"/>
    </w:p>
    <w:p w14:paraId="1D26EF4E" w14:textId="701BD986" w:rsidR="003C0CFF" w:rsidRPr="006E1E03" w:rsidRDefault="00C7171E" w:rsidP="003C0CFF">
      <w:pPr>
        <w:pStyle w:val="9"/>
        <w:spacing w:after="200" w:line="360" w:lineRule="auto"/>
        <w:ind w:left="567"/>
        <w:rPr>
          <w:color w:val="000000" w:themeColor="text1"/>
        </w:rPr>
      </w:pPr>
      <w:r w:rsidRPr="006E1E03">
        <w:rPr>
          <w:b/>
        </w:rPr>
        <w:t>База данных о событиях операционного риска (БДСОР)</w:t>
      </w:r>
      <w:r w:rsidRPr="006E1E03">
        <w:t xml:space="preserve"> – </w:t>
      </w:r>
      <w:r w:rsidRPr="006E1E03">
        <w:rPr>
          <w:color w:val="000000" w:themeColor="text1"/>
        </w:rPr>
        <w:t xml:space="preserve">электронное хранилище информации о событиях операционного риска (далее </w:t>
      </w:r>
      <w:r w:rsidR="00C761B6" w:rsidRPr="006E1E03">
        <w:rPr>
          <w:color w:val="000000" w:themeColor="text1"/>
        </w:rPr>
        <w:t>–</w:t>
      </w:r>
      <w:r w:rsidRPr="006E1E03">
        <w:rPr>
          <w:color w:val="000000" w:themeColor="text1"/>
        </w:rPr>
        <w:t xml:space="preserve"> СОР</w:t>
      </w:r>
      <w:r w:rsidR="00C761B6" w:rsidRPr="006E1E03">
        <w:rPr>
          <w:color w:val="000000" w:themeColor="text1"/>
        </w:rPr>
        <w:t>)</w:t>
      </w:r>
      <w:r w:rsidRPr="006E1E03">
        <w:rPr>
          <w:color w:val="000000" w:themeColor="text1"/>
        </w:rPr>
        <w:t xml:space="preserve"> и инцидентах (событиях), связанных с операционным риском, но не имевших последствий и не оказавших негативного влияния на процессы </w:t>
      </w:r>
      <w:r w:rsidRPr="006E1E03">
        <w:rPr>
          <w:rFonts w:eastAsiaTheme="minorEastAsia"/>
          <w:szCs w:val="20"/>
        </w:rPr>
        <w:t>компании</w:t>
      </w:r>
      <w:r w:rsidRPr="006E1E03">
        <w:rPr>
          <w:color w:val="000000" w:themeColor="text1"/>
        </w:rPr>
        <w:t>.</w:t>
      </w:r>
    </w:p>
    <w:p w14:paraId="1D26EF4F" w14:textId="355EC450" w:rsidR="003C0CFF" w:rsidRPr="006E1E03" w:rsidRDefault="00C7171E" w:rsidP="003C0CF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Pr="006E1E03">
        <w:rPr>
          <w:rFonts w:ascii="Times New Roman" w:hAnsi="Times New Roman" w:cs="Times New Roman"/>
          <w:sz w:val="24"/>
          <w:szCs w:val="24"/>
        </w:rPr>
        <w:t xml:space="preserve"> – Группа компаний Московская Биржа, состоящая из ПАО Московская Биржа, НКО АО НРД (далее</w:t>
      </w:r>
      <w:r w:rsidR="00C761B6" w:rsidRPr="006E1E03">
        <w:rPr>
          <w:rFonts w:ascii="Times New Roman" w:hAnsi="Times New Roman" w:cs="Times New Roman"/>
          <w:sz w:val="24"/>
          <w:szCs w:val="24"/>
        </w:rPr>
        <w:t xml:space="preserve"> </w:t>
      </w:r>
      <w:r w:rsidRPr="006E1E03">
        <w:rPr>
          <w:rFonts w:ascii="Times New Roman" w:hAnsi="Times New Roman" w:cs="Times New Roman"/>
          <w:sz w:val="24"/>
          <w:szCs w:val="24"/>
        </w:rPr>
        <w:t>- НРД), НКО НКЦ (АО) (далее</w:t>
      </w:r>
      <w:r w:rsidR="00C761B6" w:rsidRPr="006E1E03">
        <w:rPr>
          <w:rFonts w:ascii="Times New Roman" w:hAnsi="Times New Roman" w:cs="Times New Roman"/>
          <w:sz w:val="24"/>
          <w:szCs w:val="24"/>
        </w:rPr>
        <w:t xml:space="preserve"> </w:t>
      </w:r>
      <w:r w:rsidRPr="006E1E03">
        <w:rPr>
          <w:rFonts w:ascii="Times New Roman" w:hAnsi="Times New Roman" w:cs="Times New Roman"/>
          <w:sz w:val="24"/>
          <w:szCs w:val="24"/>
        </w:rPr>
        <w:t>- НКЦ), АО НТБ (далее</w:t>
      </w:r>
      <w:r w:rsidR="00C761B6" w:rsidRPr="006E1E03">
        <w:rPr>
          <w:rFonts w:ascii="Times New Roman" w:hAnsi="Times New Roman" w:cs="Times New Roman"/>
          <w:sz w:val="24"/>
          <w:szCs w:val="24"/>
        </w:rPr>
        <w:t xml:space="preserve"> </w:t>
      </w:r>
      <w:r w:rsidRPr="006E1E03">
        <w:rPr>
          <w:rFonts w:ascii="Times New Roman" w:hAnsi="Times New Roman" w:cs="Times New Roman"/>
          <w:sz w:val="24"/>
          <w:szCs w:val="24"/>
        </w:rPr>
        <w:t>- НТБ).</w:t>
      </w:r>
    </w:p>
    <w:p w14:paraId="6E5F66C8" w14:textId="4CEB11D6" w:rsidR="00C04757" w:rsidRPr="006E1E03" w:rsidRDefault="00C7171E" w:rsidP="003C0CF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bCs/>
          <w:sz w:val="24"/>
          <w:szCs w:val="24"/>
        </w:rPr>
        <w:t xml:space="preserve">Деградация </w:t>
      </w:r>
      <w:r w:rsidRPr="006E1E03">
        <w:rPr>
          <w:rFonts w:ascii="Times New Roman" w:hAnsi="Times New Roman" w:cs="Times New Roman"/>
          <w:sz w:val="24"/>
          <w:szCs w:val="24"/>
        </w:rPr>
        <w:t xml:space="preserve">- </w:t>
      </w:r>
      <w:r w:rsidR="00807282" w:rsidRPr="006E1E03">
        <w:rPr>
          <w:rFonts w:ascii="Times New Roman" w:hAnsi="Times New Roman" w:cs="Times New Roman"/>
          <w:sz w:val="24"/>
          <w:szCs w:val="24"/>
        </w:rPr>
        <w:t xml:space="preserve">нарушения технологических процессов Группы и/или использующихся Группой, приводящие к неоказанию или ненадлежащему оказанию услуг, связанных с обеспечением возможности совершения финансовых сделок между </w:t>
      </w:r>
      <w:r w:rsidR="00837E84" w:rsidRPr="006E1E03">
        <w:rPr>
          <w:rFonts w:ascii="Times New Roman" w:hAnsi="Times New Roman" w:cs="Times New Roman"/>
          <w:sz w:val="24"/>
          <w:szCs w:val="24"/>
        </w:rPr>
        <w:t xml:space="preserve">получателями </w:t>
      </w:r>
      <w:r w:rsidR="00807282" w:rsidRPr="006E1E03">
        <w:rPr>
          <w:rFonts w:ascii="Times New Roman" w:hAnsi="Times New Roman" w:cs="Times New Roman"/>
          <w:sz w:val="24"/>
          <w:szCs w:val="24"/>
        </w:rPr>
        <w:t xml:space="preserve">финансовых услуг и </w:t>
      </w:r>
      <w:r w:rsidR="005F0A73" w:rsidRPr="006E1E03">
        <w:rPr>
          <w:rFonts w:ascii="Times New Roman" w:hAnsi="Times New Roman" w:cs="Times New Roman"/>
          <w:sz w:val="24"/>
          <w:szCs w:val="24"/>
        </w:rPr>
        <w:t>финансовыми организациями,</w:t>
      </w:r>
      <w:r w:rsidR="00807282" w:rsidRPr="006E1E03">
        <w:rPr>
          <w:rFonts w:ascii="Times New Roman" w:hAnsi="Times New Roman" w:cs="Times New Roman"/>
          <w:sz w:val="24"/>
          <w:szCs w:val="24"/>
        </w:rPr>
        <w:t xml:space="preserve"> и эмитентами.</w:t>
      </w:r>
    </w:p>
    <w:p w14:paraId="1D26EF50" w14:textId="1A686A51" w:rsidR="003C0CFF" w:rsidRPr="006E1E03" w:rsidRDefault="00C7171E" w:rsidP="003C0CF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bCs/>
          <w:sz w:val="24"/>
          <w:szCs w:val="24"/>
        </w:rPr>
        <w:t>ДОРИБиНБ</w:t>
      </w:r>
      <w:r w:rsidRPr="006E1E03">
        <w:rPr>
          <w:rFonts w:ascii="Times New Roman" w:hAnsi="Times New Roman" w:cs="Times New Roman"/>
          <w:sz w:val="24"/>
          <w:szCs w:val="24"/>
        </w:rPr>
        <w:t xml:space="preserve"> – Департамент операционных рисков, информационной безопасности и непрерывности бизнеса</w:t>
      </w:r>
      <w:r w:rsidR="009B41C5" w:rsidRPr="006E1E03">
        <w:rPr>
          <w:rFonts w:ascii="Times New Roman" w:hAnsi="Times New Roman" w:cs="Times New Roman"/>
          <w:sz w:val="24"/>
          <w:szCs w:val="24"/>
        </w:rPr>
        <w:t>, подразделение риск-менеджмента ПАО Московская Биржа.</w:t>
      </w:r>
    </w:p>
    <w:p w14:paraId="1D26EF52" w14:textId="77777777" w:rsidR="003C0CFF" w:rsidRPr="006E1E03" w:rsidRDefault="00C7171E" w:rsidP="003C0CF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bCs/>
          <w:sz w:val="24"/>
          <w:szCs w:val="24"/>
        </w:rPr>
        <w:t>Карта рисков -</w:t>
      </w:r>
      <w:r w:rsidRPr="006E1E03">
        <w:rPr>
          <w:rFonts w:ascii="Times New Roman" w:hAnsi="Times New Roman" w:cs="Times New Roman"/>
          <w:sz w:val="24"/>
          <w:szCs w:val="24"/>
        </w:rPr>
        <w:t xml:space="preserve"> представление идентифицированных рисков.</w:t>
      </w:r>
      <w:r w:rsidRPr="006E1E03">
        <w:rPr>
          <w:rFonts w:ascii="Times New Roman" w:hAnsi="Times New Roman" w:cs="Times New Roman"/>
        </w:rPr>
        <w:t xml:space="preserve"> </w:t>
      </w:r>
      <w:r w:rsidRPr="006E1E03">
        <w:rPr>
          <w:rFonts w:ascii="Times New Roman" w:hAnsi="Times New Roman" w:cs="Times New Roman"/>
          <w:sz w:val="24"/>
          <w:szCs w:val="24"/>
        </w:rPr>
        <w:t>Карта рисков включает критерии оценки рисков: уровень ущерба от реализации риска и вероятность наступления рискового события в течение определенного периода времени.</w:t>
      </w:r>
    </w:p>
    <w:p w14:paraId="1D26EF53" w14:textId="56995568" w:rsidR="003C0CFF" w:rsidRPr="006E1E03" w:rsidRDefault="00C7171E" w:rsidP="003C0CFF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1E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Коммерческий риск – </w:t>
      </w:r>
      <w:r w:rsidRPr="006E1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риск, связанный с управлением или функционированием компании как коммерческой организации, в т</w:t>
      </w:r>
      <w:r w:rsidR="00C761B6" w:rsidRPr="006E1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ом </w:t>
      </w:r>
      <w:r w:rsidRPr="006E1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</w:t>
      </w:r>
      <w:r w:rsidR="00C761B6" w:rsidRPr="006E1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исле</w:t>
      </w:r>
      <w:r w:rsidRPr="006E1E0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влияющий на осуществление функций организатора торгов и оператора финансовой платформы. Под коммерческим риском понимается любое потенциальное ухудшение финансового положения вследствие превышения расходов над доходами.</w:t>
      </w:r>
    </w:p>
    <w:p w14:paraId="1D26EF54" w14:textId="5219FE6E" w:rsidR="003C0CFF" w:rsidRPr="006E1E03" w:rsidRDefault="00C7171E" w:rsidP="003C0CFF">
      <w:pPr>
        <w:pStyle w:val="9"/>
        <w:spacing w:before="120" w:line="360" w:lineRule="auto"/>
        <w:ind w:left="567"/>
      </w:pPr>
      <w:r w:rsidRPr="006E1E03">
        <w:rPr>
          <w:b/>
          <w:color w:val="000000" w:themeColor="text1"/>
        </w:rPr>
        <w:t>Комплаенс-риск</w:t>
      </w:r>
      <w:r w:rsidRPr="006E1E03">
        <w:rPr>
          <w:color w:val="000000" w:themeColor="text1"/>
        </w:rPr>
        <w:t xml:space="preserve"> </w:t>
      </w:r>
      <w:r w:rsidRPr="006E1E03">
        <w:rPr>
          <w:b/>
          <w:color w:val="000000" w:themeColor="text1"/>
        </w:rPr>
        <w:t>–</w:t>
      </w:r>
      <w:r w:rsidRPr="006E1E03">
        <w:rPr>
          <w:color w:val="000000" w:themeColor="text1"/>
        </w:rPr>
        <w:t xml:space="preserve"> риск возникновения убытков из-за несоблюдения законодательства, внутренних документов, стандартов саморегулируемых организаций (если такие стандарты или правила являются обязательными), а также в результате применения санкций и (или) иных мер воздействия со стороны надзорных органов. Для описания комплаенс-рисков используется термин «регуляторный риск», который является одной (но не единственной) из составляющих комплаенс-рисков.</w:t>
      </w:r>
    </w:p>
    <w:p w14:paraId="1D26EF55" w14:textId="1D24575B" w:rsidR="003C0CFF" w:rsidRPr="006E1E03" w:rsidRDefault="00C7171E" w:rsidP="003C0CF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t xml:space="preserve">Кредитный риск </w:t>
      </w:r>
      <w:r w:rsidRPr="006E1E03">
        <w:rPr>
          <w:rFonts w:ascii="Times New Roman" w:hAnsi="Times New Roman" w:cs="Times New Roman"/>
          <w:sz w:val="24"/>
          <w:szCs w:val="24"/>
        </w:rPr>
        <w:t>–</w:t>
      </w:r>
      <w:r w:rsidRPr="006E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E03">
        <w:rPr>
          <w:rFonts w:ascii="Times New Roman" w:hAnsi="Times New Roman" w:cs="Times New Roman"/>
          <w:sz w:val="24"/>
          <w:szCs w:val="24"/>
        </w:rPr>
        <w:t>риск возникновения убытков вследствие неисполнения, несвоевременного либо неполного исполнения контрагентом своих обязательств в соответствии с условиями договоров.</w:t>
      </w:r>
    </w:p>
    <w:p w14:paraId="1637F37C" w14:textId="3787674F" w:rsidR="00C278EB" w:rsidRPr="006E1E03" w:rsidRDefault="00C7171E" w:rsidP="003C0CF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Налоговый риск - </w:t>
      </w:r>
      <w:r w:rsidRPr="006E1E03">
        <w:rPr>
          <w:rFonts w:ascii="Times New Roman" w:hAnsi="Times New Roman" w:cs="Times New Roman"/>
          <w:bCs/>
          <w:sz w:val="24"/>
          <w:szCs w:val="24"/>
        </w:rPr>
        <w:t>неопределенность относительно достижения бизнес-цели в результате воздействия факторов, связанных с процессом налогообложения, которая может проявиться в виде финансовых потерь или иных негативных последствий в результате текущих или будущих событий и процессов в области налоговых правоотношений и налогового учета, либо событий или процессов, влияющих на налоговые правоотношения и налоговый учет</w:t>
      </w:r>
      <w:r w:rsidR="003E05A7" w:rsidRPr="006E1E0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D26EF56" w14:textId="4D105F19" w:rsidR="003C0CFF" w:rsidRPr="006E1E03" w:rsidRDefault="00C7171E" w:rsidP="003C0CFF">
      <w:pPr>
        <w:spacing w:before="120" w:after="120" w:line="36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1E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Нефинансовые риски (далее – риски) -</w:t>
      </w:r>
      <w:r w:rsidRPr="006E1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операционный риск (включая риск нарушения информационной безопасности и непрерывности бизнеса), комплаенс-риск, включая регуляторный, риск потери деловой репутации, стратегический риск, проектный риск, правовой риск</w:t>
      </w:r>
      <w:r w:rsidR="00FF7F00" w:rsidRPr="006E1E03">
        <w:rPr>
          <w:rFonts w:ascii="Times New Roman" w:hAnsi="Times New Roman" w:cs="Times New Roman"/>
          <w:color w:val="000000" w:themeColor="text1"/>
          <w:sz w:val="24"/>
          <w:szCs w:val="24"/>
        </w:rPr>
        <w:t>, налоговый риск</w:t>
      </w:r>
      <w:r w:rsidR="00CE3C98" w:rsidRPr="006E1E0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D26EF57" w14:textId="70C6B358" w:rsidR="003C0CFF" w:rsidRPr="006E1E03" w:rsidRDefault="00C7171E" w:rsidP="003C0CF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t>Операционный риск</w:t>
      </w:r>
      <w:r w:rsidR="006E1E03" w:rsidRPr="006E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E03">
        <w:rPr>
          <w:rFonts w:ascii="Times New Roman" w:hAnsi="Times New Roman" w:cs="Times New Roman"/>
          <w:sz w:val="24"/>
          <w:szCs w:val="24"/>
        </w:rPr>
        <w:t xml:space="preserve">– риск возникновения последствий, влекущих за собой приостановление или прекращение оказания услуг по проведению организованных торгов в полном или неполном объеме, а также риск возникновения расходов (убытков) в результате сбоев и (или) ошибок программно-технических средств, включая программно-технические средства и информационно-коммуникационные средства связи, с помощью которых обеспечивается проведение организованных торгов, и (или) во внутренних бизнес-процессах, ошибок работников и (или) в результате внешних событий, оказывающих негативное воздействие на деятельность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компании</w:t>
      </w:r>
      <w:r w:rsidRPr="006E1E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26EF58" w14:textId="4A429A61" w:rsidR="003C0CFF" w:rsidRPr="006E1E03" w:rsidRDefault="00C7171E" w:rsidP="00CE3C9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bCs/>
          <w:sz w:val="24"/>
          <w:szCs w:val="24"/>
        </w:rPr>
        <w:t xml:space="preserve">Операционный риск Оператора финансовой </w:t>
      </w:r>
      <w:r w:rsidR="00C761B6" w:rsidRPr="006E1E0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6E1E03">
        <w:rPr>
          <w:rFonts w:ascii="Times New Roman" w:hAnsi="Times New Roman" w:cs="Times New Roman"/>
          <w:b/>
          <w:bCs/>
          <w:sz w:val="24"/>
          <w:szCs w:val="24"/>
        </w:rPr>
        <w:t>латформы</w:t>
      </w:r>
      <w:r w:rsidRPr="006E1E03">
        <w:rPr>
          <w:rFonts w:ascii="Times New Roman" w:hAnsi="Times New Roman" w:cs="Times New Roman"/>
          <w:sz w:val="24"/>
          <w:szCs w:val="24"/>
        </w:rPr>
        <w:t xml:space="preserve"> - риск возникновения последствий, влекущих за собой приостановление или прекращение оказания услуг в полном или неполном объеме, а также риск возникновения расходов (убытков) Оператора финансовой Платформы в результате сбоев и (или) ошибок программно-технических средств, и (или) во внутренних бизнес-процессах, ошибок работников и (или) в результате внешних событий, оказывающих негативное воздействие на Оператора финансовой Платформы. </w:t>
      </w:r>
    </w:p>
    <w:p w14:paraId="1D26EF59" w14:textId="13E398D5" w:rsidR="003C0CFF" w:rsidRPr="006E1E03" w:rsidRDefault="00C7171E" w:rsidP="003C0CF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 xml:space="preserve">Для целей настоящей Методики в термин операционный риск включаются </w:t>
      </w:r>
      <w:r w:rsidR="00C761B6" w:rsidRPr="006E1E03">
        <w:rPr>
          <w:rFonts w:ascii="Times New Roman" w:hAnsi="Times New Roman" w:cs="Times New Roman"/>
          <w:sz w:val="24"/>
          <w:szCs w:val="24"/>
        </w:rPr>
        <w:t xml:space="preserve">оба </w:t>
      </w:r>
      <w:r w:rsidRPr="006E1E03">
        <w:rPr>
          <w:rFonts w:ascii="Times New Roman" w:hAnsi="Times New Roman" w:cs="Times New Roman"/>
          <w:sz w:val="24"/>
          <w:szCs w:val="24"/>
        </w:rPr>
        <w:t>определения</w:t>
      </w:r>
      <w:r w:rsidR="00C761B6" w:rsidRPr="006E1E03">
        <w:rPr>
          <w:rFonts w:ascii="Times New Roman" w:hAnsi="Times New Roman" w:cs="Times New Roman"/>
          <w:sz w:val="24"/>
          <w:szCs w:val="24"/>
        </w:rPr>
        <w:t>:</w:t>
      </w:r>
      <w:r w:rsidRPr="006E1E03">
        <w:rPr>
          <w:rFonts w:ascii="Times New Roman" w:hAnsi="Times New Roman" w:cs="Times New Roman"/>
          <w:sz w:val="24"/>
          <w:szCs w:val="24"/>
        </w:rPr>
        <w:t xml:space="preserve"> операционн</w:t>
      </w:r>
      <w:r w:rsidR="00C761B6" w:rsidRPr="006E1E03">
        <w:rPr>
          <w:rFonts w:ascii="Times New Roman" w:hAnsi="Times New Roman" w:cs="Times New Roman"/>
          <w:sz w:val="24"/>
          <w:szCs w:val="24"/>
        </w:rPr>
        <w:t>ый</w:t>
      </w:r>
      <w:r w:rsidRPr="006E1E03">
        <w:rPr>
          <w:rFonts w:ascii="Times New Roman" w:hAnsi="Times New Roman" w:cs="Times New Roman"/>
          <w:sz w:val="24"/>
          <w:szCs w:val="24"/>
        </w:rPr>
        <w:t xml:space="preserve"> риск Организатора торговли и </w:t>
      </w:r>
      <w:r w:rsidR="00C761B6" w:rsidRPr="006E1E03">
        <w:rPr>
          <w:rFonts w:ascii="Times New Roman" w:hAnsi="Times New Roman" w:cs="Times New Roman"/>
          <w:sz w:val="24"/>
          <w:szCs w:val="24"/>
        </w:rPr>
        <w:t xml:space="preserve">операционный риск </w:t>
      </w:r>
      <w:r w:rsidRPr="006E1E03">
        <w:rPr>
          <w:rFonts w:ascii="Times New Roman" w:hAnsi="Times New Roman" w:cs="Times New Roman"/>
          <w:sz w:val="24"/>
          <w:szCs w:val="24"/>
        </w:rPr>
        <w:t xml:space="preserve">Оператора финансовой </w:t>
      </w:r>
      <w:r w:rsidR="00C761B6" w:rsidRPr="006E1E03">
        <w:rPr>
          <w:rFonts w:ascii="Times New Roman" w:hAnsi="Times New Roman" w:cs="Times New Roman"/>
          <w:sz w:val="24"/>
          <w:szCs w:val="24"/>
        </w:rPr>
        <w:t>П</w:t>
      </w:r>
      <w:r w:rsidRPr="006E1E03">
        <w:rPr>
          <w:rFonts w:ascii="Times New Roman" w:hAnsi="Times New Roman" w:cs="Times New Roman"/>
          <w:sz w:val="24"/>
          <w:szCs w:val="24"/>
        </w:rPr>
        <w:t>латформы</w:t>
      </w:r>
      <w:r w:rsidRPr="006E1E0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69B239FF" w14:textId="4FFC0C3B" w:rsidR="005D7581" w:rsidRPr="006E1E03" w:rsidRDefault="00C7171E" w:rsidP="005D7581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t xml:space="preserve">Совокупный предельный уровень рисков </w:t>
      </w:r>
      <w:r w:rsidRPr="006E1E03">
        <w:rPr>
          <w:rFonts w:ascii="Times New Roman" w:hAnsi="Times New Roman" w:cs="Times New Roman"/>
          <w:bCs/>
          <w:sz w:val="24"/>
          <w:szCs w:val="24"/>
        </w:rPr>
        <w:t xml:space="preserve">– это максимальная величина потенциальных убытков, которые ПАО Московская Биржа </w:t>
      </w:r>
      <w:r w:rsidR="00882B16" w:rsidRPr="006E1E03">
        <w:rPr>
          <w:rFonts w:ascii="Times New Roman" w:hAnsi="Times New Roman" w:cs="Times New Roman"/>
          <w:bCs/>
          <w:sz w:val="24"/>
          <w:szCs w:val="24"/>
        </w:rPr>
        <w:t xml:space="preserve">готова </w:t>
      </w:r>
      <w:r w:rsidRPr="006E1E03">
        <w:rPr>
          <w:rFonts w:ascii="Times New Roman" w:hAnsi="Times New Roman" w:cs="Times New Roman"/>
          <w:bCs/>
          <w:sz w:val="24"/>
          <w:szCs w:val="24"/>
        </w:rPr>
        <w:t>понести в случае реализации рисков, предусмотренных ее риск-аппетитом.</w:t>
      </w:r>
    </w:p>
    <w:p w14:paraId="1D26EF5A" w14:textId="722AA96A" w:rsidR="003C0CFF" w:rsidRPr="006E1E03" w:rsidRDefault="00C7171E" w:rsidP="003C0CF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t>Правовой риск</w:t>
      </w:r>
      <w:r w:rsidRPr="006E1E03">
        <w:rPr>
          <w:rFonts w:ascii="Times New Roman" w:hAnsi="Times New Roman" w:cs="Times New Roman"/>
          <w:sz w:val="24"/>
          <w:szCs w:val="24"/>
        </w:rPr>
        <w:t xml:space="preserve"> – </w:t>
      </w:r>
      <w:r w:rsidRPr="006E1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риск возникновения убытков в результате неэффективной организации правовой работы, приводящей к правовым ошибкам в деятельности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E1E0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вследствие действий работников или органов управления; нарушения Группой, а также клиентами и контрагентами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условий договоров; наличия в договорах положений, не отвечающих правам и интересам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несовершенства правовой системы; нахождения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hAnsi="Times New Roman" w:cs="Times New Roman"/>
          <w:color w:val="000000" w:themeColor="text1"/>
          <w:sz w:val="24"/>
          <w:szCs w:val="24"/>
        </w:rPr>
        <w:t>, ее клиентов и контрагентов под юрисдикцией различных государств.</w:t>
      </w:r>
    </w:p>
    <w:p w14:paraId="1D26EF5B" w14:textId="0C0E4AD5" w:rsidR="003C0CFF" w:rsidRPr="006E1E03" w:rsidRDefault="00C7171E" w:rsidP="003C0CF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t xml:space="preserve">Регуляторный риск </w:t>
      </w:r>
      <w:r w:rsidRPr="006E1E03">
        <w:rPr>
          <w:rFonts w:ascii="Times New Roman" w:hAnsi="Times New Roman" w:cs="Times New Roman"/>
          <w:sz w:val="24"/>
          <w:szCs w:val="24"/>
        </w:rPr>
        <w:t xml:space="preserve">– </w:t>
      </w:r>
      <w:r w:rsidR="009C152E" w:rsidRPr="006E1E03">
        <w:rPr>
          <w:rFonts w:ascii="Times New Roman" w:hAnsi="Times New Roman" w:cs="Times New Roman"/>
          <w:color w:val="000000"/>
          <w:sz w:val="24"/>
          <w:szCs w:val="24"/>
        </w:rPr>
        <w:t xml:space="preserve">риск возникновения у ПАО Московская Биржа расходов (убытков) и (или) иных неблагоприятных последствий в результате несоответствия деятельности, осуществляемой Биржей на основании лицензии биржи на осуществление деятельности по проведению организованных торгов, деятельности оператора финансовой платформы, осуществляемой </w:t>
      </w:r>
      <w:bookmarkStart w:id="13" w:name="_Hlk83832282"/>
      <w:r w:rsidR="009C152E" w:rsidRPr="006E1E03">
        <w:rPr>
          <w:rFonts w:ascii="Times New Roman" w:hAnsi="Times New Roman" w:cs="Times New Roman"/>
          <w:color w:val="000000"/>
          <w:sz w:val="24"/>
          <w:szCs w:val="24"/>
        </w:rPr>
        <w:t>на основании включения ПАО Московская Биржа в реестр операторов финансовых платформ,</w:t>
      </w:r>
      <w:bookmarkEnd w:id="13"/>
      <w:r w:rsidR="009C152E" w:rsidRPr="006E1E03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 законодательства Российской Федерации, регулирующего деятельность ПАО Московская Биржа, правилам организованных торгов, правилам финансовой платформы, учредительным и иным внутренним документам ПАО Московская Биржа по управлению регуляторными рисками, и (или) в результате применения мер в отношении ПАО Московская Биржа со стороны надзорных органов.</w:t>
      </w:r>
    </w:p>
    <w:p w14:paraId="1D26EF5C" w14:textId="77777777" w:rsidR="003C0CFF" w:rsidRPr="006E1E03" w:rsidRDefault="00C7171E" w:rsidP="003C0CF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t xml:space="preserve">Риск </w:t>
      </w:r>
      <w:r w:rsidRPr="006E1E03">
        <w:rPr>
          <w:rFonts w:ascii="Times New Roman" w:hAnsi="Times New Roman" w:cs="Times New Roman"/>
          <w:sz w:val="24"/>
          <w:szCs w:val="24"/>
        </w:rPr>
        <w:t>– это событие или условие, которое в случае возникновения имеет негативное воздействие на бизнес-процессы, услуги и клиентов, а также которое приводит или может привести к потенциальным потерям, которые могут выражаться в недополучении доходов, появлении дополнительных расходов или в отрицательном влиянии на деловую репутацию.</w:t>
      </w:r>
    </w:p>
    <w:p w14:paraId="1D26EF5D" w14:textId="288F64BB" w:rsidR="003C0CFF" w:rsidRPr="006E1E03" w:rsidRDefault="00C7171E" w:rsidP="003C0CFF">
      <w:pPr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4" w:name="_Hlk56596522"/>
      <w:r w:rsidRPr="006E1E03">
        <w:rPr>
          <w:rFonts w:ascii="Times New Roman" w:eastAsiaTheme="minorEastAsia" w:hAnsi="Times New Roman" w:cs="Times New Roman"/>
          <w:b/>
          <w:sz w:val="24"/>
          <w:szCs w:val="24"/>
        </w:rPr>
        <w:t xml:space="preserve">Риск-аппетит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– </w:t>
      </w:r>
      <w:r w:rsidRPr="006E1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предельный размер рисков, который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компания</w:t>
      </w:r>
      <w:r w:rsidRPr="006E1E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готова принять для достижения стратегических задач, выраженный в виде системы количественных и качественных показателей, ограничивающих уровень принимаемых рисков.</w:t>
      </w:r>
    </w:p>
    <w:p w14:paraId="1D26EF5E" w14:textId="77777777" w:rsidR="003C0CFF" w:rsidRPr="006E1E03" w:rsidRDefault="00C7171E" w:rsidP="003C0CF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55571043"/>
      <w:bookmarkEnd w:id="14"/>
      <w:r w:rsidRPr="006E1E03">
        <w:rPr>
          <w:rFonts w:ascii="Times New Roman" w:hAnsi="Times New Roman" w:cs="Times New Roman"/>
          <w:b/>
          <w:sz w:val="24"/>
          <w:szCs w:val="24"/>
        </w:rPr>
        <w:t>Риск информационной безопасности (ИБ)</w:t>
      </w:r>
      <w:r w:rsidRPr="006E1E03">
        <w:rPr>
          <w:rFonts w:ascii="Times New Roman" w:hAnsi="Times New Roman" w:cs="Times New Roman"/>
          <w:sz w:val="24"/>
          <w:szCs w:val="24"/>
        </w:rPr>
        <w:t xml:space="preserve"> – риск, связанный с возможностью утраты свойств ИБ (конфиденциальности, целостности и доступности) информационных активов в результате реализации угроз ИБ. </w:t>
      </w:r>
    </w:p>
    <w:bookmarkEnd w:id="15"/>
    <w:p w14:paraId="1D26EF5F" w14:textId="77777777" w:rsidR="003C0CFF" w:rsidRPr="006E1E03" w:rsidRDefault="00C7171E" w:rsidP="003C0CF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t>Риск ликвидности</w:t>
      </w:r>
      <w:r w:rsidRPr="006E1E03">
        <w:rPr>
          <w:rFonts w:ascii="Times New Roman" w:hAnsi="Times New Roman" w:cs="Times New Roman"/>
          <w:sz w:val="24"/>
          <w:szCs w:val="24"/>
        </w:rPr>
        <w:t xml:space="preserve"> – риск возникновения убытков вследствие неспособности обеспечить исполнение своих обязательств своевременно и в полном объеме.</w:t>
      </w:r>
    </w:p>
    <w:p w14:paraId="1D26EF61" w14:textId="503D1620" w:rsidR="003C0CFF" w:rsidRPr="006E1E03" w:rsidRDefault="00C7171E" w:rsidP="003C0CF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bCs/>
          <w:sz w:val="24"/>
          <w:szCs w:val="24"/>
        </w:rPr>
        <w:t>Риск потери деловой репутации</w:t>
      </w:r>
      <w:r w:rsidRPr="006E1E03">
        <w:rPr>
          <w:rFonts w:ascii="Times New Roman" w:hAnsi="Times New Roman" w:cs="Times New Roman"/>
          <w:sz w:val="24"/>
          <w:szCs w:val="24"/>
        </w:rPr>
        <w:t xml:space="preserve"> – риск возникновения последствий, влекущих за собой расходы (убытки) или иные негативные последствия в результате негативного восприятия организатора торговли со стороны контрагентов организатора торговли, участников торгов и их клиентов, акционеров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hAnsi="Times New Roman" w:cs="Times New Roman"/>
          <w:sz w:val="24"/>
          <w:szCs w:val="24"/>
        </w:rPr>
        <w:t xml:space="preserve">, Банка России и иных лиц, которые могут негативно повлиять на способность организатора торговли поддерживать существующие и </w:t>
      </w:r>
      <w:r w:rsidRPr="006E1E03">
        <w:rPr>
          <w:rFonts w:ascii="Times New Roman" w:hAnsi="Times New Roman" w:cs="Times New Roman"/>
          <w:sz w:val="24"/>
          <w:szCs w:val="24"/>
        </w:rPr>
        <w:lastRenderedPageBreak/>
        <w:t>(или) устанавливать новые деловые отношения и поддерживать на постоянной основе доступ к источникам финансирования.</w:t>
      </w:r>
    </w:p>
    <w:p w14:paraId="1D26EF62" w14:textId="16719515" w:rsidR="003C0CFF" w:rsidRPr="006E1E03" w:rsidRDefault="00C7171E" w:rsidP="003C0CF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t>Рыночный риск</w:t>
      </w:r>
      <w:r w:rsidRPr="006E1E03">
        <w:rPr>
          <w:rFonts w:ascii="Times New Roman" w:hAnsi="Times New Roman" w:cs="Times New Roman"/>
          <w:sz w:val="24"/>
          <w:szCs w:val="24"/>
        </w:rPr>
        <w:t xml:space="preserve"> – риск возникновения убытков в связи с осуществлением операций с балансовыми и </w:t>
      </w:r>
      <w:r w:rsidR="00B54199" w:rsidRPr="006E1E03">
        <w:rPr>
          <w:rFonts w:ascii="Times New Roman" w:hAnsi="Times New Roman" w:cs="Times New Roman"/>
          <w:sz w:val="24"/>
          <w:szCs w:val="24"/>
        </w:rPr>
        <w:t>внебалансовыми</w:t>
      </w:r>
      <w:r w:rsidRPr="006E1E03">
        <w:rPr>
          <w:rFonts w:ascii="Times New Roman" w:hAnsi="Times New Roman" w:cs="Times New Roman"/>
          <w:sz w:val="24"/>
          <w:szCs w:val="24"/>
        </w:rPr>
        <w:t xml:space="preserve"> инструментами вследствие изменения рыночных параметров (процентные ставки, цены на финансовые инструменты, валютные курсы), а также низкой ликвидности рынка с учетом издержек ликвидации/реструктуризации позиций.</w:t>
      </w:r>
    </w:p>
    <w:p w14:paraId="1D26EF63" w14:textId="536E4BF9" w:rsidR="003C0CFF" w:rsidRPr="006E1E03" w:rsidRDefault="00C7171E" w:rsidP="003C0CFF">
      <w:pPr>
        <w:spacing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t>Сигнал раннего предупреждения (</w:t>
      </w:r>
      <w:r w:rsidRPr="006E1E03">
        <w:rPr>
          <w:rFonts w:ascii="Times New Roman" w:hAnsi="Times New Roman" w:cs="Times New Roman"/>
          <w:b/>
          <w:sz w:val="24"/>
          <w:szCs w:val="24"/>
          <w:lang w:val="en-US"/>
        </w:rPr>
        <w:t>EWS</w:t>
      </w:r>
      <w:r w:rsidR="00C761B6" w:rsidRPr="006E1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1E03">
        <w:rPr>
          <w:rFonts w:ascii="Times New Roman" w:hAnsi="Times New Roman" w:cs="Times New Roman"/>
          <w:b/>
          <w:sz w:val="24"/>
          <w:szCs w:val="24"/>
        </w:rPr>
        <w:t>-</w:t>
      </w:r>
      <w:r w:rsidRPr="006E1E03">
        <w:rPr>
          <w:rFonts w:ascii="Times New Roman" w:hAnsi="Times New Roman" w:cs="Times New Roman"/>
        </w:rPr>
        <w:t xml:space="preserve"> </w:t>
      </w:r>
      <w:r w:rsidRPr="006E1E03">
        <w:rPr>
          <w:rFonts w:ascii="Times New Roman" w:hAnsi="Times New Roman" w:cs="Times New Roman"/>
          <w:b/>
          <w:sz w:val="24"/>
          <w:szCs w:val="24"/>
        </w:rPr>
        <w:t xml:space="preserve">Early Warning Signal) – </w:t>
      </w:r>
      <w:r w:rsidRPr="006E1E03">
        <w:rPr>
          <w:rFonts w:ascii="Times New Roman" w:hAnsi="Times New Roman" w:cs="Times New Roman"/>
          <w:bCs/>
          <w:sz w:val="24"/>
          <w:szCs w:val="24"/>
        </w:rPr>
        <w:t xml:space="preserve">значение промежуточного уровня показателя при осуществлении </w:t>
      </w:r>
      <w:r w:rsidR="00B54199" w:rsidRPr="006E1E03">
        <w:rPr>
          <w:rFonts w:ascii="Times New Roman" w:hAnsi="Times New Roman" w:cs="Times New Roman"/>
          <w:bCs/>
          <w:sz w:val="24"/>
          <w:szCs w:val="24"/>
        </w:rPr>
        <w:t>мониторинга (с целью недопущения нарушения риск-аппетита),</w:t>
      </w:r>
      <w:r w:rsidRPr="006E1E03">
        <w:rPr>
          <w:rFonts w:ascii="Times New Roman" w:hAnsi="Times New Roman" w:cs="Times New Roman"/>
          <w:bCs/>
          <w:sz w:val="24"/>
          <w:szCs w:val="24"/>
        </w:rPr>
        <w:t xml:space="preserve"> при достижении которого происходит эскалация информации органам управления.</w:t>
      </w:r>
    </w:p>
    <w:p w14:paraId="1D26EF64" w14:textId="77777777" w:rsidR="003C0CFF" w:rsidRPr="006E1E03" w:rsidRDefault="00C7171E" w:rsidP="003C0CFF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55571180"/>
      <w:r w:rsidRPr="006E1E03">
        <w:rPr>
          <w:rFonts w:ascii="Times New Roman" w:hAnsi="Times New Roman" w:cs="Times New Roman"/>
          <w:b/>
          <w:sz w:val="24"/>
          <w:szCs w:val="24"/>
        </w:rPr>
        <w:t xml:space="preserve">Система управления рисками (СУР) </w:t>
      </w:r>
      <w:r w:rsidRPr="006E1E03">
        <w:rPr>
          <w:rFonts w:ascii="Times New Roman" w:hAnsi="Times New Roman" w:cs="Times New Roman"/>
          <w:sz w:val="24"/>
          <w:szCs w:val="24"/>
        </w:rPr>
        <w:t>– комплекс правил, документов и мероприятий по идентификации и оценке рисков, воздействию на риски, а также контролю за их состоянием с целью минимизации финансовых потерь вследствие неблагоприятного изменения факторов риска.</w:t>
      </w:r>
    </w:p>
    <w:bookmarkEnd w:id="16"/>
    <w:p w14:paraId="1D26EF65" w14:textId="77777777" w:rsidR="003C0CFF" w:rsidRPr="006E1E03" w:rsidRDefault="00C7171E" w:rsidP="003C0CFF">
      <w:pPr>
        <w:pStyle w:val="9"/>
        <w:spacing w:after="200" w:line="360" w:lineRule="auto"/>
        <w:ind w:left="567"/>
      </w:pPr>
      <w:r w:rsidRPr="006E1E03">
        <w:rPr>
          <w:b/>
        </w:rPr>
        <w:t xml:space="preserve">Событие риска </w:t>
      </w:r>
      <w:r w:rsidRPr="006E1E03">
        <w:t xml:space="preserve">– событие, ситуация, обстоятельство, которые характеризуются реализацией (проявлением) риска и могут сопровождаться причинением </w:t>
      </w:r>
      <w:r w:rsidRPr="006E1E03">
        <w:rPr>
          <w:rFonts w:eastAsiaTheme="minorEastAsia"/>
          <w:szCs w:val="20"/>
        </w:rPr>
        <w:t>компании</w:t>
      </w:r>
      <w:r w:rsidRPr="006E1E03">
        <w:t xml:space="preserve"> убытков (возникновением расходов). </w:t>
      </w:r>
    </w:p>
    <w:p w14:paraId="1D26EF67" w14:textId="77777777" w:rsidR="003C0CFF" w:rsidRPr="006E1E03" w:rsidRDefault="00C7171E" w:rsidP="003C0CF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bCs/>
          <w:sz w:val="24"/>
          <w:szCs w:val="24"/>
        </w:rPr>
        <w:t>Стресс-тестирование нефинансовых рисков</w:t>
      </w:r>
      <w:r w:rsidRPr="006E1E03">
        <w:rPr>
          <w:rFonts w:ascii="Times New Roman" w:hAnsi="Times New Roman" w:cs="Times New Roman"/>
          <w:sz w:val="24"/>
          <w:szCs w:val="24"/>
        </w:rPr>
        <w:t xml:space="preserve"> – это моделирование различных негативных сценариев реализации нефинансовых рисков, влекущих финансовые и нефинансовые последствия. Одним из стресс-сценариев операционных рисков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hAnsi="Times New Roman" w:cs="Times New Roman"/>
          <w:sz w:val="24"/>
          <w:szCs w:val="24"/>
        </w:rPr>
        <w:t xml:space="preserve"> является нагрузочное тестирование. Оценка устойчивости программно-технических средств, используемых для осуществления деятельности по организации торговли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Биржа,</w:t>
      </w:r>
      <w:r w:rsidRPr="006E1E03">
        <w:rPr>
          <w:rFonts w:ascii="Times New Roman" w:hAnsi="Times New Roman" w:cs="Times New Roman"/>
          <w:sz w:val="24"/>
          <w:szCs w:val="24"/>
        </w:rPr>
        <w:t xml:space="preserve"> к существенным изменениям: исключительным, но правдоподобным событиям, связанным с нарушением бизнес-процессов и внешней средой.</w:t>
      </w:r>
    </w:p>
    <w:p w14:paraId="1D26EF68" w14:textId="77777777" w:rsidR="003C0CFF" w:rsidRPr="006E1E03" w:rsidRDefault="00C7171E" w:rsidP="003C0CFF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bCs/>
          <w:sz w:val="24"/>
          <w:szCs w:val="24"/>
        </w:rPr>
        <w:t>Сценарный анализ нефинансовых рисков (сценарный анализ)</w:t>
      </w:r>
      <w:r w:rsidRPr="006E1E03">
        <w:rPr>
          <w:rFonts w:ascii="Times New Roman" w:hAnsi="Times New Roman" w:cs="Times New Roman"/>
          <w:sz w:val="24"/>
          <w:szCs w:val="24"/>
        </w:rPr>
        <w:t xml:space="preserve"> – это специальным образом структурированный прогноз потерь и наступления событий операционного и/или иного нефинансового риска, которые его вызывают, основанный на знаниях экспертов в той области, риски которой подлежат оценке. Сценарные анализ включает в себя прогноз возникновения события операционного риска, вероятность его возникновения, оценку размера возможных потерь в рамках анализируемого сценария. Сценарный анализ может проводиться на основе собранных данных о внутренних и внешних событиях операционного риска, на основе экспертных оценок результатов количественного и качественного анализа, </w:t>
      </w:r>
      <w:r w:rsidRPr="006E1E03">
        <w:rPr>
          <w:rFonts w:ascii="Times New Roman" w:hAnsi="Times New Roman" w:cs="Times New Roman"/>
          <w:sz w:val="24"/>
          <w:szCs w:val="24"/>
        </w:rPr>
        <w:lastRenderedPageBreak/>
        <w:t>а также результатов самооценки рисков и контрольных процедур, постоянного операционного контроля, значений ключевых индикаторов риска, внутренних и внешних аудитов и проверок внешних надзорных органов.</w:t>
      </w:r>
    </w:p>
    <w:p w14:paraId="012E0F58" w14:textId="1E7ABF14" w:rsidR="009B41C5" w:rsidRPr="006E1E03" w:rsidRDefault="00C7171E" w:rsidP="003C0CFF">
      <w:pPr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7" w:name="_Hlk55571583"/>
      <w:r w:rsidRPr="006E1E03">
        <w:rPr>
          <w:rFonts w:ascii="Times New Roman" w:hAnsi="Times New Roman" w:cs="Times New Roman"/>
          <w:b/>
          <w:sz w:val="24"/>
          <w:szCs w:val="24"/>
        </w:rPr>
        <w:t xml:space="preserve">УФР – </w:t>
      </w:r>
      <w:r w:rsidRPr="006E1E03">
        <w:rPr>
          <w:rFonts w:ascii="Times New Roman" w:hAnsi="Times New Roman" w:cs="Times New Roman"/>
          <w:bCs/>
          <w:sz w:val="24"/>
          <w:szCs w:val="24"/>
        </w:rPr>
        <w:t>Управление финансовых рисков, подразделение риск-менеджмента ПАО Московская Биржа.</w:t>
      </w:r>
    </w:p>
    <w:p w14:paraId="1D26EF6A" w14:textId="692F6F84" w:rsidR="003C0CFF" w:rsidRPr="006E1E03" w:rsidRDefault="00C7171E" w:rsidP="003C0CFF">
      <w:pPr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b/>
          <w:sz w:val="24"/>
          <w:szCs w:val="24"/>
        </w:rPr>
        <w:t>Финансовые риски</w:t>
      </w:r>
      <w:r w:rsidRPr="006E1E03">
        <w:rPr>
          <w:rFonts w:ascii="Times New Roman" w:hAnsi="Times New Roman" w:cs="Times New Roman"/>
          <w:sz w:val="24"/>
          <w:szCs w:val="24"/>
        </w:rPr>
        <w:t xml:space="preserve"> – кредитный риск, риск ликвидности и рыночный риск, включая валютный риск, процентный риск балансовой позиции и процентный риск торгового портфеля.</w:t>
      </w:r>
    </w:p>
    <w:bookmarkEnd w:id="17"/>
    <w:p w14:paraId="1D26EF6B" w14:textId="77777777" w:rsidR="003C0CFF" w:rsidRPr="006E1E03" w:rsidRDefault="00C7171E" w:rsidP="003C0CFF">
      <w:p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2.1. Термины, специально не определенные в данном разделе, используются в значениях, определенных законами и иными нормативными правовыми актами Российской Федерации, а также внутренними документами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D26EF6C" w14:textId="77777777" w:rsidR="003C0CFF" w:rsidRPr="006E1E03" w:rsidRDefault="00C7171E" w:rsidP="003C0CFF">
      <w:pPr>
        <w:pStyle w:val="1"/>
        <w:keepLines w:val="0"/>
        <w:numPr>
          <w:ilvl w:val="0"/>
          <w:numId w:val="4"/>
        </w:numPr>
        <w:spacing w:before="360" w:after="240" w:line="360" w:lineRule="auto"/>
        <w:ind w:left="540" w:hanging="450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bookmarkStart w:id="18" w:name="_Toc26193695"/>
      <w:bookmarkStart w:id="19" w:name="_Toc56779705"/>
      <w:bookmarkStart w:id="20" w:name="_Toc57822316"/>
      <w:bookmarkStart w:id="21" w:name="_Toc58239988"/>
      <w:r w:rsidRPr="006E1E03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>Цели и задачи установления предельного и совокупного предельного уровней риска</w:t>
      </w:r>
      <w:bookmarkEnd w:id="18"/>
      <w:bookmarkEnd w:id="19"/>
      <w:bookmarkEnd w:id="20"/>
      <w:r w:rsidRPr="006E1E03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 xml:space="preserve"> через установление риск-аппетита</w:t>
      </w:r>
      <w:bookmarkEnd w:id="21"/>
    </w:p>
    <w:p w14:paraId="1D26EF6D" w14:textId="3C1A2588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Основная цель установления риск-аппетита – обеспечение контроля за уровнем </w:t>
      </w:r>
      <w:r w:rsidR="009A5562" w:rsidRPr="006E1E03">
        <w:rPr>
          <w:rFonts w:ascii="Times New Roman" w:eastAsiaTheme="minorEastAsia" w:hAnsi="Times New Roman" w:cs="Times New Roman"/>
          <w:sz w:val="24"/>
          <w:szCs w:val="24"/>
        </w:rPr>
        <w:t>рисков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9A5562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принимаемых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для достижения ее бизнес-целей, формирование единого понимания приемлемых рисков на всех уровнях управления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, достижение стратегических и операционных целей, а также построение эффективного процесса реагирования на риск</w:t>
      </w:r>
      <w:r w:rsidR="009A5562" w:rsidRPr="006E1E03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1D26EF6E" w14:textId="521EA474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Риск-аппетит учитывается при планировании </w:t>
      </w:r>
      <w:r w:rsidR="009A5562" w:rsidRPr="006E1E03">
        <w:rPr>
          <w:rFonts w:ascii="Times New Roman" w:eastAsiaTheme="minorEastAsia" w:hAnsi="Times New Roman" w:cs="Times New Roman"/>
          <w:sz w:val="24"/>
          <w:szCs w:val="24"/>
        </w:rPr>
        <w:t>доходов и расходов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, составлении бюджета, разработке и актуализации стратегии развития и функциональных стратегий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, управлении рисками в рамках основной деятельности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6F8BA134" w14:textId="17246459" w:rsidR="00BA3AB9" w:rsidRPr="006E1E03" w:rsidRDefault="00C7171E" w:rsidP="00993E41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Риск-аппетит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закреплен в карте рисков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, содержащей совокупный (интегральный) показатель риск-аппетита, показатель риск-аппетита в разрезе видов риска и их утвержденные значения.</w:t>
      </w:r>
    </w:p>
    <w:p w14:paraId="1D26EF70" w14:textId="5BD61CF4" w:rsidR="003C0CFF" w:rsidRPr="006E1E03" w:rsidRDefault="00C7171E" w:rsidP="003C0CFF">
      <w:pPr>
        <w:pStyle w:val="1"/>
        <w:keepLines w:val="0"/>
        <w:numPr>
          <w:ilvl w:val="0"/>
          <w:numId w:val="4"/>
        </w:numPr>
        <w:spacing w:before="360" w:after="240" w:line="360" w:lineRule="auto"/>
        <w:ind w:left="540" w:hanging="450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bookmarkStart w:id="22" w:name="_Toc57822317"/>
      <w:bookmarkStart w:id="23" w:name="_Toc58239989"/>
      <w:r w:rsidRPr="006E1E03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 xml:space="preserve">Определение перечня показателей риск-аппетита и методика определения их пороговых и фактических значений ПАО Московская </w:t>
      </w:r>
      <w:r w:rsidR="001F1A7D" w:rsidRPr="006E1E03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>Б</w:t>
      </w:r>
      <w:r w:rsidRPr="006E1E03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>иржа</w:t>
      </w:r>
      <w:bookmarkEnd w:id="22"/>
      <w:bookmarkEnd w:id="23"/>
      <w:r w:rsidRPr="006E1E03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 xml:space="preserve"> </w:t>
      </w:r>
    </w:p>
    <w:p w14:paraId="1D26EF71" w14:textId="7C97CC01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В рамках СУР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осуществляет идентификацию рисков, их анализ и оценку, определяет значимые риски, устанавливает систему параметров их измерений и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мониторинга, </w:t>
      </w:r>
      <w:r w:rsidR="00221D97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осуществляет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контроль за их значениями и</w:t>
      </w:r>
      <w:r w:rsidR="00417577" w:rsidRPr="006E1E03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21D97" w:rsidRPr="006E1E03">
        <w:rPr>
          <w:rFonts w:ascii="Times New Roman" w:eastAsiaTheme="minorEastAsia" w:hAnsi="Times New Roman" w:cs="Times New Roman"/>
          <w:sz w:val="24"/>
          <w:szCs w:val="24"/>
        </w:rPr>
        <w:t>в случае необходимости</w:t>
      </w:r>
      <w:r w:rsidR="00417577" w:rsidRPr="006E1E03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221D97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обеспечивает выполнение мероприятий по снижению рисков.</w:t>
      </w:r>
    </w:p>
    <w:p w14:paraId="1D26EF72" w14:textId="5B3D59B5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0"/>
        </w:rPr>
      </w:pPr>
      <w:bookmarkStart w:id="24" w:name="_Hlk59200749"/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Для каждого вида существенных рисков ПАО Московская Биржа устанавливает </w:t>
      </w:r>
      <w:r w:rsidR="00C838DC" w:rsidRPr="006E1E03">
        <w:rPr>
          <w:rFonts w:ascii="Times New Roman" w:eastAsiaTheme="minorEastAsia" w:hAnsi="Times New Roman" w:cs="Times New Roman"/>
          <w:sz w:val="24"/>
          <w:szCs w:val="20"/>
        </w:rPr>
        <w:t>риск-аппетит</w:t>
      </w:r>
      <w:r w:rsidR="005D7581" w:rsidRPr="006E1E03">
        <w:rPr>
          <w:rFonts w:ascii="Times New Roman" w:eastAsiaTheme="minorEastAsia" w:hAnsi="Times New Roman" w:cs="Times New Roman"/>
          <w:sz w:val="24"/>
          <w:szCs w:val="20"/>
        </w:rPr>
        <w:t>.</w:t>
      </w:r>
    </w:p>
    <w:bookmarkEnd w:id="24"/>
    <w:p w14:paraId="1D26EF75" w14:textId="77777777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С целью определения перечня рисков, реализацию которых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считает недопустимой в своей деятельности, выполняются следующие задачи: </w:t>
      </w:r>
    </w:p>
    <w:p w14:paraId="27E48015" w14:textId="0C57148D" w:rsidR="00417577" w:rsidRPr="006E1E03" w:rsidRDefault="00C7171E" w:rsidP="003C0CFF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выявление </w:t>
      </w:r>
      <w:r w:rsidR="00152A33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присущих деятельности </w:t>
      </w:r>
      <w:r w:rsidR="00152A33"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="00152A33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рисков;</w:t>
      </w:r>
    </w:p>
    <w:p w14:paraId="1D26EF76" w14:textId="7C443BD1" w:rsidR="003C0CFF" w:rsidRPr="006E1E03" w:rsidRDefault="00C7171E" w:rsidP="003C0CFF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определение возможных потерь или иных негативных последствий от реализации рисков, присущих деятельности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</w:p>
    <w:p w14:paraId="1D26EF77" w14:textId="77777777" w:rsidR="003C0CFF" w:rsidRPr="006E1E03" w:rsidRDefault="00C7171E" w:rsidP="003C0CFF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выявление ожиданий руководителей структурных подразделений и органов управления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в отношении перечня неприемлемых рисков; </w:t>
      </w:r>
    </w:p>
    <w:p w14:paraId="1D26EF78" w14:textId="6F162A88" w:rsidR="003C0CFF" w:rsidRPr="006E1E03" w:rsidRDefault="00C7171E" w:rsidP="003C0CFF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формирование и установление риск-аппетита</w:t>
      </w:r>
      <w:r w:rsidR="005857AC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5857AC" w:rsidRPr="006E1E03">
        <w:rPr>
          <w:rFonts w:ascii="Times New Roman" w:eastAsiaTheme="minorEastAsia" w:hAnsi="Times New Roman" w:cs="Times New Roman"/>
          <w:sz w:val="24"/>
          <w:szCs w:val="24"/>
          <w:lang w:val="en-US"/>
        </w:rPr>
        <w:t>EWS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и перечня неприемлемых рисков; </w:t>
      </w:r>
    </w:p>
    <w:p w14:paraId="1D26EF79" w14:textId="77777777" w:rsidR="003C0CFF" w:rsidRPr="006E1E03" w:rsidRDefault="00C7171E" w:rsidP="003C0CFF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построение системы мониторинга соблюдения риск-аппетита и контроля способов реагирования на неприемлемые риски; </w:t>
      </w:r>
    </w:p>
    <w:p w14:paraId="1D26EF7A" w14:textId="77777777" w:rsidR="003C0CFF" w:rsidRPr="006E1E03" w:rsidRDefault="00C7171E" w:rsidP="003C0CFF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регулярное представление отчетности по итогам мониторинга и контроля; </w:t>
      </w:r>
    </w:p>
    <w:p w14:paraId="1D26EF7B" w14:textId="77777777" w:rsidR="003C0CFF" w:rsidRPr="006E1E03" w:rsidRDefault="00C7171E" w:rsidP="003C0CFF">
      <w:pPr>
        <w:pStyle w:val="a7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регулярный пересмотр риск-аппетита и ранее установленного перечня неприемлемых рисков.</w:t>
      </w:r>
    </w:p>
    <w:p w14:paraId="1D26EF7C" w14:textId="0A7E702F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Для определения </w:t>
      </w:r>
      <w:r w:rsidR="000805B5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риск-аппетита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использует следующие методики:</w:t>
      </w:r>
    </w:p>
    <w:p w14:paraId="1D26EF7D" w14:textId="00CCEAF4" w:rsidR="003C0CFF" w:rsidRPr="006E1E03" w:rsidRDefault="00C7171E" w:rsidP="003C0CFF">
      <w:pPr>
        <w:pStyle w:val="a7"/>
        <w:numPr>
          <w:ilvl w:val="2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Оценк</w:t>
      </w:r>
      <w:r w:rsidR="00152A33" w:rsidRPr="006E1E03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52A33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потенциального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размера последствий </w:t>
      </w:r>
      <w:r w:rsidR="00152A33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в случае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реализации риска на исторических данных и установление предельных значений показателей на уровне средних значений за несколько выбранных лет;</w:t>
      </w:r>
    </w:p>
    <w:p w14:paraId="1D26EF7E" w14:textId="05D4525E" w:rsidR="003C0CFF" w:rsidRPr="006E1E03" w:rsidRDefault="00C7171E" w:rsidP="003C0CFF">
      <w:pPr>
        <w:pStyle w:val="a7"/>
        <w:numPr>
          <w:ilvl w:val="2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Определение 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наиболее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вероятных сценариев 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>реализации риска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, их анализ, а также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установление пороговых значений показателей на уровне полученных значений;</w:t>
      </w:r>
    </w:p>
    <w:p w14:paraId="1D26EF7F" w14:textId="06FFBC45" w:rsidR="003C0CFF" w:rsidRPr="006E1E03" w:rsidRDefault="00C7171E" w:rsidP="003C0CFF">
      <w:pPr>
        <w:pStyle w:val="a7"/>
        <w:numPr>
          <w:ilvl w:val="2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Проведение оценки влияния потенциальных убытков на финансовые результаты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и установление </w:t>
      </w:r>
      <w:r w:rsidR="005857AC" w:rsidRPr="006E1E03">
        <w:rPr>
          <w:rFonts w:ascii="Times New Roman" w:eastAsiaTheme="minorEastAsia" w:hAnsi="Times New Roman" w:cs="Times New Roman"/>
          <w:sz w:val="24"/>
          <w:szCs w:val="24"/>
        </w:rPr>
        <w:t>риска-аппетита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, исходя из размера потенциального убытка, при котором отсутствует влияние на реализацию стратегических инициатив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1D26EF80" w14:textId="33BEDADE" w:rsidR="003C0CFF" w:rsidRPr="006E1E03" w:rsidRDefault="00C7171E" w:rsidP="003C0CFF">
      <w:pPr>
        <w:pStyle w:val="a7"/>
        <w:numPr>
          <w:ilvl w:val="2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Проведение стресс-тестирований по отдельным видам риска с целью </w:t>
      </w:r>
      <w:r w:rsidR="005857AC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установления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предельны</w:t>
      </w:r>
      <w:r w:rsidR="005857AC" w:rsidRPr="006E1E03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ожидаемы</w:t>
      </w:r>
      <w:r w:rsidR="005857AC" w:rsidRPr="006E1E03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убытк</w:t>
      </w:r>
      <w:r w:rsidR="005857AC" w:rsidRPr="006E1E03">
        <w:rPr>
          <w:rFonts w:ascii="Times New Roman" w:eastAsiaTheme="minorEastAsia" w:hAnsi="Times New Roman" w:cs="Times New Roman"/>
          <w:sz w:val="24"/>
          <w:szCs w:val="24"/>
        </w:rPr>
        <w:t>ов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90289" w:rsidRPr="006E1E03">
        <w:rPr>
          <w:rFonts w:ascii="Times New Roman" w:eastAsiaTheme="minorEastAsia" w:hAnsi="Times New Roman" w:cs="Times New Roman"/>
          <w:sz w:val="24"/>
          <w:szCs w:val="24"/>
        </w:rPr>
        <w:t>в случае их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реализации</w:t>
      </w:r>
      <w:r w:rsidR="00690289" w:rsidRPr="006E1E0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D26EF81" w14:textId="6C7FFAB2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0"/>
        </w:rPr>
      </w:pP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Риск-аппетит ПАО Московская Биржа устанавливается </w:t>
      </w:r>
      <w:r w:rsidR="004A416B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Наблюдательным советом </w:t>
      </w:r>
      <w:r w:rsidR="004A416B"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ПАО Московская Биржа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на </w:t>
      </w:r>
      <w:r w:rsidR="00B26E7B"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очередной календарный год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в отношении рисков, признанных значимыми </w:t>
      </w:r>
      <w:r w:rsidR="00B54199" w:rsidRPr="006E1E03">
        <w:rPr>
          <w:rFonts w:ascii="Times New Roman" w:eastAsiaTheme="minorEastAsia" w:hAnsi="Times New Roman" w:cs="Times New Roman"/>
          <w:sz w:val="24"/>
          <w:szCs w:val="20"/>
        </w:rPr>
        <w:t>для ПАО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Московская Биржа.</w:t>
      </w:r>
    </w:p>
    <w:p w14:paraId="1D26EF82" w14:textId="3BDF4480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0"/>
        </w:rPr>
      </w:pPr>
      <w:r w:rsidRPr="006E1E03">
        <w:rPr>
          <w:rFonts w:ascii="Times New Roman" w:eastAsiaTheme="minorEastAsia" w:hAnsi="Times New Roman" w:cs="Times New Roman"/>
          <w:sz w:val="24"/>
          <w:szCs w:val="20"/>
        </w:rPr>
        <w:lastRenderedPageBreak/>
        <w:t xml:space="preserve">При </w:t>
      </w:r>
      <w:r w:rsidR="005857AC" w:rsidRPr="006E1E03">
        <w:rPr>
          <w:rFonts w:ascii="Times New Roman" w:eastAsiaTheme="minorEastAsia" w:hAnsi="Times New Roman" w:cs="Times New Roman"/>
          <w:sz w:val="24"/>
          <w:szCs w:val="20"/>
        </w:rPr>
        <w:t>установлении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риск-аппетита ПАО Московская Биржа исходит из концепции продолжения деятельности в неблагоприятных условиях, а также учитывает результаты сценарного анализа и результаты стресс-тестирования.</w:t>
      </w:r>
    </w:p>
    <w:p w14:paraId="1D26EF83" w14:textId="1BC055AD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0"/>
        </w:rPr>
      </w:pP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Пороговые значения показателей риск-аппетита ПАО Московская Биржа имеют качественное и количественное выражение. Качественное выражение риск-аппетита подразумевает, что риск-аппетит не имеет четких количественных показателей, то есть представляет собой общее заявление о том, что допустимо, приемлемо или неприемлемо для ПАО Московская Биржа в процессе реализации своей </w:t>
      </w:r>
      <w:r w:rsidR="00690289" w:rsidRPr="006E1E03">
        <w:rPr>
          <w:rFonts w:ascii="Times New Roman" w:eastAsiaTheme="minorEastAsia" w:hAnsi="Times New Roman" w:cs="Times New Roman"/>
          <w:sz w:val="24"/>
          <w:szCs w:val="20"/>
        </w:rPr>
        <w:t xml:space="preserve">стратегии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и достижения поставленных целей. </w:t>
      </w:r>
    </w:p>
    <w:p w14:paraId="1D26EF85" w14:textId="2CCF1B62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Общий перечень показателей риск-аппетита для ПАО Московская Биржа, а также методика определения их пороговых и фактических </w:t>
      </w:r>
      <w:r w:rsidR="004A416B" w:rsidRPr="006E1E03">
        <w:rPr>
          <w:rFonts w:ascii="Times New Roman" w:eastAsiaTheme="minorEastAsia" w:hAnsi="Times New Roman" w:cs="Times New Roman"/>
          <w:sz w:val="24"/>
          <w:szCs w:val="24"/>
        </w:rPr>
        <w:t>значений</w:t>
      </w:r>
      <w:r w:rsidR="00A150B5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представлены в Приложении 1.</w:t>
      </w:r>
    </w:p>
    <w:p w14:paraId="1D26EF86" w14:textId="77777777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В целях установления риск-аппетита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а определяет следующий набор показателей:</w:t>
      </w:r>
    </w:p>
    <w:p w14:paraId="6CB2BA4C" w14:textId="23E9ACA3" w:rsidR="004E441E" w:rsidRPr="006E1E03" w:rsidRDefault="00C7171E" w:rsidP="004E441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bookmarkStart w:id="25" w:name="_Toc57109499"/>
      <w:bookmarkStart w:id="26" w:name="_Toc58239990"/>
      <w:bookmarkStart w:id="27" w:name="_Toc26193697"/>
      <w:bookmarkStart w:id="28" w:name="_Toc56779707"/>
      <w:bookmarkEnd w:id="25"/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Кредитный риск:</w:t>
      </w:r>
    </w:p>
    <w:p w14:paraId="079AF4AE" w14:textId="09C11BF7" w:rsidR="00D40DDC" w:rsidRPr="006E1E03" w:rsidRDefault="00C7171E" w:rsidP="00C91F04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Ожидаемые потери (ценные бумаги, МБК, РЕПО, ПФИ, депозиты, займы), % от портфеля;</w:t>
      </w:r>
    </w:p>
    <w:p w14:paraId="5EA97ACB" w14:textId="3690BE3D" w:rsidR="00D40DDC" w:rsidRPr="006E1E03" w:rsidRDefault="00C7171E" w:rsidP="00C91F04">
      <w:pPr>
        <w:pStyle w:val="a7"/>
        <w:numPr>
          <w:ilvl w:val="0"/>
          <w:numId w:val="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Ожидаемые потери по КС/РС (контрагенты с рейтингом «А» и «В»), </w:t>
      </w:r>
      <w:r w:rsidR="00C91F04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% от </w:t>
      </w:r>
      <w:proofErr w:type="spellStart"/>
      <w:r w:rsidR="004F4808" w:rsidRPr="006E1E03">
        <w:rPr>
          <w:rFonts w:ascii="Times New Roman" w:hAnsi="Times New Roman" w:cs="Times New Roman"/>
        </w:rPr>
        <w:t>от</w:t>
      </w:r>
      <w:proofErr w:type="spellEnd"/>
      <w:r w:rsidR="004F4808" w:rsidRPr="006E1E03">
        <w:rPr>
          <w:rFonts w:ascii="Times New Roman" w:hAnsi="Times New Roman" w:cs="Times New Roman"/>
        </w:rPr>
        <w:t xml:space="preserve"> объема остатков</w:t>
      </w:r>
      <w:r w:rsidR="00261A57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3638A66" w14:textId="77777777" w:rsidR="004E441E" w:rsidRPr="006E1E03" w:rsidRDefault="00C7171E" w:rsidP="004E441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Рыночный риск:</w:t>
      </w:r>
    </w:p>
    <w:p w14:paraId="0CC14340" w14:textId="5A51660B" w:rsidR="004E441E" w:rsidRPr="006E1E03" w:rsidRDefault="00C7171E" w:rsidP="00C91F04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Потенциальная переоценка торгового портфеля в суверенных и корпоративных бумагах в случае реализации стрессового сценария, % от торгового портфеля;</w:t>
      </w:r>
    </w:p>
    <w:p w14:paraId="6D3D99B5" w14:textId="11299AD9" w:rsidR="004E441E" w:rsidRPr="006E1E03" w:rsidRDefault="00C7171E" w:rsidP="00C91F04">
      <w:pPr>
        <w:pStyle w:val="a7"/>
        <w:numPr>
          <w:ilvl w:val="0"/>
          <w:numId w:val="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VaR 99% 10D валютного риска, % от собственных средств</w:t>
      </w:r>
      <w:r w:rsidR="00111638" w:rsidRPr="006E1E0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FF697B0" w14:textId="131C83E0" w:rsidR="004E441E" w:rsidRPr="006E1E03" w:rsidRDefault="00C7171E" w:rsidP="00E5549A">
      <w:pPr>
        <w:autoSpaceDE w:val="0"/>
        <w:autoSpaceDN w:val="0"/>
        <w:adjustRightInd w:val="0"/>
        <w:spacing w:before="120" w:after="12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Коммерческий риск:</w:t>
      </w:r>
    </w:p>
    <w:p w14:paraId="42260E7C" w14:textId="77777777" w:rsidR="004E441E" w:rsidRPr="006E1E03" w:rsidRDefault="00C7171E" w:rsidP="00C91F04">
      <w:pPr>
        <w:pStyle w:val="a7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Недовыполнение плана по комиссионному доходу;</w:t>
      </w:r>
    </w:p>
    <w:p w14:paraId="490672D4" w14:textId="77777777" w:rsidR="004E441E" w:rsidRPr="006E1E03" w:rsidRDefault="00C7171E" w:rsidP="00C91F04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Недовыполнение плана по чистому процентному доходу.</w:t>
      </w:r>
    </w:p>
    <w:p w14:paraId="0F00B2DC" w14:textId="77777777" w:rsidR="004E441E" w:rsidRPr="006E1E03" w:rsidRDefault="00C7171E" w:rsidP="004E441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Правовой риск:</w:t>
      </w:r>
    </w:p>
    <w:p w14:paraId="28DA4D02" w14:textId="77777777" w:rsidR="004E441E" w:rsidRPr="006E1E03" w:rsidRDefault="00C7171E" w:rsidP="00C91F04">
      <w:pPr>
        <w:pStyle w:val="a7"/>
        <w:numPr>
          <w:ilvl w:val="0"/>
          <w:numId w:val="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Потери в случае реализации правового риска.</w:t>
      </w:r>
    </w:p>
    <w:p w14:paraId="59C90A36" w14:textId="00288C6E" w:rsidR="004E441E" w:rsidRPr="006E1E03" w:rsidRDefault="00C7171E" w:rsidP="004E441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Налоговый риск:</w:t>
      </w:r>
    </w:p>
    <w:p w14:paraId="10999435" w14:textId="433BA55B" w:rsidR="004E441E" w:rsidRPr="006E1E03" w:rsidRDefault="00C7171E" w:rsidP="00C91F04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Потери в случае реализации налогового риска.</w:t>
      </w:r>
    </w:p>
    <w:p w14:paraId="6ED77FE1" w14:textId="77777777" w:rsidR="004E441E" w:rsidRPr="006E1E03" w:rsidRDefault="00C7171E" w:rsidP="004E441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Комплаенс (регуляторный) риск:</w:t>
      </w:r>
    </w:p>
    <w:p w14:paraId="1645D61E" w14:textId="4A861438" w:rsidR="00BA68E3" w:rsidRPr="006E1E03" w:rsidRDefault="00C7171E" w:rsidP="00C91F04">
      <w:pPr>
        <w:pStyle w:val="a7"/>
        <w:numPr>
          <w:ilvl w:val="0"/>
          <w:numId w:val="13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Количество случаев реализации комплаенс (регуляторного) риска;</w:t>
      </w:r>
    </w:p>
    <w:p w14:paraId="4ACAA6FD" w14:textId="77777777" w:rsidR="004E441E" w:rsidRPr="006E1E03" w:rsidRDefault="00C7171E" w:rsidP="00C91F04">
      <w:pPr>
        <w:pStyle w:val="a7"/>
        <w:numPr>
          <w:ilvl w:val="0"/>
          <w:numId w:val="1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lastRenderedPageBreak/>
        <w:t>Потери в случае реализации комплаенс (регуляторного) риска.</w:t>
      </w:r>
    </w:p>
    <w:p w14:paraId="5B750DC7" w14:textId="77777777" w:rsidR="004E441E" w:rsidRPr="006E1E03" w:rsidRDefault="00C7171E" w:rsidP="004E441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Операционный риск:</w:t>
      </w:r>
    </w:p>
    <w:p w14:paraId="349E6B47" w14:textId="2EA01853" w:rsidR="004E441E" w:rsidRPr="006E1E03" w:rsidRDefault="00C7171E" w:rsidP="00C91F04">
      <w:pPr>
        <w:pStyle w:val="a7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Доступность систем реального времени;</w:t>
      </w:r>
    </w:p>
    <w:p w14:paraId="3C86506B" w14:textId="50752423" w:rsidR="004E441E" w:rsidRPr="006E1E03" w:rsidRDefault="00C7171E" w:rsidP="00C91F04">
      <w:pPr>
        <w:pStyle w:val="a7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Доступность систем, обеспечивающих прочие клиентские сервисы</w:t>
      </w:r>
      <w:r w:rsidRPr="006E1E03">
        <w:rPr>
          <w:rStyle w:val="a6"/>
          <w:rFonts w:ascii="Times New Roman" w:eastAsiaTheme="minorEastAsia" w:hAnsi="Times New Roman" w:cs="Times New Roman"/>
          <w:sz w:val="24"/>
          <w:szCs w:val="24"/>
        </w:rPr>
        <w:footnoteReference w:id="2"/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07C7F99B" w14:textId="77777777" w:rsidR="004E441E" w:rsidRPr="006E1E03" w:rsidRDefault="00C7171E" w:rsidP="00C91F04">
      <w:pPr>
        <w:pStyle w:val="a7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Потери в случае реализации операционного риска;</w:t>
      </w:r>
    </w:p>
    <w:p w14:paraId="1DBF75E5" w14:textId="4ED2031E" w:rsidR="004E441E" w:rsidRPr="006E1E03" w:rsidRDefault="00C7171E" w:rsidP="00C91F04">
      <w:pPr>
        <w:pStyle w:val="a7"/>
        <w:numPr>
          <w:ilvl w:val="0"/>
          <w:numId w:val="10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Число ИТ-инцидентов, приводящих к недоступности систем реального времени.</w:t>
      </w:r>
    </w:p>
    <w:p w14:paraId="551A89B6" w14:textId="77777777" w:rsidR="004E441E" w:rsidRPr="006E1E03" w:rsidRDefault="00C7171E" w:rsidP="004E441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Риск информационной безопасности:</w:t>
      </w:r>
    </w:p>
    <w:p w14:paraId="28FE2D25" w14:textId="0274D3B0" w:rsidR="003609A1" w:rsidRPr="006E1E03" w:rsidRDefault="00C7171E" w:rsidP="00C91F04">
      <w:pPr>
        <w:pStyle w:val="a7"/>
        <w:numPr>
          <w:ilvl w:val="0"/>
          <w:numId w:val="2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Количество существенных </w:t>
      </w:r>
      <w:r w:rsidR="00607B4C" w:rsidRPr="006E1E03">
        <w:rPr>
          <w:rFonts w:ascii="Times New Roman" w:eastAsiaTheme="minorEastAsia" w:hAnsi="Times New Roman" w:cs="Times New Roman"/>
          <w:sz w:val="24"/>
          <w:szCs w:val="24"/>
        </w:rPr>
        <w:t>ИБ-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инцидентов, не повлекших репутационный ущерб и вызвавших </w:t>
      </w:r>
      <w:r w:rsidR="005B02CE" w:rsidRPr="006E1E03">
        <w:rPr>
          <w:rFonts w:ascii="Times New Roman" w:eastAsiaTheme="minorEastAsia" w:hAnsi="Times New Roman" w:cs="Times New Roman"/>
          <w:sz w:val="24"/>
          <w:szCs w:val="24"/>
        </w:rPr>
        <w:t>деградацию/отсутствие сервиса</w:t>
      </w:r>
      <w:r w:rsidRPr="006E1E03">
        <w:rPr>
          <w:rStyle w:val="a6"/>
          <w:rFonts w:ascii="Times New Roman" w:eastAsiaTheme="minorEastAsia" w:hAnsi="Times New Roman" w:cs="Times New Roman"/>
          <w:sz w:val="24"/>
          <w:szCs w:val="24"/>
        </w:rPr>
        <w:footnoteReference w:id="3"/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, не превышающую допустимое время простоя и(или) деградации Технологического процесса;</w:t>
      </w:r>
    </w:p>
    <w:p w14:paraId="3A16A089" w14:textId="3B0D3375" w:rsidR="003609A1" w:rsidRPr="006E1E03" w:rsidRDefault="00C7171E" w:rsidP="00C91F04">
      <w:pPr>
        <w:pStyle w:val="a7"/>
        <w:numPr>
          <w:ilvl w:val="0"/>
          <w:numId w:val="2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Количество существенных </w:t>
      </w:r>
      <w:r w:rsidR="00607B4C" w:rsidRPr="006E1E03">
        <w:rPr>
          <w:rFonts w:ascii="Times New Roman" w:eastAsiaTheme="minorEastAsia" w:hAnsi="Times New Roman" w:cs="Times New Roman"/>
          <w:sz w:val="24"/>
          <w:szCs w:val="24"/>
        </w:rPr>
        <w:t>ИБ-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инцидентов, повлекших репутационный ущерб и вызвавших деградацию/отсутствие сервиса, превышающую допустимое время простоя и (или) деградации Технологического процесса</w:t>
      </w:r>
      <w:r w:rsidRPr="006E1E03">
        <w:rPr>
          <w:rStyle w:val="a6"/>
          <w:rFonts w:ascii="Times New Roman" w:eastAsiaTheme="minorEastAsia" w:hAnsi="Times New Roman" w:cs="Times New Roman"/>
          <w:sz w:val="24"/>
          <w:szCs w:val="24"/>
        </w:rPr>
        <w:footnoteReference w:id="4"/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A25CF28" w14:textId="77777777" w:rsidR="004E441E" w:rsidRPr="006E1E03" w:rsidRDefault="00C7171E" w:rsidP="004E441E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Репутационный риск:</w:t>
      </w:r>
    </w:p>
    <w:p w14:paraId="18CC3AA7" w14:textId="5CBCBAA0" w:rsidR="004E441E" w:rsidRPr="006E1E03" w:rsidRDefault="00C7171E" w:rsidP="00C91F04">
      <w:pPr>
        <w:pStyle w:val="a7"/>
        <w:numPr>
          <w:ilvl w:val="0"/>
          <w:numId w:val="23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Отток существующих клиентов, как следствие репутационного риска.</w:t>
      </w:r>
    </w:p>
    <w:p w14:paraId="187A0300" w14:textId="77777777" w:rsidR="004E441E" w:rsidRPr="006E1E03" w:rsidRDefault="004E441E" w:rsidP="004E441E">
      <w:pPr>
        <w:pStyle w:val="a7"/>
        <w:autoSpaceDE w:val="0"/>
        <w:autoSpaceDN w:val="0"/>
        <w:adjustRightInd w:val="0"/>
        <w:spacing w:before="120" w:after="120" w:line="360" w:lineRule="auto"/>
        <w:ind w:left="1287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1D26EFA3" w14:textId="77777777" w:rsidR="003C0CFF" w:rsidRPr="006E1E03" w:rsidRDefault="00C7171E" w:rsidP="003C0CFF">
      <w:pPr>
        <w:pStyle w:val="a7"/>
        <w:numPr>
          <w:ilvl w:val="0"/>
          <w:numId w:val="4"/>
        </w:numPr>
        <w:ind w:left="714" w:hanging="357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6E1E0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Определение перечня показателей риск-аппетита и методика определения их пороговых и фактических значений Группы</w:t>
      </w:r>
      <w:bookmarkEnd w:id="26"/>
    </w:p>
    <w:p w14:paraId="1D26EFA4" w14:textId="77777777" w:rsidR="003C0CFF" w:rsidRPr="006E1E03" w:rsidRDefault="003C0CFF" w:rsidP="003C0CFF">
      <w:pPr>
        <w:pStyle w:val="a7"/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</w:p>
    <w:p w14:paraId="1D26EFA5" w14:textId="77777777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6E1E03">
        <w:rPr>
          <w:rFonts w:ascii="Times New Roman" w:eastAsia="Times New Roman" w:hAnsi="Times New Roman" w:cs="Times New Roman"/>
          <w:kern w:val="32"/>
          <w:sz w:val="24"/>
          <w:szCs w:val="24"/>
        </w:rPr>
        <w:t>Наблюдательный совет ПАО Московская Биржа рекомендует Наблюдательным советам компаний Группы устанавливать показатели, указанные в Приложении 1.</w:t>
      </w:r>
    </w:p>
    <w:p w14:paraId="1D26EFA6" w14:textId="77777777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0"/>
        </w:rPr>
        <w:t>Риск-аппетит Группы устанавливается на горизонте до 2024 года</w:t>
      </w:r>
      <w:r w:rsidRPr="006E1E03">
        <w:rPr>
          <w:rFonts w:ascii="Times New Roman" w:eastAsiaTheme="minorEastAsia" w:hAnsi="Times New Roman" w:cs="Times New Roman"/>
          <w:b/>
          <w:bCs/>
          <w:sz w:val="24"/>
          <w:szCs w:val="20"/>
        </w:rPr>
        <w:t xml:space="preserve">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в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отношении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рисков, признанных значимыми на уровне Группы, присущи</w:t>
      </w:r>
      <w:r w:rsidRPr="006E1E03">
        <w:rPr>
          <w:rFonts w:ascii="Times New Roman" w:eastAsiaTheme="minorEastAsia" w:hAnsi="Times New Roman" w:cs="Times New Roman"/>
          <w:sz w:val="24"/>
          <w:szCs w:val="20"/>
          <w:lang w:val="en-US"/>
        </w:rPr>
        <w:t>x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всем компаниям Группы и одинаково измеряемым.</w:t>
      </w:r>
    </w:p>
    <w:p w14:paraId="1D26EFA7" w14:textId="77777777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="Times New Roman" w:hAnsi="Times New Roman" w:cs="Times New Roman"/>
          <w:kern w:val="32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В целях установления риск-аппетита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Группы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рекомендуется использовать следующий набор показателей, отражающих уровень риска:</w:t>
      </w:r>
    </w:p>
    <w:p w14:paraId="0C6DA65E" w14:textId="77777777" w:rsidR="00C91F04" w:rsidRPr="006E1E03" w:rsidRDefault="00C7171E" w:rsidP="00C91F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Кредитный риск:</w:t>
      </w:r>
    </w:p>
    <w:p w14:paraId="6594269C" w14:textId="77777777" w:rsidR="00C91F04" w:rsidRPr="006E1E03" w:rsidRDefault="00C7171E" w:rsidP="00C91F04">
      <w:pPr>
        <w:pStyle w:val="a7"/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Ожидаемые потери (ценные бумаги, МБК, РЕПО, ПФИ, депозиты, займы), % от портфеля;</w:t>
      </w:r>
    </w:p>
    <w:p w14:paraId="7F9A0CEE" w14:textId="7FC494A6" w:rsidR="00C91F04" w:rsidRPr="006E1E03" w:rsidRDefault="00C7171E" w:rsidP="00C91F04">
      <w:pPr>
        <w:pStyle w:val="a7"/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Ожидаемые потери по КС/РС (контрагенты с рейтингом «А» и «В»), % от </w:t>
      </w:r>
      <w:r w:rsidR="004F4808" w:rsidRPr="006E1E03">
        <w:rPr>
          <w:rFonts w:ascii="Times New Roman" w:hAnsi="Times New Roman" w:cs="Times New Roman"/>
        </w:rPr>
        <w:t>объема остатков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53EEF3A1" w14:textId="77777777" w:rsidR="00C91F04" w:rsidRPr="006E1E03" w:rsidRDefault="00C7171E" w:rsidP="00C91F04">
      <w:pPr>
        <w:pStyle w:val="a7"/>
        <w:numPr>
          <w:ilvl w:val="0"/>
          <w:numId w:val="2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Объем потенциальных потерь от операций с контрагентом с рейтингом «С», млн.руб.</w:t>
      </w:r>
    </w:p>
    <w:p w14:paraId="11055A5B" w14:textId="77777777" w:rsidR="00C91F04" w:rsidRPr="006E1E03" w:rsidRDefault="00C7171E" w:rsidP="00C91F04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Рыночный риск:</w:t>
      </w:r>
    </w:p>
    <w:p w14:paraId="156819FF" w14:textId="77908C05" w:rsidR="00C91F04" w:rsidRPr="006E1E03" w:rsidRDefault="00C7171E" w:rsidP="00C91F04">
      <w:pPr>
        <w:pStyle w:val="a7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Потенциальная переоценка торгового портфеля в суверенных и корпоративных бумагах в случае реализации стрессового сценария, % от торгового портфеля;</w:t>
      </w:r>
    </w:p>
    <w:p w14:paraId="55BA034F" w14:textId="77777777" w:rsidR="00C91F04" w:rsidRPr="006E1E03" w:rsidRDefault="00C7171E" w:rsidP="00C91F04">
      <w:pPr>
        <w:pStyle w:val="a7"/>
        <w:numPr>
          <w:ilvl w:val="0"/>
          <w:numId w:val="2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VaR 99% 10D валютного риска, % от собственных средств.</w:t>
      </w:r>
    </w:p>
    <w:p w14:paraId="4D83651F" w14:textId="1AC41C9C" w:rsidR="00E135FF" w:rsidRPr="006E1E03" w:rsidRDefault="00C7171E" w:rsidP="00E135F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Коммерческий риск:</w:t>
      </w:r>
    </w:p>
    <w:p w14:paraId="44CB3160" w14:textId="65936BEE" w:rsidR="00E135FF" w:rsidRPr="006E1E03" w:rsidRDefault="00C7171E" w:rsidP="00C91F04">
      <w:pPr>
        <w:pStyle w:val="a7"/>
        <w:numPr>
          <w:ilvl w:val="0"/>
          <w:numId w:val="14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Недовыполнение плана по комиссионному доходу;</w:t>
      </w:r>
    </w:p>
    <w:p w14:paraId="423204EB" w14:textId="1BC1E39C" w:rsidR="00E135FF" w:rsidRPr="006E1E03" w:rsidRDefault="00C7171E" w:rsidP="00C91F04">
      <w:pPr>
        <w:pStyle w:val="a7"/>
        <w:numPr>
          <w:ilvl w:val="0"/>
          <w:numId w:val="1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Недовыполнение плана по чистому процентному доходу.</w:t>
      </w:r>
    </w:p>
    <w:p w14:paraId="6F8F27A4" w14:textId="77777777" w:rsidR="00E135FF" w:rsidRPr="006E1E03" w:rsidRDefault="00C7171E" w:rsidP="00E135F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Правовой риск:</w:t>
      </w:r>
    </w:p>
    <w:p w14:paraId="61F0B364" w14:textId="77777777" w:rsidR="00E135FF" w:rsidRPr="006E1E03" w:rsidRDefault="00C7171E" w:rsidP="00C91F04">
      <w:pPr>
        <w:pStyle w:val="a7"/>
        <w:numPr>
          <w:ilvl w:val="0"/>
          <w:numId w:val="15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Потери в случае реализации правового риска.</w:t>
      </w:r>
    </w:p>
    <w:p w14:paraId="6A1EE40F" w14:textId="4ACA29D5" w:rsidR="00E135FF" w:rsidRPr="006E1E03" w:rsidRDefault="00C7171E" w:rsidP="00E135F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Налоговый риск:</w:t>
      </w:r>
    </w:p>
    <w:p w14:paraId="3E200065" w14:textId="5CE828E9" w:rsidR="00E135FF" w:rsidRPr="006E1E03" w:rsidRDefault="00C7171E" w:rsidP="00C91F04">
      <w:pPr>
        <w:pStyle w:val="a7"/>
        <w:numPr>
          <w:ilvl w:val="0"/>
          <w:numId w:val="16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Потери в случае реализации налогового риска.</w:t>
      </w:r>
    </w:p>
    <w:p w14:paraId="61C65063" w14:textId="77777777" w:rsidR="0083460F" w:rsidRPr="006E1E03" w:rsidRDefault="00C7171E" w:rsidP="0083460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Комплаенс (регуляторный) риск:</w:t>
      </w:r>
    </w:p>
    <w:p w14:paraId="1D0C3FFA" w14:textId="06BC2A2C" w:rsidR="00BA68E3" w:rsidRPr="006E1E03" w:rsidRDefault="00C7171E" w:rsidP="00C91F04">
      <w:pPr>
        <w:pStyle w:val="a7"/>
        <w:numPr>
          <w:ilvl w:val="0"/>
          <w:numId w:val="17"/>
        </w:numPr>
        <w:autoSpaceDE w:val="0"/>
        <w:autoSpaceDN w:val="0"/>
        <w:adjustRightInd w:val="0"/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Количество случаев реализации комплаенс (регуляторного) риска;</w:t>
      </w:r>
    </w:p>
    <w:p w14:paraId="5AD7A4D1" w14:textId="1A5305B5" w:rsidR="00E135FF" w:rsidRPr="006E1E03" w:rsidRDefault="00C7171E" w:rsidP="00C91F04">
      <w:pPr>
        <w:pStyle w:val="a7"/>
        <w:numPr>
          <w:ilvl w:val="0"/>
          <w:numId w:val="17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Потери в случае реализации комплаенс (регуляторного) риска.</w:t>
      </w:r>
    </w:p>
    <w:p w14:paraId="1D26EFA8" w14:textId="172E008B" w:rsidR="003C0CFF" w:rsidRPr="006E1E03" w:rsidRDefault="00C7171E" w:rsidP="00E135F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Операционный риск:</w:t>
      </w:r>
    </w:p>
    <w:p w14:paraId="1D26EFA9" w14:textId="77777777" w:rsidR="003C0CFF" w:rsidRPr="006E1E03" w:rsidRDefault="00C7171E" w:rsidP="00C91F04">
      <w:pPr>
        <w:pStyle w:val="a7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Доступность систем реального времени;</w:t>
      </w:r>
    </w:p>
    <w:p w14:paraId="1D26EFAA" w14:textId="171A58FE" w:rsidR="003C0CFF" w:rsidRPr="006E1E03" w:rsidRDefault="00C7171E" w:rsidP="00C91F04">
      <w:pPr>
        <w:pStyle w:val="a7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Д</w:t>
      </w:r>
      <w:r w:rsidR="0083460F" w:rsidRPr="006E1E03">
        <w:rPr>
          <w:rFonts w:ascii="Times New Roman" w:eastAsiaTheme="minorEastAsia" w:hAnsi="Times New Roman" w:cs="Times New Roman"/>
          <w:sz w:val="24"/>
          <w:szCs w:val="24"/>
        </w:rPr>
        <w:t>оступность систем, обеспечивающих прочие клиентские сервисы</w:t>
      </w:r>
      <w:r w:rsidRPr="006E1E03">
        <w:rPr>
          <w:rStyle w:val="a6"/>
          <w:rFonts w:ascii="Times New Roman" w:eastAsiaTheme="minorEastAsia" w:hAnsi="Times New Roman" w:cs="Times New Roman"/>
          <w:sz w:val="24"/>
          <w:szCs w:val="24"/>
        </w:rPr>
        <w:footnoteReference w:id="5"/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1D26EFAB" w14:textId="77777777" w:rsidR="003C0CFF" w:rsidRPr="006E1E03" w:rsidRDefault="00C7171E" w:rsidP="00C91F04">
      <w:pPr>
        <w:pStyle w:val="a7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Потери в случае реализации операционного риска;</w:t>
      </w:r>
    </w:p>
    <w:p w14:paraId="1D26EFAC" w14:textId="372393DA" w:rsidR="003C0CFF" w:rsidRPr="006E1E03" w:rsidRDefault="00C7171E" w:rsidP="00C91F04">
      <w:pPr>
        <w:pStyle w:val="a7"/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lastRenderedPageBreak/>
        <w:t>Число ИТ-инцидентов, приводящих к недоступности систем реального времени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D26EFAD" w14:textId="77777777" w:rsidR="003C0CFF" w:rsidRPr="006E1E03" w:rsidRDefault="00C7171E" w:rsidP="003C0CF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Риск информационной безопасности:</w:t>
      </w:r>
    </w:p>
    <w:p w14:paraId="36007707" w14:textId="7D686E20" w:rsidR="005B02CE" w:rsidRPr="006E1E03" w:rsidRDefault="00C7171E" w:rsidP="00C91F04">
      <w:pPr>
        <w:pStyle w:val="a7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Количество существенных </w:t>
      </w:r>
      <w:r w:rsidR="00607B4C" w:rsidRPr="006E1E03">
        <w:rPr>
          <w:rFonts w:ascii="Times New Roman" w:eastAsiaTheme="minorEastAsia" w:hAnsi="Times New Roman" w:cs="Times New Roman"/>
          <w:sz w:val="24"/>
          <w:szCs w:val="24"/>
        </w:rPr>
        <w:t>ИБ-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инцидентов, не повлекших репутационный ущерб и вызвавших деградацию/отсутствие сервиса</w:t>
      </w:r>
      <w:r w:rsidRPr="006E1E03">
        <w:rPr>
          <w:rStyle w:val="a6"/>
          <w:rFonts w:ascii="Times New Roman" w:eastAsiaTheme="minorEastAsia" w:hAnsi="Times New Roman" w:cs="Times New Roman"/>
          <w:sz w:val="24"/>
          <w:szCs w:val="24"/>
        </w:rPr>
        <w:footnoteReference w:id="6"/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, не превышающую допустимое время простоя и(или) деградации Технологического процесса;</w:t>
      </w:r>
    </w:p>
    <w:p w14:paraId="4AE31C36" w14:textId="386B27F5" w:rsidR="005B02CE" w:rsidRPr="006E1E03" w:rsidRDefault="00C7171E" w:rsidP="00C91F04">
      <w:pPr>
        <w:pStyle w:val="a7"/>
        <w:numPr>
          <w:ilvl w:val="0"/>
          <w:numId w:val="22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Количество существенных </w:t>
      </w:r>
      <w:r w:rsidR="00607B4C" w:rsidRPr="006E1E03">
        <w:rPr>
          <w:rFonts w:ascii="Times New Roman" w:eastAsiaTheme="minorEastAsia" w:hAnsi="Times New Roman" w:cs="Times New Roman"/>
          <w:sz w:val="24"/>
          <w:szCs w:val="24"/>
        </w:rPr>
        <w:t>ИБ-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инцидентов, повлекших репутационный ущерб и вызвавших деградацию/отсутствие сервиса, превышающую допустимое время простоя и (или) деградации Технологического процесса</w:t>
      </w:r>
      <w:r w:rsidRPr="006E1E03">
        <w:rPr>
          <w:rStyle w:val="a6"/>
          <w:rFonts w:ascii="Times New Roman" w:eastAsiaTheme="minorEastAsia" w:hAnsi="Times New Roman" w:cs="Times New Roman"/>
          <w:sz w:val="24"/>
          <w:szCs w:val="24"/>
        </w:rPr>
        <w:footnoteReference w:id="7"/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D26EFB4" w14:textId="6AEBD913" w:rsidR="003C0CFF" w:rsidRPr="006E1E03" w:rsidRDefault="00C7171E" w:rsidP="003C0CF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Кастодиальный риск:</w:t>
      </w:r>
    </w:p>
    <w:p w14:paraId="1D26EFB5" w14:textId="1F71584B" w:rsidR="003C0CFF" w:rsidRPr="006E1E03" w:rsidRDefault="00C7171E" w:rsidP="00C91F04">
      <w:pPr>
        <w:pStyle w:val="a7"/>
        <w:numPr>
          <w:ilvl w:val="0"/>
          <w:numId w:val="8"/>
        </w:numPr>
        <w:autoSpaceDE w:val="0"/>
        <w:autoSpaceDN w:val="0"/>
        <w:adjustRightInd w:val="0"/>
        <w:spacing w:before="120" w:after="120" w:line="360" w:lineRule="auto"/>
        <w:ind w:left="127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Доля хранения драгоценных металлов (золото) в банковских хранилищах в процентах от общего объема драгоценных металлов (золото)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D26EFBB" w14:textId="77777777" w:rsidR="003C0CFF" w:rsidRPr="006E1E03" w:rsidRDefault="00C7171E" w:rsidP="003C0CF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Репутационный риск:</w:t>
      </w:r>
    </w:p>
    <w:p w14:paraId="1D26EFBC" w14:textId="57ACDE72" w:rsidR="003C0CFF" w:rsidRPr="006E1E03" w:rsidRDefault="00C7171E" w:rsidP="00C91F04">
      <w:pPr>
        <w:pStyle w:val="a7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Количество негативных информационных поводов</w:t>
      </w:r>
      <w:r w:rsidRPr="006E1E03">
        <w:rPr>
          <w:rFonts w:ascii="Times New Roman" w:hAnsi="Times New Roman" w:cs="Times New Roman"/>
        </w:rPr>
        <w:t xml:space="preserve">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следствием которых явились негативные публикации в СМИ</w:t>
      </w:r>
      <w:r w:rsidR="004C55D7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/ социальных сетях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о Группе Московская Биржа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1D26EFBD" w14:textId="33D4F89E" w:rsidR="003C0CFF" w:rsidRPr="006E1E03" w:rsidRDefault="00C7171E" w:rsidP="00C91F04">
      <w:pPr>
        <w:pStyle w:val="a7"/>
        <w:numPr>
          <w:ilvl w:val="0"/>
          <w:numId w:val="19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Отток существующих клиентов как следствие репутационного риска.</w:t>
      </w:r>
    </w:p>
    <w:p w14:paraId="4C3E3A74" w14:textId="2BB6C16A" w:rsidR="00EF1AFF" w:rsidRPr="006E1E03" w:rsidRDefault="00C7171E" w:rsidP="00EF1AF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Стратегический риск:</w:t>
      </w:r>
    </w:p>
    <w:p w14:paraId="36226D0E" w14:textId="73FE91CF" w:rsidR="00EF1AFF" w:rsidRPr="006E1E03" w:rsidRDefault="00C44D00" w:rsidP="00C91F04">
      <w:pPr>
        <w:pStyle w:val="a7"/>
        <w:numPr>
          <w:ilvl w:val="0"/>
          <w:numId w:val="2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44D00">
        <w:rPr>
          <w:rFonts w:ascii="Times New Roman" w:eastAsiaTheme="minorEastAsia" w:hAnsi="Times New Roman" w:cs="Times New Roman"/>
          <w:sz w:val="24"/>
          <w:szCs w:val="24"/>
        </w:rPr>
        <w:t>Соблюдение выполнения стратегических направлений Стратегии Группы Московская биржа</w:t>
      </w:r>
      <w:r w:rsidR="00C7171E" w:rsidRPr="006E1E0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D26EFC8" w14:textId="15A0658D" w:rsidR="003C0CFF" w:rsidRPr="006E1E03" w:rsidRDefault="00C7171E" w:rsidP="003C0CFF">
      <w:pPr>
        <w:pStyle w:val="1"/>
        <w:keepLines w:val="0"/>
        <w:numPr>
          <w:ilvl w:val="0"/>
          <w:numId w:val="4"/>
        </w:numPr>
        <w:spacing w:before="360" w:after="240" w:line="360" w:lineRule="auto"/>
        <w:ind w:left="540" w:hanging="450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bookmarkStart w:id="29" w:name="_Toc57822318"/>
      <w:bookmarkStart w:id="30" w:name="_Toc58239991"/>
      <w:r w:rsidRPr="006E1E03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>Мониторинг соблюдения риск-аппетита и отчетность</w:t>
      </w:r>
      <w:bookmarkEnd w:id="27"/>
      <w:r w:rsidRPr="006E1E03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 xml:space="preserve"> ПАО Московская Биржа</w:t>
      </w:r>
      <w:bookmarkEnd w:id="28"/>
      <w:bookmarkEnd w:id="29"/>
      <w:bookmarkEnd w:id="30"/>
    </w:p>
    <w:p w14:paraId="1D26EFC9" w14:textId="500AEC72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0"/>
        </w:rPr>
        <w:t>Мониторинг соблюдения установленных количественных и качественных показателей риск-аппетита осуществляется на постоянной основе.</w:t>
      </w:r>
    </w:p>
    <w:p w14:paraId="1D26EFCA" w14:textId="2FFA1E44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Порядок контроля показателей риск-аппетита включает мероприятия по сопоставлению результатов мониторинга уровня риска с установленными пороговыми </w:t>
      </w:r>
      <w:r w:rsidR="007E0EED" w:rsidRPr="006E1E03">
        <w:rPr>
          <w:rFonts w:ascii="Times New Roman" w:eastAsiaTheme="minorEastAsia" w:hAnsi="Times New Roman" w:cs="Times New Roman"/>
          <w:sz w:val="24"/>
          <w:szCs w:val="24"/>
        </w:rPr>
        <w:t>значениями</w:t>
      </w:r>
      <w:r w:rsidR="00A150B5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риск-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lastRenderedPageBreak/>
        <w:t>аппетита на ежедневной основе. По результатам мониторинга определяется динамика показател</w:t>
      </w:r>
      <w:r w:rsidR="00C761B6" w:rsidRPr="006E1E03">
        <w:rPr>
          <w:rFonts w:ascii="Times New Roman" w:eastAsiaTheme="minorEastAsia" w:hAnsi="Times New Roman" w:cs="Times New Roman"/>
          <w:sz w:val="24"/>
          <w:szCs w:val="24"/>
        </w:rPr>
        <w:t>ей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, производится инициация соответствующих мер в случае обнаружения достижения и/или нарушения пороговых </w:t>
      </w:r>
      <w:r w:rsidR="005857AC" w:rsidRPr="006E1E03">
        <w:rPr>
          <w:rFonts w:ascii="Times New Roman" w:eastAsiaTheme="minorEastAsia" w:hAnsi="Times New Roman" w:cs="Times New Roman"/>
          <w:sz w:val="24"/>
          <w:szCs w:val="24"/>
        </w:rPr>
        <w:t>значений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, а также формирование отчетности.</w:t>
      </w:r>
    </w:p>
    <w:p w14:paraId="1D26EFCB" w14:textId="1BBDE518" w:rsidR="003C0CFF" w:rsidRPr="006E1E03" w:rsidRDefault="00C7171E" w:rsidP="00A150B5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Мониторинг</w:t>
      </w:r>
      <w:r w:rsidR="00A150B5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соблюдения риск-аппетита и отчетность ПАО Московская Биржа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осуществл</w:t>
      </w:r>
      <w:r w:rsidR="00A150B5" w:rsidRPr="006E1E03">
        <w:rPr>
          <w:rFonts w:ascii="Times New Roman" w:eastAsiaTheme="minorEastAsia" w:hAnsi="Times New Roman" w:cs="Times New Roman"/>
          <w:sz w:val="24"/>
          <w:szCs w:val="24"/>
        </w:rPr>
        <w:t>яется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в соотв</w:t>
      </w:r>
      <w:r w:rsidR="00A150B5" w:rsidRPr="006E1E03">
        <w:rPr>
          <w:rFonts w:ascii="Times New Roman" w:eastAsiaTheme="minorEastAsia" w:hAnsi="Times New Roman" w:cs="Times New Roman"/>
          <w:sz w:val="24"/>
          <w:szCs w:val="24"/>
        </w:rPr>
        <w:t>етствии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с таблицей 1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5D5F1D78" w14:textId="77777777" w:rsidR="00A150B5" w:rsidRPr="006E1E03" w:rsidRDefault="00C7171E" w:rsidP="00A150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1E03">
        <w:rPr>
          <w:rFonts w:ascii="Times New Roman" w:hAnsi="Times New Roman" w:cs="Times New Roman"/>
          <w:b/>
          <w:bCs/>
          <w:sz w:val="24"/>
          <w:szCs w:val="24"/>
        </w:rPr>
        <w:t>Таблица 1. Зона ответственности в рамках разработки и мониторинга показателей риск-аппетита Группы.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956"/>
      </w:tblGrid>
      <w:tr w:rsidR="00651E5D" w:rsidRPr="006E1E03" w14:paraId="6F27AE48" w14:textId="77777777" w:rsidTr="003C0CFF">
        <w:trPr>
          <w:trHeight w:val="395"/>
        </w:trPr>
        <w:tc>
          <w:tcPr>
            <w:tcW w:w="3114" w:type="dxa"/>
            <w:vAlign w:val="center"/>
          </w:tcPr>
          <w:p w14:paraId="24FA6E05" w14:textId="77777777" w:rsidR="00A150B5" w:rsidRPr="006E1E03" w:rsidRDefault="00C7171E" w:rsidP="003C0C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Орган/структурное подразделение</w:t>
            </w:r>
          </w:p>
        </w:tc>
        <w:tc>
          <w:tcPr>
            <w:tcW w:w="6956" w:type="dxa"/>
            <w:vAlign w:val="center"/>
          </w:tcPr>
          <w:p w14:paraId="365B7F19" w14:textId="77777777" w:rsidR="00A150B5" w:rsidRPr="006E1E03" w:rsidRDefault="00C7171E" w:rsidP="003C0CF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Зона ответственности</w:t>
            </w:r>
          </w:p>
        </w:tc>
      </w:tr>
      <w:tr w:rsidR="00651E5D" w:rsidRPr="006E1E03" w14:paraId="2807424F" w14:textId="77777777" w:rsidTr="003C0CFF">
        <w:tc>
          <w:tcPr>
            <w:tcW w:w="3114" w:type="dxa"/>
          </w:tcPr>
          <w:p w14:paraId="7B3A661F" w14:textId="77777777" w:rsidR="003B03D8" w:rsidRPr="006E1E03" w:rsidRDefault="00C7171E" w:rsidP="003C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Наблюдательный совет</w:t>
            </w:r>
          </w:p>
          <w:p w14:paraId="6055F5F1" w14:textId="6D3AB76E" w:rsidR="00A150B5" w:rsidRPr="006E1E03" w:rsidRDefault="00C7171E" w:rsidP="003C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ПАО Московская Биржа</w:t>
            </w:r>
          </w:p>
        </w:tc>
        <w:tc>
          <w:tcPr>
            <w:tcW w:w="6956" w:type="dxa"/>
          </w:tcPr>
          <w:p w14:paraId="30CEE3B9" w14:textId="77777777" w:rsidR="00A150B5" w:rsidRPr="006E1E03" w:rsidRDefault="00C7171E" w:rsidP="003C0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 состав показателей и пороговые </w:t>
            </w:r>
            <w:r w:rsidR="003C0CFF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риск-аппетита Группы и ПАО Московская Биржа</w:t>
            </w:r>
            <w:r w:rsidR="00C761B6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контролирует соблюдение риск-аппетита на уровне Группы и ПАО Московская Биржа, рекомендует показатели и их </w:t>
            </w:r>
            <w:r w:rsidR="00B347B2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пороговые </w:t>
            </w:r>
            <w:r w:rsidR="005857AC" w:rsidRPr="006E1E03">
              <w:rPr>
                <w:rFonts w:ascii="Times New Roman" w:hAnsi="Times New Roman" w:cs="Times New Roman"/>
                <w:sz w:val="20"/>
                <w:szCs w:val="20"/>
              </w:rPr>
              <w:t>значения</w:t>
            </w:r>
            <w:r w:rsidR="00785AD7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компаниям Группы. В случае нарушения риск-аппетита Председатель Наблюдательного совета ПАО Московская Биржа совместно с Председателем Комиссии по управлению рисками собирает внеочередное заседание.</w:t>
            </w:r>
          </w:p>
          <w:p w14:paraId="5CC90D12" w14:textId="2BA51C0A" w:rsidR="00A76170" w:rsidRPr="006E1E03" w:rsidRDefault="00C7171E" w:rsidP="00A761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Информиру</w:t>
            </w:r>
            <w:r w:rsidR="00882B16" w:rsidRPr="006E1E0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тся </w:t>
            </w:r>
            <w:r w:rsidR="00882B16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ДОРИБиНБ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в случае достижения</w:t>
            </w:r>
            <w:r w:rsidR="00A2181B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03EA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/ нарушения </w:t>
            </w:r>
            <w:r w:rsidRPr="006E1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EWS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или действующего порога информирования – потерь в размере 300 млн руб. и получают данные о причинах нарушения и 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о предпринятых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планируемых мерах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C7298C" w:rsidRPr="006E1E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регулированию. Информирование осуществляется не позднее одного дня с даты выявления.</w:t>
            </w:r>
          </w:p>
        </w:tc>
      </w:tr>
      <w:tr w:rsidR="00651E5D" w:rsidRPr="006E1E03" w14:paraId="200B7BC3" w14:textId="77777777" w:rsidTr="003C0CFF">
        <w:tc>
          <w:tcPr>
            <w:tcW w:w="3114" w:type="dxa"/>
          </w:tcPr>
          <w:p w14:paraId="39879137" w14:textId="0A6CB3EB" w:rsidR="00A150B5" w:rsidRPr="006E1E03" w:rsidRDefault="00C7171E" w:rsidP="003C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по управлению рисками 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при НС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ПАО Московская Биржа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DAAD85" w14:textId="785FEF8B" w:rsidR="00A150B5" w:rsidRPr="006E1E03" w:rsidRDefault="00C7171E" w:rsidP="003C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Комитет по рискам</w:t>
            </w:r>
            <w:r w:rsidR="00522B0C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НС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НКО НКЦ (АО)</w:t>
            </w:r>
          </w:p>
        </w:tc>
        <w:tc>
          <w:tcPr>
            <w:tcW w:w="6956" w:type="dxa"/>
          </w:tcPr>
          <w:p w14:paraId="003F862F" w14:textId="373D9F80" w:rsidR="00A150B5" w:rsidRPr="006E1E03" w:rsidRDefault="00C7171E" w:rsidP="003C0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Информируются в случае достижения</w:t>
            </w:r>
            <w:r w:rsidR="00A2181B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/ нарушения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5AD7" w:rsidRPr="006E1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EWS</w:t>
            </w:r>
            <w:proofErr w:type="gramStart"/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85AD7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и получают данные о причинах нарушения и </w:t>
            </w:r>
            <w:r w:rsidR="000F75A7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предпринятые и </w:t>
            </w:r>
            <w:r w:rsidR="000E324D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планируемые </w:t>
            </w:r>
            <w:r w:rsidR="001F5010" w:rsidRPr="006E1E03">
              <w:rPr>
                <w:rFonts w:ascii="Times New Roman" w:hAnsi="Times New Roman" w:cs="Times New Roman"/>
                <w:sz w:val="20"/>
                <w:szCs w:val="20"/>
              </w:rPr>
              <w:t>действия/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меры по регулированию. Председатель Комиссии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/Комитета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может инициировать внеочередное собрание Комиссии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/Комитета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по рекомендации любого ее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/его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члена</w:t>
            </w:r>
            <w:r w:rsidRPr="006E1E03">
              <w:rPr>
                <w:rStyle w:val="a6"/>
                <w:rFonts w:ascii="Times New Roman" w:hAnsi="Times New Roman" w:cs="Times New Roman"/>
                <w:sz w:val="20"/>
                <w:szCs w:val="20"/>
              </w:rPr>
              <w:footnoteReference w:id="8"/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1E5D" w:rsidRPr="006E1E03" w14:paraId="171702B0" w14:textId="77777777" w:rsidTr="003C0CFF">
        <w:tc>
          <w:tcPr>
            <w:tcW w:w="3114" w:type="dxa"/>
          </w:tcPr>
          <w:p w14:paraId="7397B4A4" w14:textId="77777777" w:rsidR="00A150B5" w:rsidRPr="006E1E03" w:rsidRDefault="00C7171E" w:rsidP="003C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Правление ПАО Московская Биржа</w:t>
            </w:r>
          </w:p>
        </w:tc>
        <w:tc>
          <w:tcPr>
            <w:tcW w:w="6956" w:type="dxa"/>
          </w:tcPr>
          <w:p w14:paraId="1DF9E6C6" w14:textId="0BB1E000" w:rsidR="00A150B5" w:rsidRPr="006E1E03" w:rsidRDefault="00C7171E" w:rsidP="003C0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Контролирует соблюдение декомпозиции показателей риск-аппетита Группы по дочерним организациям. Информируется о достижении </w:t>
            </w:r>
            <w:r w:rsidR="00785AD7" w:rsidRPr="006E1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EWS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и нарушении риск-аппетита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51E5D" w:rsidRPr="006E1E03" w14:paraId="2A1057B7" w14:textId="77777777" w:rsidTr="003C0CFF">
        <w:tc>
          <w:tcPr>
            <w:tcW w:w="3114" w:type="dxa"/>
          </w:tcPr>
          <w:p w14:paraId="68CEDBB9" w14:textId="41EB24A2" w:rsidR="00A150B5" w:rsidRPr="006E1E03" w:rsidRDefault="00C7171E" w:rsidP="00882B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Наблюдательный совет НКЦ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D0347A" w14:textId="74E94360" w:rsidR="00A150B5" w:rsidRPr="006E1E03" w:rsidRDefault="00C7171E" w:rsidP="00882B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Наблюдательный совет НРД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7A1837" w14:textId="77777777" w:rsidR="00A150B5" w:rsidRPr="006E1E03" w:rsidRDefault="00C7171E" w:rsidP="00882B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Наблюдательный совет НТБ </w:t>
            </w:r>
          </w:p>
        </w:tc>
        <w:tc>
          <w:tcPr>
            <w:tcW w:w="6956" w:type="dxa"/>
          </w:tcPr>
          <w:p w14:paraId="2EFFE566" w14:textId="663EED82" w:rsidR="00A150B5" w:rsidRPr="006E1E03" w:rsidRDefault="00C7171E" w:rsidP="003C0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Устанавливают состав показателей и пороговые </w:t>
            </w:r>
            <w:r w:rsidR="007E0EED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риск-аппетита на соло-уровне с учетом рекомендации на основании декомпозиции риск-аппетита Группы.</w:t>
            </w:r>
          </w:p>
        </w:tc>
      </w:tr>
      <w:tr w:rsidR="00651E5D" w:rsidRPr="006E1E03" w14:paraId="10F9DB40" w14:textId="77777777" w:rsidTr="003C0CFF">
        <w:tc>
          <w:tcPr>
            <w:tcW w:w="3114" w:type="dxa"/>
          </w:tcPr>
          <w:p w14:paraId="5001E344" w14:textId="6EAB8F61" w:rsidR="00A150B5" w:rsidRPr="006E1E03" w:rsidRDefault="00C7171E" w:rsidP="00882B16">
            <w:pPr>
              <w:pStyle w:val="a7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Комитет по </w:t>
            </w:r>
            <w:r w:rsidR="00077E40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рискам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НКЦ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789518" w14:textId="7FCDAB90" w:rsidR="00A150B5" w:rsidRPr="006E1E03" w:rsidRDefault="00C7171E" w:rsidP="00882B16">
            <w:pPr>
              <w:pStyle w:val="a7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Комиссия по аудиту НРД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FCC169" w14:textId="47EE706F" w:rsidR="00A150B5" w:rsidRPr="006E1E03" w:rsidRDefault="00C7171E" w:rsidP="00882B16">
            <w:pPr>
              <w:pStyle w:val="a7"/>
              <w:ind w:lef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Комиссия по аудиту НТБ</w:t>
            </w:r>
          </w:p>
          <w:p w14:paraId="4294D78C" w14:textId="77777777" w:rsidR="00A150B5" w:rsidRPr="006E1E03" w:rsidRDefault="00A150B5" w:rsidP="003C0C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6" w:type="dxa"/>
          </w:tcPr>
          <w:p w14:paraId="631E002E" w14:textId="733CAC32" w:rsidR="00A150B5" w:rsidRPr="006E1E03" w:rsidRDefault="00C7171E" w:rsidP="003C0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Информируются в случае достижения </w:t>
            </w:r>
            <w:r w:rsidR="00785AD7" w:rsidRPr="006E1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EWS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и получают данные о причинах нарушения </w:t>
            </w:r>
            <w:r w:rsidR="00B347B2" w:rsidRPr="006E1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EWS</w:t>
            </w:r>
            <w:r w:rsidR="00B347B2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и риск-аппетита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B347B2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мерах 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регулированию</w:t>
            </w:r>
            <w:r w:rsidR="00B347B2"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нарушений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. Председатель Комитета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/Комиссии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может инициировать внеочередное собрание Комитета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/Комиссии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по рекомендации любого из его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/ее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членов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1E0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</w:tr>
      <w:tr w:rsidR="00651E5D" w:rsidRPr="006E1E03" w14:paraId="1E57E294" w14:textId="77777777" w:rsidTr="003C0CFF">
        <w:tc>
          <w:tcPr>
            <w:tcW w:w="3114" w:type="dxa"/>
          </w:tcPr>
          <w:p w14:paraId="5C5CE75C" w14:textId="79A6EF46" w:rsidR="00A150B5" w:rsidRPr="006E1E03" w:rsidRDefault="00C7171E" w:rsidP="00882B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Правление НКЦ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324AEB4" w14:textId="14364D0A" w:rsidR="00A150B5" w:rsidRPr="006E1E03" w:rsidRDefault="00C7171E" w:rsidP="00882B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Правление НРД</w:t>
            </w:r>
            <w:r w:rsidR="003B03D8" w:rsidRPr="006E1E0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14F1A03" w14:textId="77777777" w:rsidR="00A150B5" w:rsidRPr="006E1E03" w:rsidRDefault="00C7171E" w:rsidP="00882B16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Правление НТБ</w:t>
            </w:r>
          </w:p>
        </w:tc>
        <w:tc>
          <w:tcPr>
            <w:tcW w:w="6956" w:type="dxa"/>
          </w:tcPr>
          <w:p w14:paraId="32A5D136" w14:textId="188B1E3D" w:rsidR="00A150B5" w:rsidRPr="006E1E03" w:rsidRDefault="00C7171E" w:rsidP="003C0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Информируются в случае достижения </w:t>
            </w:r>
            <w:r w:rsidR="00785AD7" w:rsidRPr="006E1E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EWS</w:t>
            </w: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 xml:space="preserve"> и нарушение риск-аппетита по компании Группы.</w:t>
            </w:r>
          </w:p>
        </w:tc>
      </w:tr>
      <w:tr w:rsidR="00651E5D" w:rsidRPr="006E1E03" w14:paraId="6B467A20" w14:textId="77777777" w:rsidTr="003C0CFF">
        <w:tc>
          <w:tcPr>
            <w:tcW w:w="3114" w:type="dxa"/>
          </w:tcPr>
          <w:p w14:paraId="35AB840F" w14:textId="77777777" w:rsidR="00A150B5" w:rsidRPr="006E1E03" w:rsidRDefault="00C7171E" w:rsidP="003C0C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Риск-менеджмент ПАО Московская Биржа</w:t>
            </w:r>
          </w:p>
        </w:tc>
        <w:tc>
          <w:tcPr>
            <w:tcW w:w="6956" w:type="dxa"/>
          </w:tcPr>
          <w:p w14:paraId="0FF5FF0E" w14:textId="77777777" w:rsidR="00A150B5" w:rsidRPr="006E1E03" w:rsidRDefault="00C7171E" w:rsidP="003C0C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Контролирует соблюдение риск-аппетита и лимитов на уровне Группы, обеспечивает формирование отчетности о соблюдении риск-аппетита.</w:t>
            </w:r>
          </w:p>
        </w:tc>
      </w:tr>
      <w:tr w:rsidR="00651E5D" w:rsidRPr="006E1E03" w14:paraId="7E1B414A" w14:textId="77777777" w:rsidTr="003C0CFF">
        <w:tc>
          <w:tcPr>
            <w:tcW w:w="3114" w:type="dxa"/>
          </w:tcPr>
          <w:p w14:paraId="3FCDDFE0" w14:textId="77777777" w:rsidR="003B03D8" w:rsidRPr="006E1E03" w:rsidRDefault="00C7171E" w:rsidP="003B03D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Риск-менеджмент НКЦ,</w:t>
            </w:r>
          </w:p>
          <w:p w14:paraId="58126B4A" w14:textId="77777777" w:rsidR="003B03D8" w:rsidRPr="006E1E03" w:rsidRDefault="00C7171E" w:rsidP="003B03D8">
            <w:pPr>
              <w:pStyle w:val="a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Риск-менеджмент НРД,</w:t>
            </w:r>
          </w:p>
          <w:p w14:paraId="6B6466B6" w14:textId="55AAEAB2" w:rsidR="003B03D8" w:rsidRPr="006E1E03" w:rsidRDefault="00C7171E" w:rsidP="003B0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Риск-менеджмент НТБ</w:t>
            </w:r>
          </w:p>
        </w:tc>
        <w:tc>
          <w:tcPr>
            <w:tcW w:w="6956" w:type="dxa"/>
          </w:tcPr>
          <w:p w14:paraId="05C55359" w14:textId="18FA8F53" w:rsidR="003B03D8" w:rsidRPr="006E1E03" w:rsidRDefault="00C7171E" w:rsidP="003B03D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1E03">
              <w:rPr>
                <w:rFonts w:ascii="Times New Roman" w:hAnsi="Times New Roman" w:cs="Times New Roman"/>
                <w:sz w:val="20"/>
                <w:szCs w:val="20"/>
              </w:rPr>
              <w:t>Контролирует соблюдение риск-аппетита и лимитов на соло-уровне.</w:t>
            </w:r>
          </w:p>
        </w:tc>
      </w:tr>
    </w:tbl>
    <w:p w14:paraId="2B8D0E02" w14:textId="77777777" w:rsidR="00A150B5" w:rsidRPr="006E1E03" w:rsidRDefault="00A150B5" w:rsidP="00785AD7">
      <w:pPr>
        <w:pStyle w:val="a7"/>
        <w:autoSpaceDE w:val="0"/>
        <w:autoSpaceDN w:val="0"/>
        <w:adjustRightInd w:val="0"/>
        <w:spacing w:before="120" w:after="120" w:line="360" w:lineRule="auto"/>
        <w:ind w:left="567"/>
        <w:jc w:val="both"/>
        <w:rPr>
          <w:rFonts w:ascii="Times New Roman" w:hAnsi="Times New Roman" w:cs="Times New Roman"/>
          <w:sz w:val="24"/>
        </w:rPr>
      </w:pPr>
    </w:p>
    <w:p w14:paraId="1D26EFCD" w14:textId="3B79B902" w:rsidR="003C0CFF" w:rsidRPr="006E1E03" w:rsidRDefault="00C7171E" w:rsidP="007E0EED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При установлении </w:t>
      </w:r>
      <w:r w:rsidR="004A416B" w:rsidRPr="006E1E03">
        <w:rPr>
          <w:rFonts w:ascii="Times New Roman" w:eastAsiaTheme="minorEastAsia" w:hAnsi="Times New Roman" w:cs="Times New Roman"/>
          <w:sz w:val="24"/>
          <w:szCs w:val="24"/>
        </w:rPr>
        <w:t>риск-аппетита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ПАО Московская Биржа оценивает влияние рисков ПАО Московская Биржа на финансовую устойчивость посредством оценки потенциального события (событий) риска, наступление которого (которых), в том числе с учетом вероятности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lastRenderedPageBreak/>
        <w:t>его (их) наступления и степени влияния, повлечет за собой возникновение у ПАО Московская Биржа убытков.</w:t>
      </w:r>
    </w:p>
    <w:p w14:paraId="1D26EFCE" w14:textId="3584423D" w:rsidR="003C0CFF" w:rsidRPr="006E1E03" w:rsidRDefault="00C7171E" w:rsidP="007E0EED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ПАО Московская Биржа в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ыявляет </w:t>
      </w:r>
      <w:r w:rsidR="00A47099" w:rsidRPr="006E1E03">
        <w:rPr>
          <w:rFonts w:ascii="Times New Roman" w:eastAsiaTheme="minorEastAsia" w:hAnsi="Times New Roman" w:cs="Times New Roman"/>
          <w:sz w:val="24"/>
          <w:szCs w:val="24"/>
        </w:rPr>
        <w:t>случаи реализации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рисков путем осуществления мониторинга показателей риск-аппетита, значения для которых </w:t>
      </w:r>
      <w:r w:rsidR="00A47099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на ежемесячной основе 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рассчитываются подразделениями, ответственными за управление отдельными видами рисков и консолидируются ДОРИБиНБ. Работник </w:t>
      </w:r>
      <w:r w:rsidR="001129EE" w:rsidRPr="006E1E03">
        <w:rPr>
          <w:rFonts w:ascii="Times New Roman" w:hAnsi="Times New Roman" w:cs="Times New Roman"/>
          <w:sz w:val="24"/>
          <w:szCs w:val="24"/>
        </w:rPr>
        <w:t>структурного подразделения, ответственного за управление риском</w:t>
      </w:r>
      <w:r w:rsidR="00A47099" w:rsidRPr="006E1E03">
        <w:rPr>
          <w:rFonts w:ascii="Times New Roman" w:hAnsi="Times New Roman" w:cs="Times New Roman"/>
          <w:sz w:val="24"/>
          <w:szCs w:val="24"/>
        </w:rPr>
        <w:t>,</w:t>
      </w:r>
      <w:r w:rsidR="004A416B" w:rsidRPr="006E1E03">
        <w:rPr>
          <w:rFonts w:ascii="Times New Roman" w:hAnsi="Times New Roman" w:cs="Times New Roman"/>
          <w:sz w:val="24"/>
          <w:szCs w:val="24"/>
        </w:rPr>
        <w:t xml:space="preserve"> совместно с ДОРИБиНБ</w:t>
      </w:r>
      <w:r w:rsidR="001129EE" w:rsidRPr="006E1E03">
        <w:rPr>
          <w:rFonts w:ascii="Times New Roman" w:hAnsi="Times New Roman" w:cs="Times New Roman"/>
          <w:sz w:val="24"/>
          <w:szCs w:val="24"/>
        </w:rPr>
        <w:t xml:space="preserve"> проводит анализ случаев реализации риска, оценивает уровень риска, выявляет наличие нарушений пороговых значений, причины нарушений и последствия. </w:t>
      </w:r>
    </w:p>
    <w:p w14:paraId="778CCEE9" w14:textId="5A941F60" w:rsidR="00A115F7" w:rsidRPr="006E1E03" w:rsidRDefault="00C7171E" w:rsidP="00A115F7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31" w:name="_Hlk89268547"/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В случае выявления факта реализации событий, повлекших за собой </w:t>
      </w:r>
      <w:r w:rsidR="00724F8F"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достижения /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нарушение </w:t>
      </w:r>
      <w:r w:rsidR="00354758" w:rsidRPr="006E1E03">
        <w:rPr>
          <w:rFonts w:ascii="Times New Roman" w:eastAsiaTheme="minorEastAsia" w:hAnsi="Times New Roman" w:cs="Times New Roman"/>
          <w:sz w:val="24"/>
          <w:szCs w:val="20"/>
          <w:lang w:val="en-US"/>
        </w:rPr>
        <w:t>EWS</w:t>
      </w:r>
      <w:r w:rsidR="00354758" w:rsidRPr="006E1E03">
        <w:rPr>
          <w:rFonts w:ascii="Times New Roman" w:eastAsiaTheme="minorEastAsia" w:hAnsi="Times New Roman" w:cs="Times New Roman"/>
          <w:sz w:val="24"/>
          <w:szCs w:val="20"/>
        </w:rPr>
        <w:t>, не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позднее дня, следующего за днем выявления факта нарушения </w:t>
      </w:r>
      <w:r w:rsidRPr="006E1E03">
        <w:rPr>
          <w:rFonts w:ascii="Times New Roman" w:eastAsiaTheme="minorEastAsia" w:hAnsi="Times New Roman" w:cs="Times New Roman"/>
          <w:sz w:val="24"/>
          <w:szCs w:val="20"/>
          <w:lang w:val="en-US"/>
        </w:rPr>
        <w:t>EWS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, ДОРИБиНБ формирует информационную рассылку членам Правления ПАО Московская Биржа,</w:t>
      </w:r>
      <w:r w:rsidR="004126B7"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членам Комиссии по управлению рисками </w:t>
      </w:r>
      <w:r w:rsidR="003B03D8"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при Наблюдательном совете </w:t>
      </w:r>
      <w:r w:rsidR="004126B7"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="00FF487F" w:rsidRPr="006E1E03">
        <w:rPr>
          <w:rFonts w:ascii="Times New Roman" w:eastAsiaTheme="minorEastAsia" w:hAnsi="Times New Roman" w:cs="Times New Roman"/>
          <w:sz w:val="24"/>
          <w:szCs w:val="20"/>
        </w:rPr>
        <w:t xml:space="preserve">, членам Наблюдательного </w:t>
      </w:r>
      <w:r w:rsidR="003B03D8" w:rsidRPr="006E1E03">
        <w:rPr>
          <w:rFonts w:ascii="Times New Roman" w:eastAsiaTheme="minorEastAsia" w:hAnsi="Times New Roman" w:cs="Times New Roman"/>
          <w:sz w:val="24"/>
          <w:szCs w:val="20"/>
        </w:rPr>
        <w:t xml:space="preserve">совета </w:t>
      </w:r>
      <w:r w:rsidR="00FF487F"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. </w:t>
      </w:r>
      <w:r w:rsidR="003F4584" w:rsidRPr="006E1E03">
        <w:rPr>
          <w:rFonts w:ascii="Times New Roman" w:eastAsiaTheme="minorEastAsia" w:hAnsi="Times New Roman" w:cs="Times New Roman"/>
          <w:sz w:val="24"/>
          <w:szCs w:val="20"/>
        </w:rPr>
        <w:t xml:space="preserve">Информационная рассылка включает в себя информацию о предпринятых и </w:t>
      </w:r>
      <w:r w:rsidR="003F4584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планируемых мерах </w:t>
      </w:r>
      <w:r w:rsidR="003B03D8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по </w:t>
      </w:r>
      <w:r w:rsidR="00A47099" w:rsidRPr="006E1E03">
        <w:rPr>
          <w:rFonts w:ascii="Times New Roman" w:eastAsiaTheme="minorEastAsia" w:hAnsi="Times New Roman" w:cs="Times New Roman"/>
          <w:sz w:val="24"/>
          <w:szCs w:val="24"/>
        </w:rPr>
        <w:t>урегулированию</w:t>
      </w:r>
      <w:r w:rsidR="003F4584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F4584" w:rsidRPr="006E1E03">
        <w:rPr>
          <w:rFonts w:ascii="Times New Roman" w:hAnsi="Times New Roman" w:cs="Times New Roman"/>
          <w:sz w:val="24"/>
          <w:szCs w:val="24"/>
        </w:rPr>
        <w:t xml:space="preserve">В случае достижения показателя EWS по Группе, когда одновременно не нарушен показатель по одной из компаний, осуществляется информирование Комитетов/Комиссий при Наблюдательных </w:t>
      </w:r>
      <w:r w:rsidR="00A47099" w:rsidRPr="006E1E03">
        <w:rPr>
          <w:rFonts w:ascii="Times New Roman" w:hAnsi="Times New Roman" w:cs="Times New Roman"/>
          <w:sz w:val="24"/>
          <w:szCs w:val="24"/>
        </w:rPr>
        <w:t>советах</w:t>
      </w:r>
      <w:r w:rsidR="003F4584" w:rsidRPr="006E1E03">
        <w:rPr>
          <w:rFonts w:ascii="Times New Roman" w:hAnsi="Times New Roman" w:cs="Times New Roman"/>
          <w:sz w:val="24"/>
          <w:szCs w:val="24"/>
        </w:rPr>
        <w:t xml:space="preserve">, указанных в Таблице 1, и Наблюдательные </w:t>
      </w:r>
      <w:r w:rsidR="00A47099" w:rsidRPr="006E1E03">
        <w:rPr>
          <w:rFonts w:ascii="Times New Roman" w:hAnsi="Times New Roman" w:cs="Times New Roman"/>
          <w:sz w:val="24"/>
          <w:szCs w:val="24"/>
        </w:rPr>
        <w:t xml:space="preserve">советы </w:t>
      </w:r>
      <w:r w:rsidR="003F4584" w:rsidRPr="006E1E03">
        <w:rPr>
          <w:rFonts w:ascii="Times New Roman" w:hAnsi="Times New Roman" w:cs="Times New Roman"/>
          <w:sz w:val="24"/>
          <w:szCs w:val="24"/>
        </w:rPr>
        <w:t>участников Группы.</w:t>
      </w:r>
    </w:p>
    <w:p w14:paraId="481D20B0" w14:textId="5FE9E3FB" w:rsidR="00B347B2" w:rsidRPr="006E1E03" w:rsidRDefault="00C7171E" w:rsidP="00B347B2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0"/>
        </w:rPr>
        <w:t>В случае выявления факта реализации событий, повлекших за собой нарушение</w:t>
      </w:r>
      <w:r w:rsidR="00724F8F"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/ достижения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риск-</w:t>
      </w:r>
      <w:r w:rsidR="005F337C" w:rsidRPr="006E1E03">
        <w:rPr>
          <w:rFonts w:ascii="Times New Roman" w:eastAsiaTheme="minorEastAsia" w:hAnsi="Times New Roman" w:cs="Times New Roman"/>
          <w:sz w:val="24"/>
          <w:szCs w:val="20"/>
        </w:rPr>
        <w:t>аппетита, не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позднее дня, следующего за днем выявления факта нарушения риск-аппетита, ДОРИБиНБ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формирует информационн</w:t>
      </w:r>
      <w:r w:rsidR="00A115F7" w:rsidRPr="006E1E03">
        <w:rPr>
          <w:rFonts w:ascii="Times New Roman" w:eastAsiaTheme="minorEastAsia" w:hAnsi="Times New Roman" w:cs="Times New Roman"/>
          <w:sz w:val="24"/>
          <w:szCs w:val="24"/>
        </w:rPr>
        <w:t>ую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рассылк</w:t>
      </w:r>
      <w:r w:rsidR="00A115F7" w:rsidRPr="006E1E03">
        <w:rPr>
          <w:rFonts w:ascii="Times New Roman" w:eastAsiaTheme="minorEastAsia" w:hAnsi="Times New Roman" w:cs="Times New Roman"/>
          <w:sz w:val="24"/>
          <w:szCs w:val="24"/>
        </w:rPr>
        <w:t>у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членам Правления ПАО Московская Биржа, </w:t>
      </w:r>
      <w:r w:rsidR="004126B7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членам Комиссии по управлению рисками </w:t>
      </w:r>
      <w:r w:rsidR="00A47099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при Наблюдательном совете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ПАО Московская Биржа и членам Наблюдательного совета ПАО Московская Биржа о реализовавшихся событиях. </w:t>
      </w:r>
      <w:r w:rsidR="003F4584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Информационная рассылка включает в себя информацию о предпринятых и планируемых мерах </w:t>
      </w:r>
      <w:r w:rsidR="00A47099" w:rsidRPr="006E1E03">
        <w:rPr>
          <w:rFonts w:ascii="Times New Roman" w:eastAsiaTheme="minorEastAsia" w:hAnsi="Times New Roman" w:cs="Times New Roman"/>
          <w:sz w:val="24"/>
          <w:szCs w:val="24"/>
        </w:rPr>
        <w:t>по урегулированию</w:t>
      </w:r>
      <w:r w:rsidR="003F4584" w:rsidRPr="006E1E03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3F4584" w:rsidRPr="006E1E03">
        <w:rPr>
          <w:rFonts w:ascii="Times New Roman" w:hAnsi="Times New Roman" w:cs="Times New Roman"/>
          <w:sz w:val="24"/>
          <w:szCs w:val="24"/>
        </w:rPr>
        <w:t xml:space="preserve"> В случае достижения показателя Риск-аппетита по Группе, когда одновременно не нарушен показатель по одной из компаний, осуществляется информирование Комитетов/Комиссий при Наблюдательных </w:t>
      </w:r>
      <w:r w:rsidR="005B17E8" w:rsidRPr="006E1E03">
        <w:rPr>
          <w:rFonts w:ascii="Times New Roman" w:hAnsi="Times New Roman" w:cs="Times New Roman"/>
          <w:sz w:val="24"/>
          <w:szCs w:val="24"/>
        </w:rPr>
        <w:t>советах</w:t>
      </w:r>
      <w:r w:rsidR="003F4584" w:rsidRPr="006E1E03">
        <w:rPr>
          <w:rFonts w:ascii="Times New Roman" w:hAnsi="Times New Roman" w:cs="Times New Roman"/>
          <w:sz w:val="24"/>
          <w:szCs w:val="24"/>
        </w:rPr>
        <w:t xml:space="preserve">, указанных в Таблице 1, и Наблюдательные </w:t>
      </w:r>
      <w:r w:rsidR="005B17E8" w:rsidRPr="006E1E03">
        <w:rPr>
          <w:rFonts w:ascii="Times New Roman" w:hAnsi="Times New Roman" w:cs="Times New Roman"/>
          <w:sz w:val="24"/>
          <w:szCs w:val="24"/>
        </w:rPr>
        <w:t xml:space="preserve">советы </w:t>
      </w:r>
      <w:r w:rsidR="003F4584" w:rsidRPr="006E1E03">
        <w:rPr>
          <w:rFonts w:ascii="Times New Roman" w:hAnsi="Times New Roman" w:cs="Times New Roman"/>
          <w:sz w:val="24"/>
          <w:szCs w:val="24"/>
        </w:rPr>
        <w:t>участников Группы.</w:t>
      </w:r>
    </w:p>
    <w:bookmarkEnd w:id="31"/>
    <w:p w14:paraId="207BCE3D" w14:textId="1D87BD48" w:rsidR="00B347B2" w:rsidRPr="006E1E03" w:rsidRDefault="00C7171E" w:rsidP="00B347B2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 xml:space="preserve">По результатам мониторинга риск-аппетита ПАО Московская Биржа формируется отчет, представляемый </w:t>
      </w:r>
      <w:r w:rsidR="00AC589D" w:rsidRPr="006E1E03">
        <w:rPr>
          <w:rFonts w:ascii="Times New Roman" w:hAnsi="Times New Roman" w:cs="Times New Roman"/>
          <w:sz w:val="24"/>
          <w:szCs w:val="24"/>
        </w:rPr>
        <w:t>ДОРИБиНБ</w:t>
      </w:r>
      <w:r w:rsidRPr="006E1E03">
        <w:rPr>
          <w:rFonts w:ascii="Times New Roman" w:hAnsi="Times New Roman" w:cs="Times New Roman"/>
          <w:sz w:val="24"/>
          <w:szCs w:val="24"/>
        </w:rPr>
        <w:t xml:space="preserve"> на рассмотрение Правления ПАО Московская Биржа ежемесячно</w:t>
      </w:r>
      <w:r w:rsidR="00AC589D" w:rsidRPr="006E1E03">
        <w:rPr>
          <w:rFonts w:ascii="Times New Roman" w:hAnsi="Times New Roman" w:cs="Times New Roman"/>
          <w:sz w:val="24"/>
          <w:szCs w:val="24"/>
        </w:rPr>
        <w:t xml:space="preserve">, Комиссии по управлению рисками </w:t>
      </w:r>
      <w:r w:rsidR="005B17E8" w:rsidRPr="006E1E03">
        <w:rPr>
          <w:rFonts w:ascii="Times New Roman" w:hAnsi="Times New Roman" w:cs="Times New Roman"/>
          <w:sz w:val="24"/>
          <w:szCs w:val="24"/>
        </w:rPr>
        <w:t xml:space="preserve">при Наблюдательном совете </w:t>
      </w:r>
      <w:r w:rsidR="00A115F7" w:rsidRPr="006E1E03">
        <w:rPr>
          <w:rFonts w:ascii="Times New Roman" w:hAnsi="Times New Roman" w:cs="Times New Roman"/>
          <w:sz w:val="24"/>
          <w:szCs w:val="24"/>
        </w:rPr>
        <w:t>ПАО Московская Биржа и Наблюдательному совету ПАО Московская Биржа - ежеквартально</w:t>
      </w:r>
      <w:r w:rsidRPr="006E1E03">
        <w:rPr>
          <w:rFonts w:ascii="Times New Roman" w:hAnsi="Times New Roman" w:cs="Times New Roman"/>
          <w:sz w:val="24"/>
          <w:szCs w:val="24"/>
        </w:rPr>
        <w:t xml:space="preserve">. Отчет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содержит информацию о перечне показателей риск-аппетита, уровне риска на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отчетную дату, информацию о выявленных 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>случаях реализации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риска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мероприятиях по устранению 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нарушений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и снижению уровня риска (при необходимости). </w:t>
      </w:r>
    </w:p>
    <w:p w14:paraId="1D26EFDA" w14:textId="79055DCC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При выявлении нарушения</w:t>
      </w:r>
      <w:r w:rsidR="00411BD1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1BD1" w:rsidRPr="006E1E03">
        <w:rPr>
          <w:rFonts w:ascii="Times New Roman" w:eastAsiaTheme="minorEastAsia" w:hAnsi="Times New Roman" w:cs="Times New Roman"/>
          <w:sz w:val="24"/>
          <w:szCs w:val="24"/>
          <w:lang w:val="en-US"/>
        </w:rPr>
        <w:t>EWS</w:t>
      </w:r>
      <w:r w:rsidR="00411BD1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A416B" w:rsidRPr="006E1E03">
        <w:rPr>
          <w:rFonts w:ascii="Times New Roman" w:eastAsiaTheme="minorEastAsia" w:hAnsi="Times New Roman" w:cs="Times New Roman"/>
          <w:sz w:val="24"/>
          <w:szCs w:val="24"/>
        </w:rPr>
        <w:t>риск-аппетита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, а также в рамках снижения или исключения рисков, </w:t>
      </w:r>
      <w:r w:rsidR="004A416B" w:rsidRPr="006E1E03">
        <w:rPr>
          <w:rFonts w:ascii="Times New Roman" w:eastAsiaTheme="minorEastAsia" w:hAnsi="Times New Roman" w:cs="Times New Roman"/>
          <w:sz w:val="24"/>
          <w:szCs w:val="24"/>
        </w:rPr>
        <w:t>ДОРИБиНБ совместно с ответственными подразделениями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придерживается следующего порядка:</w:t>
      </w:r>
    </w:p>
    <w:p w14:paraId="1D26EFDB" w14:textId="7B752894" w:rsidR="003C0CFF" w:rsidRPr="006E1E03" w:rsidRDefault="00C7171E" w:rsidP="003C0CFF">
      <w:pPr>
        <w:pStyle w:val="a7"/>
        <w:numPr>
          <w:ilvl w:val="2"/>
          <w:numId w:val="4"/>
        </w:num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Определяют причину нарушения или определяет факторы, которые могут способствовать реализации выявленного риска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1D26EFDC" w14:textId="58A2A329" w:rsidR="003C0CFF" w:rsidRPr="006E1E03" w:rsidRDefault="00C7171E" w:rsidP="003C0CFF">
      <w:pPr>
        <w:pStyle w:val="a7"/>
        <w:numPr>
          <w:ilvl w:val="2"/>
          <w:numId w:val="4"/>
        </w:num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Определяют возможные последствия, которые могут возникнуть вследствие реализации такого риска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1D26EFDD" w14:textId="5090923A" w:rsidR="003C0CFF" w:rsidRPr="006E1E03" w:rsidRDefault="00C7171E" w:rsidP="003C0CFF">
      <w:pPr>
        <w:pStyle w:val="a7"/>
        <w:numPr>
          <w:ilvl w:val="2"/>
          <w:numId w:val="4"/>
        </w:num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Определяют работников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, ответственных за область возникновения факторов риска и за область последствий реализации риска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50D59E5A" w14:textId="725A3D39" w:rsidR="00A115F7" w:rsidRPr="006E1E03" w:rsidRDefault="00C7171E" w:rsidP="00A115F7">
      <w:pPr>
        <w:pStyle w:val="a7"/>
        <w:numPr>
          <w:ilvl w:val="2"/>
          <w:numId w:val="4"/>
        </w:num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По факту реализации риска принимаются решения в отношении мер, необходимых для снижения отдельных рисков, оказывающих влияние на уровень принимаемых ПАО Московская Биржа рисков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1D26EFDE" w14:textId="0F19E6B4" w:rsidR="003C0CFF" w:rsidRPr="006E1E03" w:rsidRDefault="00C7171E" w:rsidP="003C0CFF">
      <w:pPr>
        <w:pStyle w:val="a7"/>
        <w:numPr>
          <w:ilvl w:val="2"/>
          <w:numId w:val="4"/>
        </w:num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Разрабатывают с работниками, указанными в пункте</w:t>
      </w:r>
      <w:r w:rsidR="00393551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6.9.3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, набор мероприятий, направленных на устранение факторов риска, либо мероприяти</w:t>
      </w:r>
      <w:r w:rsidR="00C761B6" w:rsidRPr="006E1E03">
        <w:rPr>
          <w:rFonts w:ascii="Times New Roman" w:eastAsiaTheme="minorEastAsia" w:hAnsi="Times New Roman" w:cs="Times New Roman"/>
          <w:sz w:val="24"/>
          <w:szCs w:val="24"/>
        </w:rPr>
        <w:t>й,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направлен</w:t>
      </w:r>
      <w:r w:rsidR="00C761B6" w:rsidRPr="006E1E03">
        <w:rPr>
          <w:rFonts w:ascii="Times New Roman" w:eastAsiaTheme="minorEastAsia" w:hAnsi="Times New Roman" w:cs="Times New Roman"/>
          <w:sz w:val="24"/>
          <w:szCs w:val="24"/>
        </w:rPr>
        <w:t>ных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на снижение последствий реализации риска, либо мероприяти</w:t>
      </w:r>
      <w:r w:rsidR="00A22977" w:rsidRPr="006E1E03">
        <w:rPr>
          <w:rFonts w:ascii="Times New Roman" w:eastAsiaTheme="minorEastAsia" w:hAnsi="Times New Roman" w:cs="Times New Roman"/>
          <w:sz w:val="24"/>
          <w:szCs w:val="24"/>
        </w:rPr>
        <w:t>й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, направленны</w:t>
      </w:r>
      <w:r w:rsidR="00A22977" w:rsidRPr="006E1E03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на исключение риска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1D26EFDF" w14:textId="6FB43C4A" w:rsidR="003C0CFF" w:rsidRPr="006E1E03" w:rsidRDefault="00C7171E" w:rsidP="003C0CFF">
      <w:pPr>
        <w:pStyle w:val="a7"/>
        <w:numPr>
          <w:ilvl w:val="2"/>
          <w:numId w:val="4"/>
        </w:num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Согласовывают с руководителями структурных подразделений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ответственных и сроки реализаци</w:t>
      </w:r>
      <w:r w:rsidR="00094522" w:rsidRPr="006E1E03">
        <w:rPr>
          <w:rFonts w:ascii="Times New Roman" w:eastAsiaTheme="minorEastAsia" w:hAnsi="Times New Roman" w:cs="Times New Roman"/>
          <w:sz w:val="24"/>
          <w:szCs w:val="24"/>
        </w:rPr>
        <w:t>и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указанных мероприятий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1D26EFE0" w14:textId="547F2DD8" w:rsidR="003C0CFF" w:rsidRPr="006E1E03" w:rsidRDefault="00C7171E" w:rsidP="003C0CFF">
      <w:pPr>
        <w:pStyle w:val="a7"/>
        <w:numPr>
          <w:ilvl w:val="2"/>
          <w:numId w:val="4"/>
        </w:num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ДОРИБиНБ 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осуществляет 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контроль за сроками и 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ходом 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>выполнения назначенных мероприятий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1D26EFE1" w14:textId="2E0E926F" w:rsidR="003C0CFF" w:rsidRPr="006E1E03" w:rsidRDefault="00C7171E" w:rsidP="003C0CFF">
      <w:pPr>
        <w:pStyle w:val="a7"/>
        <w:numPr>
          <w:ilvl w:val="2"/>
          <w:numId w:val="4"/>
        </w:numPr>
        <w:spacing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ДОРИБиНБ п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ри необходимости </w:t>
      </w:r>
      <w:r w:rsidR="005B17E8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формирует </w:t>
      </w:r>
      <w:r w:rsidR="001129EE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отчетность по статусу выполнения мероприятий для коллегиальных органов управления </w:t>
      </w:r>
      <w:r w:rsidR="001129EE"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="00B347B2" w:rsidRPr="006E1E03">
        <w:rPr>
          <w:rFonts w:ascii="Times New Roman" w:eastAsiaTheme="minorEastAsia" w:hAnsi="Times New Roman" w:cs="Times New Roman"/>
          <w:sz w:val="24"/>
          <w:szCs w:val="20"/>
        </w:rPr>
        <w:t>.</w:t>
      </w:r>
    </w:p>
    <w:p w14:paraId="1D26EFE4" w14:textId="77777777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В случае реализации сопутствующих рисков (когда реализация одного события приводит к реализации нескольких рисков), фактический размер потерь или сформированных под ожидаемые потери резервов отражается как факт по всем видам сопутствующих рисков с соответствующим примечанием и детализацией, какой риск явился первоисточником, а какие стали сопутствующими.</w:t>
      </w:r>
    </w:p>
    <w:p w14:paraId="1D26EFE5" w14:textId="7E034E3F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В случае выявления высокой вероятности реализации риска с последующим формированием резервов под ожидаемые потери, такие резервы отражаются как фактическое значение риск-аппетита в том периоде, в котором они сформированы, а не накапливаемым итогом. Накопленным итогом отображаются значения резервов под ожидаемые потери по году. Дополнительно в отчете фиксируется статус по всем сформированным резервам под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lastRenderedPageBreak/>
        <w:t>ожидаемые потери, которые ранее были отражены в отчете о соблюдении пороговых значений контрольных показателей риск-аппетита.</w:t>
      </w:r>
    </w:p>
    <w:p w14:paraId="5A764BBD" w14:textId="2B9D2B43" w:rsidR="00B347B2" w:rsidRPr="006E1E03" w:rsidRDefault="00C7171E" w:rsidP="00B347B2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ПАО Московская Биржа в отношении рисков, признанных значимыми, разрабатывает внутренние документы, план мероприятий по снижению или исключению </w:t>
      </w:r>
      <w:r w:rsidR="007046E6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таких рисков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(далее - план мероприятий), а также обеспечивает доведение плана мероприятий </w:t>
      </w:r>
      <w:r w:rsidR="00A22977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и порядка его исполнения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до сведения </w:t>
      </w:r>
      <w:r w:rsidR="004126B7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уполномоченных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органов управления ПАО Московская Биржа.</w:t>
      </w:r>
    </w:p>
    <w:p w14:paraId="6E1840D3" w14:textId="4FB498B6" w:rsidR="00B347B2" w:rsidRPr="006E1E03" w:rsidRDefault="00C7171E" w:rsidP="00B347B2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ПАО Московская Биржа осуществляет регулярный пересмотр показателей </w:t>
      </w:r>
      <w:r w:rsidR="007046E6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риск-аппетита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и их пороговых уровней с периодичностью не реже одного раза в год</w:t>
      </w:r>
      <w:r w:rsidR="00A22977" w:rsidRPr="006E1E0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37BC36F" w14:textId="77777777" w:rsidR="00B347B2" w:rsidRPr="006E1E03" w:rsidRDefault="00C7171E" w:rsidP="00B347B2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Внеочередной пересмотр отдельных показателей, методики их расчета и/или пороговых уровней показателей возможен в следующих случаях:</w:t>
      </w:r>
    </w:p>
    <w:p w14:paraId="2E0538A4" w14:textId="77777777" w:rsidR="00B347B2" w:rsidRPr="006E1E03" w:rsidRDefault="00C7171E" w:rsidP="00C91F04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1560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при возникновении объективных причин нарушения показателя риск-аппетита, например, при изменении рыночных условий;</w:t>
      </w:r>
    </w:p>
    <w:p w14:paraId="195AB1B7" w14:textId="47917D30" w:rsidR="00B347B2" w:rsidRPr="006E1E03" w:rsidRDefault="00C7171E" w:rsidP="00C91F04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1560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при внесении изменений в </w:t>
      </w:r>
      <w:r w:rsidR="007046E6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Стратегию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развития </w:t>
      </w:r>
      <w:r w:rsidR="007046E6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ПАО Московская Биржа и/или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компаний Группы или </w:t>
      </w:r>
      <w:r w:rsidR="007046E6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в 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Стратегию управления рисками;</w:t>
      </w:r>
    </w:p>
    <w:p w14:paraId="47606D8E" w14:textId="337C655E" w:rsidR="00B347B2" w:rsidRPr="006E1E03" w:rsidRDefault="00C7171E" w:rsidP="00C91F04">
      <w:pPr>
        <w:pStyle w:val="a7"/>
        <w:numPr>
          <w:ilvl w:val="0"/>
          <w:numId w:val="5"/>
        </w:numPr>
        <w:autoSpaceDE w:val="0"/>
        <w:autoSpaceDN w:val="0"/>
        <w:adjustRightInd w:val="0"/>
        <w:spacing w:before="120" w:after="120" w:line="360" w:lineRule="auto"/>
        <w:ind w:left="1560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по рекомендации членов Наблюдательного </w:t>
      </w:r>
      <w:r w:rsidR="007046E6" w:rsidRPr="006E1E03">
        <w:rPr>
          <w:rFonts w:ascii="Times New Roman" w:eastAsiaTheme="minorEastAsia" w:hAnsi="Times New Roman" w:cs="Times New Roman"/>
          <w:sz w:val="24"/>
          <w:szCs w:val="24"/>
        </w:rPr>
        <w:t xml:space="preserve">совета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D26EFE6" w14:textId="0FA0F362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 xml:space="preserve">При оценке эффективности управления рисками проводится анализ результативности деятельности по выявлению </w:t>
      </w:r>
      <w:r w:rsidR="007046E6" w:rsidRPr="006E1E03">
        <w:rPr>
          <w:rFonts w:ascii="Times New Roman" w:hAnsi="Times New Roman" w:cs="Times New Roman"/>
          <w:sz w:val="24"/>
          <w:szCs w:val="24"/>
        </w:rPr>
        <w:t>случае реализации</w:t>
      </w:r>
      <w:r w:rsidRPr="006E1E03">
        <w:rPr>
          <w:rFonts w:ascii="Times New Roman" w:hAnsi="Times New Roman" w:cs="Times New Roman"/>
          <w:sz w:val="24"/>
          <w:szCs w:val="24"/>
        </w:rPr>
        <w:t xml:space="preserve"> рисков, устранению </w:t>
      </w:r>
      <w:r w:rsidR="007046E6" w:rsidRPr="006E1E03"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6E1E03">
        <w:rPr>
          <w:rFonts w:ascii="Times New Roman" w:hAnsi="Times New Roman" w:cs="Times New Roman"/>
          <w:sz w:val="24"/>
          <w:szCs w:val="24"/>
        </w:rPr>
        <w:t>и (или) осуществлению иных мероприятий в рамках снижения этих рисков или их исключения.</w:t>
      </w:r>
    </w:p>
    <w:p w14:paraId="1D26EFE7" w14:textId="521CBD54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Порядок</w:t>
      </w:r>
      <w:r w:rsidRPr="006E1E03">
        <w:rPr>
          <w:rFonts w:ascii="Times New Roman" w:hAnsi="Times New Roman" w:cs="Times New Roman"/>
          <w:sz w:val="24"/>
          <w:szCs w:val="24"/>
        </w:rPr>
        <w:t xml:space="preserve"> контроля за соблюдением порядка выявления нарушений ограничений рисков включает независимые проверки СВА с периодичность не реже, чем раз в три года</w:t>
      </w:r>
      <w:r w:rsidR="00142338" w:rsidRPr="006E1E03">
        <w:rPr>
          <w:rStyle w:val="a6"/>
          <w:rFonts w:ascii="Times New Roman" w:hAnsi="Times New Roman" w:cs="Times New Roman"/>
          <w:sz w:val="24"/>
          <w:szCs w:val="24"/>
        </w:rPr>
        <w:footnoteReference w:id="9"/>
      </w:r>
    </w:p>
    <w:p w14:paraId="1D26EFE8" w14:textId="56DA5CEB" w:rsidR="003C0CFF" w:rsidRPr="006E1E03" w:rsidRDefault="00C7171E" w:rsidP="003C0CFF">
      <w:pPr>
        <w:pStyle w:val="1"/>
        <w:keepLines w:val="0"/>
        <w:numPr>
          <w:ilvl w:val="0"/>
          <w:numId w:val="4"/>
        </w:numPr>
        <w:spacing w:before="360" w:after="240" w:line="360" w:lineRule="auto"/>
        <w:ind w:left="540" w:hanging="450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bookmarkStart w:id="32" w:name="_Toc56779708"/>
      <w:bookmarkStart w:id="33" w:name="_Toc57822319"/>
      <w:bookmarkStart w:id="34" w:name="_Toc58239992"/>
      <w:r w:rsidRPr="006E1E03"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  <w:t>Мониторинг соблюдения риск-аппетита и отчетность Группы</w:t>
      </w:r>
      <w:bookmarkEnd w:id="32"/>
      <w:bookmarkEnd w:id="33"/>
      <w:bookmarkEnd w:id="34"/>
    </w:p>
    <w:p w14:paraId="1D26EFE9" w14:textId="159FC95B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0"/>
        </w:rPr>
      </w:pPr>
      <w:r w:rsidRPr="006E1E03">
        <w:rPr>
          <w:rFonts w:ascii="Times New Roman" w:eastAsiaTheme="minorEastAsia" w:hAnsi="Times New Roman" w:cs="Times New Roman"/>
          <w:sz w:val="24"/>
          <w:szCs w:val="20"/>
        </w:rPr>
        <w:t>Каждая компания Группы устанавливает свои пороговые показатели риск-аппетита</w:t>
      </w:r>
      <w:r w:rsidR="00522B0C"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посредством утверждения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 xml:space="preserve"> Наблюдательным советом соответствующей компании Группы. Пороговые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значени</w:t>
      </w:r>
      <w:r w:rsidR="004126B7" w:rsidRPr="006E1E03">
        <w:rPr>
          <w:rFonts w:ascii="Times New Roman" w:eastAsiaTheme="minorEastAsia" w:hAnsi="Times New Roman" w:cs="Times New Roman"/>
          <w:sz w:val="24"/>
          <w:szCs w:val="24"/>
        </w:rPr>
        <w:t>я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риск-аппетита Группы </w:t>
      </w:r>
      <w:r w:rsidR="00522B0C" w:rsidRPr="006E1E03">
        <w:rPr>
          <w:rFonts w:ascii="Times New Roman" w:eastAsiaTheme="minorEastAsia" w:hAnsi="Times New Roman" w:cs="Times New Roman"/>
          <w:sz w:val="24"/>
          <w:szCs w:val="24"/>
        </w:rPr>
        <w:t>определяются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 Наблюдательным советом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ПАО Московская Биржа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D26EFEA" w14:textId="77777777" w:rsidR="003C0CFF" w:rsidRPr="006E1E03" w:rsidRDefault="00C7171E" w:rsidP="003C0CFF">
      <w:pPr>
        <w:pStyle w:val="a7"/>
        <w:numPr>
          <w:ilvl w:val="1"/>
          <w:numId w:val="4"/>
        </w:numPr>
        <w:autoSpaceDE w:val="0"/>
        <w:autoSpaceDN w:val="0"/>
        <w:adjustRightInd w:val="0"/>
        <w:spacing w:before="120" w:after="120" w:line="360" w:lineRule="auto"/>
        <w:ind w:left="567" w:hanging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Процедура установления риск-аппетита Группы включает следующие этапы:</w:t>
      </w:r>
    </w:p>
    <w:p w14:paraId="1D26EFEB" w14:textId="77777777" w:rsidR="003C0CFF" w:rsidRPr="006E1E03" w:rsidRDefault="00C7171E" w:rsidP="003C0CFF">
      <w:pPr>
        <w:pStyle w:val="a7"/>
        <w:numPr>
          <w:ilvl w:val="2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 xml:space="preserve">Идентификация рисков, значимых на уровне </w:t>
      </w:r>
      <w:r w:rsidRPr="006E1E03">
        <w:rPr>
          <w:rFonts w:ascii="Times New Roman" w:eastAsiaTheme="minorEastAsia" w:hAnsi="Times New Roman" w:cs="Times New Roman"/>
          <w:sz w:val="24"/>
          <w:szCs w:val="20"/>
        </w:rPr>
        <w:t>каждой компании в отдельности и всей Группы</w:t>
      </w:r>
      <w:r w:rsidRPr="006E1E03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1D26EFEC" w14:textId="77777777" w:rsidR="003C0CFF" w:rsidRPr="006E1E03" w:rsidRDefault="00C7171E" w:rsidP="003C0CFF">
      <w:pPr>
        <w:pStyle w:val="a7"/>
        <w:numPr>
          <w:ilvl w:val="2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Определение состава и порогов показателей, которые войдут в состав риск-аппетита Группы;</w:t>
      </w:r>
    </w:p>
    <w:p w14:paraId="1D26EFED" w14:textId="77777777" w:rsidR="003C0CFF" w:rsidRPr="006E1E03" w:rsidRDefault="00C7171E" w:rsidP="003C0CFF">
      <w:pPr>
        <w:pStyle w:val="a7"/>
        <w:numPr>
          <w:ilvl w:val="2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lastRenderedPageBreak/>
        <w:t>Декомпозиция показателей риск-аппетита Группы на отдельные компании в составе Группы;</w:t>
      </w:r>
    </w:p>
    <w:p w14:paraId="1D26EFEE" w14:textId="1D34572D" w:rsidR="003C0CFF" w:rsidRPr="006E1E03" w:rsidRDefault="00C7171E" w:rsidP="003C0CFF">
      <w:pPr>
        <w:pStyle w:val="a7"/>
        <w:numPr>
          <w:ilvl w:val="2"/>
          <w:numId w:val="4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sz w:val="24"/>
          <w:szCs w:val="24"/>
        </w:rPr>
        <w:t>Определение состава и порогов показателей, которые войдут в состав риск-аппетита компаний Группы в дополнение к декомпозированной части риск-аппетита Группы.</w:t>
      </w:r>
    </w:p>
    <w:p w14:paraId="1D26EFEF" w14:textId="1B90155B" w:rsidR="003C0CFF" w:rsidRPr="006E1E03" w:rsidRDefault="00C7171E" w:rsidP="00033C2E">
      <w:pPr>
        <w:pStyle w:val="a7"/>
        <w:numPr>
          <w:ilvl w:val="1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 xml:space="preserve">Схема эскалации информации о риск-аппетите отражена в </w:t>
      </w:r>
      <w:r w:rsidR="00164E67" w:rsidRPr="006E1E03">
        <w:rPr>
          <w:rFonts w:ascii="Times New Roman" w:hAnsi="Times New Roman" w:cs="Times New Roman"/>
          <w:sz w:val="24"/>
          <w:szCs w:val="24"/>
        </w:rPr>
        <w:t>Таблице 1</w:t>
      </w:r>
      <w:r w:rsidRPr="006E1E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136068" w14:textId="5826E482" w:rsidR="00AC589D" w:rsidRPr="006E1E03" w:rsidRDefault="00C7171E" w:rsidP="00033C2E">
      <w:pPr>
        <w:pStyle w:val="a7"/>
        <w:numPr>
          <w:ilvl w:val="1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 xml:space="preserve">ПАО Московская Биржа агрегирует отчетность по риск-аппетиту компаний Группы для целей предоставления </w:t>
      </w:r>
      <w:r w:rsidR="00E72731" w:rsidRPr="006E1E03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Pr="006E1E03">
        <w:rPr>
          <w:rFonts w:ascii="Times New Roman" w:hAnsi="Times New Roman" w:cs="Times New Roman"/>
          <w:sz w:val="24"/>
          <w:szCs w:val="24"/>
        </w:rPr>
        <w:t>органам управления ПАО Московская Биржа.</w:t>
      </w:r>
    </w:p>
    <w:p w14:paraId="1D26F017" w14:textId="4604D45D" w:rsidR="003C0CFF" w:rsidRPr="006E1E03" w:rsidRDefault="00C7171E" w:rsidP="00033C2E">
      <w:pPr>
        <w:pStyle w:val="a7"/>
        <w:numPr>
          <w:ilvl w:val="1"/>
          <w:numId w:val="4"/>
        </w:num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1E03">
        <w:rPr>
          <w:rFonts w:ascii="Times New Roman" w:hAnsi="Times New Roman" w:cs="Times New Roman"/>
          <w:sz w:val="24"/>
          <w:szCs w:val="24"/>
        </w:rPr>
        <w:t xml:space="preserve">Регулярная отчетность о соблюдении риск-аппетита представляется Правлениям компаний Группы – ежемесячно, Комиссии по управлению рисками </w:t>
      </w:r>
      <w:r w:rsidR="007046E6" w:rsidRPr="006E1E03">
        <w:rPr>
          <w:rFonts w:ascii="Times New Roman" w:hAnsi="Times New Roman" w:cs="Times New Roman"/>
          <w:sz w:val="24"/>
          <w:szCs w:val="24"/>
        </w:rPr>
        <w:t xml:space="preserve">при Наблюдательном совете </w:t>
      </w:r>
      <w:r w:rsidRPr="006E1E03">
        <w:rPr>
          <w:rFonts w:ascii="Times New Roman" w:hAnsi="Times New Roman" w:cs="Times New Roman"/>
          <w:sz w:val="24"/>
          <w:szCs w:val="24"/>
        </w:rPr>
        <w:t xml:space="preserve">ПАО Московская Биржа /Комитету по рискам </w:t>
      </w:r>
      <w:r w:rsidR="00522B0C" w:rsidRPr="006E1E03">
        <w:rPr>
          <w:rFonts w:ascii="Times New Roman" w:hAnsi="Times New Roman" w:cs="Times New Roman"/>
          <w:sz w:val="24"/>
          <w:szCs w:val="24"/>
        </w:rPr>
        <w:t xml:space="preserve">и аудиту </w:t>
      </w:r>
      <w:r w:rsidR="00AC589D" w:rsidRPr="006E1E03">
        <w:rPr>
          <w:rFonts w:ascii="Times New Roman" w:hAnsi="Times New Roman" w:cs="Times New Roman"/>
          <w:sz w:val="24"/>
          <w:szCs w:val="24"/>
        </w:rPr>
        <w:t xml:space="preserve">Наблюдательного совета НКО НКЦ (АО) </w:t>
      </w:r>
      <w:r w:rsidRPr="006E1E03">
        <w:rPr>
          <w:rFonts w:ascii="Times New Roman" w:hAnsi="Times New Roman" w:cs="Times New Roman"/>
          <w:sz w:val="24"/>
          <w:szCs w:val="24"/>
        </w:rPr>
        <w:t>и Наблюдательн</w:t>
      </w:r>
      <w:r w:rsidR="00FE6F26" w:rsidRPr="006E1E03">
        <w:rPr>
          <w:rFonts w:ascii="Times New Roman" w:hAnsi="Times New Roman" w:cs="Times New Roman"/>
          <w:sz w:val="24"/>
          <w:szCs w:val="24"/>
        </w:rPr>
        <w:t>ым</w:t>
      </w:r>
      <w:r w:rsidRPr="006E1E03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FE6F26" w:rsidRPr="006E1E03">
        <w:rPr>
          <w:rFonts w:ascii="Times New Roman" w:hAnsi="Times New Roman" w:cs="Times New Roman"/>
          <w:sz w:val="24"/>
          <w:szCs w:val="24"/>
        </w:rPr>
        <w:t>ам</w:t>
      </w:r>
      <w:r w:rsidRPr="006E1E03">
        <w:rPr>
          <w:rFonts w:ascii="Times New Roman" w:hAnsi="Times New Roman" w:cs="Times New Roman"/>
          <w:sz w:val="24"/>
          <w:szCs w:val="24"/>
        </w:rPr>
        <w:t xml:space="preserve"> компаний Группы – ежеквартально.</w:t>
      </w:r>
    </w:p>
    <w:p w14:paraId="1D26F018" w14:textId="77777777" w:rsidR="003C0CFF" w:rsidRPr="006E1E03" w:rsidRDefault="00C7171E" w:rsidP="003C0CF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55805976"/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br w:type="page"/>
      </w:r>
    </w:p>
    <w:p w14:paraId="1D26F019" w14:textId="77777777" w:rsidR="003C0CFF" w:rsidRPr="006E1E03" w:rsidRDefault="003C0CFF" w:rsidP="003C0CF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  <w:sectPr w:rsidR="003C0CFF" w:rsidRPr="006E1E03" w:rsidSect="003C0CFF">
          <w:headerReference w:type="default" r:id="rId11"/>
          <w:footerReference w:type="default" r:id="rId12"/>
          <w:footerReference w:type="first" r:id="rId13"/>
          <w:pgSz w:w="11906" w:h="16838"/>
          <w:pgMar w:top="1260" w:right="746" w:bottom="992" w:left="1080" w:header="709" w:footer="709" w:gutter="0"/>
          <w:cols w:space="708"/>
          <w:titlePg/>
          <w:docGrid w:linePitch="360"/>
        </w:sectPr>
      </w:pPr>
      <w:bookmarkStart w:id="36" w:name="_Hlk57811828"/>
    </w:p>
    <w:bookmarkEnd w:id="35"/>
    <w:bookmarkEnd w:id="36"/>
    <w:p w14:paraId="21867B69" w14:textId="77777777" w:rsidR="003E1C0B" w:rsidRPr="006E1E03" w:rsidRDefault="00C7171E" w:rsidP="003E1C0B">
      <w:pPr>
        <w:pStyle w:val="a7"/>
        <w:autoSpaceDE w:val="0"/>
        <w:autoSpaceDN w:val="0"/>
        <w:adjustRightInd w:val="0"/>
        <w:spacing w:before="120" w:after="120" w:line="360" w:lineRule="auto"/>
        <w:ind w:left="450"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3F392E6E" w14:textId="77777777" w:rsidR="003E1C0B" w:rsidRPr="006E1E03" w:rsidRDefault="00C7171E" w:rsidP="003E1C0B">
      <w:pPr>
        <w:pStyle w:val="a7"/>
        <w:autoSpaceDE w:val="0"/>
        <w:autoSpaceDN w:val="0"/>
        <w:adjustRightInd w:val="0"/>
        <w:spacing w:before="120" w:after="120" w:line="360" w:lineRule="auto"/>
        <w:ind w:left="45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6E1E03">
        <w:rPr>
          <w:rFonts w:ascii="Times New Roman" w:eastAsiaTheme="minorEastAsia" w:hAnsi="Times New Roman" w:cs="Times New Roman"/>
          <w:b/>
          <w:bCs/>
          <w:sz w:val="24"/>
          <w:szCs w:val="24"/>
        </w:rPr>
        <w:t>Общий перечень показателей риск-аппетита и методика определения их пороговых и фактических значений.</w:t>
      </w:r>
    </w:p>
    <w:tbl>
      <w:tblPr>
        <w:tblStyle w:val="31"/>
        <w:tblW w:w="1459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5"/>
        <w:gridCol w:w="3968"/>
        <w:gridCol w:w="3119"/>
        <w:gridCol w:w="3969"/>
      </w:tblGrid>
      <w:tr w:rsidR="00651E5D" w:rsidRPr="006E1E03" w14:paraId="33181756" w14:textId="77777777" w:rsidTr="00651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  <w:vMerge w:val="restart"/>
            <w:vAlign w:val="center"/>
          </w:tcPr>
          <w:p w14:paraId="0FB71026" w14:textId="77777777" w:rsidR="003E1C0B" w:rsidRPr="006E1E03" w:rsidRDefault="00C7171E" w:rsidP="00416C0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Вид риска</w:t>
            </w:r>
          </w:p>
        </w:tc>
        <w:tc>
          <w:tcPr>
            <w:tcW w:w="1985" w:type="dxa"/>
            <w:vMerge w:val="restart"/>
            <w:vAlign w:val="center"/>
          </w:tcPr>
          <w:p w14:paraId="7CF341A4" w14:textId="77777777" w:rsidR="003E1C0B" w:rsidRPr="006E1E03" w:rsidRDefault="00C7171E" w:rsidP="00416C02">
            <w:pPr>
              <w:pStyle w:val="a7"/>
              <w:autoSpaceDE w:val="0"/>
              <w:autoSpaceDN w:val="0"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Показатель</w:t>
            </w:r>
          </w:p>
        </w:tc>
        <w:tc>
          <w:tcPr>
            <w:tcW w:w="3968" w:type="dxa"/>
            <w:vMerge w:val="restart"/>
            <w:vAlign w:val="center"/>
          </w:tcPr>
          <w:p w14:paraId="1B2A277E" w14:textId="77777777" w:rsidR="003E1C0B" w:rsidRPr="006E1E03" w:rsidRDefault="00C7171E" w:rsidP="00416C02">
            <w:pPr>
              <w:pStyle w:val="a7"/>
              <w:autoSpaceDE w:val="0"/>
              <w:autoSpaceDN w:val="0"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Методика расчета фактического значения </w:t>
            </w:r>
          </w:p>
        </w:tc>
        <w:tc>
          <w:tcPr>
            <w:tcW w:w="7088" w:type="dxa"/>
            <w:gridSpan w:val="2"/>
            <w:vAlign w:val="center"/>
          </w:tcPr>
          <w:p w14:paraId="3B39CA71" w14:textId="77777777" w:rsidR="003E1C0B" w:rsidRPr="006E1E03" w:rsidRDefault="00C7171E" w:rsidP="00416C02">
            <w:pPr>
              <w:pStyle w:val="a7"/>
              <w:autoSpaceDE w:val="0"/>
              <w:autoSpaceDN w:val="0"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Пороговые уровни</w:t>
            </w:r>
          </w:p>
        </w:tc>
      </w:tr>
      <w:tr w:rsidR="00651E5D" w:rsidRPr="006E1E03" w14:paraId="48549046" w14:textId="77777777" w:rsidTr="00651E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  <w:vMerge/>
            <w:vAlign w:val="center"/>
          </w:tcPr>
          <w:p w14:paraId="3E440041" w14:textId="77777777" w:rsidR="003E1C0B" w:rsidRPr="006E1E03" w:rsidRDefault="003E1C0B" w:rsidP="00416C0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14:paraId="51CA986D" w14:textId="77777777" w:rsidR="003E1C0B" w:rsidRPr="006E1E03" w:rsidRDefault="003E1C0B" w:rsidP="00416C02">
            <w:pPr>
              <w:pStyle w:val="a7"/>
              <w:autoSpaceDE w:val="0"/>
              <w:autoSpaceDN w:val="0"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8" w:type="dxa"/>
            <w:vMerge/>
            <w:vAlign w:val="center"/>
          </w:tcPr>
          <w:p w14:paraId="64466D21" w14:textId="77777777" w:rsidR="003E1C0B" w:rsidRPr="006E1E03" w:rsidRDefault="003E1C0B" w:rsidP="00416C02">
            <w:pPr>
              <w:pStyle w:val="a7"/>
              <w:autoSpaceDE w:val="0"/>
              <w:autoSpaceDN w:val="0"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7CD57B87" w14:textId="77777777" w:rsidR="003E1C0B" w:rsidRPr="006E1E03" w:rsidRDefault="00C7171E" w:rsidP="00416C02">
            <w:pPr>
              <w:pStyle w:val="a7"/>
              <w:autoSpaceDE w:val="0"/>
              <w:autoSpaceDN w:val="0"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Сигнал раннего предупреждения</w:t>
            </w:r>
          </w:p>
        </w:tc>
        <w:tc>
          <w:tcPr>
            <w:tcW w:w="3969" w:type="dxa"/>
            <w:vAlign w:val="center"/>
          </w:tcPr>
          <w:p w14:paraId="24F0E381" w14:textId="77777777" w:rsidR="003E1C0B" w:rsidRPr="006E1E03" w:rsidRDefault="00C7171E" w:rsidP="00416C02">
            <w:pPr>
              <w:pStyle w:val="a7"/>
              <w:autoSpaceDE w:val="0"/>
              <w:autoSpaceDN w:val="0"/>
              <w:adjustRightInd w:val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риск-аппетит</w:t>
            </w:r>
          </w:p>
        </w:tc>
      </w:tr>
      <w:tr w:rsidR="00651E5D" w:rsidRPr="006E1E03" w14:paraId="6F375AD4" w14:textId="77777777" w:rsidTr="0065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6F2FA10C" w14:textId="1CCE0814" w:rsidR="003E1C0B" w:rsidRPr="006E1E03" w:rsidRDefault="00C7171E" w:rsidP="00416C02">
            <w:pPr>
              <w:pStyle w:val="a7"/>
              <w:autoSpaceDE w:val="0"/>
              <w:autoSpaceDN w:val="0"/>
              <w:adjustRightInd w:val="0"/>
              <w:ind w:left="0" w:hanging="23"/>
              <w:jc w:val="both"/>
              <w:rPr>
                <w:rFonts w:ascii="Times New Roman" w:eastAsiaTheme="minorEastAsia" w:hAnsi="Times New Roman" w:cs="Times New Roman"/>
                <w:sz w:val="14"/>
                <w:szCs w:val="14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Операцион</w:t>
            </w:r>
            <w:r w:rsidR="000767D0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-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ный</w:t>
            </w:r>
          </w:p>
          <w:p w14:paraId="11423E7A" w14:textId="77777777" w:rsidR="003E1C0B" w:rsidRPr="006E1E03" w:rsidRDefault="003E1C0B" w:rsidP="00416C02">
            <w:pPr>
              <w:pStyle w:val="a7"/>
              <w:autoSpaceDE w:val="0"/>
              <w:autoSpaceDN w:val="0"/>
              <w:adjustRightInd w:val="0"/>
              <w:ind w:left="0" w:hanging="23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14:paraId="35637E33" w14:textId="77777777" w:rsidR="003E1C0B" w:rsidRPr="006E1E03" w:rsidRDefault="003E1C0B" w:rsidP="00416C02">
            <w:pPr>
              <w:pStyle w:val="a7"/>
              <w:autoSpaceDE w:val="0"/>
              <w:autoSpaceDN w:val="0"/>
              <w:adjustRightInd w:val="0"/>
              <w:ind w:left="0" w:hanging="23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4ED46FD" w14:textId="77777777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Доступность систем реального времени</w:t>
            </w:r>
          </w:p>
          <w:p w14:paraId="5DC9374B" w14:textId="77777777" w:rsidR="003E1C0B" w:rsidRPr="006E1E03" w:rsidRDefault="003E1C0B" w:rsidP="00416C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968" w:type="dxa"/>
          </w:tcPr>
          <w:p w14:paraId="0B5B1ADB" w14:textId="4CA5D12A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показателя доступности систем рассчитывается в соответствии с </w:t>
            </w:r>
            <w:r w:rsidR="00EF1AFF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Методикой расчета показателей надежности ключевых систем ПАО Московская Биржа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  <w:p w14:paraId="4121F888" w14:textId="77777777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В расчет фактического значения показателя доступности систем принимаются все приостановки торгов, произошедшие за отчетный период,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зарегистрированных в БДСОР.</w:t>
            </w:r>
          </w:p>
        </w:tc>
        <w:tc>
          <w:tcPr>
            <w:tcW w:w="3119" w:type="dxa"/>
          </w:tcPr>
          <w:p w14:paraId="4F48635B" w14:textId="77777777" w:rsidR="003E1C0B" w:rsidRPr="006E1E03" w:rsidRDefault="00C7171E" w:rsidP="00416C02">
            <w:pPr>
              <w:autoSpaceDE w:val="0"/>
              <w:autoSpaceDN w:val="0"/>
              <w:adjustRightInd w:val="0"/>
              <w:ind w:left="2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устанавливается на базе исторических событий, связанных с нарушением доступности систем реального времени, зарегистрированных в БДСОР.</w:t>
            </w:r>
          </w:p>
        </w:tc>
        <w:tc>
          <w:tcPr>
            <w:tcW w:w="3969" w:type="dxa"/>
          </w:tcPr>
          <w:p w14:paraId="27186DC1" w14:textId="51760A0F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определяется на базе наихудшего сценария (набора событий), связанного с нарушением доступности </w:t>
            </w:r>
            <w:r w:rsidR="00906011" w:rsidRPr="006E1E03">
              <w:rPr>
                <w:rFonts w:ascii="Times New Roman" w:hAnsi="Times New Roman" w:cs="Times New Roman"/>
                <w:sz w:val="18"/>
                <w:szCs w:val="18"/>
              </w:rPr>
              <w:t>систем реального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времени в соответствии с </w:t>
            </w:r>
            <w:r w:rsidR="00EF1AFF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Методикой расчета показателей надежности ключевых систем ПАО Московская Биржа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на горизонте 5 лет (исторический минимум).</w:t>
            </w:r>
          </w:p>
        </w:tc>
      </w:tr>
      <w:tr w:rsidR="00651E5D" w:rsidRPr="006E1E03" w14:paraId="3BDDF0E1" w14:textId="77777777" w:rsidTr="00651E5D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39A46F6D" w14:textId="77777777" w:rsidR="003E1C0B" w:rsidRPr="006E1E03" w:rsidRDefault="003E1C0B" w:rsidP="00416C02">
            <w:pPr>
              <w:pStyle w:val="a7"/>
              <w:autoSpaceDE w:val="0"/>
              <w:autoSpaceDN w:val="0"/>
              <w:adjustRightInd w:val="0"/>
              <w:ind w:left="0" w:hanging="23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537E8A" w14:textId="01879602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Д</w:t>
            </w:r>
            <w:r w:rsidR="00857ACE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оступность систем</w:t>
            </w:r>
            <w:r w:rsidRPr="006E1E03">
              <w:rPr>
                <w:rStyle w:val="a6"/>
                <w:rFonts w:ascii="Times New Roman" w:eastAsiaTheme="minorEastAsia" w:hAnsi="Times New Roman" w:cs="Times New Roman"/>
                <w:sz w:val="18"/>
                <w:szCs w:val="18"/>
              </w:rPr>
              <w:footnoteReference w:id="10"/>
            </w:r>
            <w:r w:rsidR="00857ACE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, обеспечивающих прочие клиентские сервисы</w:t>
            </w:r>
            <w:r w:rsidRPr="006E1E03">
              <w:rPr>
                <w:rStyle w:val="a6"/>
                <w:rFonts w:ascii="Times New Roman" w:hAnsi="Times New Roman" w:cs="Times New Roman"/>
                <w:sz w:val="18"/>
                <w:szCs w:val="18"/>
              </w:rPr>
              <w:footnoteReference w:id="11"/>
            </w:r>
          </w:p>
        </w:tc>
        <w:tc>
          <w:tcPr>
            <w:tcW w:w="3968" w:type="dxa"/>
            <w:shd w:val="clear" w:color="auto" w:fill="auto"/>
          </w:tcPr>
          <w:p w14:paraId="422A5B16" w14:textId="380ADEE9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 включает все прерывания в работе </w:t>
            </w:r>
            <w:r w:rsidR="0016299E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систем, обеспечивающих прочие клиентские сервисы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период, зарегистрированных в БДСОР.</w:t>
            </w:r>
          </w:p>
        </w:tc>
        <w:tc>
          <w:tcPr>
            <w:tcW w:w="3119" w:type="dxa"/>
            <w:shd w:val="clear" w:color="auto" w:fill="auto"/>
          </w:tcPr>
          <w:p w14:paraId="6DF524A5" w14:textId="141667A4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устанавливается на базе исторических событий, связанных прерыванием в работе </w:t>
            </w:r>
            <w:r w:rsidR="0016299E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систем, обеспечивающих прочие клиентские сервисы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, зарегистрированных в БДСОР.</w:t>
            </w:r>
          </w:p>
        </w:tc>
        <w:tc>
          <w:tcPr>
            <w:tcW w:w="3969" w:type="dxa"/>
            <w:shd w:val="clear" w:color="auto" w:fill="auto"/>
          </w:tcPr>
          <w:p w14:paraId="708BBCFC" w14:textId="3A92ADA2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определяется на базе наихудшего сценария (набора событий), связанного с прерыванием в работе </w:t>
            </w:r>
            <w:r w:rsidR="0016299E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систем, обеспечивающих прочие клиентские сервисы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, зарегистрированного в БДСОР.</w:t>
            </w:r>
          </w:p>
        </w:tc>
      </w:tr>
      <w:tr w:rsidR="00651E5D" w:rsidRPr="006E1E03" w14:paraId="17DE2BFF" w14:textId="77777777" w:rsidTr="0065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C6EBFC7" w14:textId="77777777" w:rsidR="003E1C0B" w:rsidRPr="006E1E03" w:rsidRDefault="003E1C0B" w:rsidP="00416C0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FC01F8A" w14:textId="77777777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Потери в случае реализации операционного риска</w:t>
            </w:r>
          </w:p>
        </w:tc>
        <w:tc>
          <w:tcPr>
            <w:tcW w:w="3968" w:type="dxa"/>
          </w:tcPr>
          <w:p w14:paraId="1886E0B4" w14:textId="293CBCEE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рассчитывается исходя из фактически зарегистрированных в БДСОР убытков</w:t>
            </w:r>
            <w:r w:rsidRPr="006E1E03">
              <w:rPr>
                <w:rStyle w:val="a6"/>
                <w:rFonts w:ascii="Times New Roman" w:eastAsiaTheme="minorEastAsia" w:hAnsi="Times New Roman" w:cs="Times New Roman"/>
                <w:sz w:val="18"/>
                <w:szCs w:val="18"/>
              </w:rPr>
              <w:footnoteReference w:id="12"/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в соответствии с Политикой управления операционным риском как совокупная величина финансовых последствий (прямых и потенциальных потерь) в результате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реализации событий операционного риска,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отраженная на счетах резервов и убытков бухгалтерского учета.</w:t>
            </w:r>
          </w:p>
        </w:tc>
        <w:tc>
          <w:tcPr>
            <w:tcW w:w="3119" w:type="dxa"/>
          </w:tcPr>
          <w:p w14:paraId="09671EA1" w14:textId="51001089" w:rsidR="003E1C0B" w:rsidRPr="006E1E03" w:rsidRDefault="00C7171E" w:rsidP="00416C02">
            <w:pPr>
              <w:autoSpaceDE w:val="0"/>
              <w:autoSpaceDN w:val="0"/>
              <w:adjustRightInd w:val="0"/>
              <w:ind w:left="2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Сигнал раннего предупреждения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устанавливается на базе исторических убытков, зарегистрированных в БДСОР, и оценки потенциальных убытков по событиям, зарегистрированным в БДСОР, в соответствии с Политикой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операционным риском</w:t>
            </w:r>
            <w:r w:rsidR="0091597F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как доля от капитала </w:t>
            </w:r>
            <w:r w:rsidR="004C55D7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МСФО </w:t>
            </w:r>
            <w:r w:rsidR="0091597F" w:rsidRPr="006E1E03">
              <w:rPr>
                <w:rFonts w:ascii="Times New Roman" w:hAnsi="Times New Roman" w:cs="Times New Roman"/>
                <w:sz w:val="18"/>
                <w:szCs w:val="18"/>
              </w:rPr>
              <w:t>Группы.</w:t>
            </w:r>
          </w:p>
          <w:p w14:paraId="540EB3AB" w14:textId="77777777" w:rsidR="003E1C0B" w:rsidRPr="006E1E03" w:rsidRDefault="003E1C0B" w:rsidP="00416C02">
            <w:pPr>
              <w:autoSpaceDE w:val="0"/>
              <w:autoSpaceDN w:val="0"/>
              <w:adjustRightInd w:val="0"/>
              <w:ind w:left="2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743FEE94" w14:textId="3EBBA79A" w:rsidR="0091597F" w:rsidRPr="006E1E03" w:rsidRDefault="00C7171E" w:rsidP="0091597F">
            <w:pPr>
              <w:autoSpaceDE w:val="0"/>
              <w:autoSpaceDN w:val="0"/>
              <w:adjustRightInd w:val="0"/>
              <w:ind w:left="2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устанавливается на базе исторических убытков, зарегистрированных в БДСОР, и оценки потенциальных убытков по событиям, зарегистрированным в БДСОР, в соответствии с Политикой управления операционным риском как доля от капитала </w:t>
            </w:r>
            <w:r w:rsidR="004C55D7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МСФО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Группы.</w:t>
            </w:r>
          </w:p>
          <w:p w14:paraId="530F9544" w14:textId="53B09AC0" w:rsidR="003E1C0B" w:rsidRPr="006E1E03" w:rsidRDefault="003E1C0B" w:rsidP="00416C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51E5D" w:rsidRPr="006E1E03" w14:paraId="4999B9BF" w14:textId="77777777" w:rsidTr="0065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14A8464" w14:textId="77777777" w:rsidR="003E1C0B" w:rsidRPr="006E1E03" w:rsidRDefault="003E1C0B" w:rsidP="00416C0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2C5D75A" w14:textId="281BFC64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Число ИТ-инцидентов, приводящих к недоступности систем реального времени</w:t>
            </w:r>
          </w:p>
        </w:tc>
        <w:tc>
          <w:tcPr>
            <w:tcW w:w="3968" w:type="dxa"/>
          </w:tcPr>
          <w:p w14:paraId="5AE38E88" w14:textId="77777777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рассчитывается исходя из фактически зарегистрированных в БДСОР СОР по категории «Сбои ПО и оборудование»,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приведшими к приостановке предоставления услуг клиентам.</w:t>
            </w:r>
          </w:p>
        </w:tc>
        <w:tc>
          <w:tcPr>
            <w:tcW w:w="3119" w:type="dxa"/>
          </w:tcPr>
          <w:p w14:paraId="66DFD464" w14:textId="77777777" w:rsidR="003E1C0B" w:rsidRPr="006E1E03" w:rsidRDefault="00C7171E" w:rsidP="00416C02">
            <w:pPr>
              <w:autoSpaceDE w:val="0"/>
              <w:autoSpaceDN w:val="0"/>
              <w:adjustRightInd w:val="0"/>
              <w:ind w:left="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устанавливается на базе исторических событий, зарегистрированных в БДСОР СОР по категории «Сбои ПО и оборудование»,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приведших к приостановке предоставления услуг клиентам</w:t>
            </w:r>
          </w:p>
        </w:tc>
        <w:tc>
          <w:tcPr>
            <w:tcW w:w="3969" w:type="dxa"/>
          </w:tcPr>
          <w:p w14:paraId="33E3EA21" w14:textId="77777777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определяется на базе наихудшего сценария (набора событий), приведшего к приостановке предоставления услуг клиентам, систем на горизонте 5 лет (исторический минимум) с учетом поправки на реализацию программы Стабилизация и надежность.</w:t>
            </w:r>
          </w:p>
        </w:tc>
      </w:tr>
      <w:tr w:rsidR="00651E5D" w:rsidRPr="006E1E03" w14:paraId="23A97468" w14:textId="77777777" w:rsidTr="0065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977B259" w14:textId="77777777" w:rsidR="003E1C0B" w:rsidRPr="006E1E03" w:rsidRDefault="00C7171E" w:rsidP="00416C02">
            <w:pPr>
              <w:pStyle w:val="a7"/>
              <w:autoSpaceDE w:val="0"/>
              <w:autoSpaceDN w:val="0"/>
              <w:adjustRightInd w:val="0"/>
              <w:ind w:left="0" w:hanging="23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Риск ИБ</w:t>
            </w:r>
          </w:p>
          <w:p w14:paraId="7001D1A0" w14:textId="77777777" w:rsidR="003E1C0B" w:rsidRPr="006E1E03" w:rsidRDefault="003E1C0B" w:rsidP="00416C02">
            <w:pPr>
              <w:pStyle w:val="a7"/>
              <w:autoSpaceDE w:val="0"/>
              <w:autoSpaceDN w:val="0"/>
              <w:adjustRightInd w:val="0"/>
              <w:ind w:left="0" w:hanging="23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8972A7A" w14:textId="6B2A770A" w:rsidR="005B02CE" w:rsidRPr="006E1E03" w:rsidRDefault="00C7171E" w:rsidP="005B02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Количество существенных </w:t>
            </w:r>
            <w:r w:rsidR="00607B4C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ИБ-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инцидентов, не повлекших репутационный ущерб и вызвавших деградацию/отсутствие сервиса, не превышающую допустимое время простоя и(или) деградации Технологического процесса</w:t>
            </w:r>
          </w:p>
          <w:p w14:paraId="10D3EA67" w14:textId="4428B43C" w:rsidR="003E1C0B" w:rsidRPr="006E1E03" w:rsidRDefault="003E1C0B" w:rsidP="00416C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968" w:type="dxa"/>
          </w:tcPr>
          <w:p w14:paraId="68C5C4CE" w14:textId="602261C0" w:rsidR="005B02CE" w:rsidRPr="006E1E03" w:rsidRDefault="00C7171E" w:rsidP="005B02C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рассчитывается исходя из фактически зарегистрированных в БДСОР </w:t>
            </w:r>
            <w:r w:rsidR="00B54199" w:rsidRPr="006E1E03">
              <w:rPr>
                <w:rFonts w:ascii="Times New Roman" w:hAnsi="Times New Roman" w:cs="Times New Roman"/>
                <w:sz w:val="18"/>
                <w:szCs w:val="18"/>
              </w:rPr>
              <w:t>СОР по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категории «Нарушение ИБ»,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повлекших утечки данных менее 2% клиентов, либо сотрудников; реализовавшиеся атаки, которые</w:t>
            </w:r>
            <w:r w:rsidR="00B04DBB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привели к </w:t>
            </w:r>
            <w:r w:rsidR="00B04DBB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деградации/отсутствию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сервиса, не превышающую допустимое время простоя и(или) деградации Технологического процесса</w:t>
            </w:r>
          </w:p>
          <w:p w14:paraId="2CD42DE3" w14:textId="061C0ACD" w:rsidR="003E1C0B" w:rsidRPr="006E1E03" w:rsidRDefault="003E1C0B" w:rsidP="00416C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2F12758" w14:textId="77777777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6E1E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устанавливается экспертно на базе исторических значений соответствующего показателя.</w:t>
            </w:r>
          </w:p>
        </w:tc>
        <w:tc>
          <w:tcPr>
            <w:tcW w:w="3969" w:type="dxa"/>
          </w:tcPr>
          <w:p w14:paraId="587F388E" w14:textId="1AB8B2DC" w:rsidR="003E1C0B" w:rsidRPr="006E1E03" w:rsidRDefault="00C7171E" w:rsidP="00416C02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определяется на базе наихудшего сценария (набора событий), связанного с нарушением информационной безопасности,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повлекших утечки данных менее 2% клиентов, либо сотрудников; </w:t>
            </w:r>
            <w:r w:rsidR="005B02CE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реализовавшиеся атаки, которые привели к деградации/отсутствию сервиса, не превышающую допустимое время простоя и(или) деградации Технологического процесса.</w:t>
            </w:r>
          </w:p>
        </w:tc>
      </w:tr>
      <w:tr w:rsidR="00651E5D" w:rsidRPr="006E1E03" w14:paraId="4712C49E" w14:textId="77777777" w:rsidTr="00651E5D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286A9B" w14:textId="77777777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Кастодиальный</w:t>
            </w:r>
          </w:p>
          <w:p w14:paraId="4F8EAEB9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0342AD9" w14:textId="1E947609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Доля хранения драгоценных металлов (золото) в банковских хранилищах в процентах от общего объема драгоценных металлов (золото)</w:t>
            </w:r>
            <w:r w:rsidR="000767D0" w:rsidRPr="006E1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68" w:type="dxa"/>
          </w:tcPr>
          <w:p w14:paraId="0C5C9CDA" w14:textId="245A9D6E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highlight w:val="yellow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Фактическое значение: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767D0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рассчитывается как </w:t>
            </w:r>
            <w:r w:rsidR="00744A71" w:rsidRPr="006E1E03">
              <w:rPr>
                <w:rFonts w:ascii="Times New Roman" w:hAnsi="Times New Roman" w:cs="Times New Roman"/>
                <w:sz w:val="18"/>
                <w:szCs w:val="18"/>
              </w:rPr>
              <w:t>отношение объема хранения драгоценных металлов (золото) в руб. в банковских хранилищах</w:t>
            </w:r>
            <w:r w:rsidR="00142338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2338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 наличием внутреннего рейтинга не ниже </w:t>
            </w:r>
            <w:r w:rsidR="00142338" w:rsidRPr="006E1E03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B</w:t>
            </w:r>
            <w:r w:rsidR="00142338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1 и/или внешнего кредитного рейтинга на уровне не ниже </w:t>
            </w:r>
            <w:r w:rsidR="00142338" w:rsidRPr="006E1E03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AA</w:t>
            </w:r>
            <w:r w:rsidR="00142338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(</w:t>
            </w:r>
            <w:proofErr w:type="spellStart"/>
            <w:r w:rsidR="00142338" w:rsidRPr="006E1E03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  <w:r w:rsidR="00142338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)</w:t>
            </w:r>
            <w:r w:rsidR="005F0A73" w:rsidRPr="006E1E03">
              <w:rPr>
                <w:rStyle w:val="a6"/>
                <w:rFonts w:ascii="Times New Roman" w:eastAsiaTheme="minorEastAsia" w:hAnsi="Times New Roman" w:cs="Times New Roman"/>
                <w:sz w:val="18"/>
                <w:szCs w:val="18"/>
              </w:rPr>
              <w:footnoteReference w:id="13"/>
            </w:r>
            <w:r w:rsidR="00142338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, а также в Объединении «РОСИНКАС», АО «Гознак</w:t>
            </w:r>
            <w:r w:rsidR="005F0A73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»</w:t>
            </w:r>
            <w:r w:rsidR="00744A71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049FB" w:rsidRPr="006E1E03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744A71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сумме объема хранения драгоценных металлов (золото) в руб. в банковских хранилищах и объема хранения драгоценных металлов (золото) в руб. в небанковских хранилищах</w:t>
            </w:r>
          </w:p>
        </w:tc>
        <w:tc>
          <w:tcPr>
            <w:tcW w:w="3119" w:type="dxa"/>
          </w:tcPr>
          <w:p w14:paraId="349AD627" w14:textId="77777777" w:rsidR="00435C02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Сигнал раннего предупреждения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1F04" w:rsidRPr="006E1E03">
              <w:rPr>
                <w:rFonts w:ascii="Times New Roman" w:hAnsi="Times New Roman" w:cs="Times New Roman"/>
                <w:sz w:val="18"/>
                <w:szCs w:val="18"/>
              </w:rPr>
              <w:t>определяет остаточную ожидаемо возможную долю использования услуг по хранению в небанковских хранилищах, необходимую для осуществления операционной деятельности, с учетом планов роста рынка драгоценных металлов (золото).</w:t>
            </w:r>
            <w:r w:rsidR="00744A71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FA1EC0" w14:textId="3E5A988B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Нарушением будет считаться сохранение нарушения на протяжении 5 рабочих дней (</w:t>
            </w:r>
            <w:r w:rsidR="00435C02" w:rsidRPr="006E1E03">
              <w:rPr>
                <w:rFonts w:ascii="Times New Roman" w:hAnsi="Times New Roman" w:cs="Times New Roman"/>
                <w:sz w:val="18"/>
                <w:szCs w:val="18"/>
              </w:rPr>
              <w:t>с учетом необходимого срока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для перевозки </w:t>
            </w:r>
            <w:r w:rsidR="00435C02" w:rsidRPr="006E1E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драгоценных металлов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(золото) из небанковских хранилищ в банковские и стабилизации показателя).</w:t>
            </w:r>
          </w:p>
        </w:tc>
        <w:tc>
          <w:tcPr>
            <w:tcW w:w="3969" w:type="dxa"/>
          </w:tcPr>
          <w:p w14:paraId="2CB53262" w14:textId="77777777" w:rsidR="00435C02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91F04" w:rsidRPr="006E1E03">
              <w:rPr>
                <w:rFonts w:ascii="Times New Roman" w:hAnsi="Times New Roman" w:cs="Times New Roman"/>
                <w:sz w:val="18"/>
                <w:szCs w:val="18"/>
              </w:rPr>
              <w:t>определяет остаточную максимально возможную долю использования услуг по хранению в небанковских хранилищах, необходимую для осуществления операционной деятельности, с учетом планов роста рынка драгоценных металлов (золото).</w:t>
            </w:r>
            <w:r w:rsidR="00744A71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7A9780" w14:textId="46C272A6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  <w:highlight w:val="yellow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Нарушением будет считаться сохранение нарушения на протяжении 5 рабочих дней (с учетом необходимого срока для перевозки драгоценных металлов (золото) из небанковских хранилищ в банковские и стабилизации показателя).</w:t>
            </w:r>
          </w:p>
        </w:tc>
      </w:tr>
      <w:tr w:rsidR="00651E5D" w:rsidRPr="006E1E03" w14:paraId="55999200" w14:textId="77777777" w:rsidTr="0065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360DC74D" w14:textId="77777777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Комплаенс (регуляторный) риск</w:t>
            </w:r>
            <w:r w:rsidRPr="006E1E03">
              <w:rPr>
                <w:rStyle w:val="a6"/>
                <w:rFonts w:ascii="Times New Roman" w:eastAsiaTheme="minorEastAsia" w:hAnsi="Times New Roman" w:cs="Times New Roman"/>
                <w:sz w:val="18"/>
                <w:szCs w:val="18"/>
              </w:rPr>
              <w:footnoteReference w:id="14"/>
            </w:r>
          </w:p>
          <w:p w14:paraId="49A3B003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14:paraId="27A4312B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0FEFC6F" w14:textId="29703BCF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Количество случаев реализации комплаенс (регуляторного) риска</w:t>
            </w:r>
            <w:r w:rsidRPr="006E1E03">
              <w:rPr>
                <w:rStyle w:val="a6"/>
                <w:rFonts w:ascii="Times New Roman" w:hAnsi="Times New Roman" w:cs="Times New Roman"/>
                <w:sz w:val="18"/>
                <w:szCs w:val="18"/>
              </w:rPr>
              <w:footnoteReference w:id="15"/>
            </w:r>
          </w:p>
        </w:tc>
        <w:tc>
          <w:tcPr>
            <w:tcW w:w="3968" w:type="dxa"/>
          </w:tcPr>
          <w:p w14:paraId="3AC5308A" w14:textId="61AF81E3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Фактическое значение: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рассчитывается количество событий за отчетный период, в соответствии с критериями существенности последствий, к которым может привести реализация комплаенс рисков, в целях признания таких рисков имеющими влияние на риск-аппетит согласно Основным подходам к управлению комплаенс-рисками, а именно:</w:t>
            </w:r>
          </w:p>
          <w:p w14:paraId="39E3E46B" w14:textId="77777777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1) нарушения требований законодательства РФ с применением штрафных санкций надзорными органами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; </w:t>
            </w:r>
          </w:p>
          <w:p w14:paraId="76BE9EE1" w14:textId="77777777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 w:hanging="2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2) получения предписания ЦБ РФ об устранении нарушений законодательства;</w:t>
            </w:r>
          </w:p>
          <w:p w14:paraId="46592C6A" w14:textId="2516D442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3) получения рекомендаций ЦБ РФ в рамках осуществления надзорной деятельности за соблюдением Биржей требований законодательства, содержащих ссылки на конкретные нормативные правовые акты в случае оформления Биржей мотивированного суждения об оценке существующих рисков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6609BA11" w14:textId="77777777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рассчитывается экспертно совместно со Службой внутреннего контроля и Департаментом по внутреннему контролю и комплаенсу.</w:t>
            </w:r>
          </w:p>
          <w:p w14:paraId="1E341D08" w14:textId="77777777" w:rsidR="00B7052C" w:rsidRPr="006E1E03" w:rsidRDefault="00B7052C" w:rsidP="00B7052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504A833D" w14:textId="0D3D8113" w:rsidR="00B7052C" w:rsidRPr="006E1E03" w:rsidRDefault="00C7171E" w:rsidP="00B7052C">
            <w:pPr>
              <w:autoSpaceDE w:val="0"/>
              <w:autoSpaceDN w:val="0"/>
              <w:adjustRightInd w:val="0"/>
              <w:ind w:left="2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рассчитывается экспертно совместно со Службой внутреннего контроля и Департаментом по внутреннему контролю и комплаенсу. </w:t>
            </w:r>
          </w:p>
        </w:tc>
      </w:tr>
      <w:tr w:rsidR="00651E5D" w:rsidRPr="006E1E03" w14:paraId="01F0DF46" w14:textId="77777777" w:rsidTr="0065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7F82F7D7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6AFE3F" w14:textId="5803CB67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 w:hanging="2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Потери в случае реализации комплаенс (регуляторного) риска</w:t>
            </w:r>
            <w:r w:rsidRPr="006E1E03">
              <w:rPr>
                <w:rStyle w:val="a6"/>
                <w:rFonts w:ascii="Times New Roman" w:eastAsiaTheme="minorEastAsia" w:hAnsi="Times New Roman" w:cs="Times New Roman"/>
                <w:sz w:val="18"/>
                <w:szCs w:val="18"/>
              </w:rPr>
              <w:footnoteReference w:id="16"/>
            </w:r>
          </w:p>
        </w:tc>
        <w:tc>
          <w:tcPr>
            <w:tcW w:w="3968" w:type="dxa"/>
          </w:tcPr>
          <w:p w14:paraId="49A89C90" w14:textId="032EAC6D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Фактическое значение: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сумма выплаты денежных средств по решению надзорных органов </w:t>
            </w:r>
            <w:r w:rsidR="00B37AE0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(за исключением Федеральной налоговой службы Российской Федерации) за отчетный период.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за отчетный период. </w:t>
            </w:r>
          </w:p>
        </w:tc>
        <w:tc>
          <w:tcPr>
            <w:tcW w:w="3119" w:type="dxa"/>
          </w:tcPr>
          <w:p w14:paraId="648B2CCF" w14:textId="77777777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рассчитывается экспертно совместно со Службой внутреннего контроля и Департаментом по внутреннему контролю и комплаенсу.</w:t>
            </w:r>
          </w:p>
        </w:tc>
        <w:tc>
          <w:tcPr>
            <w:tcW w:w="3969" w:type="dxa"/>
          </w:tcPr>
          <w:p w14:paraId="4A42DBA3" w14:textId="77777777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рассчитывается экспертно совместно со Службой внутреннего контроля и Департаментом по внутреннему контролю и комплаенсу. Рассчитывается сумма выплат денежных средств по решению надзорных органов за прошедший отчетный период исходя из максимального размера суммы штрафа и </w:t>
            </w:r>
            <w:r w:rsidRPr="006E1E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допущением штрафов в количестве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более 3 (в зависимости от области комплаенс-риска).</w:t>
            </w:r>
          </w:p>
        </w:tc>
      </w:tr>
      <w:tr w:rsidR="00651E5D" w:rsidRPr="006E1E03" w14:paraId="4F6C9725" w14:textId="77777777" w:rsidTr="0065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0B238DB" w14:textId="77777777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Правовой</w:t>
            </w:r>
          </w:p>
          <w:p w14:paraId="203BD46C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14:paraId="3250F9D1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78CA4CF" w14:textId="77777777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Потери в случае реализации правового риска</w:t>
            </w:r>
          </w:p>
        </w:tc>
        <w:tc>
          <w:tcPr>
            <w:tcW w:w="3968" w:type="dxa"/>
          </w:tcPr>
          <w:p w14:paraId="199B89E5" w14:textId="31FF499C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рассчитывается как сумма исковых требований по искам, принятым судами к производству за прошедший период, оцениваемых с высокой вероятностью негативного исхода судебного разбирательства, и выплат денежных средств по решению судебных органов</w:t>
            </w:r>
            <w:r w:rsidR="00B37AE0" w:rsidRPr="006E1E03">
              <w:rPr>
                <w:rFonts w:ascii="Times New Roman" w:hAnsi="Times New Roman" w:cs="Times New Roman"/>
                <w:sz w:val="18"/>
                <w:szCs w:val="18"/>
              </w:rPr>
              <w:t>, а также во внесудебном порядке с целью удовлетворения обоснованных претензий.</w:t>
            </w:r>
          </w:p>
        </w:tc>
        <w:tc>
          <w:tcPr>
            <w:tcW w:w="3119" w:type="dxa"/>
          </w:tcPr>
          <w:p w14:paraId="7F05D0DB" w14:textId="4DF8DD56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рассчитывается экспертно совместно с </w:t>
            </w:r>
            <w:r w:rsidR="00292DE8" w:rsidRPr="006E1E03">
              <w:rPr>
                <w:rFonts w:ascii="Times New Roman" w:hAnsi="Times New Roman" w:cs="Times New Roman"/>
                <w:sz w:val="18"/>
                <w:szCs w:val="18"/>
              </w:rPr>
              <w:t>Управляющим директором по правовым вопросам</w:t>
            </w:r>
            <w:r w:rsidR="000767D0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как доля от капитала </w:t>
            </w:r>
            <w:r w:rsidR="004C55D7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МСФО </w:t>
            </w:r>
            <w:r w:rsidR="000767D0" w:rsidRPr="006E1E03">
              <w:rPr>
                <w:rFonts w:ascii="Times New Roman" w:hAnsi="Times New Roman" w:cs="Times New Roman"/>
                <w:sz w:val="18"/>
                <w:szCs w:val="18"/>
              </w:rPr>
              <w:t>Группы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D2A6A61" w14:textId="77777777" w:rsidR="00B7052C" w:rsidRPr="006E1E03" w:rsidRDefault="00B7052C" w:rsidP="00B7052C">
            <w:pPr>
              <w:autoSpaceDE w:val="0"/>
              <w:autoSpaceDN w:val="0"/>
              <w:adjustRightInd w:val="0"/>
              <w:ind w:left="29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7F3FD8C9" w14:textId="6B7A2A04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рассчитывается экспертно совместно </w:t>
            </w:r>
            <w:r w:rsidR="00292DE8" w:rsidRPr="006E1E03">
              <w:rPr>
                <w:rFonts w:ascii="Times New Roman" w:hAnsi="Times New Roman" w:cs="Times New Roman"/>
                <w:sz w:val="18"/>
                <w:szCs w:val="18"/>
              </w:rPr>
              <w:t>с Управляющим директором по правовым вопросам</w:t>
            </w:r>
            <w:r w:rsidR="000767D0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как доля от капитала </w:t>
            </w:r>
            <w:r w:rsidR="004C55D7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МСФО </w:t>
            </w:r>
            <w:r w:rsidR="000767D0" w:rsidRPr="006E1E03">
              <w:rPr>
                <w:rFonts w:ascii="Times New Roman" w:hAnsi="Times New Roman" w:cs="Times New Roman"/>
                <w:sz w:val="18"/>
                <w:szCs w:val="18"/>
              </w:rPr>
              <w:t>Группы</w:t>
            </w:r>
            <w:r w:rsidR="00292DE8" w:rsidRPr="006E1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651E5D" w:rsidRPr="006E1E03" w14:paraId="0EA30E20" w14:textId="77777777" w:rsidTr="0065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CE9C602" w14:textId="39B5C062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НАЛОГОВЫЙ</w:t>
            </w:r>
          </w:p>
          <w:p w14:paraId="4F5E0D26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14:paraId="6B66BA06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EFB5DA2" w14:textId="329D6023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Потери в случае реализации налогового риска</w:t>
            </w:r>
          </w:p>
        </w:tc>
        <w:tc>
          <w:tcPr>
            <w:tcW w:w="3968" w:type="dxa"/>
          </w:tcPr>
          <w:p w14:paraId="6C43E797" w14:textId="33981276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B3BB6" w:rsidRPr="006E1E03">
              <w:rPr>
                <w:rFonts w:ascii="Times New Roman" w:hAnsi="Times New Roman" w:cs="Times New Roman"/>
                <w:sz w:val="18"/>
                <w:szCs w:val="18"/>
              </w:rPr>
              <w:t>определяется по МБ, НКЦ: недоимки по налогам, подлежащим удержанию в качестве налогового агента и суммы пени с недоимки в качестве налогоплательщика и налогового</w:t>
            </w:r>
            <w:r w:rsidR="005F0A73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агента</w:t>
            </w:r>
            <w:r w:rsidR="000B3BB6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по НРД: суммы недоимки, пени и штрафов.</w:t>
            </w:r>
          </w:p>
        </w:tc>
        <w:tc>
          <w:tcPr>
            <w:tcW w:w="3119" w:type="dxa"/>
          </w:tcPr>
          <w:p w14:paraId="5C14E65B" w14:textId="66B63F0C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рассчитывается совместно с Директором по налогообложению Блока Финансов.</w:t>
            </w:r>
          </w:p>
          <w:p w14:paraId="04188099" w14:textId="77777777" w:rsidR="00B7052C" w:rsidRPr="006E1E03" w:rsidRDefault="00B7052C" w:rsidP="00B7052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</w:tcPr>
          <w:p w14:paraId="27F72042" w14:textId="77777777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рассчитывается совместно с Директором по налогообложению Блока Финансов.</w:t>
            </w:r>
          </w:p>
          <w:p w14:paraId="3B0A210F" w14:textId="4E9D4A42" w:rsidR="00B7052C" w:rsidRPr="006E1E03" w:rsidRDefault="00B7052C" w:rsidP="00B7052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51E5D" w:rsidRPr="006E1E03" w14:paraId="17FF02A2" w14:textId="77777777" w:rsidTr="0065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13EF57A9" w14:textId="77777777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Репутационный</w:t>
            </w:r>
          </w:p>
          <w:p w14:paraId="6002B37A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46B7C46" w14:textId="716E8886" w:rsidR="00B7052C" w:rsidRPr="006E1E03" w:rsidRDefault="00C7171E" w:rsidP="00123261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i/>
                <w:iCs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негативных информационных поводов следствием которых явились негативные публикации в СМИ</w:t>
            </w:r>
            <w:r w:rsidR="000767D0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/ социальных сетях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о </w:t>
            </w:r>
            <w:r w:rsidR="004C55D7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Группе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Московская Биржа</w:t>
            </w:r>
          </w:p>
        </w:tc>
        <w:tc>
          <w:tcPr>
            <w:tcW w:w="3968" w:type="dxa"/>
          </w:tcPr>
          <w:p w14:paraId="3D8C9999" w14:textId="48CB307C" w:rsidR="00123261" w:rsidRPr="006E1E03" w:rsidRDefault="00C7171E" w:rsidP="001232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определяется как количество информационных поводов следствием которых явились негативные публикации в СМИ</w:t>
            </w:r>
            <w:r w:rsidR="000767D0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/ социальных сетях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AA0E279" w14:textId="2703514C" w:rsidR="00B7052C" w:rsidRPr="006E1E03" w:rsidRDefault="00C7171E" w:rsidP="0012326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В расчет включаются информационные поводы при условии, что публикации новости / ее перепечатка нашли отражение в 2-х и более СМИ</w:t>
            </w:r>
            <w:r w:rsidR="000767D0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/ социальных сетях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из списка </w:t>
            </w:r>
            <w:r w:rsidR="000767D0" w:rsidRPr="006E1E03">
              <w:rPr>
                <w:rFonts w:ascii="Times New Roman" w:hAnsi="Times New Roman" w:cs="Times New Roman"/>
                <w:sz w:val="18"/>
                <w:szCs w:val="18"/>
              </w:rPr>
              <w:t>СМИ / социальных сетей для мониторинга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491CFF78" w14:textId="693B54EA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рассчитывается экспертно совместно с Департаментом </w:t>
            </w:r>
            <w:r w:rsidR="00292DE8" w:rsidRPr="006E1E03">
              <w:rPr>
                <w:rFonts w:ascii="Times New Roman" w:hAnsi="Times New Roman" w:cs="Times New Roman"/>
                <w:sz w:val="18"/>
                <w:szCs w:val="18"/>
              </w:rPr>
              <w:t>по маркетингу, PR и сервису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78816B51" w14:textId="4FD59CE1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7AE0"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рассчитывается экспертно совместно с </w:t>
            </w:r>
            <w:r w:rsidR="00292DE8" w:rsidRPr="006E1E03">
              <w:rPr>
                <w:rFonts w:ascii="Times New Roman" w:hAnsi="Times New Roman" w:cs="Times New Roman"/>
                <w:sz w:val="18"/>
                <w:szCs w:val="18"/>
              </w:rPr>
              <w:t>Департаментом по маркетингу, PR и сервису.</w:t>
            </w:r>
          </w:p>
        </w:tc>
      </w:tr>
      <w:tr w:rsidR="00651E5D" w:rsidRPr="006E1E03" w14:paraId="563A1B16" w14:textId="77777777" w:rsidTr="0065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2D14AC3D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D205A28" w14:textId="626ED1D2" w:rsidR="00B7052C" w:rsidRPr="006E1E03" w:rsidRDefault="00C7171E" w:rsidP="00B7052C">
            <w:pPr>
              <w:pStyle w:val="a7"/>
              <w:autoSpaceDE w:val="0"/>
              <w:autoSpaceDN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Отток существующих клиентов, как следствие репутационного риска</w:t>
            </w:r>
          </w:p>
          <w:p w14:paraId="2D2F7AA3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968" w:type="dxa"/>
          </w:tcPr>
          <w:p w14:paraId="0B6E776E" w14:textId="69CF2AF1" w:rsidR="00B7052C" w:rsidRPr="006E1E03" w:rsidRDefault="00C7171E" w:rsidP="00B7052C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рассчитывается как доля клиентов из ТОП 500, которые не совершили ни одной сделки за анализируемый период в общем объеме клиентов Биржи в сравнении с аналогичным значением прошлого отчетного периода (месяц)</w:t>
            </w:r>
            <w:r w:rsidRPr="006E1E03">
              <w:rPr>
                <w:rStyle w:val="a6"/>
                <w:rFonts w:ascii="Times New Roman" w:hAnsi="Times New Roman" w:cs="Times New Roman"/>
                <w:color w:val="000000"/>
                <w:sz w:val="18"/>
                <w:szCs w:val="18"/>
              </w:rPr>
              <w:footnoteReference w:id="17"/>
            </w:r>
          </w:p>
        </w:tc>
        <w:tc>
          <w:tcPr>
            <w:tcW w:w="3119" w:type="dxa"/>
          </w:tcPr>
          <w:p w14:paraId="27E85CE0" w14:textId="0AC90144" w:rsidR="00B7052C" w:rsidRPr="006E1E03" w:rsidRDefault="00C7171E" w:rsidP="00B7052C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Сигнал раннего предупреждения</w:t>
            </w:r>
            <w:r w:rsidRPr="006E1E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рассчитывается как 2 стандартных отклонения от уровня оттока за последние 12 месяцев.</w:t>
            </w:r>
          </w:p>
        </w:tc>
        <w:tc>
          <w:tcPr>
            <w:tcW w:w="3969" w:type="dxa"/>
          </w:tcPr>
          <w:p w14:paraId="183FD3C5" w14:textId="1DAF7B61" w:rsidR="00B7052C" w:rsidRPr="006E1E03" w:rsidRDefault="00C7171E" w:rsidP="00B7052C">
            <w:pPr>
              <w:autoSpaceDE w:val="0"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рассчитывается как как 4 стандартных отклонения от уровня оттока за последние 12 месяцев.</w:t>
            </w:r>
          </w:p>
          <w:p w14:paraId="63ABF099" w14:textId="77777777" w:rsidR="00B7052C" w:rsidRPr="006E1E03" w:rsidRDefault="00B7052C" w:rsidP="00B7052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51E5D" w:rsidRPr="006E1E03" w14:paraId="681F6113" w14:textId="77777777" w:rsidTr="0065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</w:tcPr>
          <w:p w14:paraId="0E2DFE5A" w14:textId="77777777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Коммерческий</w:t>
            </w:r>
          </w:p>
          <w:p w14:paraId="158370A1" w14:textId="77777777" w:rsidR="00B7052C" w:rsidRPr="006E1E03" w:rsidRDefault="00B7052C" w:rsidP="00B7052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14:paraId="6E849139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 w:hanging="23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EC43582" w14:textId="09D7E410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Недовыполнение плана по комиссионному доходу</w:t>
            </w:r>
          </w:p>
        </w:tc>
        <w:tc>
          <w:tcPr>
            <w:tcW w:w="3968" w:type="dxa"/>
          </w:tcPr>
          <w:p w14:paraId="7845BB87" w14:textId="77777777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показателя «Недовыполнение плана по комиссионному доходу» равно отрицательной разнице между фактическим значением годового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комиссионного дохода по данным управленческой отчетности за квартал и плановым значением комиссионного дохода за аналогичный квартал.</w:t>
            </w:r>
          </w:p>
        </w:tc>
        <w:tc>
          <w:tcPr>
            <w:tcW w:w="3119" w:type="dxa"/>
          </w:tcPr>
          <w:p w14:paraId="26381B43" w14:textId="77777777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Сигнал раннего предупреждения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показателя «Недовыполнение плана по комиссионному доходу» равно отрицательной разнице между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актуальным прогнозом годового комиссионного дохода по данным управленческой отчетности и плановым значением годового комиссионного дохода.</w:t>
            </w:r>
          </w:p>
        </w:tc>
        <w:tc>
          <w:tcPr>
            <w:tcW w:w="3969" w:type="dxa"/>
          </w:tcPr>
          <w:p w14:paraId="517A9E7F" w14:textId="58F6807A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рассчитывается экспертно на базе статистики по выявленным разницам</w:t>
            </w: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между актуальным прогнозом годового комиссионного дохода по данным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lastRenderedPageBreak/>
              <w:t>управленческой отчетности и плановым значением годового комиссионного дохода на горизонте 3 лет.</w:t>
            </w:r>
          </w:p>
        </w:tc>
      </w:tr>
      <w:tr w:rsidR="00651E5D" w:rsidRPr="006E1E03" w14:paraId="4C3A8427" w14:textId="77777777" w:rsidTr="0065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</w:tcPr>
          <w:p w14:paraId="16DC082C" w14:textId="77777777" w:rsidR="00B7052C" w:rsidRPr="006E1E03" w:rsidRDefault="00B7052C" w:rsidP="00B7052C">
            <w:pPr>
              <w:pStyle w:val="a7"/>
              <w:autoSpaceDE w:val="0"/>
              <w:autoSpaceDN w:val="0"/>
              <w:adjustRightInd w:val="0"/>
              <w:ind w:left="0" w:hanging="23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232338A" w14:textId="77777777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Недовыполнение плана по чистому процентному доходу</w:t>
            </w:r>
          </w:p>
          <w:p w14:paraId="2AEFE769" w14:textId="77777777" w:rsidR="00B7052C" w:rsidRPr="006E1E03" w:rsidRDefault="00C7171E" w:rsidP="00B7052C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8" w:type="dxa"/>
          </w:tcPr>
          <w:p w14:paraId="508D7C6A" w14:textId="77777777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показателя «Недовыполнение плана по чистому процентному доходу» равно отрицательной разнице между фактическим значением чистого процентного дохода по данным управленческой отчетности за квартал и плановым значением чистого процентного дохода за аналогичный квартал.</w:t>
            </w:r>
          </w:p>
        </w:tc>
        <w:tc>
          <w:tcPr>
            <w:tcW w:w="3119" w:type="dxa"/>
          </w:tcPr>
          <w:p w14:paraId="5EEABD1B" w14:textId="77777777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показателя «Недовыполнение плана по чистому процентному доходу» равно отрицательной разнице между актуальным прогнозом годового чистого процентного дохода по данным управленческой отчетности и плановым значением годового чистого процентного дохода.</w:t>
            </w:r>
          </w:p>
        </w:tc>
        <w:tc>
          <w:tcPr>
            <w:tcW w:w="3969" w:type="dxa"/>
          </w:tcPr>
          <w:p w14:paraId="6E65A366" w14:textId="03AB9C9E" w:rsidR="00B7052C" w:rsidRPr="006E1E03" w:rsidRDefault="00C7171E" w:rsidP="00B7052C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рассчитывается экспертно на базе статистики по выявленным разницам</w:t>
            </w: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между актуальным прогнозом годового чистого процентного дохода по данным управленческой отчетности и плановым значением чистого процентного дохода на горизонте 3 лет.</w:t>
            </w:r>
          </w:p>
        </w:tc>
      </w:tr>
      <w:tr w:rsidR="00651E5D" w:rsidRPr="006E1E03" w14:paraId="70E76D06" w14:textId="77777777" w:rsidTr="0065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D505C5E" w14:textId="04DBEEF5" w:rsidR="003D180A" w:rsidRPr="006E1E03" w:rsidRDefault="00C7171E" w:rsidP="003D180A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7" w:name="_Hlk151641441"/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СТРАТЕГИЧЕСКИЙ</w:t>
            </w:r>
          </w:p>
        </w:tc>
        <w:tc>
          <w:tcPr>
            <w:tcW w:w="1985" w:type="dxa"/>
          </w:tcPr>
          <w:p w14:paraId="6EF46859" w14:textId="25E9168B" w:rsidR="003D180A" w:rsidRPr="006E1E03" w:rsidRDefault="00C44D00" w:rsidP="003D180A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Соблюдение выполнения стратегических направлений Стратегии Группы Московская биржа</w:t>
            </w:r>
          </w:p>
        </w:tc>
        <w:tc>
          <w:tcPr>
            <w:tcW w:w="3968" w:type="dxa"/>
          </w:tcPr>
          <w:p w14:paraId="38C0F9B8" w14:textId="5B10F61A" w:rsidR="00C44D00" w:rsidRDefault="00C7171E" w:rsidP="00C44D00">
            <w:pPr>
              <w:autoSpaceDE w:val="0"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показателя </w:t>
            </w:r>
            <w:r w:rsidR="00C44D00">
              <w:rPr>
                <w:rFonts w:ascii="Times New Roman" w:hAnsi="Times New Roman" w:cs="Times New Roman"/>
                <w:sz w:val="18"/>
                <w:szCs w:val="18"/>
              </w:rPr>
              <w:t xml:space="preserve">определяется как среднее значение долей выполнения </w:t>
            </w:r>
            <w:r w:rsidR="00C44D00" w:rsidRPr="00C44D00">
              <w:rPr>
                <w:rFonts w:ascii="Times New Roman" w:hAnsi="Times New Roman" w:cs="Times New Roman"/>
                <w:sz w:val="18"/>
                <w:szCs w:val="18"/>
              </w:rPr>
              <w:t>каждого из стратегическ</w:t>
            </w:r>
            <w:r w:rsidR="00C25489">
              <w:rPr>
                <w:rFonts w:ascii="Times New Roman" w:hAnsi="Times New Roman" w:cs="Times New Roman"/>
                <w:sz w:val="18"/>
                <w:szCs w:val="18"/>
              </w:rPr>
              <w:t>их</w:t>
            </w:r>
            <w:r w:rsidR="00C44D00" w:rsidRPr="00C44D00">
              <w:rPr>
                <w:rFonts w:ascii="Times New Roman" w:hAnsi="Times New Roman" w:cs="Times New Roman"/>
                <w:sz w:val="18"/>
                <w:szCs w:val="18"/>
              </w:rPr>
              <w:t xml:space="preserve"> направлени</w:t>
            </w:r>
            <w:r w:rsidR="00C25489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="00C44D00" w:rsidRPr="00C44D00">
              <w:rPr>
                <w:rFonts w:ascii="Times New Roman" w:hAnsi="Times New Roman" w:cs="Times New Roman"/>
                <w:sz w:val="18"/>
                <w:szCs w:val="18"/>
              </w:rPr>
              <w:t>, заявленных в Стратегии Группы Московская биржа и утверждённых Наблюдательным советом ПАО «Московская биржа»</w:t>
            </w:r>
          </w:p>
          <w:p w14:paraId="3154153F" w14:textId="5E38D28C" w:rsidR="003D180A" w:rsidRPr="006E1E03" w:rsidRDefault="003D180A" w:rsidP="003D180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14:paraId="01BFCF8F" w14:textId="5F3976DC" w:rsidR="003D180A" w:rsidRPr="006E1E03" w:rsidRDefault="00C7171E" w:rsidP="003D180A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="00C44D00">
              <w:rPr>
                <w:rFonts w:ascii="Times New Roman" w:hAnsi="Times New Roman" w:cs="Times New Roman"/>
                <w:sz w:val="18"/>
                <w:szCs w:val="18"/>
              </w:rPr>
              <w:t>рассчитывается совместно с Департаментом стратегии и международного развития на основе значений, указанных в Стратегии Группы Московская биржа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</w:tcPr>
          <w:p w14:paraId="368A40DF" w14:textId="009CEC9B" w:rsidR="003D180A" w:rsidRPr="006E1E03" w:rsidRDefault="00C7171E" w:rsidP="003D180A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Значение риск-аппетита </w:t>
            </w:r>
            <w:r w:rsidR="00C44D00">
              <w:rPr>
                <w:rFonts w:ascii="Times New Roman" w:hAnsi="Times New Roman" w:cs="Times New Roman"/>
                <w:sz w:val="18"/>
                <w:szCs w:val="18"/>
              </w:rPr>
              <w:t>рассчитывается совместно с Департаментом стратегии и международного развития на основе значений, указанных в Стратегии Группы Московская биржа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bookmarkEnd w:id="37"/>
      <w:tr w:rsidR="00651E5D" w:rsidRPr="006E1E03" w14:paraId="25585E4E" w14:textId="77777777" w:rsidTr="00651E5D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</w:tcPr>
          <w:p w14:paraId="7BECAEFF" w14:textId="77777777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Кредитный</w:t>
            </w:r>
          </w:p>
        </w:tc>
        <w:tc>
          <w:tcPr>
            <w:tcW w:w="1985" w:type="dxa"/>
          </w:tcPr>
          <w:p w14:paraId="42025CE1" w14:textId="1E6F46E4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Ожидаемые потери (ценные бумаги, МБК, РЕПО, ПФИ, депозиты, займы), % от портфеля</w:t>
            </w:r>
          </w:p>
        </w:tc>
        <w:tc>
          <w:tcPr>
            <w:tcW w:w="3968" w:type="dxa"/>
          </w:tcPr>
          <w:p w14:paraId="7857F1F3" w14:textId="77777777" w:rsidR="00517E4E" w:rsidRPr="006E1E03" w:rsidRDefault="00C7171E" w:rsidP="00517E4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рассчитывается по формуле EL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∑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PD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 *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LGD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 *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EAD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∑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EAD</m:t>
                  </m:r>
                </m:den>
              </m:f>
            </m:oMath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, % от портфеля,</w:t>
            </w:r>
          </w:p>
          <w:p w14:paraId="60E9F2D5" w14:textId="6A4845BB" w:rsidR="00517E4E" w:rsidRPr="006E1E03" w:rsidRDefault="00C7171E" w:rsidP="00517E4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где PD - средневзвешенная вероятность дефолта</w:t>
            </w:r>
            <w:r w:rsidR="005F0A73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на годовом горизонте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по активам;</w:t>
            </w:r>
          </w:p>
          <w:p w14:paraId="0A15C374" w14:textId="77777777" w:rsidR="00517E4E" w:rsidRPr="006E1E03" w:rsidRDefault="00C7171E" w:rsidP="00517E4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LGD - средневзвешенный уровень потерь в случае дефолта;</w:t>
            </w:r>
          </w:p>
          <w:p w14:paraId="6C846C8A" w14:textId="338F9662" w:rsidR="00517E4E" w:rsidRPr="006E1E03" w:rsidRDefault="00C7171E" w:rsidP="00517E4E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EAD – </w:t>
            </w:r>
            <w:r w:rsidR="004F4808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объем вложений с учетом обеспечения, включая контрагентский риск по ПФИ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. Показатели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PD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,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LGD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,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EAD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определяются в соответствии с методологией, установленной Положением «О порядке формирования оценочных резервов под ожидаемые кредитные убытки в НКО НКЦ (АО) (в целях МСФО 9)» и Положением о Положение «О порядке формирования оценочных резервов под ожидаемые кредитные убытки ПАО Московская Биржа (в целях МСФО 9)»).</w:t>
            </w:r>
          </w:p>
        </w:tc>
        <w:tc>
          <w:tcPr>
            <w:tcW w:w="3119" w:type="dxa"/>
          </w:tcPr>
          <w:p w14:paraId="2F44D9C7" w14:textId="64432652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определяется на базе исторических данных и прогнозного (бизнес-план) портфеля вложений, представляемого Казначейством.</w:t>
            </w:r>
          </w:p>
        </w:tc>
        <w:tc>
          <w:tcPr>
            <w:tcW w:w="3969" w:type="dxa"/>
          </w:tcPr>
          <w:p w14:paraId="7F6373A4" w14:textId="562DE8EA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определяется на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базе исторических данных и прогнозного (бизнес-план) портфеля вложений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>, представляемого Казначейством, с учётом запаса в 20% от жёлтой зоны.</w:t>
            </w:r>
          </w:p>
        </w:tc>
      </w:tr>
      <w:tr w:rsidR="00651E5D" w:rsidRPr="006E1E03" w14:paraId="4DEA268D" w14:textId="77777777" w:rsidTr="0065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A269666" w14:textId="77777777" w:rsidR="00517E4E" w:rsidRPr="006E1E03" w:rsidRDefault="00517E4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564AC82" w14:textId="2688FFCD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Ожидаемые потери по КС/РС (контрагенты с рейтингом «А» и «В»)</w:t>
            </w:r>
            <w:r w:rsidR="00A45380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, % от </w:t>
            </w:r>
            <w:r w:rsidR="005F0A73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объема остатков</w:t>
            </w:r>
          </w:p>
        </w:tc>
        <w:tc>
          <w:tcPr>
            <w:tcW w:w="3968" w:type="dxa"/>
          </w:tcPr>
          <w:p w14:paraId="419B5E5D" w14:textId="70CA18E9" w:rsidR="00517E4E" w:rsidRPr="006E1E03" w:rsidRDefault="00C7171E" w:rsidP="00517E4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рассчитывается по формуле EL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∑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PD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 *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LGD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 *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EAD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∑</m:t>
                  </m:r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EAD</m:t>
                  </m:r>
                </m:den>
              </m:f>
            </m:oMath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, % от </w:t>
            </w:r>
            <w:r w:rsidR="005F0A73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объема остатков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,</w:t>
            </w:r>
          </w:p>
          <w:p w14:paraId="007FE164" w14:textId="142AA0C0" w:rsidR="00517E4E" w:rsidRPr="006E1E03" w:rsidRDefault="00C7171E" w:rsidP="00517E4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где PD - средневзвешенная вероятность дефолта </w:t>
            </w:r>
            <w:r w:rsidR="005F0A73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на годовом горизонте по корреспондентским счетам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;</w:t>
            </w:r>
          </w:p>
          <w:p w14:paraId="44F6775E" w14:textId="77777777" w:rsidR="00517E4E" w:rsidRPr="006E1E03" w:rsidRDefault="00C7171E" w:rsidP="00517E4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LGD - средневзвешенный уровень потерь в случае дефолта;</w:t>
            </w:r>
          </w:p>
          <w:p w14:paraId="26CAD781" w14:textId="55545C47" w:rsidR="00517E4E" w:rsidRPr="006E1E03" w:rsidRDefault="00C7171E" w:rsidP="00517E4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EAD – </w:t>
            </w:r>
            <w:r w:rsidR="006E1E03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объем остатков на КС/РС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. Показатели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PD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,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LGD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,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  <w:lang w:val="en-US"/>
              </w:rPr>
              <w:t>EAD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определяются в соответствии с методологией, установленной Положением «О порядке формирования оценочных резервов под ожидаемые кредитные убытки в НКО НКЦ (АО) (в целях МСФО 9)» и Положением о Положение «О порядке формирования оценочных резервов под ожидаемые кредитные убытки ПАО Московская Биржа (в целях МСФО 9)»</w:t>
            </w:r>
            <w:r w:rsidR="005F0A73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5C88446D" w14:textId="77777777" w:rsidR="00517E4E" w:rsidRPr="006E1E03" w:rsidRDefault="00C7171E" w:rsidP="0051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определяется на базе исторических данных и прогнозного (бизнес-план) значения остатков.</w:t>
            </w:r>
          </w:p>
          <w:p w14:paraId="72B5ED2D" w14:textId="77777777" w:rsidR="00517E4E" w:rsidRPr="006E1E03" w:rsidRDefault="00517E4E" w:rsidP="0051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14:paraId="4EBA32D9" w14:textId="5A1E6EAA" w:rsidR="00517E4E" w:rsidRPr="006E1E03" w:rsidRDefault="00517E4E" w:rsidP="00517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83D9781" w14:textId="0FDF959A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808080" w:themeColor="background1" w:themeShade="80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Значение риск-аппетита </w:t>
            </w:r>
            <w:r w:rsidRPr="006E1E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определяется</w:t>
            </w:r>
            <w:r w:rsidRPr="006E1E0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>на базе исторических данных и прогнозного (бизнес-план) значения остатков при неоптимальном размещении остатков.</w:t>
            </w:r>
          </w:p>
        </w:tc>
      </w:tr>
      <w:tr w:rsidR="00230C54" w:rsidRPr="006E1E03" w14:paraId="0E9793CC" w14:textId="77777777" w:rsidTr="00651E5D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</w:tcPr>
          <w:p w14:paraId="444D0D57" w14:textId="77777777" w:rsidR="00230C54" w:rsidRPr="006E1E03" w:rsidRDefault="00230C54" w:rsidP="00230C54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B059C25" w14:textId="222DD3D5" w:rsidR="00230C54" w:rsidRPr="006E1E03" w:rsidRDefault="00230C54" w:rsidP="00230C54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Объем потенциальных потерь от операций с контрагентом с рейтингом «С», млн. руб.</w:t>
            </w:r>
          </w:p>
        </w:tc>
        <w:tc>
          <w:tcPr>
            <w:tcW w:w="3968" w:type="dxa"/>
          </w:tcPr>
          <w:p w14:paraId="0144139B" w14:textId="263ADC59" w:rsidR="00230C54" w:rsidRPr="006E1E03" w:rsidRDefault="00230C54" w:rsidP="00230C54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рассчитывается как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максимальный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потенциальный объем потерь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по всем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контрагентам с внутренним рейтингом С в стрессовом сценарии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дефолта корреспондентов с учетом корреляции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2BB0E4D2" w14:textId="731778A1" w:rsidR="00230C54" w:rsidRPr="006E1E03" w:rsidRDefault="00230C54" w:rsidP="00230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 xml:space="preserve">Сигнал раннего предупреждения </w:t>
            </w:r>
            <w:r w:rsidRPr="00E33C1A">
              <w:rPr>
                <w:rFonts w:ascii="Times New Roman" w:eastAsiaTheme="minorEastAsia" w:hAnsi="Times New Roman" w:cs="Times New Roman"/>
                <w:sz w:val="18"/>
                <w:szCs w:val="18"/>
              </w:rPr>
              <w:t>определяется</w:t>
            </w:r>
            <w:r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5C78E2">
              <w:rPr>
                <w:rFonts w:ascii="Times New Roman" w:eastAsiaTheme="minorEastAsia" w:hAnsi="Times New Roman" w:cs="Times New Roman"/>
                <w:sz w:val="18"/>
                <w:szCs w:val="18"/>
              </w:rPr>
              <w:t>исходя из текущих планов по развитию международного бизнеса для выполнения Стратегии Группы Московская Биржа.</w:t>
            </w:r>
          </w:p>
        </w:tc>
        <w:tc>
          <w:tcPr>
            <w:tcW w:w="3969" w:type="dxa"/>
          </w:tcPr>
          <w:p w14:paraId="3C471904" w14:textId="304CF3F2" w:rsidR="00230C54" w:rsidRPr="006E1E03" w:rsidRDefault="00230C54" w:rsidP="00230C54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Значение риск-аппетита </w:t>
            </w:r>
            <w:r w:rsidRPr="00E33C1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определяется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5C78E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исходя из планов по развитию международного бизнеса для выполнения Стратегии Группы Московская Биржа с учетом запаса на контрагентов из новых стран и потенциальной валютной переоценки.</w:t>
            </w:r>
          </w:p>
        </w:tc>
      </w:tr>
      <w:tr w:rsidR="00651E5D" w:rsidRPr="006E1E03" w14:paraId="35B456CB" w14:textId="77777777" w:rsidTr="0065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</w:tcPr>
          <w:p w14:paraId="2AD5BE46" w14:textId="77777777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Рыночный</w:t>
            </w:r>
          </w:p>
          <w:p w14:paraId="64F14F1B" w14:textId="77777777" w:rsidR="00517E4E" w:rsidRPr="006E1E03" w:rsidRDefault="00517E4E" w:rsidP="00517E4E">
            <w:pPr>
              <w:pStyle w:val="a7"/>
              <w:autoSpaceDE w:val="0"/>
              <w:autoSpaceDN w:val="0"/>
              <w:adjustRightInd w:val="0"/>
              <w:ind w:left="0" w:hanging="23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EB18BB7" w14:textId="27FD52BB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Потенциальная переоценка торгового портфеля в суверенных и корпоративных бумагах в случае реализации стрессового сценария, % от торгового портфеля </w:t>
            </w:r>
          </w:p>
        </w:tc>
        <w:tc>
          <w:tcPr>
            <w:tcW w:w="3968" w:type="dxa"/>
          </w:tcPr>
          <w:p w14:paraId="7793A03B" w14:textId="65DEAD14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определяется на основе сценарного анализа изменения доходностей в различных стрессовых исторических периодах, вычисляются ожидаемые убытки по портфелю ценных бумаг.</w:t>
            </w:r>
          </w:p>
          <w:p w14:paraId="0C49BFA1" w14:textId="2873A527" w:rsidR="00517E4E" w:rsidRPr="006E1E03" w:rsidRDefault="00517E4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0449364B" w14:textId="14529575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Сигнал раннего предупреждения </w:t>
            </w:r>
            <w:r w:rsidR="000E38E2"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установлен на основе величины планового портфеля в 2024 году из расчета сохранения риска на прежнем уровне по отношению к 2023 г. </w:t>
            </w:r>
          </w:p>
        </w:tc>
        <w:tc>
          <w:tcPr>
            <w:tcW w:w="3969" w:type="dxa"/>
          </w:tcPr>
          <w:p w14:paraId="07B49492" w14:textId="7F256D12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Значение риск-аппетита</w:t>
            </w:r>
            <w:r w:rsidRPr="006E1E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0E38E2" w:rsidRPr="006E1E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установлен с запасом ~10% от желтой зоны</w:t>
            </w:r>
          </w:p>
        </w:tc>
      </w:tr>
      <w:tr w:rsidR="00651E5D" w:rsidRPr="006E1E03" w14:paraId="10A3A301" w14:textId="77777777" w:rsidTr="00651E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</w:tcPr>
          <w:p w14:paraId="62727499" w14:textId="77777777" w:rsidR="00517E4E" w:rsidRPr="006E1E03" w:rsidRDefault="00517E4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30EB9E3" w14:textId="77777777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VaR 99% 10D валютного риска, % от собственных средств</w:t>
            </w:r>
          </w:p>
          <w:p w14:paraId="20CAE184" w14:textId="77777777" w:rsidR="00517E4E" w:rsidRPr="006E1E03" w:rsidRDefault="00517E4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968" w:type="dxa"/>
          </w:tcPr>
          <w:p w14:paraId="223A54FB" w14:textId="44E9445B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sz w:val="18"/>
                <w:szCs w:val="18"/>
              </w:rPr>
              <w:t>Фактическое значение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рассчитывается с помощью метрики VAR 99% на 10-дневном горизонте оценки риска по переоценке открытой валютной позиции.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3F03F0F" w14:textId="4F1B3C4C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Сигнал раннего предупреждения рассчитан</w:t>
            </w:r>
            <w:r w:rsidRPr="006E1E03">
              <w:rPr>
                <w:rFonts w:ascii="Times New Roman" w:hAnsi="Times New Roman" w:cs="Times New Roman"/>
                <w:sz w:val="18"/>
              </w:rPr>
              <w:t xml:space="preserve"> как сумма валютного риска МБ, НКЦ и НРД, установленного в целях сигнала раннего предупреждения, по отношению к суммарной величине собственных средств</w:t>
            </w:r>
          </w:p>
          <w:p w14:paraId="72B000C8" w14:textId="77777777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для НКЦ </w:t>
            </w:r>
            <w:r w:rsidRPr="006E1E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определен как</w:t>
            </w:r>
            <w:r w:rsidRPr="006E1E0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>VaR 99% 10D для ОВП = 8% от собственных средств суммарно по всем валютам</w:t>
            </w:r>
          </w:p>
          <w:p w14:paraId="651AECCB" w14:textId="01E97A0B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для НРД 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 xml:space="preserve">сохраняется величина 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/>
              </w:rPr>
              <w:t>EWS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>, установленного на 2023 г. с учетом перевода в % от собственных средств</w:t>
            </w:r>
          </w:p>
          <w:p w14:paraId="74FBA493" w14:textId="0560B1A2" w:rsidR="00F860D7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 xml:space="preserve">для </w:t>
            </w:r>
            <w:r w:rsidRPr="006E1E0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МБ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 xml:space="preserve"> незначительное увеличение 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/>
              </w:rPr>
              <w:t>EWS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 xml:space="preserve"> по сравнению с 2023 г. обусловлено планами по управлению валютным риском прогнозных денежных потоков</w:t>
            </w:r>
          </w:p>
          <w:p w14:paraId="32DAD45C" w14:textId="77777777" w:rsidR="00517E4E" w:rsidRPr="006E1E03" w:rsidRDefault="00517E4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4FB1690" w14:textId="77777777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>Значение риск-аппетита</w:t>
            </w:r>
            <w:r w:rsidRPr="006E1E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3F9D84F4" w14:textId="77777777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</w:rPr>
            </w:pPr>
            <w:r w:rsidRPr="006E1E03">
              <w:rPr>
                <w:rFonts w:ascii="Times New Roman" w:hAnsi="Times New Roman" w:cs="Times New Roman"/>
                <w:sz w:val="18"/>
              </w:rPr>
              <w:t>рассчитано как суммарный риск-аппетит валютного риска МБ, НКЦ и НРД по отношению к суммарной величине собственных средств</w:t>
            </w:r>
          </w:p>
          <w:p w14:paraId="19025B09" w14:textId="77777777" w:rsidR="00517E4E" w:rsidRPr="006E1E03" w:rsidRDefault="00517E4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A6B2C4F" w14:textId="77777777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для НКЦ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 xml:space="preserve"> определяется как VaR 99% 10D для ОВП = 9% от собственных средств суммарно по всем валютам</w:t>
            </w:r>
          </w:p>
          <w:p w14:paraId="4C8F837A" w14:textId="49EB57D7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</w:rPr>
              <w:lastRenderedPageBreak/>
              <w:t xml:space="preserve">для НРД 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>сохраняется величина риск-аппетита, установленного на 2023 г. с учетом перевода в % от собственных средств</w:t>
            </w:r>
          </w:p>
          <w:p w14:paraId="6495BC87" w14:textId="5F6E76AF" w:rsidR="00F860D7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 xml:space="preserve">для </w:t>
            </w:r>
            <w:r w:rsidRPr="006E1E0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18"/>
                <w:szCs w:val="18"/>
              </w:rPr>
              <w:t>МБ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 xml:space="preserve"> незначительное увеличение 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  <w:lang w:val="en-US"/>
              </w:rPr>
              <w:t>EWS</w:t>
            </w:r>
            <w:r w:rsidRPr="006E1E03"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  <w:t xml:space="preserve"> по сравнению с 2023 г. обусловлено планами по управлению валютным риском прогнозных денежных потоков</w:t>
            </w:r>
          </w:p>
          <w:p w14:paraId="38B3C2AD" w14:textId="77777777" w:rsidR="00517E4E" w:rsidRPr="006E1E03" w:rsidRDefault="00517E4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18"/>
                <w:szCs w:val="18"/>
              </w:rPr>
            </w:pPr>
          </w:p>
          <w:p w14:paraId="1011A996" w14:textId="63403B24" w:rsidR="00517E4E" w:rsidRPr="006E1E03" w:rsidRDefault="00C7171E" w:rsidP="00517E4E">
            <w:pPr>
              <w:pStyle w:val="a7"/>
              <w:autoSpaceDE w:val="0"/>
              <w:autoSpaceDN w:val="0"/>
              <w:adjustRightInd w:val="0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651E5D" w:rsidRPr="006E1E03" w14:paraId="35CA6E71" w14:textId="77777777" w:rsidTr="00651E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5"/>
            <w:shd w:val="clear" w:color="auto" w:fill="FFFFFF" w:themeFill="background1"/>
            <w:vAlign w:val="center"/>
          </w:tcPr>
          <w:p w14:paraId="07FDFC73" w14:textId="77777777" w:rsidR="002A23FD" w:rsidRPr="006E1E03" w:rsidRDefault="00C7171E" w:rsidP="009B7B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Показатели с нулевой толерантностью</w:t>
            </w:r>
          </w:p>
        </w:tc>
      </w:tr>
      <w:tr w:rsidR="00651E5D" w:rsidRPr="006E1E03" w14:paraId="0EA69E30" w14:textId="77777777" w:rsidTr="00651E5D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1FBB467" w14:textId="77777777" w:rsidR="002A23FD" w:rsidRPr="006E1E03" w:rsidRDefault="00C7171E" w:rsidP="002A23FD">
            <w:pPr>
              <w:pStyle w:val="a7"/>
              <w:autoSpaceDE w:val="0"/>
              <w:autoSpaceDN w:val="0"/>
              <w:adjustRightInd w:val="0"/>
              <w:ind w:left="0" w:hanging="23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Риск ИБ</w:t>
            </w:r>
          </w:p>
          <w:p w14:paraId="2044949C" w14:textId="77777777" w:rsidR="002A23FD" w:rsidRPr="006E1E03" w:rsidRDefault="002A23FD" w:rsidP="002A23FD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205D933" w14:textId="5FC4C376" w:rsidR="002A23FD" w:rsidRPr="006E1E03" w:rsidRDefault="00C7171E" w:rsidP="002A23FD">
            <w:pPr>
              <w:pStyle w:val="a7"/>
              <w:autoSpaceDE w:val="0"/>
              <w:autoSpaceDN w:val="0"/>
              <w:adjustRightInd w:val="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Количество существенных ИБ-инцидентов, повлекших репутационный ущерб и вызвавших деградацию/отсутствие сервиса, превышающую допустимое время простоя и (или) деградации Технологического процесса</w:t>
            </w:r>
          </w:p>
        </w:tc>
        <w:tc>
          <w:tcPr>
            <w:tcW w:w="11056" w:type="dxa"/>
            <w:gridSpan w:val="3"/>
          </w:tcPr>
          <w:p w14:paraId="47331B2E" w14:textId="01A751DF" w:rsidR="002A23FD" w:rsidRPr="006E1E03" w:rsidRDefault="00C7171E" w:rsidP="002A23FD">
            <w:pPr>
              <w:pStyle w:val="a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Существенные 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 xml:space="preserve">ИБ-инциденты, повлекшие утечки данных более 2% клиентов либо сотрудников Компании; реализовавшиеся атаки, которые привели к </w:t>
            </w:r>
            <w:r w:rsidRPr="006E1E03">
              <w:rPr>
                <w:rFonts w:ascii="Times New Roman" w:eastAsiaTheme="minorEastAsia" w:hAnsi="Times New Roman" w:cs="Times New Roman"/>
                <w:sz w:val="18"/>
                <w:szCs w:val="18"/>
              </w:rPr>
              <w:t>деградации/отсутствию сервиса превышающую допустимое время простоя и (или) деградации Технологического процесса согласно 779-П</w:t>
            </w:r>
            <w:r w:rsidRPr="006E1E03">
              <w:rPr>
                <w:rFonts w:ascii="Times New Roman" w:hAnsi="Times New Roman" w:cs="Times New Roman"/>
                <w:sz w:val="18"/>
                <w:szCs w:val="18"/>
              </w:rPr>
              <w:t>; инциденты в отношении данных чувствительных персон, повлекшие репутационные риски.</w:t>
            </w:r>
          </w:p>
        </w:tc>
      </w:tr>
    </w:tbl>
    <w:p w14:paraId="1D26F0DC" w14:textId="2ABFF77F" w:rsidR="003C0CFF" w:rsidRPr="006E1E03" w:rsidRDefault="003C0CFF" w:rsidP="002A23FD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C0CFF" w:rsidRPr="006E1E03" w:rsidSect="00C251F2">
      <w:pgSz w:w="16838" w:h="11906" w:orient="landscape"/>
      <w:pgMar w:top="1080" w:right="1260" w:bottom="746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7564E" w14:textId="77777777" w:rsidR="00D7060E" w:rsidRDefault="00C7171E">
      <w:pPr>
        <w:spacing w:after="0" w:line="240" w:lineRule="auto"/>
      </w:pPr>
      <w:r>
        <w:separator/>
      </w:r>
    </w:p>
  </w:endnote>
  <w:endnote w:type="continuationSeparator" w:id="0">
    <w:p w14:paraId="69D362AC" w14:textId="77777777" w:rsidR="00D7060E" w:rsidRDefault="00C7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1722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D26F0E5" w14:textId="77777777" w:rsidR="003E05A7" w:rsidRPr="00AD2646" w:rsidRDefault="00C7171E">
        <w:pPr>
          <w:pStyle w:val="ae"/>
          <w:jc w:val="right"/>
          <w:rPr>
            <w:rFonts w:ascii="Times New Roman" w:hAnsi="Times New Roman" w:cs="Times New Roman"/>
          </w:rPr>
        </w:pPr>
        <w:r w:rsidRPr="00AD2646">
          <w:rPr>
            <w:rFonts w:ascii="Times New Roman" w:hAnsi="Times New Roman" w:cs="Times New Roman"/>
          </w:rPr>
          <w:fldChar w:fldCharType="begin"/>
        </w:r>
        <w:r w:rsidRPr="00AD2646">
          <w:rPr>
            <w:rFonts w:ascii="Times New Roman" w:hAnsi="Times New Roman" w:cs="Times New Roman"/>
          </w:rPr>
          <w:instrText>PAGE   \* MERGEFORMAT</w:instrText>
        </w:r>
        <w:r w:rsidRPr="00AD2646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AD2646">
          <w:rPr>
            <w:rFonts w:ascii="Times New Roman" w:hAnsi="Times New Roman" w:cs="Times New Roman"/>
          </w:rPr>
          <w:fldChar w:fldCharType="end"/>
        </w:r>
      </w:p>
    </w:sdtContent>
  </w:sdt>
  <w:p w14:paraId="1D26F0E6" w14:textId="77777777" w:rsidR="003E05A7" w:rsidRDefault="003E05A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6F0E7" w14:textId="77777777" w:rsidR="003E05A7" w:rsidRDefault="003E05A7">
    <w:pPr>
      <w:pStyle w:val="ae"/>
      <w:jc w:val="right"/>
    </w:pPr>
  </w:p>
  <w:p w14:paraId="1D26F0E8" w14:textId="77777777" w:rsidR="003E05A7" w:rsidRDefault="003E05A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F9FACC" w14:textId="77777777" w:rsidR="00D156B3" w:rsidRDefault="00C7171E">
      <w:pPr>
        <w:spacing w:after="0" w:line="240" w:lineRule="auto"/>
      </w:pPr>
      <w:r>
        <w:separator/>
      </w:r>
    </w:p>
  </w:footnote>
  <w:footnote w:type="continuationSeparator" w:id="0">
    <w:p w14:paraId="3ACC1E99" w14:textId="77777777" w:rsidR="00D156B3" w:rsidRDefault="00C7171E">
      <w:pPr>
        <w:spacing w:after="0" w:line="240" w:lineRule="auto"/>
      </w:pPr>
      <w:r>
        <w:continuationSeparator/>
      </w:r>
    </w:p>
  </w:footnote>
  <w:footnote w:type="continuationNotice" w:id="1">
    <w:p w14:paraId="027AB7A8" w14:textId="77777777" w:rsidR="00D156B3" w:rsidRDefault="00D156B3">
      <w:pPr>
        <w:spacing w:after="0" w:line="240" w:lineRule="auto"/>
      </w:pPr>
    </w:p>
  </w:footnote>
  <w:footnote w:id="2">
    <w:p w14:paraId="09516551" w14:textId="042DC264" w:rsidR="003E05A7" w:rsidRPr="00190AC1" w:rsidRDefault="00C7171E" w:rsidP="00E93393">
      <w:pPr>
        <w:pStyle w:val="a4"/>
        <w:jc w:val="both"/>
        <w:rPr>
          <w:rFonts w:ascii="Times New Roman" w:hAnsi="Times New Roman" w:cs="Times New Roman"/>
        </w:rPr>
      </w:pPr>
      <w:r w:rsidRPr="00190AC1">
        <w:rPr>
          <w:rStyle w:val="a6"/>
          <w:rFonts w:ascii="Times New Roman" w:hAnsi="Times New Roman" w:cs="Times New Roman"/>
        </w:rPr>
        <w:footnoteRef/>
      </w:r>
      <w:r w:rsidRPr="00190AC1">
        <w:rPr>
          <w:rFonts w:ascii="Times New Roman" w:hAnsi="Times New Roman" w:cs="Times New Roman"/>
        </w:rPr>
        <w:t xml:space="preserve"> </w:t>
      </w:r>
      <w:r w:rsidR="00690289" w:rsidRPr="00190AC1">
        <w:rPr>
          <w:rFonts w:ascii="Times New Roman" w:hAnsi="Times New Roman" w:cs="Times New Roman"/>
        </w:rPr>
        <w:t xml:space="preserve">При </w:t>
      </w:r>
      <w:r w:rsidR="000A3950" w:rsidRPr="00190AC1">
        <w:rPr>
          <w:rFonts w:ascii="Times New Roman" w:hAnsi="Times New Roman" w:cs="Times New Roman"/>
        </w:rPr>
        <w:t xml:space="preserve">расчете учитывались показатели доступности для </w:t>
      </w:r>
      <w:r w:rsidR="003D180A">
        <w:rPr>
          <w:rFonts w:ascii="Times New Roman" w:hAnsi="Times New Roman" w:cs="Times New Roman"/>
        </w:rPr>
        <w:t>ПАО Московская биржа</w:t>
      </w:r>
      <w:r w:rsidR="000A3950" w:rsidRPr="00190AC1">
        <w:rPr>
          <w:rFonts w:ascii="Times New Roman" w:hAnsi="Times New Roman" w:cs="Times New Roman"/>
        </w:rPr>
        <w:t xml:space="preserve">: </w:t>
      </w:r>
      <w:r w:rsidR="00111638" w:rsidRPr="00111638">
        <w:rPr>
          <w:rFonts w:ascii="Times New Roman" w:hAnsi="Times New Roman" w:cs="Times New Roman"/>
        </w:rPr>
        <w:t>Личных Кабинетов, сайта Московской Биржи, MOEX Treasury, Маркетплейс, оператор</w:t>
      </w:r>
      <w:r w:rsidR="003D180A">
        <w:rPr>
          <w:rFonts w:ascii="Times New Roman" w:hAnsi="Times New Roman" w:cs="Times New Roman"/>
        </w:rPr>
        <w:t>а</w:t>
      </w:r>
      <w:r w:rsidR="00111638" w:rsidRPr="00111638">
        <w:rPr>
          <w:rFonts w:ascii="Times New Roman" w:hAnsi="Times New Roman" w:cs="Times New Roman"/>
        </w:rPr>
        <w:t xml:space="preserve"> обмена ЦФА</w:t>
      </w:r>
      <w:r w:rsidR="00111638">
        <w:rPr>
          <w:rFonts w:ascii="Times New Roman" w:hAnsi="Times New Roman" w:cs="Times New Roman"/>
        </w:rPr>
        <w:t xml:space="preserve"> </w:t>
      </w:r>
      <w:r w:rsidR="000A3950" w:rsidRPr="00190AC1">
        <w:rPr>
          <w:rFonts w:ascii="Times New Roman" w:hAnsi="Times New Roman" w:cs="Times New Roman"/>
        </w:rPr>
        <w:t>при условии, что недоступность системы влечет за собой полную приостановку сервиса и невозможность его оказания альтернативным путем</w:t>
      </w:r>
      <w:r w:rsidR="00690289" w:rsidRPr="00190AC1">
        <w:rPr>
          <w:rFonts w:ascii="Times New Roman" w:hAnsi="Times New Roman" w:cs="Times New Roman"/>
        </w:rPr>
        <w:t>.</w:t>
      </w:r>
    </w:p>
  </w:footnote>
  <w:footnote w:id="3">
    <w:p w14:paraId="0E6E7F81" w14:textId="77777777" w:rsidR="00BD633E" w:rsidRDefault="00C7171E" w:rsidP="00BD633E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1F0EAD">
        <w:rPr>
          <w:rFonts w:ascii="Times New Roman" w:hAnsi="Times New Roman" w:cs="Times New Roman"/>
        </w:rPr>
        <w:t>согласно Положению от 15 ноября 2021 г. №779-П Об установлении обязательных для некредитных финансовых организаций требований к операционной надежности при осуществлении видов деятельности, предусмотренных частью первой статьи 76.1 Федерального Закона от 10 июля 2002 года №86-ФЗ "О Центральном банке Российской Федерации Банке России", в целях обеспечения непрерывности оказания финансовых услуг (за исключением банковских услуг)</w:t>
      </w:r>
    </w:p>
  </w:footnote>
  <w:footnote w:id="4">
    <w:p w14:paraId="1A5345AE" w14:textId="19D6FACF" w:rsidR="00A34A52" w:rsidRDefault="00C7171E" w:rsidP="00A34A52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A34A52">
        <w:rPr>
          <w:rFonts w:ascii="Times New Roman" w:hAnsi="Times New Roman" w:cs="Times New Roman"/>
        </w:rPr>
        <w:t>согласно Положению от 15 ноября 2021 г. №779-П Об установлении обязательных для некредитных финансовых организаций требований к операционной надежности при осуществлении видов деятельности, предусмотренных частью первой статьи 76.1 Федерального Закона от 10 июля 2002 года №86-ФЗ "О Центральном банке Российской Федерации Банке России", в целях обеспечения непрерывности оказания финансовых услуг (за исключением банковских услуг)</w:t>
      </w:r>
    </w:p>
  </w:footnote>
  <w:footnote w:id="5">
    <w:p w14:paraId="1FD211A8" w14:textId="6ECD8538" w:rsidR="003E05A7" w:rsidRPr="00190AC1" w:rsidRDefault="00C7171E" w:rsidP="00F07B85">
      <w:pPr>
        <w:pStyle w:val="a4"/>
        <w:jc w:val="both"/>
        <w:rPr>
          <w:rFonts w:ascii="Times New Roman" w:hAnsi="Times New Roman" w:cs="Times New Roman"/>
        </w:rPr>
      </w:pPr>
      <w:r w:rsidRPr="00190AC1">
        <w:rPr>
          <w:rStyle w:val="a6"/>
          <w:rFonts w:ascii="Times New Roman" w:hAnsi="Times New Roman" w:cs="Times New Roman"/>
        </w:rPr>
        <w:footnoteRef/>
      </w:r>
      <w:r w:rsidRPr="00190AC1">
        <w:rPr>
          <w:rFonts w:ascii="Times New Roman" w:hAnsi="Times New Roman" w:cs="Times New Roman"/>
        </w:rPr>
        <w:t xml:space="preserve"> </w:t>
      </w:r>
      <w:r w:rsidR="00EF1AFF" w:rsidRPr="00EF1AFF">
        <w:rPr>
          <w:rFonts w:ascii="Times New Roman" w:hAnsi="Times New Roman" w:cs="Times New Roman"/>
        </w:rPr>
        <w:t>при расчете учитывались показатели доступности для ПАО</w:t>
      </w:r>
      <w:r w:rsidR="003D180A">
        <w:rPr>
          <w:rFonts w:ascii="Times New Roman" w:hAnsi="Times New Roman" w:cs="Times New Roman"/>
        </w:rPr>
        <w:t xml:space="preserve"> Московская биржа</w:t>
      </w:r>
      <w:r w:rsidR="00EF1AFF" w:rsidRPr="00EF1AFF">
        <w:rPr>
          <w:rFonts w:ascii="Times New Roman" w:hAnsi="Times New Roman" w:cs="Times New Roman"/>
        </w:rPr>
        <w:t>: Личных Кабинетов, сайта Московской Биржи, MOEX Treasury, Маркетплейс, оператор</w:t>
      </w:r>
      <w:r w:rsidR="003D180A">
        <w:rPr>
          <w:rFonts w:ascii="Times New Roman" w:hAnsi="Times New Roman" w:cs="Times New Roman"/>
        </w:rPr>
        <w:t>а</w:t>
      </w:r>
      <w:r w:rsidR="00EF1AFF" w:rsidRPr="00EF1AFF">
        <w:rPr>
          <w:rFonts w:ascii="Times New Roman" w:hAnsi="Times New Roman" w:cs="Times New Roman"/>
        </w:rPr>
        <w:t xml:space="preserve"> обмена ЦФА; НКЦ-сервисов взаимодействия с клиентами (Клиринговый терминал, ЭДО, SWIFT</w:t>
      </w:r>
      <w:r w:rsidR="00D6378C" w:rsidRPr="00D6378C">
        <w:rPr>
          <w:rFonts w:ascii="Times New Roman" w:hAnsi="Times New Roman" w:cs="Times New Roman"/>
        </w:rPr>
        <w:t>, СПФС</w:t>
      </w:r>
      <w:r w:rsidR="00EF1AFF" w:rsidRPr="00EF1AFF">
        <w:rPr>
          <w:rFonts w:ascii="Times New Roman" w:hAnsi="Times New Roman" w:cs="Times New Roman"/>
        </w:rPr>
        <w:t>), ТКС СПФИ Навигатор, сайта НКЦ; для НРД - Веб-кабинеты (ДКУ, КД, СУО и Репозитария), НБК, ИШ, РФТ, СПФС, SWIFT и сайт НРД, для НТБ – сайт и личный кабинет при условии, что недоступность системы влечет за собой полную приостановку сервиса и невозможность его оказания альтернативным путем.</w:t>
      </w:r>
    </w:p>
  </w:footnote>
  <w:footnote w:id="6">
    <w:p w14:paraId="05BE2733" w14:textId="77777777" w:rsidR="005B02CE" w:rsidRDefault="00C7171E" w:rsidP="005B02CE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1F0EAD">
        <w:rPr>
          <w:rFonts w:ascii="Times New Roman" w:hAnsi="Times New Roman" w:cs="Times New Roman"/>
        </w:rPr>
        <w:t>согласно Положению от 15 ноября 2021 г. №779-П Об установлении обязательных для некредитных финансовых организаций требований к операционной надежности при осуществлении видов деятельности, предусмотренных частью первой статьи 76.1 Федерального Закона от 10 июля 2002 года №86-ФЗ "О Центральном банке Российской Федерации Банке России", в целях обеспечения непрерывности оказания финансовых услуг (за исключением банковских услуг)</w:t>
      </w:r>
    </w:p>
  </w:footnote>
  <w:footnote w:id="7">
    <w:p w14:paraId="6AF2925C" w14:textId="77777777" w:rsidR="005B02CE" w:rsidRDefault="00C7171E" w:rsidP="005B02CE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A34A52">
        <w:rPr>
          <w:rFonts w:ascii="Times New Roman" w:hAnsi="Times New Roman" w:cs="Times New Roman"/>
        </w:rPr>
        <w:t>согласно Положению от 15 ноября 2021 г. №779-П Об установлении обязательных для некредитных финансовых организаций требований к операционной надежности при осуществлении видов деятельности, предусмотренных частью первой статьи 76.1 Федерального Закона от 10 июля 2002 года №86-ФЗ "О Центральном банке Российской Федерации Банке России", в целях обеспечения непрерывности оказания финансовых услуг (за исключением банковских услуг)</w:t>
      </w:r>
    </w:p>
  </w:footnote>
  <w:footnote w:id="8">
    <w:p w14:paraId="09C806C1" w14:textId="77777777" w:rsidR="003E05A7" w:rsidRPr="00190AC1" w:rsidRDefault="00C7171E" w:rsidP="00A150B5">
      <w:pPr>
        <w:pStyle w:val="a4"/>
        <w:rPr>
          <w:rFonts w:ascii="Times New Roman" w:hAnsi="Times New Roman" w:cs="Times New Roman"/>
        </w:rPr>
      </w:pPr>
      <w:r w:rsidRPr="00190AC1">
        <w:rPr>
          <w:rStyle w:val="a6"/>
          <w:rFonts w:ascii="Times New Roman" w:hAnsi="Times New Roman" w:cs="Times New Roman"/>
        </w:rPr>
        <w:footnoteRef/>
      </w:r>
      <w:r w:rsidRPr="00190AC1">
        <w:rPr>
          <w:rFonts w:ascii="Times New Roman" w:hAnsi="Times New Roman" w:cs="Times New Roman"/>
        </w:rPr>
        <w:t xml:space="preserve"> для принятия соответствующих решений для регулирования показателя риск-аппетита и недопущения его нарушения.</w:t>
      </w:r>
    </w:p>
  </w:footnote>
  <w:footnote w:id="9">
    <w:p w14:paraId="2D798F98" w14:textId="07A04F9A" w:rsidR="00142338" w:rsidRPr="00966017" w:rsidRDefault="00142338">
      <w:pPr>
        <w:pStyle w:val="a4"/>
      </w:pPr>
      <w:r w:rsidRPr="00966017">
        <w:rPr>
          <w:rStyle w:val="a6"/>
        </w:rPr>
        <w:footnoteRef/>
      </w:r>
      <w:r w:rsidRPr="00966017">
        <w:t xml:space="preserve"> </w:t>
      </w:r>
      <w:r w:rsidRPr="00966017">
        <w:rPr>
          <w:rFonts w:ascii="Times New Roman" w:hAnsi="Times New Roman" w:cs="Times New Roman"/>
        </w:rPr>
        <w:t>Если иное не предусмотрено требованиями нормативных актов Банка России.</w:t>
      </w:r>
    </w:p>
  </w:footnote>
  <w:footnote w:id="10">
    <w:p w14:paraId="214956A6" w14:textId="77777777" w:rsidR="00563A55" w:rsidRPr="00190AC1" w:rsidRDefault="00C7171E" w:rsidP="00563A55">
      <w:pPr>
        <w:pStyle w:val="a4"/>
        <w:jc w:val="both"/>
        <w:rPr>
          <w:rFonts w:ascii="Times New Roman" w:hAnsi="Times New Roman" w:cs="Times New Roman"/>
        </w:rPr>
      </w:pPr>
      <w:r w:rsidRPr="00190AC1">
        <w:rPr>
          <w:rStyle w:val="a6"/>
          <w:rFonts w:ascii="Times New Roman" w:hAnsi="Times New Roman" w:cs="Times New Roman"/>
        </w:rPr>
        <w:footnoteRef/>
      </w:r>
      <w:r w:rsidRPr="00190AC1">
        <w:rPr>
          <w:rFonts w:ascii="Times New Roman" w:hAnsi="Times New Roman" w:cs="Times New Roman"/>
        </w:rPr>
        <w:t xml:space="preserve"> Критериями выбора систем, участвующих в расчёте показателя РА «Доступность прочих клиентских сервисов» являются:</w:t>
      </w:r>
    </w:p>
    <w:p w14:paraId="21FBFA09" w14:textId="77777777" w:rsidR="00563A55" w:rsidRPr="00190AC1" w:rsidRDefault="00C7171E" w:rsidP="00C91F04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90AC1">
        <w:rPr>
          <w:rFonts w:ascii="Times New Roman" w:hAnsi="Times New Roman" w:cs="Times New Roman"/>
        </w:rPr>
        <w:t>Системы, обеспечивающие клиентские сервисы, значимые для клиентов-физ-лиц /участников торгов/ эмитентов</w:t>
      </w:r>
    </w:p>
    <w:p w14:paraId="54FCB912" w14:textId="3E04D477" w:rsidR="00563A55" w:rsidRPr="00190AC1" w:rsidRDefault="00C7171E" w:rsidP="00C91F04">
      <w:pPr>
        <w:pStyle w:val="a4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190AC1">
        <w:rPr>
          <w:rFonts w:ascii="Times New Roman" w:hAnsi="Times New Roman" w:cs="Times New Roman"/>
        </w:rPr>
        <w:t xml:space="preserve">Системы, обеспечивающие клиентские сервисы, прерывание которых может повлечь за собой репутационные риски </w:t>
      </w:r>
      <w:r w:rsidR="00832919" w:rsidRPr="00190AC1">
        <w:rPr>
          <w:rFonts w:ascii="Times New Roman" w:hAnsi="Times New Roman" w:cs="Times New Roman"/>
        </w:rPr>
        <w:t>вследствие</w:t>
      </w:r>
      <w:r w:rsidRPr="00190AC1">
        <w:rPr>
          <w:rFonts w:ascii="Times New Roman" w:hAnsi="Times New Roman" w:cs="Times New Roman"/>
        </w:rPr>
        <w:t xml:space="preserve"> востребованности клиент</w:t>
      </w:r>
      <w:r w:rsidR="00832919" w:rsidRPr="00190AC1">
        <w:rPr>
          <w:rFonts w:ascii="Times New Roman" w:hAnsi="Times New Roman" w:cs="Times New Roman"/>
        </w:rPr>
        <w:t>ами</w:t>
      </w:r>
      <w:r w:rsidRPr="00190AC1">
        <w:rPr>
          <w:rFonts w:ascii="Times New Roman" w:hAnsi="Times New Roman" w:cs="Times New Roman"/>
        </w:rPr>
        <w:t>-физ-лиц</w:t>
      </w:r>
      <w:r w:rsidR="00832919" w:rsidRPr="00190AC1">
        <w:rPr>
          <w:rFonts w:ascii="Times New Roman" w:hAnsi="Times New Roman" w:cs="Times New Roman"/>
        </w:rPr>
        <w:t>ами</w:t>
      </w:r>
      <w:r w:rsidRPr="00190AC1">
        <w:rPr>
          <w:rFonts w:ascii="Times New Roman" w:hAnsi="Times New Roman" w:cs="Times New Roman"/>
        </w:rPr>
        <w:t xml:space="preserve"> /участник</w:t>
      </w:r>
      <w:r w:rsidR="00832919" w:rsidRPr="00190AC1">
        <w:rPr>
          <w:rFonts w:ascii="Times New Roman" w:hAnsi="Times New Roman" w:cs="Times New Roman"/>
        </w:rPr>
        <w:t>ами</w:t>
      </w:r>
      <w:r w:rsidRPr="00190AC1">
        <w:rPr>
          <w:rFonts w:ascii="Times New Roman" w:hAnsi="Times New Roman" w:cs="Times New Roman"/>
        </w:rPr>
        <w:t xml:space="preserve"> торгов/ эмитент</w:t>
      </w:r>
      <w:r w:rsidR="00832919" w:rsidRPr="00190AC1">
        <w:rPr>
          <w:rFonts w:ascii="Times New Roman" w:hAnsi="Times New Roman" w:cs="Times New Roman"/>
        </w:rPr>
        <w:t>ами.</w:t>
      </w:r>
    </w:p>
  </w:footnote>
  <w:footnote w:id="11">
    <w:p w14:paraId="298F48F4" w14:textId="7712C4BD" w:rsidR="007C032D" w:rsidRPr="00190AC1" w:rsidRDefault="00C7171E" w:rsidP="007C032D">
      <w:pPr>
        <w:pStyle w:val="a4"/>
        <w:jc w:val="both"/>
        <w:rPr>
          <w:rFonts w:ascii="Times New Roman" w:hAnsi="Times New Roman" w:cs="Times New Roman"/>
        </w:rPr>
      </w:pPr>
      <w:r w:rsidRPr="00190AC1">
        <w:rPr>
          <w:rStyle w:val="a6"/>
          <w:rFonts w:ascii="Times New Roman" w:hAnsi="Times New Roman" w:cs="Times New Roman"/>
        </w:rPr>
        <w:footnoteRef/>
      </w:r>
      <w:r w:rsidRPr="00190AC1">
        <w:rPr>
          <w:rFonts w:ascii="Times New Roman" w:hAnsi="Times New Roman" w:cs="Times New Roman"/>
        </w:rPr>
        <w:t xml:space="preserve"> </w:t>
      </w:r>
      <w:r w:rsidR="00EF1AFF" w:rsidRPr="00EF1AFF">
        <w:rPr>
          <w:rFonts w:ascii="Times New Roman" w:hAnsi="Times New Roman" w:cs="Times New Roman"/>
        </w:rPr>
        <w:t>при расчете учитывались показатели доступности для ПАО</w:t>
      </w:r>
      <w:r w:rsidR="003D180A">
        <w:rPr>
          <w:rFonts w:ascii="Times New Roman" w:hAnsi="Times New Roman" w:cs="Times New Roman"/>
        </w:rPr>
        <w:t xml:space="preserve"> Московская биржа</w:t>
      </w:r>
      <w:r w:rsidR="00EF1AFF" w:rsidRPr="00EF1AFF">
        <w:rPr>
          <w:rFonts w:ascii="Times New Roman" w:hAnsi="Times New Roman" w:cs="Times New Roman"/>
        </w:rPr>
        <w:t>: Личных Кабинетов, сайта Московской Биржи, MOEX Treasury, Маркетплейс, оператор</w:t>
      </w:r>
      <w:r w:rsidR="003D180A">
        <w:rPr>
          <w:rFonts w:ascii="Times New Roman" w:hAnsi="Times New Roman" w:cs="Times New Roman"/>
        </w:rPr>
        <w:t>а</w:t>
      </w:r>
      <w:r w:rsidR="00EF1AFF" w:rsidRPr="00EF1AFF">
        <w:rPr>
          <w:rFonts w:ascii="Times New Roman" w:hAnsi="Times New Roman" w:cs="Times New Roman"/>
        </w:rPr>
        <w:t xml:space="preserve"> обмена ЦФА; НКЦ-сервисов взаимодействия с клиентами (Клиринговый терминал, ЭДО, SWIFT</w:t>
      </w:r>
      <w:r w:rsidR="00D6378C" w:rsidRPr="00D6378C">
        <w:rPr>
          <w:rFonts w:ascii="Times New Roman" w:hAnsi="Times New Roman" w:cs="Times New Roman"/>
        </w:rPr>
        <w:t>, СПФС</w:t>
      </w:r>
      <w:r w:rsidR="00EF1AFF" w:rsidRPr="00EF1AFF">
        <w:rPr>
          <w:rFonts w:ascii="Times New Roman" w:hAnsi="Times New Roman" w:cs="Times New Roman"/>
        </w:rPr>
        <w:t>), ТКС СПФИ Навигатор, сайта НКЦ; для НРД - Веб-кабинеты (ДКУ, КД, СУО и Репозитария), НБК, ИШ, РФТ, СПФС, SWIFT и сайт НРД, для НТБ – сайт и личный кабинет при условии, что недоступность системы влечет за собой полную приостановку сервиса и невозможность его оказания альтернативным путем</w:t>
      </w:r>
    </w:p>
  </w:footnote>
  <w:footnote w:id="12">
    <w:p w14:paraId="1A28AFEF" w14:textId="2E2C0936" w:rsidR="00BD58F2" w:rsidRPr="00190AC1" w:rsidRDefault="00C7171E" w:rsidP="00BD58F2">
      <w:pPr>
        <w:pStyle w:val="a4"/>
        <w:jc w:val="both"/>
        <w:rPr>
          <w:rFonts w:ascii="Times New Roman" w:hAnsi="Times New Roman" w:cs="Times New Roman"/>
        </w:rPr>
      </w:pPr>
      <w:r w:rsidRPr="00190AC1">
        <w:rPr>
          <w:rStyle w:val="a6"/>
          <w:rFonts w:ascii="Times New Roman" w:hAnsi="Times New Roman" w:cs="Times New Roman"/>
        </w:rPr>
        <w:footnoteRef/>
      </w:r>
      <w:r w:rsidRPr="00190AC1">
        <w:rPr>
          <w:rFonts w:ascii="Times New Roman" w:hAnsi="Times New Roman" w:cs="Times New Roman"/>
        </w:rPr>
        <w:t xml:space="preserve"> </w:t>
      </w:r>
      <w:r w:rsidR="007046E6" w:rsidRPr="00190AC1">
        <w:rPr>
          <w:rFonts w:ascii="Times New Roman" w:hAnsi="Times New Roman" w:cs="Times New Roman"/>
        </w:rPr>
        <w:t>Убытки</w:t>
      </w:r>
      <w:r w:rsidRPr="00190AC1">
        <w:rPr>
          <w:rFonts w:ascii="Times New Roman" w:hAnsi="Times New Roman" w:cs="Times New Roman"/>
        </w:rPr>
        <w:t>, зафиксированные на счетах бухгалтерского учета в текущем периоде по СОР, относящиеся к прошлому отчетному периоду, учитывается в показателях риск-аппетита того отчетного периода, к которому относится СОР. При этом Отчет предыдущего отчетного периода не переутверждается. Информация об изменениях, оказавших влияние на риск-аппетит прошлого отчетного периода, включается в отчет текущего периода и утверждается уполномоченным коллегиальных органом в текущем отчете.</w:t>
      </w:r>
      <w:r w:rsidR="00B37AE0" w:rsidRPr="00B37AE0">
        <w:rPr>
          <w:rFonts w:ascii="Times New Roman" w:hAnsi="Times New Roman" w:cs="Times New Roman"/>
        </w:rPr>
        <w:t xml:space="preserve"> </w:t>
      </w:r>
      <w:r w:rsidR="00B37AE0" w:rsidRPr="00876DD3">
        <w:rPr>
          <w:rFonts w:ascii="Times New Roman" w:hAnsi="Times New Roman" w:cs="Times New Roman"/>
        </w:rPr>
        <w:t>В показатель включаются потери от реализации нефинансовых рисков, не попадающие в значения потерь по правовому, регуляторному и налоговому риску</w:t>
      </w:r>
      <w:r w:rsidR="00B37AE0">
        <w:rPr>
          <w:rFonts w:ascii="Times New Roman" w:hAnsi="Times New Roman" w:cs="Times New Roman"/>
        </w:rPr>
        <w:t>.</w:t>
      </w:r>
    </w:p>
  </w:footnote>
  <w:footnote w:id="13">
    <w:p w14:paraId="0F4EE3F6" w14:textId="6009F58A" w:rsidR="005F0A73" w:rsidRDefault="005F0A73">
      <w:pPr>
        <w:pStyle w:val="a4"/>
      </w:pPr>
      <w:r>
        <w:rPr>
          <w:rStyle w:val="a6"/>
        </w:rPr>
        <w:footnoteRef/>
      </w:r>
      <w:r>
        <w:t xml:space="preserve"> </w:t>
      </w:r>
      <w:r w:rsidRPr="000025F0">
        <w:rPr>
          <w:rFonts w:ascii="Times New Roman" w:hAnsi="Times New Roman" w:cs="Times New Roman"/>
          <w:sz w:val="18"/>
          <w:szCs w:val="18"/>
        </w:rPr>
        <w:t>присвоенный аккредитованным Банком России кредитным рейтинговым агентством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  <w:footnote w:id="14">
    <w:p w14:paraId="090491C6" w14:textId="0EEA8531" w:rsidR="00B7052C" w:rsidRPr="00190AC1" w:rsidRDefault="00C7171E" w:rsidP="00F45630">
      <w:pPr>
        <w:pStyle w:val="a4"/>
        <w:jc w:val="both"/>
        <w:rPr>
          <w:rFonts w:ascii="Times New Roman" w:hAnsi="Times New Roman" w:cs="Times New Roman"/>
        </w:rPr>
      </w:pPr>
      <w:r w:rsidRPr="00190AC1">
        <w:rPr>
          <w:rStyle w:val="a6"/>
          <w:rFonts w:ascii="Times New Roman" w:hAnsi="Times New Roman" w:cs="Times New Roman"/>
        </w:rPr>
        <w:footnoteRef/>
      </w:r>
      <w:r w:rsidRPr="00190AC1">
        <w:rPr>
          <w:rFonts w:ascii="Times New Roman" w:hAnsi="Times New Roman" w:cs="Times New Roman"/>
        </w:rPr>
        <w:t xml:space="preserve"> В силу специфики комплаенс-риска параметры риск-аппетита устанавливаются по областям комплаенс: лицензируемая деятельность, ПОД/ФТ, </w:t>
      </w:r>
      <w:r w:rsidRPr="00190AC1">
        <w:rPr>
          <w:rFonts w:ascii="Times New Roman" w:hAnsi="Times New Roman" w:cs="Times New Roman"/>
          <w:lang w:val="en-US"/>
        </w:rPr>
        <w:t>FATCA</w:t>
      </w:r>
      <w:r w:rsidRPr="00190AC1">
        <w:rPr>
          <w:rFonts w:ascii="Times New Roman" w:hAnsi="Times New Roman" w:cs="Times New Roman"/>
        </w:rPr>
        <w:t>/</w:t>
      </w:r>
      <w:r w:rsidRPr="00190AC1">
        <w:rPr>
          <w:rFonts w:ascii="Times New Roman" w:hAnsi="Times New Roman" w:cs="Times New Roman"/>
          <w:lang w:val="en-US"/>
        </w:rPr>
        <w:t>CRS</w:t>
      </w:r>
      <w:r w:rsidRPr="00190AC1">
        <w:rPr>
          <w:rFonts w:ascii="Times New Roman" w:hAnsi="Times New Roman" w:cs="Times New Roman"/>
        </w:rPr>
        <w:t>, противодействие инсайду и манипулированию, этика/конфликт интересов</w:t>
      </w:r>
      <w:r w:rsidR="003D180A">
        <w:rPr>
          <w:rFonts w:ascii="Times New Roman" w:hAnsi="Times New Roman" w:cs="Times New Roman"/>
        </w:rPr>
        <w:t>, э</w:t>
      </w:r>
      <w:r w:rsidR="003D180A" w:rsidRPr="003D180A">
        <w:rPr>
          <w:rFonts w:ascii="Times New Roman" w:hAnsi="Times New Roman" w:cs="Times New Roman"/>
        </w:rPr>
        <w:t>кономические ограничения</w:t>
      </w:r>
      <w:r w:rsidRPr="00190AC1">
        <w:rPr>
          <w:rFonts w:ascii="Times New Roman" w:hAnsi="Times New Roman" w:cs="Times New Roman"/>
        </w:rPr>
        <w:t>. При этом выделяются зоны с нулевой толерантностью к риску: санкции и коррупция.</w:t>
      </w:r>
    </w:p>
  </w:footnote>
  <w:footnote w:id="15">
    <w:p w14:paraId="10402E5A" w14:textId="1578559F" w:rsidR="00B7052C" w:rsidRPr="00190AC1" w:rsidRDefault="00C7171E" w:rsidP="006E1E03">
      <w:pPr>
        <w:pStyle w:val="a4"/>
        <w:jc w:val="both"/>
        <w:rPr>
          <w:rFonts w:ascii="Times New Roman" w:hAnsi="Times New Roman" w:cs="Times New Roman"/>
        </w:rPr>
      </w:pPr>
      <w:r w:rsidRPr="00190AC1">
        <w:rPr>
          <w:rStyle w:val="a6"/>
          <w:rFonts w:ascii="Times New Roman" w:hAnsi="Times New Roman" w:cs="Times New Roman"/>
        </w:rPr>
        <w:footnoteRef/>
      </w:r>
      <w:r w:rsidRPr="00190AC1">
        <w:rPr>
          <w:rFonts w:ascii="Times New Roman" w:hAnsi="Times New Roman" w:cs="Times New Roman"/>
        </w:rPr>
        <w:t xml:space="preserve"> В соответствии с критериями существенности последствий согласно «Основным подходам к управлению комплаенс-рисками ПАО Московская Биржа», к которым может привести реализация комплаенс рисков, в целях признания таких рисков имеющими влияние на риск-аппетит.</w:t>
      </w:r>
    </w:p>
  </w:footnote>
  <w:footnote w:id="16">
    <w:p w14:paraId="249F00C4" w14:textId="30E9C1F0" w:rsidR="00B7052C" w:rsidRPr="00190AC1" w:rsidRDefault="00C7171E" w:rsidP="002D48D9">
      <w:pPr>
        <w:pStyle w:val="a4"/>
        <w:jc w:val="both"/>
        <w:rPr>
          <w:rFonts w:ascii="Times New Roman" w:hAnsi="Times New Roman" w:cs="Times New Roman"/>
        </w:rPr>
      </w:pPr>
      <w:r w:rsidRPr="00190AC1">
        <w:rPr>
          <w:rStyle w:val="a6"/>
          <w:rFonts w:ascii="Times New Roman" w:hAnsi="Times New Roman" w:cs="Times New Roman"/>
        </w:rPr>
        <w:footnoteRef/>
      </w:r>
      <w:r w:rsidRPr="00190AC1">
        <w:rPr>
          <w:rFonts w:ascii="Times New Roman" w:hAnsi="Times New Roman" w:cs="Times New Roman"/>
        </w:rPr>
        <w:t xml:space="preserve"> В соответствии с критериями существенности последствий согласно «Основным подходам к управлению комплаенс-рисками ПАО Московская Биржа», к которым может привести реализация комплаенс рисков, в целях признания таких рисков имеющими влияние на риск-аппетит.</w:t>
      </w:r>
    </w:p>
  </w:footnote>
  <w:footnote w:id="17">
    <w:p w14:paraId="63857210" w14:textId="54054905" w:rsidR="00B7052C" w:rsidRPr="00190AC1" w:rsidRDefault="00C7171E" w:rsidP="0071024B">
      <w:pPr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  <w:r w:rsidRPr="00190AC1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190AC1">
        <w:rPr>
          <w:rFonts w:ascii="Times New Roman" w:hAnsi="Times New Roman" w:cs="Times New Roman"/>
          <w:sz w:val="20"/>
          <w:szCs w:val="20"/>
        </w:rPr>
        <w:t xml:space="preserve"> Если на протяжении предыдущих 12 месяцев у данных клиентов наблюдалась непрерывная активность (т.е. в каждом месяце фиксировались сделки). В расчете не учитывается группа клиентов с эпизодическими, но очень крупными операциями (например, разовое участие в операциях выкупа/размещения).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6F0E4" w14:textId="77777777" w:rsidR="003E05A7" w:rsidRPr="00C35F6C" w:rsidRDefault="00C7171E" w:rsidP="003C0CFF">
    <w:pPr>
      <w:pStyle w:val="ac"/>
      <w:jc w:val="right"/>
      <w:rPr>
        <w:rFonts w:ascii="Times New Roman" w:hAnsi="Times New Roman" w:cs="Times New Roman"/>
        <w:i/>
        <w:sz w:val="20"/>
        <w:szCs w:val="18"/>
      </w:rPr>
    </w:pPr>
    <w:r w:rsidRPr="00C35F6C">
      <w:rPr>
        <w:rFonts w:ascii="Times New Roman" w:hAnsi="Times New Roman" w:cs="Times New Roman"/>
        <w:i/>
        <w:sz w:val="20"/>
        <w:szCs w:val="18"/>
      </w:rPr>
      <w:t>Методика опре</w:t>
    </w:r>
    <w:r>
      <w:rPr>
        <w:rFonts w:ascii="Times New Roman" w:hAnsi="Times New Roman" w:cs="Times New Roman"/>
        <w:i/>
        <w:sz w:val="20"/>
        <w:szCs w:val="18"/>
      </w:rPr>
      <w:t>деления контрольных показателей</w:t>
    </w:r>
    <w:r w:rsidRPr="00C35F6C">
      <w:rPr>
        <w:rFonts w:ascii="Times New Roman" w:hAnsi="Times New Roman" w:cs="Times New Roman"/>
        <w:i/>
        <w:sz w:val="20"/>
        <w:szCs w:val="18"/>
      </w:rPr>
      <w:t xml:space="preserve"> риск-аппетита </w:t>
    </w:r>
    <w:r>
      <w:rPr>
        <w:rFonts w:ascii="Times New Roman" w:hAnsi="Times New Roman" w:cs="Times New Roman"/>
        <w:i/>
        <w:sz w:val="20"/>
        <w:szCs w:val="18"/>
      </w:rPr>
      <w:t>ПАО</w:t>
    </w:r>
    <w:r w:rsidRPr="00C35F6C">
      <w:rPr>
        <w:rFonts w:ascii="Times New Roman" w:hAnsi="Times New Roman" w:cs="Times New Roman"/>
        <w:i/>
        <w:sz w:val="20"/>
        <w:szCs w:val="18"/>
      </w:rPr>
      <w:t xml:space="preserve"> Московская</w:t>
    </w:r>
    <w:r>
      <w:rPr>
        <w:rFonts w:ascii="Times New Roman" w:hAnsi="Times New Roman" w:cs="Times New Roman"/>
        <w:i/>
        <w:sz w:val="20"/>
        <w:szCs w:val="18"/>
      </w:rPr>
      <w:t xml:space="preserve"> Биржа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C7F"/>
    <w:multiLevelType w:val="multilevel"/>
    <w:tmpl w:val="7BA4A2D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3438BB"/>
    <w:multiLevelType w:val="hybridMultilevel"/>
    <w:tmpl w:val="C51ECBE2"/>
    <w:lvl w:ilvl="0" w:tplc="011A9C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EDE882B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520733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D5EB16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E90676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6ACB44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814B42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82E230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336E68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C37645"/>
    <w:multiLevelType w:val="hybridMultilevel"/>
    <w:tmpl w:val="EB76BDB0"/>
    <w:lvl w:ilvl="0" w:tplc="69425F36">
      <w:start w:val="1"/>
      <w:numFmt w:val="decimal"/>
      <w:lvlText w:val="(%1)"/>
      <w:lvlJc w:val="left"/>
      <w:pPr>
        <w:ind w:left="603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6A48"/>
    <w:multiLevelType w:val="hybridMultilevel"/>
    <w:tmpl w:val="6AAA9BDC"/>
    <w:lvl w:ilvl="0" w:tplc="050E3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A848B0" w:tentative="1">
      <w:start w:val="1"/>
      <w:numFmt w:val="lowerLetter"/>
      <w:lvlText w:val="%2."/>
      <w:lvlJc w:val="left"/>
      <w:pPr>
        <w:ind w:left="1440" w:hanging="360"/>
      </w:pPr>
    </w:lvl>
    <w:lvl w:ilvl="2" w:tplc="D5303A12" w:tentative="1">
      <w:start w:val="1"/>
      <w:numFmt w:val="lowerRoman"/>
      <w:lvlText w:val="%3."/>
      <w:lvlJc w:val="right"/>
      <w:pPr>
        <w:ind w:left="2160" w:hanging="180"/>
      </w:pPr>
    </w:lvl>
    <w:lvl w:ilvl="3" w:tplc="425AD022" w:tentative="1">
      <w:start w:val="1"/>
      <w:numFmt w:val="decimal"/>
      <w:lvlText w:val="%4."/>
      <w:lvlJc w:val="left"/>
      <w:pPr>
        <w:ind w:left="2880" w:hanging="360"/>
      </w:pPr>
    </w:lvl>
    <w:lvl w:ilvl="4" w:tplc="5D90B60E" w:tentative="1">
      <w:start w:val="1"/>
      <w:numFmt w:val="lowerLetter"/>
      <w:lvlText w:val="%5."/>
      <w:lvlJc w:val="left"/>
      <w:pPr>
        <w:ind w:left="3600" w:hanging="360"/>
      </w:pPr>
    </w:lvl>
    <w:lvl w:ilvl="5" w:tplc="D7CC4520" w:tentative="1">
      <w:start w:val="1"/>
      <w:numFmt w:val="lowerRoman"/>
      <w:lvlText w:val="%6."/>
      <w:lvlJc w:val="right"/>
      <w:pPr>
        <w:ind w:left="4320" w:hanging="180"/>
      </w:pPr>
    </w:lvl>
    <w:lvl w:ilvl="6" w:tplc="4A96AC0E" w:tentative="1">
      <w:start w:val="1"/>
      <w:numFmt w:val="decimal"/>
      <w:lvlText w:val="%7."/>
      <w:lvlJc w:val="left"/>
      <w:pPr>
        <w:ind w:left="5040" w:hanging="360"/>
      </w:pPr>
    </w:lvl>
    <w:lvl w:ilvl="7" w:tplc="25381A50" w:tentative="1">
      <w:start w:val="1"/>
      <w:numFmt w:val="lowerLetter"/>
      <w:lvlText w:val="%8."/>
      <w:lvlJc w:val="left"/>
      <w:pPr>
        <w:ind w:left="5760" w:hanging="360"/>
      </w:pPr>
    </w:lvl>
    <w:lvl w:ilvl="8" w:tplc="D7AA2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A3710"/>
    <w:multiLevelType w:val="hybridMultilevel"/>
    <w:tmpl w:val="41D85638"/>
    <w:lvl w:ilvl="0" w:tplc="DBE8035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9C4117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2880F2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11EB64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A9CDC0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7466EA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D62041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67ABCB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E9871F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A64212"/>
    <w:multiLevelType w:val="hybridMultilevel"/>
    <w:tmpl w:val="41D85638"/>
    <w:lvl w:ilvl="0" w:tplc="006445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9E2A66A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FC0D67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B12F4D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FB8882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CF4908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E4A4A3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2087B7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D30E53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8A35F1"/>
    <w:multiLevelType w:val="hybridMultilevel"/>
    <w:tmpl w:val="C4522A00"/>
    <w:lvl w:ilvl="0" w:tplc="E28E1A8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7426F6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AB0268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7E88E3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2209D5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2D4C5C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BB4213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468E1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89CE04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EAE2A36"/>
    <w:multiLevelType w:val="hybridMultilevel"/>
    <w:tmpl w:val="568A729A"/>
    <w:lvl w:ilvl="0" w:tplc="87B4AB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AE660C4" w:tentative="1">
      <w:start w:val="1"/>
      <w:numFmt w:val="lowerLetter"/>
      <w:lvlText w:val="%2."/>
      <w:lvlJc w:val="left"/>
      <w:pPr>
        <w:ind w:left="1440" w:hanging="360"/>
      </w:pPr>
    </w:lvl>
    <w:lvl w:ilvl="2" w:tplc="B2609F76" w:tentative="1">
      <w:start w:val="1"/>
      <w:numFmt w:val="lowerRoman"/>
      <w:lvlText w:val="%3."/>
      <w:lvlJc w:val="right"/>
      <w:pPr>
        <w:ind w:left="2160" w:hanging="180"/>
      </w:pPr>
    </w:lvl>
    <w:lvl w:ilvl="3" w:tplc="0BD8E2DA" w:tentative="1">
      <w:start w:val="1"/>
      <w:numFmt w:val="decimal"/>
      <w:lvlText w:val="%4."/>
      <w:lvlJc w:val="left"/>
      <w:pPr>
        <w:ind w:left="2880" w:hanging="360"/>
      </w:pPr>
    </w:lvl>
    <w:lvl w:ilvl="4" w:tplc="6158D638" w:tentative="1">
      <w:start w:val="1"/>
      <w:numFmt w:val="lowerLetter"/>
      <w:lvlText w:val="%5."/>
      <w:lvlJc w:val="left"/>
      <w:pPr>
        <w:ind w:left="3600" w:hanging="360"/>
      </w:pPr>
    </w:lvl>
    <w:lvl w:ilvl="5" w:tplc="9C701D3E" w:tentative="1">
      <w:start w:val="1"/>
      <w:numFmt w:val="lowerRoman"/>
      <w:lvlText w:val="%6."/>
      <w:lvlJc w:val="right"/>
      <w:pPr>
        <w:ind w:left="4320" w:hanging="180"/>
      </w:pPr>
    </w:lvl>
    <w:lvl w:ilvl="6" w:tplc="49080940" w:tentative="1">
      <w:start w:val="1"/>
      <w:numFmt w:val="decimal"/>
      <w:lvlText w:val="%7."/>
      <w:lvlJc w:val="left"/>
      <w:pPr>
        <w:ind w:left="5040" w:hanging="360"/>
      </w:pPr>
    </w:lvl>
    <w:lvl w:ilvl="7" w:tplc="34A4FDE6" w:tentative="1">
      <w:start w:val="1"/>
      <w:numFmt w:val="lowerLetter"/>
      <w:lvlText w:val="%8."/>
      <w:lvlJc w:val="left"/>
      <w:pPr>
        <w:ind w:left="5760" w:hanging="360"/>
      </w:pPr>
    </w:lvl>
    <w:lvl w:ilvl="8" w:tplc="1FF67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A14F2"/>
    <w:multiLevelType w:val="hybridMultilevel"/>
    <w:tmpl w:val="41D85638"/>
    <w:lvl w:ilvl="0" w:tplc="15E8B36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8F2883B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B52F36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130D36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30AE1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AC6A4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6BC49B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368A83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A8835A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19E71F9"/>
    <w:multiLevelType w:val="hybridMultilevel"/>
    <w:tmpl w:val="FB906B66"/>
    <w:lvl w:ilvl="0" w:tplc="9C8AF6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E8830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5CE00E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542FC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57C0E3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4D0046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5F2A2B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2A67B2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3B0708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B61021"/>
    <w:multiLevelType w:val="hybridMultilevel"/>
    <w:tmpl w:val="C4522A00"/>
    <w:lvl w:ilvl="0" w:tplc="6E7C14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DDB4C64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AA41FF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DEE41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FDAD1E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AFC465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736037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BC4B0D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1AAA36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0BB3EF8"/>
    <w:multiLevelType w:val="hybridMultilevel"/>
    <w:tmpl w:val="C51ECBE2"/>
    <w:lvl w:ilvl="0" w:tplc="7CE02E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DD36EDD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760A9C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9766C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8FE375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6B062B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CE0B30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080891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6EC29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835E02"/>
    <w:multiLevelType w:val="hybridMultilevel"/>
    <w:tmpl w:val="9620C3C8"/>
    <w:lvl w:ilvl="0" w:tplc="1D7A48A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741CE7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7B0E9D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BEC35A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7686788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7149BC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404628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C92C2A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B0CFC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5594EE2"/>
    <w:multiLevelType w:val="hybridMultilevel"/>
    <w:tmpl w:val="41D85638"/>
    <w:lvl w:ilvl="0" w:tplc="6D34C7B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BD29EC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2F0517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CC6025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D461CC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F82666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E0E431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A48990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07835B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3E0A0A"/>
    <w:multiLevelType w:val="hybridMultilevel"/>
    <w:tmpl w:val="C4522A00"/>
    <w:lvl w:ilvl="0" w:tplc="81FC0A0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740872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0BEAD4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C0C26B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0D4B07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DC2F08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CB267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BD6CFA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0A05A3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8C1112"/>
    <w:multiLevelType w:val="hybridMultilevel"/>
    <w:tmpl w:val="C51ECBE2"/>
    <w:lvl w:ilvl="0" w:tplc="94B21FD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1BDE817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212AFA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7E6AF5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B9CF62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54427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28AEA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758C5E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428829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4D44786"/>
    <w:multiLevelType w:val="hybridMultilevel"/>
    <w:tmpl w:val="C4522A00"/>
    <w:lvl w:ilvl="0" w:tplc="A12A37B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D4929FF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00A565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F4E6CA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B98818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8264F4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ECAC5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9E7A7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CEA80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2D1075"/>
    <w:multiLevelType w:val="hybridMultilevel"/>
    <w:tmpl w:val="25F44738"/>
    <w:lvl w:ilvl="0" w:tplc="D2DE1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818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F09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186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075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08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F87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AC9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885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17019"/>
    <w:multiLevelType w:val="hybridMultilevel"/>
    <w:tmpl w:val="C4522A00"/>
    <w:lvl w:ilvl="0" w:tplc="7D000CD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973EA3D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D3899F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428035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FF6661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0CC555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BB0924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1107BE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C92CA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E66EB7"/>
    <w:multiLevelType w:val="hybridMultilevel"/>
    <w:tmpl w:val="C4522A00"/>
    <w:lvl w:ilvl="0" w:tplc="EF28700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E362D64E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016AD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B669B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CCE8D30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6EE5BC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DC2E9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B48D80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17CE3E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ED124D"/>
    <w:multiLevelType w:val="hybridMultilevel"/>
    <w:tmpl w:val="C4522A00"/>
    <w:lvl w:ilvl="0" w:tplc="F774C3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84286CA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6F8712A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8FC7F6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2EA55E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E82181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E1E7F3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F1C5F2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37416D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5F11F1D"/>
    <w:multiLevelType w:val="hybridMultilevel"/>
    <w:tmpl w:val="5FBC37B2"/>
    <w:lvl w:ilvl="0" w:tplc="8BCCA98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570E278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496C228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FF41D6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37AA0B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AC63C2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3CEBEF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A22CF8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224213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82E027A"/>
    <w:multiLevelType w:val="multilevel"/>
    <w:tmpl w:val="5E88E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FA3CDF"/>
    <w:multiLevelType w:val="hybridMultilevel"/>
    <w:tmpl w:val="C4522A00"/>
    <w:lvl w:ilvl="0" w:tplc="BB8216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C8C6EA8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A14E25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5D85496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658706C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C98E65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D29DC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98C4D1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438E1A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BB036E"/>
    <w:multiLevelType w:val="hybridMultilevel"/>
    <w:tmpl w:val="C4522A00"/>
    <w:lvl w:ilvl="0" w:tplc="51BAA94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A26201B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1DA1AD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0C4CF6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444B7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BD89CB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6387EC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BD6244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7D2BA6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6E4624"/>
    <w:multiLevelType w:val="hybridMultilevel"/>
    <w:tmpl w:val="4454A53C"/>
    <w:lvl w:ilvl="0" w:tplc="CACECE40">
      <w:start w:val="1"/>
      <w:numFmt w:val="decimal"/>
      <w:lvlText w:val="(%1)"/>
      <w:lvlJc w:val="left"/>
      <w:pPr>
        <w:ind w:left="789" w:hanging="360"/>
      </w:pPr>
      <w:rPr>
        <w:rFonts w:hint="default"/>
      </w:rPr>
    </w:lvl>
    <w:lvl w:ilvl="1" w:tplc="E6F04110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60A87332" w:tentative="1">
      <w:start w:val="1"/>
      <w:numFmt w:val="lowerRoman"/>
      <w:lvlText w:val="%3."/>
      <w:lvlJc w:val="right"/>
      <w:pPr>
        <w:ind w:left="2160" w:hanging="180"/>
      </w:pPr>
    </w:lvl>
    <w:lvl w:ilvl="3" w:tplc="E628367A" w:tentative="1">
      <w:start w:val="1"/>
      <w:numFmt w:val="decimal"/>
      <w:lvlText w:val="%4."/>
      <w:lvlJc w:val="left"/>
      <w:pPr>
        <w:ind w:left="2880" w:hanging="360"/>
      </w:pPr>
    </w:lvl>
    <w:lvl w:ilvl="4" w:tplc="51465954" w:tentative="1">
      <w:start w:val="1"/>
      <w:numFmt w:val="lowerLetter"/>
      <w:lvlText w:val="%5."/>
      <w:lvlJc w:val="left"/>
      <w:pPr>
        <w:ind w:left="3600" w:hanging="360"/>
      </w:pPr>
    </w:lvl>
    <w:lvl w:ilvl="5" w:tplc="46326988" w:tentative="1">
      <w:start w:val="1"/>
      <w:numFmt w:val="lowerRoman"/>
      <w:lvlText w:val="%6."/>
      <w:lvlJc w:val="right"/>
      <w:pPr>
        <w:ind w:left="4320" w:hanging="180"/>
      </w:pPr>
    </w:lvl>
    <w:lvl w:ilvl="6" w:tplc="14B2718A" w:tentative="1">
      <w:start w:val="1"/>
      <w:numFmt w:val="decimal"/>
      <w:lvlText w:val="%7."/>
      <w:lvlJc w:val="left"/>
      <w:pPr>
        <w:ind w:left="5040" w:hanging="360"/>
      </w:pPr>
    </w:lvl>
    <w:lvl w:ilvl="7" w:tplc="35F0C9AA" w:tentative="1">
      <w:start w:val="1"/>
      <w:numFmt w:val="lowerLetter"/>
      <w:lvlText w:val="%8."/>
      <w:lvlJc w:val="left"/>
      <w:pPr>
        <w:ind w:left="5760" w:hanging="360"/>
      </w:pPr>
    </w:lvl>
    <w:lvl w:ilvl="8" w:tplc="FA3EA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85B18"/>
    <w:multiLevelType w:val="hybridMultilevel"/>
    <w:tmpl w:val="C4522A00"/>
    <w:lvl w:ilvl="0" w:tplc="3196CC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3B46424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04A88F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B60F73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DA4028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A50725E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24C17F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A6E87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436468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2"/>
  </w:num>
  <w:num w:numId="4">
    <w:abstractNumId w:val="0"/>
  </w:num>
  <w:num w:numId="5">
    <w:abstractNumId w:val="12"/>
  </w:num>
  <w:num w:numId="6">
    <w:abstractNumId w:val="26"/>
  </w:num>
  <w:num w:numId="7">
    <w:abstractNumId w:val="20"/>
  </w:num>
  <w:num w:numId="8">
    <w:abstractNumId w:val="3"/>
  </w:num>
  <w:num w:numId="9">
    <w:abstractNumId w:val="18"/>
  </w:num>
  <w:num w:numId="10">
    <w:abstractNumId w:val="9"/>
  </w:num>
  <w:num w:numId="11">
    <w:abstractNumId w:val="13"/>
  </w:num>
  <w:num w:numId="12">
    <w:abstractNumId w:val="24"/>
  </w:num>
  <w:num w:numId="13">
    <w:abstractNumId w:val="8"/>
  </w:num>
  <w:num w:numId="14">
    <w:abstractNumId w:val="4"/>
  </w:num>
  <w:num w:numId="15">
    <w:abstractNumId w:val="14"/>
  </w:num>
  <w:num w:numId="16">
    <w:abstractNumId w:val="16"/>
  </w:num>
  <w:num w:numId="17">
    <w:abstractNumId w:val="5"/>
  </w:num>
  <w:num w:numId="18">
    <w:abstractNumId w:val="21"/>
  </w:num>
  <w:num w:numId="19">
    <w:abstractNumId w:val="19"/>
  </w:num>
  <w:num w:numId="20">
    <w:abstractNumId w:val="7"/>
  </w:num>
  <w:num w:numId="21">
    <w:abstractNumId w:val="15"/>
  </w:num>
  <w:num w:numId="22">
    <w:abstractNumId w:val="1"/>
  </w:num>
  <w:num w:numId="23">
    <w:abstractNumId w:val="11"/>
  </w:num>
  <w:num w:numId="24">
    <w:abstractNumId w:val="6"/>
  </w:num>
  <w:num w:numId="25">
    <w:abstractNumId w:val="10"/>
  </w:num>
  <w:num w:numId="26">
    <w:abstractNumId w:val="23"/>
  </w:num>
  <w:num w:numId="27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CB1"/>
    <w:rsid w:val="00001ACE"/>
    <w:rsid w:val="00033C2E"/>
    <w:rsid w:val="00054953"/>
    <w:rsid w:val="00057B45"/>
    <w:rsid w:val="00071215"/>
    <w:rsid w:val="000767D0"/>
    <w:rsid w:val="00077E40"/>
    <w:rsid w:val="000805B5"/>
    <w:rsid w:val="00083945"/>
    <w:rsid w:val="0008471A"/>
    <w:rsid w:val="00094522"/>
    <w:rsid w:val="000A3950"/>
    <w:rsid w:val="000B3BB6"/>
    <w:rsid w:val="000C2D19"/>
    <w:rsid w:val="000D5244"/>
    <w:rsid w:val="000E324D"/>
    <w:rsid w:val="000E38E2"/>
    <w:rsid w:val="000F75A7"/>
    <w:rsid w:val="00111638"/>
    <w:rsid w:val="001129EE"/>
    <w:rsid w:val="00121218"/>
    <w:rsid w:val="00123261"/>
    <w:rsid w:val="00141B57"/>
    <w:rsid w:val="00142338"/>
    <w:rsid w:val="00146632"/>
    <w:rsid w:val="00147F93"/>
    <w:rsid w:val="00152A33"/>
    <w:rsid w:val="00155ACA"/>
    <w:rsid w:val="0016299E"/>
    <w:rsid w:val="00164E67"/>
    <w:rsid w:val="001741B4"/>
    <w:rsid w:val="001777F7"/>
    <w:rsid w:val="0018515C"/>
    <w:rsid w:val="00190AC1"/>
    <w:rsid w:val="00192FA7"/>
    <w:rsid w:val="0019681E"/>
    <w:rsid w:val="001B2A03"/>
    <w:rsid w:val="001B6DCC"/>
    <w:rsid w:val="001D6086"/>
    <w:rsid w:val="001D6A80"/>
    <w:rsid w:val="001E0D9A"/>
    <w:rsid w:val="001F0EAD"/>
    <w:rsid w:val="001F1A7D"/>
    <w:rsid w:val="001F5010"/>
    <w:rsid w:val="00207E20"/>
    <w:rsid w:val="00221D97"/>
    <w:rsid w:val="00221EAA"/>
    <w:rsid w:val="00230C54"/>
    <w:rsid w:val="0023267B"/>
    <w:rsid w:val="00244464"/>
    <w:rsid w:val="002513E2"/>
    <w:rsid w:val="00253A6C"/>
    <w:rsid w:val="00255EB7"/>
    <w:rsid w:val="00261A57"/>
    <w:rsid w:val="0026450D"/>
    <w:rsid w:val="00292DE8"/>
    <w:rsid w:val="00293FC7"/>
    <w:rsid w:val="002A23FD"/>
    <w:rsid w:val="002A392E"/>
    <w:rsid w:val="002C4CC1"/>
    <w:rsid w:val="002D0428"/>
    <w:rsid w:val="002D48D9"/>
    <w:rsid w:val="002D5606"/>
    <w:rsid w:val="002D5633"/>
    <w:rsid w:val="002E145E"/>
    <w:rsid w:val="0031640A"/>
    <w:rsid w:val="003510C6"/>
    <w:rsid w:val="00354758"/>
    <w:rsid w:val="003609A1"/>
    <w:rsid w:val="0036170A"/>
    <w:rsid w:val="0036789B"/>
    <w:rsid w:val="0037484A"/>
    <w:rsid w:val="003801F3"/>
    <w:rsid w:val="00391C64"/>
    <w:rsid w:val="00393551"/>
    <w:rsid w:val="0039603B"/>
    <w:rsid w:val="003B03D8"/>
    <w:rsid w:val="003B3F63"/>
    <w:rsid w:val="003B49F8"/>
    <w:rsid w:val="003C0CFF"/>
    <w:rsid w:val="003C6786"/>
    <w:rsid w:val="003C7FEB"/>
    <w:rsid w:val="003D180A"/>
    <w:rsid w:val="003E05A7"/>
    <w:rsid w:val="003E1051"/>
    <w:rsid w:val="003E1C0B"/>
    <w:rsid w:val="003E670F"/>
    <w:rsid w:val="003F4584"/>
    <w:rsid w:val="00405D16"/>
    <w:rsid w:val="00411BD1"/>
    <w:rsid w:val="004126B7"/>
    <w:rsid w:val="00416C02"/>
    <w:rsid w:val="00417577"/>
    <w:rsid w:val="00435C02"/>
    <w:rsid w:val="00451831"/>
    <w:rsid w:val="00452604"/>
    <w:rsid w:val="00454AFC"/>
    <w:rsid w:val="0048758C"/>
    <w:rsid w:val="00492ED8"/>
    <w:rsid w:val="004A416B"/>
    <w:rsid w:val="004B16FE"/>
    <w:rsid w:val="004C55D7"/>
    <w:rsid w:val="004D10E2"/>
    <w:rsid w:val="004E441E"/>
    <w:rsid w:val="004E6F4B"/>
    <w:rsid w:val="004F4808"/>
    <w:rsid w:val="004F7BEA"/>
    <w:rsid w:val="00506B2F"/>
    <w:rsid w:val="00517E4E"/>
    <w:rsid w:val="00522B0C"/>
    <w:rsid w:val="00527EB3"/>
    <w:rsid w:val="00540B39"/>
    <w:rsid w:val="00563A55"/>
    <w:rsid w:val="00571CDD"/>
    <w:rsid w:val="005857AC"/>
    <w:rsid w:val="00592070"/>
    <w:rsid w:val="0059213C"/>
    <w:rsid w:val="005B02CE"/>
    <w:rsid w:val="005B17E8"/>
    <w:rsid w:val="005B6D87"/>
    <w:rsid w:val="005D1695"/>
    <w:rsid w:val="005D7581"/>
    <w:rsid w:val="005F0A73"/>
    <w:rsid w:val="005F337C"/>
    <w:rsid w:val="00604A77"/>
    <w:rsid w:val="0060705B"/>
    <w:rsid w:val="00607B4C"/>
    <w:rsid w:val="00617C8C"/>
    <w:rsid w:val="0063404C"/>
    <w:rsid w:val="00642CB1"/>
    <w:rsid w:val="00651E5D"/>
    <w:rsid w:val="00653509"/>
    <w:rsid w:val="00660065"/>
    <w:rsid w:val="00666CB4"/>
    <w:rsid w:val="00676C0D"/>
    <w:rsid w:val="00685D5C"/>
    <w:rsid w:val="00690289"/>
    <w:rsid w:val="00694C72"/>
    <w:rsid w:val="006E1685"/>
    <w:rsid w:val="006E1E03"/>
    <w:rsid w:val="006E6422"/>
    <w:rsid w:val="006E6E69"/>
    <w:rsid w:val="00703272"/>
    <w:rsid w:val="007046E6"/>
    <w:rsid w:val="0071024B"/>
    <w:rsid w:val="00711E12"/>
    <w:rsid w:val="00724F8F"/>
    <w:rsid w:val="00744A71"/>
    <w:rsid w:val="00767A90"/>
    <w:rsid w:val="00785AD7"/>
    <w:rsid w:val="007A5C43"/>
    <w:rsid w:val="007B7DCA"/>
    <w:rsid w:val="007C032D"/>
    <w:rsid w:val="007C3BA2"/>
    <w:rsid w:val="007E0EED"/>
    <w:rsid w:val="007E64FE"/>
    <w:rsid w:val="007F18F9"/>
    <w:rsid w:val="00800FD3"/>
    <w:rsid w:val="0080587B"/>
    <w:rsid w:val="00807282"/>
    <w:rsid w:val="00832919"/>
    <w:rsid w:val="0083460F"/>
    <w:rsid w:val="00837E84"/>
    <w:rsid w:val="008458D4"/>
    <w:rsid w:val="00857ACE"/>
    <w:rsid w:val="0086592F"/>
    <w:rsid w:val="00867FCA"/>
    <w:rsid w:val="00876DD3"/>
    <w:rsid w:val="00882B16"/>
    <w:rsid w:val="00882D21"/>
    <w:rsid w:val="00897DEA"/>
    <w:rsid w:val="008A0CC9"/>
    <w:rsid w:val="008A15FF"/>
    <w:rsid w:val="008A5679"/>
    <w:rsid w:val="008C2109"/>
    <w:rsid w:val="008C228F"/>
    <w:rsid w:val="009045DF"/>
    <w:rsid w:val="009049FB"/>
    <w:rsid w:val="00906011"/>
    <w:rsid w:val="009063B7"/>
    <w:rsid w:val="0091597F"/>
    <w:rsid w:val="009275E5"/>
    <w:rsid w:val="00936DC4"/>
    <w:rsid w:val="009564B2"/>
    <w:rsid w:val="009643E0"/>
    <w:rsid w:val="00966017"/>
    <w:rsid w:val="00972E55"/>
    <w:rsid w:val="0098781E"/>
    <w:rsid w:val="00993E41"/>
    <w:rsid w:val="00995863"/>
    <w:rsid w:val="009A5562"/>
    <w:rsid w:val="009B09C4"/>
    <w:rsid w:val="009B41C5"/>
    <w:rsid w:val="009B7B96"/>
    <w:rsid w:val="009C152E"/>
    <w:rsid w:val="009C31E7"/>
    <w:rsid w:val="009C518D"/>
    <w:rsid w:val="009D59E2"/>
    <w:rsid w:val="009E4183"/>
    <w:rsid w:val="00A00D18"/>
    <w:rsid w:val="00A10769"/>
    <w:rsid w:val="00A115F7"/>
    <w:rsid w:val="00A1393C"/>
    <w:rsid w:val="00A150B5"/>
    <w:rsid w:val="00A1662F"/>
    <w:rsid w:val="00A2181B"/>
    <w:rsid w:val="00A22977"/>
    <w:rsid w:val="00A23FE4"/>
    <w:rsid w:val="00A34A52"/>
    <w:rsid w:val="00A45380"/>
    <w:rsid w:val="00A47099"/>
    <w:rsid w:val="00A573FE"/>
    <w:rsid w:val="00A61158"/>
    <w:rsid w:val="00A62EA3"/>
    <w:rsid w:val="00A65D01"/>
    <w:rsid w:val="00A76170"/>
    <w:rsid w:val="00AC589D"/>
    <w:rsid w:val="00AD2646"/>
    <w:rsid w:val="00AD3323"/>
    <w:rsid w:val="00AD357E"/>
    <w:rsid w:val="00AE01FC"/>
    <w:rsid w:val="00AE5E09"/>
    <w:rsid w:val="00AF127C"/>
    <w:rsid w:val="00AF1299"/>
    <w:rsid w:val="00B04DBB"/>
    <w:rsid w:val="00B070B4"/>
    <w:rsid w:val="00B12A79"/>
    <w:rsid w:val="00B26E7B"/>
    <w:rsid w:val="00B27C53"/>
    <w:rsid w:val="00B347B2"/>
    <w:rsid w:val="00B36177"/>
    <w:rsid w:val="00B37AE0"/>
    <w:rsid w:val="00B412EE"/>
    <w:rsid w:val="00B41719"/>
    <w:rsid w:val="00B53D20"/>
    <w:rsid w:val="00B54199"/>
    <w:rsid w:val="00B7052C"/>
    <w:rsid w:val="00B769F5"/>
    <w:rsid w:val="00B92FC4"/>
    <w:rsid w:val="00BA3AB9"/>
    <w:rsid w:val="00BA68E3"/>
    <w:rsid w:val="00BC221F"/>
    <w:rsid w:val="00BD03EA"/>
    <w:rsid w:val="00BD0AEA"/>
    <w:rsid w:val="00BD2B21"/>
    <w:rsid w:val="00BD58F2"/>
    <w:rsid w:val="00BD5919"/>
    <w:rsid w:val="00BD633E"/>
    <w:rsid w:val="00BE5248"/>
    <w:rsid w:val="00C04007"/>
    <w:rsid w:val="00C04757"/>
    <w:rsid w:val="00C06D28"/>
    <w:rsid w:val="00C07C7C"/>
    <w:rsid w:val="00C1116E"/>
    <w:rsid w:val="00C163BB"/>
    <w:rsid w:val="00C16DFB"/>
    <w:rsid w:val="00C251F2"/>
    <w:rsid w:val="00C25489"/>
    <w:rsid w:val="00C278EB"/>
    <w:rsid w:val="00C35F6C"/>
    <w:rsid w:val="00C44D00"/>
    <w:rsid w:val="00C50463"/>
    <w:rsid w:val="00C7171E"/>
    <w:rsid w:val="00C7298C"/>
    <w:rsid w:val="00C761B6"/>
    <w:rsid w:val="00C80B46"/>
    <w:rsid w:val="00C8133B"/>
    <w:rsid w:val="00C838DC"/>
    <w:rsid w:val="00C91F04"/>
    <w:rsid w:val="00C9316F"/>
    <w:rsid w:val="00CA00BF"/>
    <w:rsid w:val="00CA56B2"/>
    <w:rsid w:val="00CB2583"/>
    <w:rsid w:val="00CB5727"/>
    <w:rsid w:val="00CB6802"/>
    <w:rsid w:val="00CD5FF4"/>
    <w:rsid w:val="00CE3C98"/>
    <w:rsid w:val="00D017F3"/>
    <w:rsid w:val="00D156B3"/>
    <w:rsid w:val="00D20CA8"/>
    <w:rsid w:val="00D20D55"/>
    <w:rsid w:val="00D334BC"/>
    <w:rsid w:val="00D40DDC"/>
    <w:rsid w:val="00D6378C"/>
    <w:rsid w:val="00D7060E"/>
    <w:rsid w:val="00D944FC"/>
    <w:rsid w:val="00DA7FB2"/>
    <w:rsid w:val="00DB6A00"/>
    <w:rsid w:val="00DE5E0B"/>
    <w:rsid w:val="00DE7CC2"/>
    <w:rsid w:val="00DF0A8A"/>
    <w:rsid w:val="00DF7A02"/>
    <w:rsid w:val="00E135FF"/>
    <w:rsid w:val="00E26D4C"/>
    <w:rsid w:val="00E2757D"/>
    <w:rsid w:val="00E27B2F"/>
    <w:rsid w:val="00E5549A"/>
    <w:rsid w:val="00E64583"/>
    <w:rsid w:val="00E72731"/>
    <w:rsid w:val="00E7781D"/>
    <w:rsid w:val="00E93393"/>
    <w:rsid w:val="00EB032D"/>
    <w:rsid w:val="00EB17D3"/>
    <w:rsid w:val="00EB646A"/>
    <w:rsid w:val="00EB6F94"/>
    <w:rsid w:val="00EC7AF4"/>
    <w:rsid w:val="00ED358F"/>
    <w:rsid w:val="00EF1AFF"/>
    <w:rsid w:val="00F060BB"/>
    <w:rsid w:val="00F07B85"/>
    <w:rsid w:val="00F225AB"/>
    <w:rsid w:val="00F25686"/>
    <w:rsid w:val="00F32156"/>
    <w:rsid w:val="00F34114"/>
    <w:rsid w:val="00F45630"/>
    <w:rsid w:val="00F572D5"/>
    <w:rsid w:val="00F57411"/>
    <w:rsid w:val="00F6432A"/>
    <w:rsid w:val="00F725A1"/>
    <w:rsid w:val="00F762D6"/>
    <w:rsid w:val="00F860D7"/>
    <w:rsid w:val="00FC6396"/>
    <w:rsid w:val="00FD42F5"/>
    <w:rsid w:val="00FD7386"/>
    <w:rsid w:val="00FE3E09"/>
    <w:rsid w:val="00FE6F26"/>
    <w:rsid w:val="00FF487F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E4F3"/>
  <w15:docId w15:val="{DB2200E4-9DE6-439D-927F-B7394C257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3A7"/>
  </w:style>
  <w:style w:type="paragraph" w:styleId="1">
    <w:name w:val="heading 1"/>
    <w:basedOn w:val="a"/>
    <w:next w:val="a"/>
    <w:link w:val="10"/>
    <w:uiPriority w:val="99"/>
    <w:qFormat/>
    <w:rsid w:val="00A354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44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7015"/>
    <w:pPr>
      <w:keepNext/>
      <w:keepLines/>
      <w:spacing w:before="200" w:after="0" w:line="276" w:lineRule="auto"/>
      <w:outlineLvl w:val="2"/>
    </w:pPr>
    <w:rPr>
      <w:rFonts w:ascii="Calibri Light" w:eastAsia="SimSun" w:hAnsi="Calibri Light" w:cs="Times New Roman"/>
      <w:b/>
      <w:bCs/>
      <w:color w:val="5B9BD5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0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D3002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3002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30024"/>
    <w:rPr>
      <w:vertAlign w:val="superscript"/>
    </w:rPr>
  </w:style>
  <w:style w:type="paragraph" w:styleId="a7">
    <w:name w:val="List Paragraph"/>
    <w:aliases w:val="Абзац списка 3,List1,List11,List111,List1111,Table-Normal,RSHB_Table-Normal,Алроса_маркер (Уровень 4),Маркер,ПАРАГРАФ,Bullet_IRAO,Мой Список,Абзац списка для документа"/>
    <w:basedOn w:val="a"/>
    <w:link w:val="a8"/>
    <w:uiPriority w:val="34"/>
    <w:qFormat/>
    <w:rsid w:val="00B31F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A354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Placeholder Text"/>
    <w:basedOn w:val="a0"/>
    <w:uiPriority w:val="99"/>
    <w:semiHidden/>
    <w:rsid w:val="00DE79C9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34435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240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02F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7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370A3"/>
  </w:style>
  <w:style w:type="paragraph" w:styleId="ae">
    <w:name w:val="footer"/>
    <w:basedOn w:val="a"/>
    <w:link w:val="af"/>
    <w:uiPriority w:val="99"/>
    <w:unhideWhenUsed/>
    <w:rsid w:val="00E37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370A3"/>
  </w:style>
  <w:style w:type="character" w:customStyle="1" w:styleId="msoins0">
    <w:name w:val="msoins"/>
    <w:basedOn w:val="a0"/>
    <w:uiPriority w:val="99"/>
    <w:rsid w:val="00E370A3"/>
    <w:rPr>
      <w:rFonts w:cs="Times New Roman"/>
    </w:rPr>
  </w:style>
  <w:style w:type="paragraph" w:styleId="11">
    <w:name w:val="toc 1"/>
    <w:basedOn w:val="a"/>
    <w:next w:val="a"/>
    <w:autoRedefine/>
    <w:uiPriority w:val="39"/>
    <w:rsid w:val="00D410B0"/>
    <w:pPr>
      <w:tabs>
        <w:tab w:val="left" w:pos="440"/>
        <w:tab w:val="right" w:leader="dot" w:pos="9770"/>
      </w:tabs>
      <w:spacing w:after="200" w:line="276" w:lineRule="auto"/>
    </w:pPr>
    <w:rPr>
      <w:rFonts w:ascii="Times New Roman" w:eastAsia="Times New Roman" w:hAnsi="Times New Roman"/>
      <w:b/>
      <w:bCs/>
      <w:noProof/>
      <w:kern w:val="32"/>
      <w:lang w:val="en-US"/>
    </w:rPr>
  </w:style>
  <w:style w:type="table" w:customStyle="1" w:styleId="12">
    <w:name w:val="Сетка таблицы1"/>
    <w:basedOn w:val="a1"/>
    <w:next w:val="a3"/>
    <w:uiPriority w:val="99"/>
    <w:rsid w:val="00A214D3"/>
    <w:pPr>
      <w:spacing w:after="200" w:line="276" w:lineRule="auto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unhideWhenUsed/>
    <w:rsid w:val="005D2B2C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5D2B2C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5D2B2C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D2B2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D2B2C"/>
    <w:rPr>
      <w:b/>
      <w:bCs/>
      <w:sz w:val="20"/>
      <w:szCs w:val="20"/>
    </w:rPr>
  </w:style>
  <w:style w:type="paragraph" w:customStyle="1" w:styleId="ConsPlusNormal">
    <w:name w:val="ConsPlusNormal"/>
    <w:rsid w:val="005D62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D62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62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5D62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825059"/>
    <w:pPr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rsid w:val="00EC2E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99"/>
    <w:rsid w:val="006F3B4E"/>
    <w:pPr>
      <w:spacing w:after="200" w:line="276" w:lineRule="auto"/>
    </w:pPr>
    <w:rPr>
      <w:rFonts w:eastAsia="MS Mincho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Абзац списка 3 Знак,List1 Знак,List11 Знак,List111 Знак,List1111 Знак,Table-Normal Знак,RSHB_Table-Normal Знак,Алроса_маркер (Уровень 4) Знак,Маркер Знак,ПАРАГРАФ Знак,Bullet_IRAO Знак,Мой Список Знак,Абзац списка для документа Знак"/>
    <w:link w:val="a7"/>
    <w:uiPriority w:val="34"/>
    <w:locked/>
    <w:rsid w:val="0092670E"/>
  </w:style>
  <w:style w:type="character" w:customStyle="1" w:styleId="30">
    <w:name w:val="Заголовок 3 Знак"/>
    <w:basedOn w:val="a0"/>
    <w:link w:val="3"/>
    <w:uiPriority w:val="9"/>
    <w:rsid w:val="005E7015"/>
    <w:rPr>
      <w:rFonts w:ascii="Calibri Light" w:eastAsia="SimSun" w:hAnsi="Calibri Light" w:cs="Times New Roman"/>
      <w:b/>
      <w:bCs/>
      <w:color w:val="5B9BD5"/>
      <w:lang w:val="en-US"/>
    </w:rPr>
  </w:style>
  <w:style w:type="character" w:styleId="af7">
    <w:name w:val="Hyperlink"/>
    <w:basedOn w:val="a0"/>
    <w:uiPriority w:val="99"/>
    <w:rsid w:val="0037351C"/>
    <w:rPr>
      <w:rFonts w:ascii="Arial" w:hAnsi="Arial" w:cs="Times New Roman"/>
      <w:color w:val="0000FF"/>
      <w:sz w:val="20"/>
      <w:u w:val="single"/>
    </w:rPr>
  </w:style>
  <w:style w:type="paragraph" w:customStyle="1" w:styleId="9">
    <w:name w:val="т9ермины"/>
    <w:basedOn w:val="a"/>
    <w:next w:val="a"/>
    <w:uiPriority w:val="99"/>
    <w:rsid w:val="006B1A12"/>
    <w:pPr>
      <w:tabs>
        <w:tab w:val="left" w:pos="85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">
    <w:name w:val="Таблица простая 31"/>
    <w:basedOn w:val="a1"/>
    <w:uiPriority w:val="99"/>
    <w:rsid w:val="00FC0C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Таблица простая 51"/>
    <w:basedOn w:val="a1"/>
    <w:uiPriority w:val="99"/>
    <w:rsid w:val="00FC0C5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33">
    <w:name w:val="Grid Table 3 Accent 3"/>
    <w:basedOn w:val="a1"/>
    <w:uiPriority w:val="48"/>
    <w:rsid w:val="00FC0C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6">
    <w:name w:val="Grid Table 3 Accent 6"/>
    <w:basedOn w:val="a1"/>
    <w:uiPriority w:val="48"/>
    <w:rsid w:val="00FC0C5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23">
    <w:name w:val="Grid Table 2 Accent 3"/>
    <w:basedOn w:val="a1"/>
    <w:uiPriority w:val="47"/>
    <w:rsid w:val="00FC0C56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10">
    <w:name w:val="Таблица простая 11"/>
    <w:basedOn w:val="a1"/>
    <w:uiPriority w:val="99"/>
    <w:rsid w:val="00FC0C5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8">
    <w:name w:val="TOC Heading"/>
    <w:basedOn w:val="1"/>
    <w:next w:val="a"/>
    <w:uiPriority w:val="39"/>
    <w:unhideWhenUsed/>
    <w:qFormat/>
    <w:rsid w:val="000F6FE1"/>
    <w:pPr>
      <w:outlineLvl w:val="9"/>
    </w:pPr>
    <w:rPr>
      <w:lang w:eastAsia="ru-RU"/>
    </w:rPr>
  </w:style>
  <w:style w:type="paragraph" w:styleId="af9">
    <w:name w:val="endnote text"/>
    <w:basedOn w:val="a"/>
    <w:link w:val="afa"/>
    <w:uiPriority w:val="99"/>
    <w:semiHidden/>
    <w:unhideWhenUsed/>
    <w:rsid w:val="00694C72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694C72"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sid w:val="00694C72"/>
    <w:rPr>
      <w:vertAlign w:val="superscript"/>
    </w:rPr>
  </w:style>
  <w:style w:type="character" w:customStyle="1" w:styleId="ui-provider">
    <w:name w:val="ui-provider"/>
    <w:basedOn w:val="a0"/>
    <w:rsid w:val="00435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3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15EEC-2DE0-4967-BBAA-63C747C455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D4C4C6-BAA8-44C1-8979-C8515656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8ABBD-74B6-4506-8AEC-48A5409778A7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FACDFEA-BD1F-4F28-B29B-7E559731C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25</Pages>
  <Words>7488</Words>
  <Characters>42685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Моржуков Андрей Викторович</dc:creator>
  <cp:lastModifiedBy>Моржуков Андрей Викторович</cp:lastModifiedBy>
  <cp:revision>13</cp:revision>
  <cp:lastPrinted>2024-07-08T09:21:00Z</cp:lastPrinted>
  <dcterms:created xsi:type="dcterms:W3CDTF">2023-11-17T07:19:00Z</dcterms:created>
  <dcterms:modified xsi:type="dcterms:W3CDTF">2024-08-09T06:08:00Z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