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85F14" w14:textId="77777777" w:rsidR="00050D92" w:rsidRPr="009933AE" w:rsidRDefault="00050D92" w:rsidP="00960266">
      <w:pPr>
        <w:spacing w:after="0" w:line="240" w:lineRule="auto"/>
        <w:ind w:left="5670" w:right="-81"/>
        <w:rPr>
          <w:rFonts w:ascii="Tahoma" w:eastAsia="Times New Roman" w:hAnsi="Tahoma" w:cs="Tahoma"/>
          <w:b/>
          <w:sz w:val="20"/>
          <w:szCs w:val="20"/>
          <w:lang w:eastAsia="ru-RU"/>
        </w:rPr>
      </w:pPr>
      <w:bookmarkStart w:id="0" w:name="_GoBack"/>
      <w:r w:rsidRPr="009933A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УТВЕРЖДЕНО</w:t>
      </w:r>
    </w:p>
    <w:p w14:paraId="2F2442EE" w14:textId="77777777" w:rsidR="00050D92" w:rsidRPr="009933AE" w:rsidRDefault="00050D92" w:rsidP="00960266">
      <w:pPr>
        <w:tabs>
          <w:tab w:val="left" w:pos="5387"/>
        </w:tabs>
        <w:spacing w:after="0" w:line="240" w:lineRule="auto"/>
        <w:ind w:left="5670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решением Правления</w:t>
      </w:r>
    </w:p>
    <w:p w14:paraId="1D2874F0" w14:textId="77777777" w:rsidR="00050D92" w:rsidRPr="009933AE" w:rsidRDefault="005C2DC3" w:rsidP="00960266">
      <w:pPr>
        <w:tabs>
          <w:tab w:val="left" w:pos="5387"/>
        </w:tabs>
        <w:spacing w:after="0" w:line="240" w:lineRule="auto"/>
        <w:ind w:left="5670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Публичного </w:t>
      </w:r>
      <w:r w:rsidR="00050D92" w:rsidRPr="009933AE">
        <w:rPr>
          <w:rFonts w:ascii="Tahoma" w:eastAsia="Times New Roman" w:hAnsi="Tahoma" w:cs="Tahoma"/>
          <w:sz w:val="20"/>
          <w:szCs w:val="20"/>
          <w:lang w:eastAsia="ru-RU"/>
        </w:rPr>
        <w:t>акционерного общества</w:t>
      </w:r>
    </w:p>
    <w:p w14:paraId="341AD1D0" w14:textId="77777777" w:rsidR="00050D92" w:rsidRPr="009933AE" w:rsidRDefault="00050D92" w:rsidP="00960266">
      <w:pPr>
        <w:tabs>
          <w:tab w:val="left" w:pos="5387"/>
        </w:tabs>
        <w:spacing w:after="0" w:line="240" w:lineRule="auto"/>
        <w:ind w:left="5670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«Московская Биржа ММВБ-РТС»</w:t>
      </w:r>
    </w:p>
    <w:p w14:paraId="03EFDC01" w14:textId="780B98DC" w:rsidR="00797F91" w:rsidRPr="00797F91" w:rsidRDefault="00797F91" w:rsidP="00960266">
      <w:pPr>
        <w:pStyle w:val="af7"/>
        <w:tabs>
          <w:tab w:val="left" w:pos="4962"/>
        </w:tabs>
        <w:spacing w:after="0"/>
        <w:ind w:left="5670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(Протокол №</w:t>
      </w:r>
      <w:r w:rsidR="00960266">
        <w:rPr>
          <w:rFonts w:ascii="Tahoma" w:hAnsi="Tahoma" w:cs="Tahoma"/>
          <w:sz w:val="20"/>
          <w:szCs w:val="20"/>
        </w:rPr>
        <w:t>43</w:t>
      </w:r>
      <w:r>
        <w:rPr>
          <w:rFonts w:ascii="Tahoma" w:hAnsi="Tahoma" w:cs="Tahoma"/>
          <w:sz w:val="20"/>
          <w:szCs w:val="20"/>
        </w:rPr>
        <w:t xml:space="preserve"> от</w:t>
      </w:r>
      <w:r w:rsidRPr="00797F91">
        <w:rPr>
          <w:rFonts w:ascii="Tahoma" w:hAnsi="Tahoma" w:cs="Tahoma"/>
          <w:sz w:val="20"/>
          <w:szCs w:val="20"/>
        </w:rPr>
        <w:t xml:space="preserve"> </w:t>
      </w:r>
      <w:r w:rsidR="00960266">
        <w:rPr>
          <w:rFonts w:ascii="Tahoma" w:hAnsi="Tahoma" w:cs="Tahoma"/>
          <w:sz w:val="20"/>
          <w:szCs w:val="20"/>
        </w:rPr>
        <w:t>05</w:t>
      </w:r>
      <w:r w:rsidRPr="00797F91">
        <w:rPr>
          <w:rFonts w:ascii="Tahoma" w:hAnsi="Tahoma" w:cs="Tahoma"/>
          <w:sz w:val="20"/>
          <w:szCs w:val="20"/>
        </w:rPr>
        <w:t xml:space="preserve"> </w:t>
      </w:r>
      <w:r w:rsidR="00960266">
        <w:rPr>
          <w:rFonts w:ascii="Tahoma" w:hAnsi="Tahoma" w:cs="Tahoma"/>
          <w:sz w:val="20"/>
          <w:szCs w:val="20"/>
        </w:rPr>
        <w:t>августа</w:t>
      </w:r>
      <w:r>
        <w:rPr>
          <w:rFonts w:ascii="Tahoma" w:hAnsi="Tahoma" w:cs="Tahoma"/>
          <w:sz w:val="20"/>
          <w:szCs w:val="20"/>
        </w:rPr>
        <w:t xml:space="preserve"> 201</w:t>
      </w:r>
      <w:r w:rsidR="000574A4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г.)</w:t>
      </w:r>
    </w:p>
    <w:bookmarkEnd w:id="0"/>
    <w:p w14:paraId="23D7B1C3" w14:textId="77777777" w:rsidR="00EA18EC" w:rsidRPr="00797F91" w:rsidRDefault="00EA18EC" w:rsidP="00A12993">
      <w:pPr>
        <w:pStyle w:val="af7"/>
        <w:tabs>
          <w:tab w:val="left" w:pos="4962"/>
        </w:tabs>
        <w:spacing w:after="0"/>
        <w:ind w:left="5812" w:right="27"/>
        <w:rPr>
          <w:rFonts w:ascii="Tahoma" w:hAnsi="Tahoma" w:cs="Tahoma"/>
          <w:sz w:val="20"/>
          <w:szCs w:val="20"/>
        </w:rPr>
      </w:pPr>
    </w:p>
    <w:p w14:paraId="24CB3D70" w14:textId="77777777" w:rsidR="00EA18EC" w:rsidRDefault="00EA18EC" w:rsidP="00A12993">
      <w:pPr>
        <w:pStyle w:val="af7"/>
        <w:tabs>
          <w:tab w:val="left" w:pos="4962"/>
        </w:tabs>
        <w:spacing w:after="0"/>
        <w:ind w:left="5812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</w:t>
      </w:r>
      <w:r w:rsidRPr="00EA18EC">
        <w:rPr>
          <w:rFonts w:ascii="Tahoma" w:hAnsi="Tahoma" w:cs="Tahoma"/>
          <w:sz w:val="20"/>
          <w:szCs w:val="20"/>
        </w:rPr>
        <w:t>____</w:t>
      </w:r>
      <w:r>
        <w:rPr>
          <w:rFonts w:ascii="Tahoma" w:hAnsi="Tahoma" w:cs="Tahoma"/>
          <w:sz w:val="20"/>
          <w:szCs w:val="20"/>
        </w:rPr>
        <w:t>____</w:t>
      </w:r>
      <w:r w:rsidRPr="00EA18E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/Пестов К.М./</w:t>
      </w:r>
    </w:p>
    <w:p w14:paraId="2400C2FD" w14:textId="77777777" w:rsidR="00050D92" w:rsidRPr="009933AE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4C451A75" w14:textId="77777777" w:rsidR="00050D92" w:rsidRPr="009933AE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33AE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214DD56" w14:textId="77777777" w:rsidR="00050D92" w:rsidRPr="009933AE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33AE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457BF61F" w14:textId="77777777" w:rsidR="00050D92" w:rsidRPr="009933AE" w:rsidRDefault="00050D92" w:rsidP="00B60C25">
      <w:pPr>
        <w:pStyle w:val="a5"/>
        <w:tabs>
          <w:tab w:val="left" w:pos="2535"/>
          <w:tab w:val="center" w:pos="4552"/>
        </w:tabs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33AE">
        <w:rPr>
          <w:rFonts w:ascii="Tahoma" w:eastAsia="Arial Unicode MS" w:hAnsi="Tahoma" w:cs="Tahoma"/>
          <w:b/>
          <w:bCs/>
          <w:color w:val="auto"/>
        </w:rPr>
        <w:t>на волатильность российского рынка</w:t>
      </w:r>
    </w:p>
    <w:p w14:paraId="3F9DE0D9" w14:textId="77777777"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Настоящая спецификация определяет стандартные условия расчетного фьючерсного контракта на волатильность российского рынка (далее </w:t>
      </w:r>
      <w:r w:rsidR="005F1F11" w:rsidRPr="009933AE">
        <w:rPr>
          <w:rFonts w:ascii="Tahoma" w:eastAsia="Times New Roman" w:hAnsi="Tahoma" w:cs="Tahoma"/>
          <w:sz w:val="20"/>
          <w:szCs w:val="20"/>
          <w:lang w:eastAsia="x-none"/>
        </w:rPr>
        <w:t>–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Спецификация).</w:t>
      </w:r>
    </w:p>
    <w:p w14:paraId="26C7B9A7" w14:textId="77777777"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5C2DC3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ПАО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Московская Биржа (далее – Правила клиринга), правилами, регулирующими порядок проведения торгов на срочном рынке </w:t>
      </w:r>
      <w:r w:rsidR="005C2DC3" w:rsidRPr="009933AE">
        <w:rPr>
          <w:rFonts w:ascii="Tahoma" w:eastAsia="Times New Roman" w:hAnsi="Tahoma" w:cs="Tahoma"/>
          <w:sz w:val="20"/>
          <w:szCs w:val="20"/>
          <w:lang w:eastAsia="x-none"/>
        </w:rPr>
        <w:t>П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АО Московская Биржа (далее – Правила торгов), определяет порядок возникновения, изменения и прекращения обязательств по фьючерсному контракту на волатильность российского рынка (далее – Контракт).</w:t>
      </w:r>
    </w:p>
    <w:p w14:paraId="572A06D2" w14:textId="5285E022" w:rsidR="00D80A1B" w:rsidRPr="009933AE" w:rsidRDefault="00050D92" w:rsidP="00D80208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Базовым активом Контракта является волатильность российского рынка.  В целях настоящей Спецификации под </w:t>
      </w:r>
      <w:r w:rsidR="006030EB" w:rsidRPr="009933AE">
        <w:rPr>
          <w:rFonts w:ascii="Tahoma" w:eastAsia="Times New Roman" w:hAnsi="Tahoma" w:cs="Tahoma"/>
          <w:sz w:val="20"/>
          <w:szCs w:val="20"/>
          <w:lang w:eastAsia="x-none"/>
        </w:rPr>
        <w:t>В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олатильностью понимается показатель, </w:t>
      </w:r>
      <w:r w:rsidR="00A02E00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отражающий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рыночную оценку будущего колебания </w:t>
      </w:r>
      <w:r w:rsidR="00440F29" w:rsidRPr="009933AE">
        <w:rPr>
          <w:rFonts w:ascii="Tahoma" w:eastAsia="Times New Roman" w:hAnsi="Tahoma" w:cs="Tahoma"/>
          <w:sz w:val="20"/>
          <w:szCs w:val="20"/>
          <w:lang w:eastAsia="x-none"/>
        </w:rPr>
        <w:t>значений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Индекс</w:t>
      </w:r>
      <w:r w:rsidR="00440F29" w:rsidRPr="009933AE">
        <w:rPr>
          <w:rFonts w:ascii="Tahoma" w:eastAsia="Times New Roman" w:hAnsi="Tahoma" w:cs="Tahoma"/>
          <w:sz w:val="20"/>
          <w:szCs w:val="20"/>
          <w:lang w:eastAsia="x-none"/>
        </w:rPr>
        <w:t>а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РТС. 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Значение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рассчитывается </w:t>
      </w:r>
      <w:r w:rsidR="00393D3A">
        <w:rPr>
          <w:rFonts w:ascii="Tahoma" w:eastAsia="Times New Roman" w:hAnsi="Tahoma" w:cs="Tahoma"/>
          <w:sz w:val="20"/>
          <w:szCs w:val="20"/>
          <w:lang w:eastAsia="x-none"/>
        </w:rPr>
        <w:t>П</w:t>
      </w:r>
      <w:r w:rsidR="00393D3A" w:rsidRPr="009933AE">
        <w:rPr>
          <w:rFonts w:ascii="Tahoma" w:eastAsia="Times New Roman" w:hAnsi="Tahoma" w:cs="Tahoma"/>
          <w:sz w:val="20"/>
          <w:szCs w:val="20"/>
          <w:lang w:eastAsia="x-none"/>
        </w:rPr>
        <w:t>АО 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Московская Биржа (далее - Биржа) на основании цен двух серий опционов на фьючерсный контракт на Индекс РТС</w:t>
      </w:r>
      <w:r w:rsidR="00234D82" w:rsidRPr="009933AE">
        <w:rPr>
          <w:rFonts w:ascii="Tahoma" w:eastAsia="Times New Roman" w:hAnsi="Tahoma" w:cs="Tahoma"/>
          <w:sz w:val="20"/>
          <w:szCs w:val="20"/>
          <w:lang w:eastAsia="x-none"/>
        </w:rPr>
        <w:t>,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а именно: опционов ближайшей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и 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>опционов</w:t>
      </w:r>
      <w:r w:rsidR="00AD6263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следующей 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>за ближайшей серией</w:t>
      </w:r>
      <w:r w:rsidR="00D80A1B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Опцион ближней серии и Опцион дальней серии, соответственно)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>, отвечающих следующим условиям</w:t>
      </w:r>
      <w:r w:rsidR="00D80208" w:rsidRPr="009933AE">
        <w:rPr>
          <w:rFonts w:ascii="Tahoma" w:eastAsia="Times New Roman" w:hAnsi="Tahoma" w:cs="Tahoma"/>
          <w:sz w:val="20"/>
          <w:szCs w:val="20"/>
          <w:lang w:eastAsia="x-none"/>
        </w:rPr>
        <w:t>:</w:t>
      </w:r>
    </w:p>
    <w:p w14:paraId="02548740" w14:textId="77777777" w:rsidR="00D80A1B" w:rsidRPr="009933AE" w:rsidRDefault="00D80A1B" w:rsidP="00D80208">
      <w:pPr>
        <w:pStyle w:val="ae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Опцион ближней серии и Опцион дальней серии</w:t>
      </w:r>
      <w:r w:rsidR="00050D92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в квартальную или месячную серии, но не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9933AE">
        <w:rPr>
          <w:rFonts w:ascii="Tahoma" w:eastAsia="Times New Roman" w:hAnsi="Tahoma" w:cs="Tahoma"/>
          <w:sz w:val="20"/>
          <w:szCs w:val="20"/>
          <w:lang w:eastAsia="x-none"/>
        </w:rPr>
        <w:t>в недельную серию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;</w:t>
      </w:r>
    </w:p>
    <w:p w14:paraId="7FD5575F" w14:textId="77777777" w:rsidR="00050D92" w:rsidRPr="009933AE" w:rsidRDefault="00050D92" w:rsidP="00D80208">
      <w:pPr>
        <w:pStyle w:val="ae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срок до даты истечения срока действия</w:t>
      </w:r>
      <w:r w:rsidR="00D605DE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дата экспирации)</w:t>
      </w:r>
      <w:r w:rsidR="00D80A1B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Опционов ближней серии и Опционов дальней серии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составляет </w:t>
      </w:r>
      <w:r w:rsidR="00D80A1B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не менее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7 (семи) дней.</w:t>
      </w:r>
    </w:p>
    <w:p w14:paraId="3685CF66" w14:textId="77777777" w:rsidR="00050D92" w:rsidRPr="009933AE" w:rsidRDefault="00050D92" w:rsidP="00050D92">
      <w:pPr>
        <w:tabs>
          <w:tab w:val="left" w:pos="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46725E96" w14:textId="77777777" w:rsidR="00050D92" w:rsidRPr="009933AE" w:rsidRDefault="00050D92" w:rsidP="007E1A62">
      <w:pPr>
        <w:pStyle w:val="a"/>
        <w:rPr>
          <w:rFonts w:ascii="Tahoma" w:hAnsi="Tahoma" w:cs="Tahoma"/>
        </w:rPr>
      </w:pPr>
      <w:r w:rsidRPr="009933AE">
        <w:rPr>
          <w:rFonts w:ascii="Tahoma" w:hAnsi="Tahoma" w:cs="Tahoma"/>
        </w:rPr>
        <w:t>Заключение Контракта</w:t>
      </w:r>
    </w:p>
    <w:p w14:paraId="2CA374DD" w14:textId="77777777" w:rsidR="00050D92" w:rsidRPr="009933AE" w:rsidRDefault="00050D92" w:rsidP="00050D92">
      <w:pPr>
        <w:pStyle w:val="a0"/>
        <w:tabs>
          <w:tab w:val="clear" w:pos="1287"/>
          <w:tab w:val="num" w:pos="851"/>
        </w:tabs>
        <w:spacing w:after="0"/>
        <w:ind w:left="851"/>
        <w:rPr>
          <w:rFonts w:ascii="Tahoma" w:hAnsi="Tahoma" w:cs="Tahoma"/>
        </w:rPr>
      </w:pPr>
      <w:bookmarkStart w:id="1" w:name="_Ref231897687"/>
      <w:r w:rsidRPr="009933AE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1"/>
    </w:p>
    <w:p w14:paraId="15C709FF" w14:textId="77777777" w:rsidR="00050D92" w:rsidRPr="009933AE" w:rsidRDefault="00050D92" w:rsidP="00D80208">
      <w:pPr>
        <w:pStyle w:val="Pointmark"/>
        <w:numPr>
          <w:ilvl w:val="0"/>
          <w:numId w:val="15"/>
        </w:numPr>
        <w:spacing w:before="60"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код (обозначение) Контракта;</w:t>
      </w:r>
    </w:p>
    <w:p w14:paraId="0FD72899" w14:textId="77777777" w:rsidR="00D80208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4C3D2875" w14:textId="77777777" w:rsidR="00050D92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время, начиная с которого может быть заключен Контракт (момент начала Торгов Контрактом); </w:t>
      </w:r>
    </w:p>
    <w:p w14:paraId="6145F727" w14:textId="77777777" w:rsidR="00050D92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начальную Расчетную цену Контракта;</w:t>
      </w:r>
    </w:p>
    <w:p w14:paraId="54278D86" w14:textId="77777777" w:rsidR="00050D92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начальный лимит колебаний цены Контракта.</w:t>
      </w:r>
    </w:p>
    <w:p w14:paraId="0C6D3F46" w14:textId="77777777" w:rsidR="00050D92" w:rsidRPr="009933AE" w:rsidRDefault="00050D92" w:rsidP="00050D92">
      <w:pPr>
        <w:pStyle w:val="a0"/>
        <w:tabs>
          <w:tab w:val="clear" w:pos="1287"/>
          <w:tab w:val="num" w:pos="851"/>
        </w:tabs>
        <w:spacing w:beforeLines="60" w:before="144" w:after="0"/>
        <w:ind w:hanging="1003"/>
        <w:rPr>
          <w:rFonts w:ascii="Tahoma" w:hAnsi="Tahoma" w:cs="Tahoma"/>
        </w:rPr>
      </w:pPr>
      <w:r w:rsidRPr="009933AE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562121FE" w14:textId="77777777" w:rsidR="00050D92" w:rsidRPr="009933AE" w:rsidRDefault="00050D92" w:rsidP="00050D92">
      <w:pPr>
        <w:pStyle w:val="a0"/>
        <w:numPr>
          <w:ilvl w:val="0"/>
          <w:numId w:val="0"/>
        </w:numPr>
        <w:spacing w:before="60" w:after="0"/>
        <w:ind w:left="1134"/>
        <w:rPr>
          <w:rFonts w:ascii="Tahoma" w:hAnsi="Tahoma" w:cs="Tahoma"/>
        </w:rPr>
      </w:pPr>
      <w:r w:rsidRPr="009933AE">
        <w:rPr>
          <w:rFonts w:ascii="Tahoma" w:hAnsi="Tahoma" w:cs="Tahoma"/>
        </w:rPr>
        <w:t>RV</w:t>
      </w:r>
      <w:r w:rsidRPr="009933AE">
        <w:rPr>
          <w:rFonts w:ascii="Tahoma" w:hAnsi="Tahoma" w:cs="Tahoma"/>
          <w:lang w:val="en-US"/>
        </w:rPr>
        <w:t>I</w:t>
      </w:r>
      <w:r w:rsidR="002D1D0F" w:rsidRPr="00A12993">
        <w:rPr>
          <w:rFonts w:ascii="Tahoma" w:hAnsi="Tahoma" w:cs="Tahoma"/>
        </w:rPr>
        <w:t>-</w:t>
      </w:r>
      <w:r w:rsidRPr="009933AE">
        <w:rPr>
          <w:rFonts w:ascii="Tahoma" w:hAnsi="Tahoma" w:cs="Tahoma"/>
        </w:rPr>
        <w:t>&lt;месяц исполнения&gt;.&lt;год исполнения&gt;.</w:t>
      </w:r>
    </w:p>
    <w:p w14:paraId="5021E4A4" w14:textId="77777777" w:rsidR="00050D92" w:rsidRPr="009933AE" w:rsidRDefault="00050D92" w:rsidP="00050D92">
      <w:pPr>
        <w:pStyle w:val="a0"/>
        <w:numPr>
          <w:ilvl w:val="0"/>
          <w:numId w:val="0"/>
        </w:numPr>
        <w:spacing w:before="60"/>
        <w:ind w:left="1134"/>
        <w:rPr>
          <w:rFonts w:ascii="Tahoma" w:hAnsi="Tahoma" w:cs="Tahoma"/>
        </w:rPr>
      </w:pPr>
      <w:r w:rsidRPr="009933AE">
        <w:rPr>
          <w:rFonts w:ascii="Tahoma" w:hAnsi="Tahoma" w:cs="Tahoma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14:paraId="3F4D397A" w14:textId="77777777" w:rsidR="00050D92" w:rsidRPr="009933AE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Цена Контракта.</w:t>
      </w:r>
    </w:p>
    <w:p w14:paraId="10A2C541" w14:textId="77777777" w:rsidR="00050D92" w:rsidRPr="009933AE" w:rsidRDefault="00050D92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9933AE">
        <w:rPr>
          <w:rFonts w:ascii="Tahoma" w:hAnsi="Tahoma" w:cs="Tahoma"/>
        </w:rPr>
        <w:t>Цена Контракта в ходе Торгов при подаче заявки и заключении Контракта</w:t>
      </w:r>
      <w:r w:rsidR="00B357DA" w:rsidRPr="009933AE">
        <w:rPr>
          <w:rFonts w:ascii="Tahoma" w:hAnsi="Tahoma" w:cs="Tahoma"/>
        </w:rPr>
        <w:t xml:space="preserve"> </w:t>
      </w:r>
      <w:r w:rsidRPr="009933AE">
        <w:rPr>
          <w:rFonts w:ascii="Tahoma" w:hAnsi="Tahoma" w:cs="Tahoma"/>
        </w:rPr>
        <w:t>указывается в пунктах</w:t>
      </w:r>
      <w:r w:rsidR="00B357DA" w:rsidRPr="009933AE">
        <w:rPr>
          <w:rFonts w:ascii="Tahoma" w:hAnsi="Tahoma" w:cs="Tahoma"/>
        </w:rPr>
        <w:t xml:space="preserve"> как значение Волатильности</w:t>
      </w:r>
      <w:r w:rsidRPr="009933AE">
        <w:rPr>
          <w:rFonts w:ascii="Tahoma" w:hAnsi="Tahoma" w:cs="Tahoma"/>
        </w:rPr>
        <w:t>.</w:t>
      </w:r>
    </w:p>
    <w:p w14:paraId="4F76107A" w14:textId="77777777" w:rsidR="00050D92" w:rsidRPr="00A12993" w:rsidRDefault="00050D92" w:rsidP="00A87F71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9933AE">
        <w:rPr>
          <w:rFonts w:ascii="Tahoma" w:hAnsi="Tahoma" w:cs="Tahoma"/>
        </w:rPr>
        <w:lastRenderedPageBreak/>
        <w:t xml:space="preserve">Минимальное изменение цены Контракта в ходе </w:t>
      </w:r>
      <w:r w:rsidRPr="00A12993">
        <w:rPr>
          <w:rFonts w:ascii="Tahoma" w:hAnsi="Tahoma" w:cs="Tahoma"/>
        </w:rPr>
        <w:t xml:space="preserve">Торгов (далее – минимальный шаг цены) составляет 0,05 (ноль целых пять сотых) пункта. </w:t>
      </w:r>
    </w:p>
    <w:p w14:paraId="7F62E531" w14:textId="77777777" w:rsidR="00050D92" w:rsidRPr="00A12993" w:rsidRDefault="00050D92" w:rsidP="00A87F71">
      <w:pPr>
        <w:pStyle w:val="1"/>
        <w:tabs>
          <w:tab w:val="num" w:pos="1418"/>
        </w:tabs>
        <w:spacing w:before="120"/>
        <w:ind w:left="1418"/>
        <w:rPr>
          <w:rFonts w:ascii="Tahoma" w:hAnsi="Tahoma" w:cs="Tahoma"/>
        </w:rPr>
      </w:pPr>
      <w:proofErr w:type="gramStart"/>
      <w:r w:rsidRPr="00A12993">
        <w:rPr>
          <w:rFonts w:ascii="Tahoma" w:hAnsi="Tahoma" w:cs="Tahoma"/>
        </w:rPr>
        <w:t xml:space="preserve">Стоимость минимального шага цены </w:t>
      </w:r>
      <w:r w:rsidRPr="00A12993">
        <w:rPr>
          <w:rFonts w:ascii="Tahoma" w:hAnsi="Tahoma" w:cs="Tahoma"/>
          <w:szCs w:val="22"/>
        </w:rPr>
        <w:t>рассчитывается</w:t>
      </w:r>
      <w:r w:rsidRPr="00A12993">
        <w:rPr>
          <w:rFonts w:ascii="Tahoma" w:hAnsi="Tahoma" w:cs="Tahoma"/>
          <w:sz w:val="22"/>
          <w:szCs w:val="22"/>
        </w:rPr>
        <w:t xml:space="preserve"> </w:t>
      </w:r>
      <w:r w:rsidRPr="00A12993">
        <w:rPr>
          <w:rFonts w:ascii="Tahoma" w:hAnsi="Tahoma" w:cs="Tahoma"/>
        </w:rPr>
        <w:t xml:space="preserve">в </w:t>
      </w:r>
      <w:r w:rsidR="00A87F71" w:rsidRPr="00A12993">
        <w:rPr>
          <w:rFonts w:ascii="Tahoma" w:hAnsi="Tahoma" w:cs="Tahoma"/>
        </w:rPr>
        <w:t>российских рублях</w:t>
      </w:r>
      <w:r w:rsidRPr="00A12993">
        <w:rPr>
          <w:rFonts w:ascii="Tahoma" w:hAnsi="Tahoma" w:cs="Tahoma"/>
        </w:rPr>
        <w:t xml:space="preserve"> и составляет </w:t>
      </w:r>
      <w:r w:rsidR="003F5ECC" w:rsidRPr="00A12993">
        <w:rPr>
          <w:rFonts w:ascii="Tahoma" w:hAnsi="Tahoma" w:cs="Tahoma"/>
        </w:rPr>
        <w:t>0</w:t>
      </w:r>
      <w:r w:rsidRPr="00A12993">
        <w:rPr>
          <w:rFonts w:ascii="Tahoma" w:hAnsi="Tahoma" w:cs="Tahoma"/>
        </w:rPr>
        <w:t>,</w:t>
      </w:r>
      <w:r w:rsidR="003F5ECC" w:rsidRPr="00A12993">
        <w:rPr>
          <w:rFonts w:ascii="Tahoma" w:hAnsi="Tahoma" w:cs="Tahoma"/>
        </w:rPr>
        <w:t>1</w:t>
      </w:r>
      <w:r w:rsidRPr="00A12993">
        <w:rPr>
          <w:rFonts w:ascii="Tahoma" w:hAnsi="Tahoma" w:cs="Tahoma"/>
        </w:rPr>
        <w:t>0 (</w:t>
      </w:r>
      <w:r w:rsidR="003F5ECC" w:rsidRPr="00A12993">
        <w:rPr>
          <w:rFonts w:ascii="Tahoma" w:hAnsi="Tahoma" w:cs="Tahoma"/>
        </w:rPr>
        <w:t>десятая</w:t>
      </w:r>
      <w:r w:rsidRPr="00A12993">
        <w:rPr>
          <w:rFonts w:ascii="Tahoma" w:hAnsi="Tahoma" w:cs="Tahoma"/>
        </w:rPr>
        <w:t>) долларов США по курсу доллара США к российскому рублю,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</w:t>
      </w:r>
      <w:r w:rsidR="002C5F7A" w:rsidRPr="00A12993">
        <w:rPr>
          <w:rFonts w:ascii="Tahoma" w:hAnsi="Tahoma" w:cs="Tahoma"/>
        </w:rPr>
        <w:t>,</w:t>
      </w:r>
      <w:r w:rsidR="006378A0" w:rsidRPr="00A12993">
        <w:rPr>
          <w:rFonts w:ascii="Tahoma" w:hAnsi="Tahoma" w:cs="Tahoma"/>
        </w:rPr>
        <w:t xml:space="preserve"> </w:t>
      </w:r>
      <w:r w:rsidRPr="00A12993">
        <w:rPr>
          <w:rFonts w:ascii="Tahoma" w:hAnsi="Tahoma" w:cs="Tahoma"/>
        </w:rPr>
        <w:t>с учетом ограничения на колебание Курса доллара США, установленного решением Клирингового центра и опубликованного на сайте</w:t>
      </w:r>
      <w:proofErr w:type="gramEnd"/>
      <w:r w:rsidRPr="00A12993">
        <w:rPr>
          <w:rFonts w:ascii="Tahoma" w:hAnsi="Tahoma" w:cs="Tahoma"/>
        </w:rPr>
        <w:t xml:space="preserve"> Биржи в сети Интернет. </w:t>
      </w:r>
    </w:p>
    <w:p w14:paraId="0FFF96F1" w14:textId="77777777" w:rsidR="00050D92" w:rsidRPr="00A12993" w:rsidRDefault="00050D92" w:rsidP="00050D92">
      <w:pPr>
        <w:pStyle w:val="1"/>
        <w:numPr>
          <w:ilvl w:val="0"/>
          <w:numId w:val="0"/>
        </w:numPr>
        <w:tabs>
          <w:tab w:val="num" w:pos="7372"/>
        </w:tabs>
        <w:ind w:left="1418"/>
        <w:rPr>
          <w:rFonts w:ascii="Tahoma" w:hAnsi="Tahoma" w:cs="Tahoma"/>
        </w:rPr>
      </w:pPr>
      <w:r w:rsidRPr="00A12993">
        <w:rPr>
          <w:rFonts w:ascii="Tahoma" w:hAnsi="Tahoma" w:cs="Tahoma"/>
        </w:rPr>
        <w:t>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</w:t>
      </w:r>
      <w:r w:rsidR="002C5F7A" w:rsidRPr="00A12993">
        <w:rPr>
          <w:rFonts w:ascii="Tahoma" w:hAnsi="Tahoma" w:cs="Tahoma"/>
        </w:rPr>
        <w:t>.</w:t>
      </w:r>
    </w:p>
    <w:p w14:paraId="5B4E650E" w14:textId="77777777" w:rsidR="002D1D0F" w:rsidRPr="00A12993" w:rsidRDefault="000C1F00" w:rsidP="00050D92">
      <w:pPr>
        <w:pStyle w:val="1"/>
        <w:numPr>
          <w:ilvl w:val="0"/>
          <w:numId w:val="0"/>
        </w:numPr>
        <w:tabs>
          <w:tab w:val="num" w:pos="7372"/>
        </w:tabs>
        <w:ind w:left="1418"/>
        <w:rPr>
          <w:rFonts w:ascii="Tahoma" w:hAnsi="Tahoma" w:cs="Tahoma"/>
        </w:rPr>
      </w:pPr>
      <w:r w:rsidRPr="00A12993">
        <w:rPr>
          <w:rFonts w:ascii="Tahoma" w:hAnsi="Tahoma" w:cs="Tahoma"/>
          <w:bCs/>
        </w:rPr>
        <w:t>Время определения Курса доллара США устанавливается Биржей и публикуется на сайте Биржи</w:t>
      </w:r>
      <w:r w:rsidR="00393D3A" w:rsidRPr="00A12993">
        <w:rPr>
          <w:rFonts w:ascii="Tahoma" w:hAnsi="Tahoma" w:cs="Tahoma"/>
          <w:bCs/>
        </w:rPr>
        <w:t xml:space="preserve"> </w:t>
      </w:r>
      <w:r w:rsidR="00393D3A" w:rsidRPr="00A12993">
        <w:rPr>
          <w:rFonts w:ascii="Tahoma" w:hAnsi="Tahoma" w:cs="Tahoma"/>
        </w:rPr>
        <w:t>в сети Интернет</w:t>
      </w:r>
      <w:r w:rsidRPr="00A12993">
        <w:rPr>
          <w:rFonts w:ascii="Tahoma" w:hAnsi="Tahoma" w:cs="Tahoma"/>
          <w:bCs/>
        </w:rPr>
        <w:t>.</w:t>
      </w:r>
    </w:p>
    <w:p w14:paraId="6987AB31" w14:textId="77777777" w:rsidR="00050D92" w:rsidRPr="00A12993" w:rsidRDefault="00056CA8" w:rsidP="00871919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2" w:name="_Ref249525019"/>
      <w:bookmarkStart w:id="3" w:name="_Ref231714566"/>
      <w:r w:rsidRPr="00A12993">
        <w:rPr>
          <w:rFonts w:ascii="Tahoma" w:hAnsi="Tahoma" w:cs="Tahoma"/>
        </w:rPr>
        <w:t>П</w:t>
      </w:r>
      <w:r w:rsidR="00050D92" w:rsidRPr="00A12993">
        <w:rPr>
          <w:rFonts w:ascii="Tahoma" w:hAnsi="Tahoma" w:cs="Tahoma"/>
        </w:rPr>
        <w:t>оследним дн</w:t>
      </w:r>
      <w:r w:rsidRPr="00A12993">
        <w:rPr>
          <w:rFonts w:ascii="Tahoma" w:hAnsi="Tahoma" w:cs="Tahoma"/>
        </w:rPr>
        <w:t>ем</w:t>
      </w:r>
      <w:r w:rsidR="00050D92" w:rsidRPr="00A12993">
        <w:rPr>
          <w:rFonts w:ascii="Tahoma" w:hAnsi="Tahoma" w:cs="Tahoma"/>
        </w:rPr>
        <w:t xml:space="preserve"> заключения Контракта является последний день заключения Опциона ближней серии, исполняемого в месяц и год исполнения Контракта. </w:t>
      </w:r>
      <w:bookmarkEnd w:id="2"/>
      <w:r w:rsidR="00050D92" w:rsidRPr="00A12993">
        <w:rPr>
          <w:rFonts w:ascii="Tahoma" w:hAnsi="Tahoma" w:cs="Tahoma"/>
        </w:rPr>
        <w:t xml:space="preserve"> </w:t>
      </w:r>
      <w:bookmarkEnd w:id="3"/>
    </w:p>
    <w:p w14:paraId="14BF603A" w14:textId="77777777" w:rsidR="00056CA8" w:rsidRPr="00A12993" w:rsidRDefault="00056CA8" w:rsidP="00DC442E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A12993">
        <w:rPr>
          <w:rFonts w:ascii="Tahoma" w:hAnsi="Tahoma" w:cs="Tahoma"/>
        </w:rPr>
        <w:t xml:space="preserve">Биржа вправе по согласованию с Клиринговым центром установить иную дату последнего дня заключения Контракта, отличную </w:t>
      </w:r>
      <w:proofErr w:type="gramStart"/>
      <w:r w:rsidRPr="00A12993">
        <w:rPr>
          <w:rFonts w:ascii="Tahoma" w:hAnsi="Tahoma" w:cs="Tahoma"/>
        </w:rPr>
        <w:t>от</w:t>
      </w:r>
      <w:proofErr w:type="gramEnd"/>
      <w:r w:rsidRPr="00A12993">
        <w:rPr>
          <w:rFonts w:ascii="Tahoma" w:hAnsi="Tahoma" w:cs="Tahoma"/>
        </w:rPr>
        <w:t xml:space="preserve"> определяемой в соответствии с настоящим пунктом.</w:t>
      </w:r>
    </w:p>
    <w:p w14:paraId="0CDB5A5B" w14:textId="5E1E5B28" w:rsidR="00056CA8" w:rsidRPr="00A12993" w:rsidRDefault="00056CA8" w:rsidP="00DC442E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12993">
        <w:rPr>
          <w:rFonts w:ascii="Tahoma" w:hAnsi="Tahoma" w:cs="Tahoma"/>
        </w:rPr>
        <w:t>1.5.</w:t>
      </w:r>
      <w:r w:rsidRPr="00A12993">
        <w:rPr>
          <w:rFonts w:ascii="Tahoma" w:hAnsi="Tahoma" w:cs="Tahoma"/>
        </w:rPr>
        <w:tab/>
        <w:t>Днем исполнения Контракта считается последний день заключения Контракта, за исключением случаев, предусмотренных пунктами 5.1</w:t>
      </w:r>
      <w:r w:rsidR="00393D3A" w:rsidRPr="00A12993">
        <w:rPr>
          <w:rFonts w:ascii="Tahoma" w:hAnsi="Tahoma" w:cs="Tahoma"/>
        </w:rPr>
        <w:t xml:space="preserve">- </w:t>
      </w:r>
      <w:r w:rsidRPr="00A12993">
        <w:rPr>
          <w:rFonts w:ascii="Tahoma" w:hAnsi="Tahoma" w:cs="Tahoma"/>
        </w:rPr>
        <w:t>5.2 Спецификации.</w:t>
      </w:r>
    </w:p>
    <w:p w14:paraId="5625FAE5" w14:textId="77777777" w:rsidR="00050D92" w:rsidRPr="00A12993" w:rsidRDefault="00050D92" w:rsidP="008806CC">
      <w:pPr>
        <w:pStyle w:val="a"/>
        <w:spacing w:after="0"/>
        <w:rPr>
          <w:rFonts w:ascii="Tahoma" w:hAnsi="Tahoma" w:cs="Tahoma"/>
        </w:rPr>
      </w:pPr>
      <w:r w:rsidRPr="00A12993">
        <w:rPr>
          <w:rFonts w:ascii="Tahoma" w:hAnsi="Tahoma" w:cs="Tahoma"/>
        </w:rPr>
        <w:t>Обязательства по Контракту</w:t>
      </w:r>
    </w:p>
    <w:p w14:paraId="0A1718FB" w14:textId="77777777" w:rsidR="008806CC" w:rsidRPr="00A12993" w:rsidRDefault="008806CC" w:rsidP="00DC442E">
      <w:pPr>
        <w:pStyle w:val="a0"/>
        <w:tabs>
          <w:tab w:val="clear" w:pos="1287"/>
          <w:tab w:val="num" w:pos="709"/>
        </w:tabs>
        <w:spacing w:before="120"/>
        <w:ind w:left="851"/>
        <w:rPr>
          <w:rFonts w:ascii="Tahoma" w:hAnsi="Tahoma" w:cs="Tahoma"/>
        </w:rPr>
      </w:pPr>
      <w:r w:rsidRPr="00A12993">
        <w:rPr>
          <w:rFonts w:ascii="Tahoma" w:hAnsi="Tahoma" w:cs="Tahoma"/>
        </w:rPr>
        <w:t>Обязательства по уплате вариационной маржи.</w:t>
      </w:r>
    </w:p>
    <w:p w14:paraId="33261D57" w14:textId="77777777" w:rsidR="00050D92" w:rsidRPr="00A12993" w:rsidRDefault="008806CC" w:rsidP="00DC442E">
      <w:pPr>
        <w:pStyle w:val="a0"/>
        <w:numPr>
          <w:ilvl w:val="0"/>
          <w:numId w:val="0"/>
        </w:numPr>
        <w:spacing w:before="120"/>
        <w:ind w:left="1418" w:hanging="709"/>
        <w:rPr>
          <w:rFonts w:ascii="Tahoma" w:hAnsi="Tahoma" w:cs="Tahoma"/>
        </w:rPr>
      </w:pPr>
      <w:r w:rsidRPr="00A12993">
        <w:rPr>
          <w:rFonts w:ascii="Tahoma" w:hAnsi="Tahoma" w:cs="Tahoma"/>
        </w:rPr>
        <w:t xml:space="preserve">2.1.1. </w:t>
      </w:r>
      <w:r w:rsidR="00050D92" w:rsidRPr="00A12993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14:paraId="5840695F" w14:textId="77777777" w:rsidR="008806CC" w:rsidRPr="00A12993" w:rsidRDefault="008806CC" w:rsidP="00DC442E">
      <w:pPr>
        <w:pStyle w:val="a0"/>
        <w:numPr>
          <w:ilvl w:val="0"/>
          <w:numId w:val="0"/>
        </w:numPr>
        <w:ind w:left="1418" w:hanging="709"/>
        <w:rPr>
          <w:rFonts w:ascii="Tahoma" w:hAnsi="Tahoma" w:cs="Tahoma"/>
        </w:rPr>
      </w:pPr>
      <w:r w:rsidRPr="00A12993">
        <w:rPr>
          <w:rFonts w:ascii="Tahoma" w:hAnsi="Tahoma" w:cs="Tahoma"/>
        </w:rPr>
        <w:t xml:space="preserve">2.1.2. </w:t>
      </w:r>
      <w:r w:rsidR="00050D92" w:rsidRPr="00A12993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3A174864" w14:textId="77777777" w:rsidR="00050D92" w:rsidRPr="00A12993" w:rsidRDefault="008806CC" w:rsidP="00DC442E">
      <w:pPr>
        <w:pStyle w:val="a0"/>
        <w:numPr>
          <w:ilvl w:val="0"/>
          <w:numId w:val="0"/>
        </w:numPr>
        <w:ind w:left="1418" w:hanging="709"/>
        <w:rPr>
          <w:rFonts w:ascii="Tahoma" w:hAnsi="Tahoma" w:cs="Tahoma"/>
        </w:rPr>
      </w:pPr>
      <w:bookmarkStart w:id="4" w:name="_Ref156961941"/>
      <w:r w:rsidRPr="00A12993">
        <w:rPr>
          <w:rFonts w:ascii="Tahoma" w:hAnsi="Tahoma" w:cs="Tahoma"/>
        </w:rPr>
        <w:t xml:space="preserve">2.1.3. </w:t>
      </w:r>
      <w:r w:rsidR="00050D92" w:rsidRPr="00A12993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2A40E6DE" w14:textId="77777777" w:rsidR="00050D92" w:rsidRPr="00A12993" w:rsidRDefault="00050D92" w:rsidP="000623F2">
      <w:pPr>
        <w:tabs>
          <w:tab w:val="left" w:pos="1276"/>
          <w:tab w:val="num" w:pos="1701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</w:t>
      </w:r>
      <w:r w:rsidR="008806CC"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</w:t>
      </w: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="008806CC"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</w:t>
      </w: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В ходе дневной клиринговой сессии:</w:t>
      </w:r>
    </w:p>
    <w:p w14:paraId="16E59184" w14:textId="77777777" w:rsidR="00050D92" w:rsidRPr="00A12993" w:rsidRDefault="00050D92" w:rsidP="00DC442E">
      <w:pPr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не осуществлялся:</w:t>
      </w:r>
    </w:p>
    <w:p w14:paraId="000C37A5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proofErr w:type="gramEnd"/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14:paraId="6FBF5B61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1B21790D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E2D9CB2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14:paraId="66E1429C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Ц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14:paraId="6AC554E1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14:paraId="2F561F65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14:paraId="15FF2FA6" w14:textId="77777777" w:rsidR="00050D92" w:rsidRPr="00A12993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14:paraId="79D3B17E" w14:textId="77777777" w:rsidR="00050D92" w:rsidRPr="00A12993" w:rsidRDefault="00050D92" w:rsidP="00DC442E">
      <w:pPr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осуществлялся:</w:t>
      </w:r>
    </w:p>
    <w:p w14:paraId="494D25D6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proofErr w:type="gramEnd"/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14:paraId="2FB14E59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40176A5F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D58A7A2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14:paraId="2D23EBFC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14:paraId="5620FF3B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A12993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14:paraId="4AEC6EB9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14:paraId="6B608572" w14:textId="77777777" w:rsidR="00050D92" w:rsidRPr="00A12993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R – минимальный шаг цены.</w:t>
      </w:r>
    </w:p>
    <w:p w14:paraId="70EC693C" w14:textId="77777777" w:rsidR="00050D92" w:rsidRPr="00A12993" w:rsidRDefault="00050D92" w:rsidP="00DC442E">
      <w:pPr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388E28B2" w14:textId="77777777" w:rsidR="00050D92" w:rsidRPr="00A12993" w:rsidRDefault="00050D92" w:rsidP="00DC442E">
      <w:pPr>
        <w:tabs>
          <w:tab w:val="num" w:pos="9356"/>
        </w:tabs>
        <w:autoSpaceDE w:val="0"/>
        <w:autoSpaceDN w:val="0"/>
        <w:spacing w:before="120" w:after="0" w:line="240" w:lineRule="auto"/>
        <w:ind w:left="1985" w:hanging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</w:t>
      </w:r>
      <w:r w:rsidR="008806CC"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</w:t>
      </w: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3.2. В ходе вечерней клиринговой сессии:</w:t>
      </w:r>
    </w:p>
    <w:p w14:paraId="40BBFEEB" w14:textId="77777777" w:rsidR="00050D92" w:rsidRPr="00A12993" w:rsidRDefault="00050D92" w:rsidP="00DC442E">
      <w:pPr>
        <w:pStyle w:val="a8"/>
        <w:numPr>
          <w:ilvl w:val="0"/>
          <w:numId w:val="4"/>
        </w:numPr>
        <w:tabs>
          <w:tab w:val="clear" w:pos="9000"/>
          <w:tab w:val="left" w:pos="1701"/>
        </w:tabs>
        <w:spacing w:before="120" w:after="0"/>
        <w:ind w:left="1701" w:hanging="425"/>
        <w:rPr>
          <w:rFonts w:ascii="Tahoma" w:hAnsi="Tahoma" w:cs="Tahoma"/>
          <w:lang w:val="ru-RU"/>
        </w:rPr>
      </w:pPr>
      <w:r w:rsidRPr="00A12993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072F5770" w14:textId="77777777" w:rsidR="00050D92" w:rsidRPr="00A12993" w:rsidRDefault="00050D92" w:rsidP="00050D92">
      <w:pPr>
        <w:pStyle w:val="a8"/>
        <w:spacing w:before="120" w:after="0"/>
        <w:ind w:left="1276"/>
        <w:rPr>
          <w:rFonts w:ascii="Tahoma" w:hAnsi="Tahoma" w:cs="Tahoma"/>
          <w:b/>
        </w:rPr>
      </w:pPr>
      <w:r w:rsidRPr="00A12993">
        <w:rPr>
          <w:rFonts w:ascii="Tahoma" w:hAnsi="Tahoma" w:cs="Tahoma"/>
          <w:b/>
          <w:lang w:val="ru-RU"/>
        </w:rPr>
        <w:t>ВМ</w:t>
      </w:r>
      <w:proofErr w:type="gramStart"/>
      <w:r w:rsidRPr="00A12993">
        <w:rPr>
          <w:rFonts w:ascii="Tahoma" w:hAnsi="Tahoma" w:cs="Tahoma"/>
          <w:b/>
          <w:vertAlign w:val="subscript"/>
        </w:rPr>
        <w:t>2</w:t>
      </w:r>
      <w:proofErr w:type="gramEnd"/>
      <w:r w:rsidRPr="00A12993">
        <w:rPr>
          <w:rFonts w:ascii="Tahoma" w:hAnsi="Tahoma" w:cs="Tahoma"/>
          <w:b/>
        </w:rPr>
        <w:t xml:space="preserve"> = Round (</w:t>
      </w:r>
      <w:r w:rsidRPr="00A12993">
        <w:rPr>
          <w:rFonts w:ascii="Tahoma" w:hAnsi="Tahoma" w:cs="Tahoma"/>
          <w:b/>
          <w:lang w:val="ru-RU"/>
        </w:rPr>
        <w:t>РЦ</w:t>
      </w:r>
      <w:r w:rsidRPr="00A12993">
        <w:rPr>
          <w:rFonts w:ascii="Tahoma" w:hAnsi="Tahoma" w:cs="Tahoma"/>
          <w:b/>
          <w:vertAlign w:val="subscript"/>
        </w:rPr>
        <w:t>2</w:t>
      </w:r>
      <w:r w:rsidRPr="00A12993">
        <w:rPr>
          <w:rFonts w:ascii="Tahoma" w:hAnsi="Tahoma" w:cs="Tahoma"/>
          <w:b/>
        </w:rPr>
        <w:t>*Round(W</w:t>
      </w:r>
      <w:r w:rsidRPr="00A12993">
        <w:rPr>
          <w:rFonts w:ascii="Tahoma" w:hAnsi="Tahoma" w:cs="Tahoma"/>
          <w:b/>
          <w:vertAlign w:val="subscript"/>
        </w:rPr>
        <w:t>2</w:t>
      </w:r>
      <w:r w:rsidRPr="00A12993">
        <w:rPr>
          <w:rFonts w:ascii="Tahoma" w:hAnsi="Tahoma" w:cs="Tahoma"/>
          <w:b/>
        </w:rPr>
        <w:t>/R; 5); 2) – Round (</w:t>
      </w:r>
      <w:r w:rsidRPr="00A12993">
        <w:rPr>
          <w:rFonts w:ascii="Tahoma" w:hAnsi="Tahoma" w:cs="Tahoma"/>
          <w:b/>
          <w:lang w:val="ru-RU"/>
        </w:rPr>
        <w:t>Ц</w:t>
      </w:r>
      <w:r w:rsidRPr="00A12993">
        <w:rPr>
          <w:rFonts w:ascii="Tahoma" w:hAnsi="Tahoma" w:cs="Tahoma"/>
          <w:b/>
          <w:vertAlign w:val="subscript"/>
        </w:rPr>
        <w:t>0</w:t>
      </w:r>
      <w:r w:rsidRPr="00A12993">
        <w:rPr>
          <w:rFonts w:ascii="Tahoma" w:hAnsi="Tahoma" w:cs="Tahoma"/>
          <w:b/>
        </w:rPr>
        <w:t>*Round(W</w:t>
      </w:r>
      <w:r w:rsidRPr="00A12993">
        <w:rPr>
          <w:rFonts w:ascii="Tahoma" w:hAnsi="Tahoma" w:cs="Tahoma"/>
          <w:b/>
          <w:vertAlign w:val="subscript"/>
        </w:rPr>
        <w:t>2</w:t>
      </w:r>
      <w:r w:rsidRPr="00A12993">
        <w:rPr>
          <w:rFonts w:ascii="Tahoma" w:hAnsi="Tahoma" w:cs="Tahoma"/>
          <w:b/>
        </w:rPr>
        <w:t xml:space="preserve">/R; 5); 2)          </w:t>
      </w:r>
    </w:p>
    <w:p w14:paraId="3E3A23E7" w14:textId="77777777" w:rsidR="00050D92" w:rsidRPr="00A1299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A12993">
        <w:rPr>
          <w:rFonts w:ascii="Tahoma" w:hAnsi="Tahoma" w:cs="Tahoma"/>
          <w:lang w:val="ru-RU"/>
        </w:rPr>
        <w:t>где:</w:t>
      </w:r>
    </w:p>
    <w:p w14:paraId="578021F1" w14:textId="77777777" w:rsidR="00050D92" w:rsidRPr="00A1299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A12993">
        <w:rPr>
          <w:rFonts w:ascii="Tahoma" w:hAnsi="Tahoma" w:cs="Tahoma"/>
          <w:lang w:val="ru-RU"/>
        </w:rPr>
        <w:t>ВМ</w:t>
      </w:r>
      <w:proofErr w:type="gramStart"/>
      <w:r w:rsidRPr="00A12993">
        <w:rPr>
          <w:rFonts w:ascii="Tahoma" w:hAnsi="Tahoma" w:cs="Tahoma"/>
          <w:vertAlign w:val="subscript"/>
          <w:lang w:val="ru-RU"/>
        </w:rPr>
        <w:t>2</w:t>
      </w:r>
      <w:proofErr w:type="gramEnd"/>
      <w:r w:rsidRPr="00A12993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9A31043" w14:textId="77777777" w:rsidR="00050D92" w:rsidRPr="00A1299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A12993">
        <w:rPr>
          <w:rFonts w:ascii="Tahoma" w:hAnsi="Tahoma" w:cs="Tahoma"/>
        </w:rPr>
        <w:t>Round</w:t>
      </w:r>
      <w:r w:rsidRPr="00A12993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FB3C1E4" w14:textId="77777777" w:rsidR="00050D92" w:rsidRPr="00A1299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A12993">
        <w:rPr>
          <w:rFonts w:ascii="Tahoma" w:hAnsi="Tahoma" w:cs="Tahoma"/>
          <w:lang w:val="ru-RU"/>
        </w:rPr>
        <w:t>Ц</w:t>
      </w:r>
      <w:proofErr w:type="gramStart"/>
      <w:r w:rsidRPr="00A12993">
        <w:rPr>
          <w:rFonts w:ascii="Tahoma" w:hAnsi="Tahoma" w:cs="Tahoma"/>
          <w:vertAlign w:val="subscript"/>
          <w:lang w:val="ru-RU"/>
        </w:rPr>
        <w:t>0</w:t>
      </w:r>
      <w:proofErr w:type="gramEnd"/>
      <w:r w:rsidRPr="00A12993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1E2222B8" w14:textId="77777777" w:rsidR="00050D92" w:rsidRPr="00A1299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A12993">
        <w:rPr>
          <w:rFonts w:ascii="Tahoma" w:hAnsi="Tahoma" w:cs="Tahoma"/>
          <w:lang w:val="ru-RU"/>
        </w:rPr>
        <w:t>РЦ</w:t>
      </w:r>
      <w:proofErr w:type="gramStart"/>
      <w:r w:rsidRPr="00A12993">
        <w:rPr>
          <w:rFonts w:ascii="Tahoma" w:hAnsi="Tahoma" w:cs="Tahoma"/>
          <w:vertAlign w:val="subscript"/>
          <w:lang w:val="ru-RU"/>
        </w:rPr>
        <w:t>2</w:t>
      </w:r>
      <w:proofErr w:type="gramEnd"/>
      <w:r w:rsidRPr="00A12993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E9AACFC" w14:textId="77777777" w:rsidR="00050D92" w:rsidRPr="00A1299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A12993">
        <w:rPr>
          <w:rFonts w:ascii="Tahoma" w:hAnsi="Tahoma" w:cs="Tahoma"/>
        </w:rPr>
        <w:t>W</w:t>
      </w:r>
      <w:r w:rsidRPr="00A12993">
        <w:rPr>
          <w:rFonts w:ascii="Tahoma" w:hAnsi="Tahoma" w:cs="Tahoma"/>
          <w:vertAlign w:val="subscript"/>
          <w:lang w:val="ru-RU"/>
        </w:rPr>
        <w:t>2</w:t>
      </w:r>
      <w:r w:rsidRPr="00A12993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2EEB059B" w14:textId="77777777" w:rsidR="00050D92" w:rsidRPr="00A12993" w:rsidRDefault="00050D92" w:rsidP="00050D92">
      <w:pPr>
        <w:pStyle w:val="a8"/>
        <w:spacing w:after="0"/>
        <w:ind w:left="1276"/>
        <w:rPr>
          <w:rFonts w:ascii="Tahoma" w:hAnsi="Tahoma" w:cs="Tahoma"/>
        </w:rPr>
      </w:pPr>
      <w:r w:rsidRPr="00A12993">
        <w:rPr>
          <w:rFonts w:ascii="Tahoma" w:hAnsi="Tahoma" w:cs="Tahoma"/>
        </w:rPr>
        <w:t xml:space="preserve">R – </w:t>
      </w:r>
      <w:proofErr w:type="spellStart"/>
      <w:proofErr w:type="gramStart"/>
      <w:r w:rsidRPr="00A12993">
        <w:rPr>
          <w:rFonts w:ascii="Tahoma" w:hAnsi="Tahoma" w:cs="Tahoma"/>
        </w:rPr>
        <w:t>минимальный</w:t>
      </w:r>
      <w:proofErr w:type="spellEnd"/>
      <w:proofErr w:type="gramEnd"/>
      <w:r w:rsidRPr="00A12993">
        <w:rPr>
          <w:rFonts w:ascii="Tahoma" w:hAnsi="Tahoma" w:cs="Tahoma"/>
        </w:rPr>
        <w:t xml:space="preserve"> </w:t>
      </w:r>
      <w:proofErr w:type="spellStart"/>
      <w:r w:rsidRPr="00A12993">
        <w:rPr>
          <w:rFonts w:ascii="Tahoma" w:hAnsi="Tahoma" w:cs="Tahoma"/>
        </w:rPr>
        <w:t>шаг</w:t>
      </w:r>
      <w:proofErr w:type="spellEnd"/>
      <w:r w:rsidRPr="00A12993">
        <w:rPr>
          <w:rFonts w:ascii="Tahoma" w:hAnsi="Tahoma" w:cs="Tahoma"/>
        </w:rPr>
        <w:t xml:space="preserve"> </w:t>
      </w:r>
      <w:proofErr w:type="spellStart"/>
      <w:r w:rsidRPr="00A12993">
        <w:rPr>
          <w:rFonts w:ascii="Tahoma" w:hAnsi="Tahoma" w:cs="Tahoma"/>
        </w:rPr>
        <w:t>цены</w:t>
      </w:r>
      <w:proofErr w:type="spellEnd"/>
      <w:r w:rsidRPr="00A12993">
        <w:rPr>
          <w:rFonts w:ascii="Tahoma" w:hAnsi="Tahoma" w:cs="Tahoma"/>
        </w:rPr>
        <w:t>.</w:t>
      </w:r>
    </w:p>
    <w:p w14:paraId="0942DEC8" w14:textId="77777777" w:rsidR="00050D92" w:rsidRPr="00A12993" w:rsidRDefault="00050D92" w:rsidP="00DC442E">
      <w:pPr>
        <w:numPr>
          <w:ilvl w:val="0"/>
          <w:numId w:val="4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65695F78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2</w:t>
      </w:r>
      <w:proofErr w:type="gramEnd"/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= ВМ – ВМ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1</w:t>
      </w: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         </w:t>
      </w:r>
    </w:p>
    <w:p w14:paraId="16805D02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557CC41B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2E7C2A5C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6C71CA22" w14:textId="759CC46A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361A0D" w:rsidRPr="00A12993">
        <w:rPr>
          <w:rFonts w:ascii="Tahoma" w:eastAsia="Times New Roman" w:hAnsi="Tahoma" w:cs="Tahoma"/>
          <w:sz w:val="20"/>
          <w:szCs w:val="20"/>
          <w:lang w:eastAsia="ru-RU"/>
        </w:rPr>
        <w:t>под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пунктом </w:t>
      </w:r>
      <w:r w:rsidR="00522717" w:rsidRPr="00A12993">
        <w:rPr>
          <w:rFonts w:ascii="Tahoma" w:eastAsia="Times New Roman" w:hAnsi="Tahoma" w:cs="Tahoma"/>
          <w:sz w:val="20"/>
          <w:szCs w:val="20"/>
          <w:lang w:eastAsia="ru-RU"/>
        </w:rPr>
        <w:t>2.</w:t>
      </w:r>
      <w:r w:rsidR="008806CC" w:rsidRPr="00A12993">
        <w:rPr>
          <w:rFonts w:ascii="Tahoma" w:eastAsia="Times New Roman" w:hAnsi="Tahoma" w:cs="Tahoma"/>
          <w:sz w:val="20"/>
          <w:szCs w:val="20"/>
          <w:lang w:eastAsia="ru-RU"/>
        </w:rPr>
        <w:t>1.</w:t>
      </w:r>
      <w:r w:rsidR="00522717"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3.1 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Спецификации.</w:t>
      </w:r>
    </w:p>
    <w:p w14:paraId="64647BD3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При этом величина ВМ рассчитывается по следующим формулам:</w:t>
      </w:r>
    </w:p>
    <w:p w14:paraId="7DEF490E" w14:textId="77777777" w:rsidR="00050D92" w:rsidRPr="00A12993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5FD2A481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proofErr w:type="gramStart"/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proofErr w:type="gramEnd"/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 xml:space="preserve"> 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/ R; 5); 2)</w:t>
      </w:r>
    </w:p>
    <w:p w14:paraId="2EFDE3F9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5D1F8BA4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14:paraId="1E3CF7A9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14:paraId="23F5C325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Ц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14:paraId="264C377D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14:paraId="54F9701B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минимальный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шаг цены.</w:t>
      </w:r>
    </w:p>
    <w:p w14:paraId="004E9068" w14:textId="77777777" w:rsidR="00050D92" w:rsidRPr="00A12993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61069C07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proofErr w:type="gramStart"/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proofErr w:type="gramEnd"/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 – Round (</w:t>
      </w:r>
      <w:r w:rsidRPr="00A12993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A12993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A12993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</w:t>
      </w:r>
    </w:p>
    <w:p w14:paraId="559CA5DD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7593F808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14:paraId="489F4890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14:paraId="21AF8751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A12993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14:paraId="65E70172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A12993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14:paraId="6A2F5624" w14:textId="77777777" w:rsidR="00050D92" w:rsidRPr="00A12993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– </w:t>
      </w:r>
      <w:proofErr w:type="gramStart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>минимальный</w:t>
      </w:r>
      <w:proofErr w:type="gramEnd"/>
      <w:r w:rsidRPr="00A12993">
        <w:rPr>
          <w:rFonts w:ascii="Tahoma" w:eastAsia="Times New Roman" w:hAnsi="Tahoma" w:cs="Tahoma"/>
          <w:sz w:val="20"/>
          <w:szCs w:val="20"/>
          <w:lang w:eastAsia="ru-RU"/>
        </w:rPr>
        <w:t xml:space="preserve"> шаг цены.</w:t>
      </w:r>
    </w:p>
    <w:p w14:paraId="35089A37" w14:textId="77777777" w:rsidR="00050D92" w:rsidRPr="00A12993" w:rsidRDefault="00050D92" w:rsidP="00050D92">
      <w:pPr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2611027A" w14:textId="1A281CDB" w:rsidR="00050D92" w:rsidRPr="00A12993" w:rsidRDefault="006D4425" w:rsidP="00DC442E">
      <w:pPr>
        <w:autoSpaceDE w:val="0"/>
        <w:autoSpaceDN w:val="0"/>
        <w:spacing w:before="120" w:after="0" w:line="240" w:lineRule="auto"/>
        <w:ind w:left="1276" w:hanging="567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2.1.4. </w:t>
      </w:r>
      <w:r w:rsidR="00050D92"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Исполнение обязательств по уплате вариационной маржи, рассчитанной по формулам, указанным в пункте 2.</w:t>
      </w: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</w:t>
      </w:r>
      <w:r w:rsidR="00050D92"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 Спецификации, осуществляется в порядке и сроки, установленные Правилами клиринга. При этом:</w:t>
      </w:r>
    </w:p>
    <w:p w14:paraId="7598DBA2" w14:textId="77777777" w:rsidR="00050D92" w:rsidRPr="00A12993" w:rsidRDefault="00050D92" w:rsidP="00050D92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положительна, то обязательство по уплате вариационной маржи возникает у Продавца:</w:t>
      </w:r>
    </w:p>
    <w:p w14:paraId="042EC37A" w14:textId="77777777" w:rsidR="006D4425" w:rsidRPr="00A12993" w:rsidRDefault="00050D92" w:rsidP="00DC442E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hAnsi="Tahoma" w:cs="Tahoma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</w:t>
      </w:r>
      <w:r w:rsidR="006D4425"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14:paraId="110DC8E9" w14:textId="77777777" w:rsidR="006D4425" w:rsidRPr="00A12993" w:rsidRDefault="006D4425" w:rsidP="00DC442E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A12993">
        <w:rPr>
          <w:rFonts w:ascii="Tahoma" w:hAnsi="Tahoma" w:cs="Tahoma"/>
        </w:rPr>
        <w:t>2.1.5. Расчетная цена Контракта определяется Биржей в порядке и сроки, установленные Правилами торгов и Спецификацией.</w:t>
      </w:r>
    </w:p>
    <w:p w14:paraId="58E13EDA" w14:textId="77777777" w:rsidR="006D4425" w:rsidRPr="00A12993" w:rsidRDefault="006D4425" w:rsidP="00DC442E">
      <w:pPr>
        <w:pStyle w:val="a0"/>
        <w:numPr>
          <w:ilvl w:val="1"/>
          <w:numId w:val="16"/>
        </w:numPr>
        <w:tabs>
          <w:tab w:val="clear" w:pos="1287"/>
          <w:tab w:val="num" w:pos="709"/>
        </w:tabs>
        <w:spacing w:before="120" w:after="0"/>
        <w:ind w:left="709"/>
        <w:rPr>
          <w:rFonts w:ascii="Tahoma" w:hAnsi="Tahoma" w:cs="Tahoma"/>
        </w:rPr>
      </w:pPr>
      <w:r w:rsidRPr="00A12993">
        <w:rPr>
          <w:rFonts w:ascii="Tahoma" w:hAnsi="Tahoma" w:cs="Tahoma"/>
        </w:rPr>
        <w:t>Обязательство по расчетам.</w:t>
      </w:r>
    </w:p>
    <w:p w14:paraId="5435117A" w14:textId="77777777" w:rsidR="006D4425" w:rsidRPr="00A12993" w:rsidRDefault="006D4425" w:rsidP="00DC442E">
      <w:pPr>
        <w:pStyle w:val="a0"/>
        <w:numPr>
          <w:ilvl w:val="0"/>
          <w:numId w:val="0"/>
        </w:numPr>
        <w:spacing w:before="120" w:after="0"/>
        <w:ind w:left="709"/>
        <w:rPr>
          <w:rFonts w:ascii="Tahoma" w:hAnsi="Tahoma" w:cs="Tahoma"/>
        </w:rPr>
      </w:pPr>
      <w:r w:rsidRPr="00A12993">
        <w:rPr>
          <w:rFonts w:ascii="Tahoma" w:hAnsi="Tahoma" w:cs="Tahoma"/>
        </w:rPr>
        <w:t>2.2.1.</w:t>
      </w:r>
      <w:r w:rsidRPr="00A12993">
        <w:rPr>
          <w:rFonts w:ascii="Tahoma" w:hAnsi="Tahoma" w:cs="Tahoma"/>
        </w:rPr>
        <w:tab/>
        <w:t>Обязательство по уплате вариационной маржи, определяемое в ходе в вечерней клиринговой сессии дня исполнения Контракта, является Обязательством по расчетам.</w:t>
      </w:r>
    </w:p>
    <w:p w14:paraId="12EC5ED3" w14:textId="0FE7CB43" w:rsidR="00BB22BC" w:rsidRPr="00A12993" w:rsidRDefault="006D4425" w:rsidP="00DC442E">
      <w:pPr>
        <w:pStyle w:val="a0"/>
        <w:numPr>
          <w:ilvl w:val="0"/>
          <w:numId w:val="0"/>
        </w:numPr>
        <w:spacing w:before="120" w:after="0"/>
        <w:ind w:left="720"/>
        <w:rPr>
          <w:rFonts w:ascii="Tahoma" w:hAnsi="Tahoma" w:cs="Tahoma"/>
          <w:color w:val="262626"/>
          <w:szCs w:val="24"/>
        </w:rPr>
      </w:pPr>
      <w:r w:rsidRPr="00A12993">
        <w:rPr>
          <w:rFonts w:ascii="Tahoma" w:hAnsi="Tahoma" w:cs="Tahoma"/>
        </w:rPr>
        <w:t xml:space="preserve">2.2.2. </w:t>
      </w:r>
      <w:r w:rsidR="00050D92" w:rsidRPr="00A12993">
        <w:rPr>
          <w:rFonts w:ascii="Tahoma" w:hAnsi="Tahoma" w:cs="Tahoma"/>
        </w:rPr>
        <w:t>В целях определения Обязательства по расчетам текущая</w:t>
      </w:r>
      <w:r w:rsidR="002C5F7A" w:rsidRPr="00A12993">
        <w:rPr>
          <w:rFonts w:ascii="Tahoma" w:hAnsi="Tahoma" w:cs="Tahoma"/>
        </w:rPr>
        <w:t xml:space="preserve"> </w:t>
      </w:r>
      <w:r w:rsidR="00050D92" w:rsidRPr="00A12993">
        <w:rPr>
          <w:rFonts w:ascii="Tahoma" w:hAnsi="Tahoma" w:cs="Tahoma"/>
        </w:rPr>
        <w:t>Расчетная цена</w:t>
      </w:r>
      <w:r w:rsidR="002C5F7A" w:rsidRPr="00A12993">
        <w:rPr>
          <w:rFonts w:ascii="Tahoma" w:hAnsi="Tahoma" w:cs="Tahoma"/>
        </w:rPr>
        <w:t xml:space="preserve"> Контракта (цена исполнения Контракта, </w:t>
      </w:r>
      <w:r w:rsidR="00050D92" w:rsidRPr="00A12993">
        <w:rPr>
          <w:rFonts w:ascii="Tahoma" w:hAnsi="Tahoma" w:cs="Tahoma"/>
        </w:rPr>
        <w:t xml:space="preserve">РЦ) </w:t>
      </w:r>
      <w:r w:rsidR="00050D92" w:rsidRPr="00A12993">
        <w:rPr>
          <w:rFonts w:ascii="Tahoma" w:hAnsi="Tahoma" w:cs="Tahoma"/>
          <w:color w:val="262626"/>
          <w:szCs w:val="24"/>
        </w:rPr>
        <w:t xml:space="preserve">определяется </w:t>
      </w:r>
      <w:r w:rsidR="00E95D43" w:rsidRPr="00A12993">
        <w:rPr>
          <w:rFonts w:ascii="Tahoma" w:hAnsi="Tahoma" w:cs="Tahoma"/>
        </w:rPr>
        <w:t xml:space="preserve">как среднее арифметическое значение, рассчитанное в день исполнения Контракта в период с </w:t>
      </w:r>
      <w:r w:rsidR="00C04BAD" w:rsidRPr="00A12993">
        <w:rPr>
          <w:rFonts w:ascii="Tahoma" w:hAnsi="Tahoma" w:cs="Tahoma"/>
        </w:rPr>
        <w:t>(</w:t>
      </w:r>
      <w:r w:rsidR="005E50A9" w:rsidRPr="00A12993">
        <w:rPr>
          <w:rFonts w:ascii="Tahoma" w:hAnsi="Tahoma" w:cs="Tahoma"/>
          <w:lang w:val="en-US"/>
        </w:rPr>
        <w:t>t</w:t>
      </w:r>
      <w:r w:rsidR="0000564C" w:rsidRPr="00A12993">
        <w:rPr>
          <w:rFonts w:ascii="Tahoma" w:hAnsi="Tahoma" w:cs="Tahoma"/>
          <w:vertAlign w:val="subscript"/>
        </w:rPr>
        <w:t>1</w:t>
      </w:r>
      <w:r w:rsidR="00C04BAD" w:rsidRPr="00A12993">
        <w:rPr>
          <w:rFonts w:ascii="Tahoma" w:hAnsi="Tahoma" w:cs="Tahoma"/>
          <w:vertAlign w:val="subscript"/>
        </w:rPr>
        <w:t xml:space="preserve"> </w:t>
      </w:r>
      <w:r w:rsidR="002D1D0F" w:rsidRPr="00A12993">
        <w:rPr>
          <w:rFonts w:ascii="Tahoma" w:hAnsi="Tahoma" w:cs="Tahoma"/>
        </w:rPr>
        <w:t>+</w:t>
      </w:r>
      <w:r w:rsidR="00C04BAD" w:rsidRPr="00A12993">
        <w:rPr>
          <w:rFonts w:ascii="Tahoma" w:hAnsi="Tahoma" w:cs="Tahoma"/>
        </w:rPr>
        <w:t xml:space="preserve"> 15 секунд)</w:t>
      </w:r>
      <w:r w:rsidR="00E95D43" w:rsidRPr="00A12993">
        <w:rPr>
          <w:rFonts w:ascii="Tahoma" w:hAnsi="Tahoma" w:cs="Tahoma"/>
        </w:rPr>
        <w:t xml:space="preserve"> до </w:t>
      </w:r>
      <w:r w:rsidR="00C04BAD" w:rsidRPr="00A12993">
        <w:rPr>
          <w:rFonts w:ascii="Tahoma" w:hAnsi="Tahoma" w:cs="Tahoma"/>
        </w:rPr>
        <w:t>(</w:t>
      </w:r>
      <w:r w:rsidR="005E50A9" w:rsidRPr="00A12993">
        <w:rPr>
          <w:rFonts w:ascii="Tahoma" w:hAnsi="Tahoma" w:cs="Tahoma"/>
          <w:lang w:val="en-US"/>
        </w:rPr>
        <w:t>t</w:t>
      </w:r>
      <w:r w:rsidR="0000564C" w:rsidRPr="00A12993">
        <w:rPr>
          <w:rFonts w:ascii="Tahoma" w:hAnsi="Tahoma" w:cs="Tahoma"/>
          <w:vertAlign w:val="subscript"/>
        </w:rPr>
        <w:t>2</w:t>
      </w:r>
      <w:r w:rsidR="00C04BAD" w:rsidRPr="00A12993">
        <w:rPr>
          <w:rFonts w:ascii="Tahoma" w:hAnsi="Tahoma" w:cs="Tahoma"/>
          <w:vertAlign w:val="subscript"/>
        </w:rPr>
        <w:t xml:space="preserve"> </w:t>
      </w:r>
      <w:r w:rsidR="00C04BAD" w:rsidRPr="00A12993">
        <w:rPr>
          <w:rFonts w:ascii="Tahoma" w:hAnsi="Tahoma" w:cs="Tahoma"/>
        </w:rPr>
        <w:t>– 45 минут)</w:t>
      </w:r>
      <w:r w:rsidR="00E95D43" w:rsidRPr="00A12993">
        <w:rPr>
          <w:rFonts w:ascii="Tahoma" w:hAnsi="Tahoma" w:cs="Tahoma"/>
        </w:rPr>
        <w:t xml:space="preserve"> включительно,</w:t>
      </w:r>
      <w:r w:rsidR="00E95D43" w:rsidRPr="00A12993">
        <w:rPr>
          <w:rFonts w:ascii="Tahoma" w:hAnsi="Tahoma" w:cs="Tahoma"/>
          <w:color w:val="262626"/>
          <w:szCs w:val="24"/>
        </w:rPr>
        <w:t xml:space="preserve"> </w:t>
      </w:r>
      <w:r w:rsidR="00290F8D" w:rsidRPr="00A12993">
        <w:rPr>
          <w:rFonts w:ascii="Tahoma" w:hAnsi="Tahoma" w:cs="Tahoma"/>
          <w:color w:val="262626"/>
          <w:szCs w:val="24"/>
        </w:rPr>
        <w:t>г</w:t>
      </w:r>
      <w:r w:rsidR="00BB22BC" w:rsidRPr="00A12993">
        <w:rPr>
          <w:rFonts w:ascii="Tahoma" w:hAnsi="Tahoma" w:cs="Tahoma"/>
          <w:color w:val="262626"/>
          <w:szCs w:val="24"/>
        </w:rPr>
        <w:t>де</w:t>
      </w:r>
      <w:r w:rsidR="00290F8D" w:rsidRPr="00A12993">
        <w:rPr>
          <w:rFonts w:ascii="Tahoma" w:hAnsi="Tahoma" w:cs="Tahoma"/>
          <w:color w:val="262626"/>
          <w:szCs w:val="24"/>
        </w:rPr>
        <w:t>:</w:t>
      </w:r>
      <w:r w:rsidR="00BB22BC" w:rsidRPr="00A12993">
        <w:rPr>
          <w:rFonts w:ascii="Tahoma" w:hAnsi="Tahoma" w:cs="Tahoma"/>
          <w:color w:val="262626"/>
          <w:szCs w:val="24"/>
        </w:rPr>
        <w:t xml:space="preserve"> </w:t>
      </w:r>
    </w:p>
    <w:p w14:paraId="10FE6E8A" w14:textId="77777777" w:rsidR="00BB22BC" w:rsidRPr="00A12993" w:rsidRDefault="005E50A9" w:rsidP="00F95964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color w:val="262626"/>
          <w:szCs w:val="24"/>
        </w:rPr>
      </w:pPr>
      <w:r w:rsidRPr="00A12993">
        <w:rPr>
          <w:rFonts w:ascii="Tahoma" w:hAnsi="Tahoma" w:cs="Tahoma"/>
          <w:color w:val="262626"/>
          <w:szCs w:val="24"/>
          <w:lang w:val="en-US"/>
        </w:rPr>
        <w:t>t</w:t>
      </w:r>
      <w:r w:rsidR="00BB22BC" w:rsidRPr="00A12993">
        <w:rPr>
          <w:rFonts w:ascii="Tahoma" w:hAnsi="Tahoma" w:cs="Tahoma"/>
          <w:color w:val="262626"/>
          <w:szCs w:val="24"/>
          <w:vertAlign w:val="subscript"/>
        </w:rPr>
        <w:t>1</w:t>
      </w:r>
      <w:r w:rsidR="00BB22BC" w:rsidRPr="00A12993">
        <w:rPr>
          <w:rFonts w:ascii="Tahoma" w:hAnsi="Tahoma" w:cs="Tahoma"/>
          <w:color w:val="262626"/>
          <w:szCs w:val="24"/>
        </w:rPr>
        <w:t xml:space="preserve"> –</w:t>
      </w:r>
      <w:r w:rsidR="001C3C1A" w:rsidRPr="00A12993">
        <w:rPr>
          <w:rFonts w:ascii="Tahoma" w:hAnsi="Tahoma" w:cs="Tahoma"/>
          <w:color w:val="262626"/>
          <w:szCs w:val="24"/>
        </w:rPr>
        <w:t xml:space="preserve"> </w:t>
      </w:r>
      <w:r w:rsidR="00BB22BC" w:rsidRPr="00A12993">
        <w:rPr>
          <w:rFonts w:ascii="Tahoma" w:hAnsi="Tahoma" w:cs="Tahoma"/>
          <w:color w:val="262626"/>
          <w:szCs w:val="24"/>
        </w:rPr>
        <w:t>время</w:t>
      </w:r>
      <w:r w:rsidR="001C3C1A" w:rsidRPr="00A12993">
        <w:rPr>
          <w:rFonts w:ascii="Tahoma" w:hAnsi="Tahoma" w:cs="Tahoma"/>
          <w:color w:val="262626"/>
          <w:szCs w:val="24"/>
        </w:rPr>
        <w:t xml:space="preserve"> </w:t>
      </w:r>
      <w:r w:rsidR="00BB22BC" w:rsidRPr="00A12993">
        <w:rPr>
          <w:rFonts w:ascii="Tahoma" w:hAnsi="Tahoma" w:cs="Tahoma"/>
          <w:color w:val="262626"/>
          <w:szCs w:val="24"/>
        </w:rPr>
        <w:t>окончания периода приостановки Торгов в целях проведения дневной клиринговой сессии;</w:t>
      </w:r>
    </w:p>
    <w:p w14:paraId="0BE36C38" w14:textId="77777777" w:rsidR="00BB22BC" w:rsidRPr="00A12993" w:rsidRDefault="005E50A9" w:rsidP="00F95964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color w:val="262626"/>
          <w:szCs w:val="24"/>
        </w:rPr>
      </w:pPr>
      <w:proofErr w:type="gramStart"/>
      <w:r w:rsidRPr="00A12993">
        <w:rPr>
          <w:rFonts w:ascii="Tahoma" w:hAnsi="Tahoma" w:cs="Tahoma"/>
          <w:color w:val="262626"/>
          <w:szCs w:val="24"/>
          <w:lang w:val="en-US"/>
        </w:rPr>
        <w:t>t</w:t>
      </w:r>
      <w:r w:rsidR="00BB22BC" w:rsidRPr="00A12993">
        <w:rPr>
          <w:rFonts w:ascii="Tahoma" w:hAnsi="Tahoma" w:cs="Tahoma"/>
          <w:color w:val="262626"/>
          <w:szCs w:val="24"/>
          <w:vertAlign w:val="subscript"/>
        </w:rPr>
        <w:t xml:space="preserve">2 </w:t>
      </w:r>
      <w:r w:rsidR="00BB22BC" w:rsidRPr="00A12993">
        <w:rPr>
          <w:rFonts w:ascii="Tahoma" w:hAnsi="Tahoma" w:cs="Tahoma"/>
          <w:color w:val="262626"/>
          <w:szCs w:val="24"/>
        </w:rPr>
        <w:t>–</w:t>
      </w:r>
      <w:r w:rsidR="00293820" w:rsidRPr="00A12993">
        <w:rPr>
          <w:rFonts w:ascii="Tahoma" w:hAnsi="Tahoma" w:cs="Tahoma"/>
          <w:color w:val="262626"/>
          <w:szCs w:val="24"/>
        </w:rPr>
        <w:t xml:space="preserve"> </w:t>
      </w:r>
      <w:r w:rsidR="00C04BAD" w:rsidRPr="00A12993">
        <w:rPr>
          <w:rFonts w:ascii="Tahoma" w:hAnsi="Tahoma" w:cs="Tahoma"/>
          <w:color w:val="262626"/>
          <w:szCs w:val="24"/>
        </w:rPr>
        <w:t xml:space="preserve">время окончания </w:t>
      </w:r>
      <w:r w:rsidR="00293820" w:rsidRPr="00A12993">
        <w:rPr>
          <w:rFonts w:ascii="Tahoma" w:hAnsi="Tahoma" w:cs="Tahoma"/>
          <w:color w:val="262626"/>
          <w:szCs w:val="24"/>
        </w:rPr>
        <w:t>основной торговой сессии</w:t>
      </w:r>
      <w:r w:rsidR="001C3C1A" w:rsidRPr="00A12993">
        <w:rPr>
          <w:rFonts w:ascii="Tahoma" w:hAnsi="Tahoma" w:cs="Tahoma"/>
          <w:color w:val="262626"/>
          <w:szCs w:val="24"/>
        </w:rPr>
        <w:t>.</w:t>
      </w:r>
      <w:proofErr w:type="gramEnd"/>
    </w:p>
    <w:p w14:paraId="2EBB49C8" w14:textId="14DB8040" w:rsidR="00980318" w:rsidRPr="00A12993" w:rsidRDefault="00C04BAD" w:rsidP="00DC442E">
      <w:pPr>
        <w:pStyle w:val="a0"/>
        <w:numPr>
          <w:ilvl w:val="0"/>
          <w:numId w:val="0"/>
        </w:numPr>
        <w:spacing w:before="120" w:after="0"/>
        <w:ind w:left="720"/>
        <w:rPr>
          <w:rFonts w:ascii="Tahoma" w:hAnsi="Tahoma" w:cs="Tahoma"/>
          <w:color w:val="262626"/>
          <w:szCs w:val="24"/>
        </w:rPr>
      </w:pPr>
      <w:r w:rsidRPr="00A12993">
        <w:rPr>
          <w:rFonts w:ascii="Tahoma" w:hAnsi="Tahoma" w:cs="Tahoma"/>
          <w:color w:val="262626"/>
          <w:szCs w:val="24"/>
        </w:rPr>
        <w:t>В</w:t>
      </w:r>
      <w:r w:rsidR="00980318" w:rsidRPr="00A12993">
        <w:rPr>
          <w:rFonts w:ascii="Tahoma" w:hAnsi="Tahoma" w:cs="Tahoma"/>
          <w:color w:val="262626"/>
          <w:szCs w:val="24"/>
        </w:rPr>
        <w:t>ремя</w:t>
      </w:r>
      <w:r w:rsidRPr="00A12993">
        <w:rPr>
          <w:rFonts w:ascii="Tahoma" w:hAnsi="Tahoma" w:cs="Tahoma"/>
          <w:color w:val="262626"/>
          <w:szCs w:val="24"/>
        </w:rPr>
        <w:t xml:space="preserve"> окончания приостановки Торгов в целях проведения дневной клиринговой сессии (</w:t>
      </w:r>
      <w:r w:rsidRPr="00A12993">
        <w:rPr>
          <w:rFonts w:ascii="Tahoma" w:hAnsi="Tahoma" w:cs="Tahoma"/>
          <w:color w:val="262626"/>
          <w:szCs w:val="24"/>
          <w:lang w:val="en-US"/>
        </w:rPr>
        <w:t>t</w:t>
      </w:r>
      <w:r w:rsidRPr="00A12993">
        <w:rPr>
          <w:rFonts w:ascii="Tahoma" w:hAnsi="Tahoma" w:cs="Tahoma"/>
          <w:color w:val="262626"/>
          <w:szCs w:val="24"/>
          <w:vertAlign w:val="subscript"/>
        </w:rPr>
        <w:t>1</w:t>
      </w:r>
      <w:r w:rsidRPr="00A12993">
        <w:rPr>
          <w:rFonts w:ascii="Tahoma" w:hAnsi="Tahoma" w:cs="Tahoma"/>
          <w:color w:val="262626"/>
          <w:szCs w:val="24"/>
        </w:rPr>
        <w:t>)</w:t>
      </w:r>
      <w:r w:rsidR="00980318" w:rsidRPr="00A12993">
        <w:rPr>
          <w:rFonts w:ascii="Tahoma" w:hAnsi="Tahoma" w:cs="Tahoma"/>
          <w:color w:val="262626"/>
          <w:szCs w:val="24"/>
        </w:rPr>
        <w:t xml:space="preserve"> </w:t>
      </w:r>
      <w:r w:rsidRPr="00A12993">
        <w:rPr>
          <w:rFonts w:ascii="Tahoma" w:hAnsi="Tahoma" w:cs="Tahoma"/>
          <w:color w:val="262626"/>
          <w:szCs w:val="24"/>
        </w:rPr>
        <w:t>и время окончания основной торговой сессии (</w:t>
      </w:r>
      <w:r w:rsidRPr="00A12993">
        <w:rPr>
          <w:rFonts w:ascii="Tahoma" w:hAnsi="Tahoma" w:cs="Tahoma"/>
          <w:color w:val="262626"/>
          <w:szCs w:val="24"/>
          <w:lang w:val="en-US"/>
        </w:rPr>
        <w:t>t</w:t>
      </w:r>
      <w:r w:rsidRPr="00A12993">
        <w:rPr>
          <w:rFonts w:ascii="Tahoma" w:hAnsi="Tahoma" w:cs="Tahoma"/>
          <w:color w:val="262626"/>
          <w:szCs w:val="24"/>
          <w:vertAlign w:val="subscript"/>
        </w:rPr>
        <w:t>2</w:t>
      </w:r>
      <w:r w:rsidRPr="00A12993">
        <w:rPr>
          <w:rFonts w:ascii="Tahoma" w:hAnsi="Tahoma" w:cs="Tahoma"/>
          <w:color w:val="262626"/>
          <w:szCs w:val="24"/>
        </w:rPr>
        <w:t xml:space="preserve">) </w:t>
      </w:r>
      <w:r w:rsidR="00980318" w:rsidRPr="00A12993">
        <w:rPr>
          <w:rFonts w:ascii="Tahoma" w:hAnsi="Tahoma" w:cs="Tahoma"/>
          <w:color w:val="262626"/>
          <w:szCs w:val="24"/>
        </w:rPr>
        <w:t>определя</w:t>
      </w:r>
      <w:r w:rsidR="00F95964" w:rsidRPr="00A12993">
        <w:rPr>
          <w:rFonts w:ascii="Tahoma" w:hAnsi="Tahoma" w:cs="Tahoma"/>
          <w:color w:val="262626"/>
          <w:szCs w:val="24"/>
        </w:rPr>
        <w:t>ю</w:t>
      </w:r>
      <w:r w:rsidR="00980318" w:rsidRPr="00A12993">
        <w:rPr>
          <w:rFonts w:ascii="Tahoma" w:hAnsi="Tahoma" w:cs="Tahoma"/>
          <w:color w:val="262626"/>
          <w:szCs w:val="24"/>
        </w:rPr>
        <w:t>тся в соответствии с Правилами торгов и принятыми Биржей решениями</w:t>
      </w:r>
      <w:r w:rsidRPr="00A12993">
        <w:rPr>
          <w:rFonts w:ascii="Tahoma" w:hAnsi="Tahoma" w:cs="Tahoma"/>
          <w:color w:val="262626"/>
          <w:szCs w:val="24"/>
        </w:rPr>
        <w:t xml:space="preserve"> и</w:t>
      </w:r>
      <w:r w:rsidR="00F95964" w:rsidRPr="00A12993">
        <w:rPr>
          <w:rFonts w:ascii="Tahoma" w:hAnsi="Tahoma" w:cs="Tahoma"/>
          <w:color w:val="262626"/>
          <w:szCs w:val="24"/>
        </w:rPr>
        <w:t xml:space="preserve"> публикую</w:t>
      </w:r>
      <w:r w:rsidRPr="00A12993">
        <w:rPr>
          <w:rFonts w:ascii="Tahoma" w:hAnsi="Tahoma" w:cs="Tahoma"/>
          <w:color w:val="262626"/>
          <w:szCs w:val="24"/>
        </w:rPr>
        <w:t>тся на сайте Биржи</w:t>
      </w:r>
      <w:r w:rsidR="00F03936" w:rsidRPr="00A12993">
        <w:rPr>
          <w:rFonts w:ascii="Tahoma" w:hAnsi="Tahoma" w:cs="Tahoma"/>
          <w:color w:val="262626"/>
          <w:szCs w:val="24"/>
        </w:rPr>
        <w:t xml:space="preserve"> в сети Интернет</w:t>
      </w:r>
      <w:r w:rsidRPr="00A12993">
        <w:rPr>
          <w:rFonts w:ascii="Tahoma" w:hAnsi="Tahoma" w:cs="Tahoma"/>
          <w:color w:val="262626"/>
          <w:szCs w:val="24"/>
        </w:rPr>
        <w:t>.</w:t>
      </w:r>
    </w:p>
    <w:p w14:paraId="620A424A" w14:textId="77777777" w:rsidR="00050D92" w:rsidRPr="00A12993" w:rsidRDefault="00F95964" w:rsidP="00DC442E">
      <w:pPr>
        <w:pStyle w:val="a0"/>
        <w:numPr>
          <w:ilvl w:val="0"/>
          <w:numId w:val="0"/>
        </w:numPr>
        <w:spacing w:before="120" w:after="0"/>
        <w:ind w:left="720"/>
        <w:rPr>
          <w:rFonts w:ascii="Tahoma" w:hAnsi="Tahoma" w:cs="Tahoma"/>
        </w:rPr>
      </w:pPr>
      <w:r w:rsidRPr="00A12993">
        <w:rPr>
          <w:rFonts w:ascii="Tahoma" w:hAnsi="Tahoma" w:cs="Tahoma"/>
          <w:color w:val="262626"/>
          <w:szCs w:val="24"/>
        </w:rPr>
        <w:t>Ц</w:t>
      </w:r>
      <w:r w:rsidR="002B3C44" w:rsidRPr="00A12993">
        <w:rPr>
          <w:rFonts w:ascii="Tahoma" w:hAnsi="Tahoma" w:cs="Tahoma"/>
          <w:color w:val="262626"/>
          <w:szCs w:val="24"/>
        </w:rPr>
        <w:t>ен</w:t>
      </w:r>
      <w:r w:rsidRPr="00A12993">
        <w:rPr>
          <w:rFonts w:ascii="Tahoma" w:hAnsi="Tahoma" w:cs="Tahoma"/>
          <w:color w:val="262626"/>
          <w:szCs w:val="24"/>
        </w:rPr>
        <w:t>а</w:t>
      </w:r>
      <w:r w:rsidR="002B3C44" w:rsidRPr="00A12993">
        <w:rPr>
          <w:rFonts w:ascii="Tahoma" w:hAnsi="Tahoma" w:cs="Tahoma"/>
          <w:color w:val="262626"/>
          <w:szCs w:val="24"/>
        </w:rPr>
        <w:t xml:space="preserve"> исполнения Контракта</w:t>
      </w:r>
      <w:r w:rsidR="00CB3E06" w:rsidRPr="00A12993">
        <w:rPr>
          <w:rFonts w:ascii="Tahoma" w:hAnsi="Tahoma" w:cs="Tahoma"/>
          <w:color w:val="262626"/>
          <w:szCs w:val="24"/>
        </w:rPr>
        <w:t xml:space="preserve"> рассчитывается</w:t>
      </w:r>
      <w:r w:rsidR="002B3C44" w:rsidRPr="00A12993">
        <w:rPr>
          <w:rFonts w:ascii="Tahoma" w:hAnsi="Tahoma" w:cs="Tahoma"/>
          <w:color w:val="262626"/>
          <w:szCs w:val="24"/>
        </w:rPr>
        <w:t xml:space="preserve"> </w:t>
      </w:r>
      <w:r w:rsidR="00050D92" w:rsidRPr="00A12993">
        <w:rPr>
          <w:rFonts w:ascii="Tahoma" w:hAnsi="Tahoma" w:cs="Tahoma"/>
          <w:color w:val="262626"/>
          <w:szCs w:val="24"/>
        </w:rPr>
        <w:t>по следующей формуле:</w:t>
      </w:r>
    </w:p>
    <w:p w14:paraId="3E9DF968" w14:textId="77777777" w:rsidR="00050D92" w:rsidRPr="00A12993" w:rsidRDefault="008727DC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  <w:bCs/>
          <w:sz w:val="22"/>
          <w:szCs w:val="22"/>
          <w:lang w:eastAsia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ahoma"/>
            </w:rPr>
            <m:t>РЦ</m:t>
          </m:r>
          <m:r>
            <m:rPr>
              <m:sty m:val="b"/>
            </m:rPr>
            <w:rPr>
              <w:rFonts w:ascii="Cambria Math" w:hAnsi="Cambria Math" w:cs="Tahoma"/>
            </w:rPr>
            <m:t>=</m:t>
          </m:r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100*</m:t>
          </m:r>
          <m:rad>
            <m:radPr>
              <m:degHide m:val="1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 xml:space="preserve"> </m:t>
                      </m:r>
                    </m:sub>
                  </m:sSub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rad>
        </m:oMath>
      </m:oMathPara>
    </w:p>
    <w:p w14:paraId="4D75F388" w14:textId="77777777" w:rsidR="00050D92" w:rsidRPr="00A12993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где:</w:t>
      </w:r>
    </w:p>
    <w:p w14:paraId="410C7FB3" w14:textId="77777777" w:rsidR="00050D92" w:rsidRPr="00A12993" w:rsidRDefault="004B60C1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 xml:space="preserve"> 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val="en-US" w:eastAsia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 xml:space="preserve"> 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val="en-US" w:eastAsia="en-US"/>
                </w:rPr>
                <m:t>i</m:t>
              </m:r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=-</m:t>
              </m:r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val="en-US" w:eastAsia="en-US"/>
                </w:rPr>
                <m:t>7</m:t>
              </m:r>
            </m:sub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7</m:t>
              </m:r>
            </m:sup>
            <m:e>
              <m:f>
                <m:f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*Pr</m:t>
              </m:r>
              <m:d>
                <m:d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 xml:space="preserve"> 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*</m:t>
                  </m:r>
                  <m:d>
                    <m:d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val="en-US" w:eastAsia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 xml:space="preserve"> 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nary>
        </m:oMath>
      </m:oMathPara>
    </w:p>
    <w:p w14:paraId="178BC0F5" w14:textId="77777777" w:rsidR="00050D92" w:rsidRPr="00A12993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129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где:</w:t>
      </w:r>
    </w:p>
    <w:tbl>
      <w:tblPr>
        <w:tblStyle w:val="af"/>
        <w:tblW w:w="0" w:type="auto"/>
        <w:tblInd w:w="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810"/>
      </w:tblGrid>
      <w:tr w:rsidR="001F222E" w:rsidRPr="00A12993" w14:paraId="31F56296" w14:textId="77777777" w:rsidTr="008727DC">
        <w:tc>
          <w:tcPr>
            <w:tcW w:w="909" w:type="dxa"/>
          </w:tcPr>
          <w:p w14:paraId="6776430E" w14:textId="77777777" w:rsidR="001F222E" w:rsidRPr="00A12993" w:rsidRDefault="001F222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sym w:font="Symbol" w:char="F073"/>
            </w: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810" w:type="dxa"/>
          </w:tcPr>
          <w:p w14:paraId="3EF757F0" w14:textId="77777777" w:rsidR="001F222E" w:rsidRPr="00A12993" w:rsidRDefault="001F222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дисперсия </w:t>
            </w:r>
            <w:r w:rsidR="00375348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</w:t>
            </w:r>
            <w:r w:rsidR="00917DC5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Опционов дальней серии;</w:t>
            </w:r>
            <w:r w:rsidR="00375348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75348" w:rsidRPr="00A12993" w14:paraId="4A935630" w14:textId="77777777" w:rsidTr="008727DC">
        <w:tc>
          <w:tcPr>
            <w:tcW w:w="909" w:type="dxa"/>
          </w:tcPr>
          <w:p w14:paraId="2DD3EA83" w14:textId="77777777" w:rsidR="00375348" w:rsidRPr="00A12993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7810" w:type="dxa"/>
          </w:tcPr>
          <w:p w14:paraId="35D86B26" w14:textId="77777777" w:rsidR="00375348" w:rsidRPr="00A12993" w:rsidRDefault="00375348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время до даты экспирации Опциона дальней серии включительно</w:t>
            </w:r>
            <w:r w:rsidR="00D605DE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долях от календарного года (год = 365 дней). Изменяется каждые 15 секунд;</w:t>
            </w:r>
          </w:p>
        </w:tc>
      </w:tr>
      <w:tr w:rsidR="00B353D9" w:rsidRPr="00A12993" w14:paraId="13FCB178" w14:textId="77777777" w:rsidTr="008727DC">
        <w:tc>
          <w:tcPr>
            <w:tcW w:w="909" w:type="dxa"/>
          </w:tcPr>
          <w:p w14:paraId="115E50EC" w14:textId="77777777" w:rsidR="00B353D9" w:rsidRPr="00A12993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∆K</w:t>
            </w:r>
            <w:proofErr w:type="spellStart"/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7810" w:type="dxa"/>
          </w:tcPr>
          <w:p w14:paraId="6A532D45" w14:textId="77777777" w:rsidR="00B353D9" w:rsidRPr="00A12993" w:rsidRDefault="002570E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шаг </w:t>
            </w:r>
            <w:proofErr w:type="spell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</w:t>
            </w:r>
            <w:proofErr w:type="spell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AF3261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Опциона дальней серии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(в целях расчета используются основные </w:t>
            </w:r>
            <w:proofErr w:type="spell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промежуточные </w:t>
            </w:r>
            <w:proofErr w:type="spell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 используются);</w:t>
            </w:r>
            <w:proofErr w:type="gramEnd"/>
          </w:p>
        </w:tc>
      </w:tr>
      <w:tr w:rsidR="00B353D9" w:rsidRPr="00A12993" w14:paraId="5D769831" w14:textId="77777777" w:rsidTr="008727DC">
        <w:tc>
          <w:tcPr>
            <w:tcW w:w="909" w:type="dxa"/>
          </w:tcPr>
          <w:p w14:paraId="603116AB" w14:textId="77777777" w:rsidR="00B353D9" w:rsidRPr="00A12993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K</w:t>
            </w: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</w:p>
        </w:tc>
        <w:tc>
          <w:tcPr>
            <w:tcW w:w="7810" w:type="dxa"/>
          </w:tcPr>
          <w:p w14:paraId="563F824D" w14:textId="77777777" w:rsidR="00B353D9" w:rsidRPr="00A12993" w:rsidRDefault="00375348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299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i</w:t>
            </w:r>
            <w:proofErr w:type="spell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-й</w:t>
            </w:r>
            <w:proofErr w:type="gram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</w:t>
            </w:r>
            <w:proofErr w:type="spell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При этом </w:t>
            </w:r>
            <m:oMath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&lt;</m:t>
              </m:r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 xml:space="preserve"> </m:t>
              </m:r>
            </m:oMath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(в целях расчета используются </w:t>
            </w:r>
            <w:proofErr w:type="gram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основные</w:t>
            </w:r>
            <w:proofErr w:type="gram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страйки, промежуточные страйки не используются);</w:t>
            </w:r>
          </w:p>
        </w:tc>
      </w:tr>
      <w:tr w:rsidR="00B353D9" w:rsidRPr="00A12993" w14:paraId="278359F3" w14:textId="77777777" w:rsidTr="008727DC">
        <w:tc>
          <w:tcPr>
            <w:tcW w:w="909" w:type="dxa"/>
          </w:tcPr>
          <w:p w14:paraId="29B96FEF" w14:textId="77777777" w:rsidR="00B353D9" w:rsidRPr="00A12993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Pr</w:t>
            </w:r>
            <w:proofErr w:type="spellEnd"/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(</w:t>
            </w: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K</w:t>
            </w: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x-none"/>
              </w:rPr>
              <w:t>i</w:t>
            </w: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)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 </w:t>
            </w:r>
          </w:p>
        </w:tc>
        <w:tc>
          <w:tcPr>
            <w:tcW w:w="7810" w:type="dxa"/>
          </w:tcPr>
          <w:p w14:paraId="4A07FF63" w14:textId="77777777" w:rsidR="00B353D9" w:rsidRPr="00A12993" w:rsidRDefault="002570E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величина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для </w:t>
            </w:r>
            <w:proofErr w:type="spellStart"/>
            <w:r w:rsidRPr="00A12993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>i</w:t>
            </w:r>
            <w:proofErr w:type="spellEnd"/>
            <w:r w:rsidRPr="00A12993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-го </w:t>
            </w:r>
            <w:proofErr w:type="spellStart"/>
            <w:r w:rsidRPr="00A12993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>страйка</w:t>
            </w:r>
            <w:proofErr w:type="spell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,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fldChar w:fldCharType="begin"/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color w:val="FF0000"/>
                  <w:sz w:val="20"/>
                  <w:szCs w:val="20"/>
                </w:rPr>
                <m:t>Pr</m:t>
              </m:r>
              <m:d>
                <m:dPr>
                  <m:ctrlPr>
                    <w:rPr>
                      <w:rFonts w:ascii="Cambria Math" w:hAnsi="Cambria Math" w:cs="Tahoma"/>
                      <w:color w:val="FF0000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</m:oMath>
            <w:r w:rsidRPr="00A12993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instrText xml:space="preserve"> </w:instrTex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fldChar w:fldCharType="end"/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 определ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яемая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 по следующему алгоритму:</w:t>
            </w:r>
          </w:p>
          <w:p w14:paraId="2FDD5175" w14:textId="77777777" w:rsidR="002570EE" w:rsidRPr="00A12993" w:rsidRDefault="002570EE" w:rsidP="002570EE">
            <w:pPr>
              <w:numPr>
                <w:ilvl w:val="0"/>
                <w:numId w:val="7"/>
              </w:numPr>
              <w:tabs>
                <w:tab w:val="num" w:pos="9356"/>
              </w:tabs>
              <w:autoSpaceDE w:val="0"/>
              <w:autoSpaceDN w:val="0"/>
              <w:spacing w:before="120" w:after="100" w:afterAutospacing="1"/>
              <w:ind w:left="317" w:right="27" w:hanging="283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 случае если в течение текущей основной или дополнительной торговой сессии (далее – текущая сессия) были зарегистрированы сделки с </w:t>
            </w:r>
            <w:r w:rsidR="00AF3261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Опционом дальней серии</w:t>
            </w:r>
            <w:r w:rsidR="00AF3261" w:rsidRPr="00A129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129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A12993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A129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-ым </w:t>
            </w:r>
            <w:proofErr w:type="spellStart"/>
            <w:r w:rsidRPr="00A129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страйком</w:t>
            </w:r>
            <w:proofErr w:type="spellEnd"/>
            <w:r w:rsidRPr="00A129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:</w:t>
            </w:r>
          </w:p>
          <w:p w14:paraId="588ABCD6" w14:textId="77777777" w:rsidR="002570EE" w:rsidRPr="00A12993" w:rsidRDefault="002570EE" w:rsidP="002570EE">
            <w:pPr>
              <w:ind w:left="317"/>
              <w:rPr>
                <w:rFonts w:ascii="Tahoma" w:hAnsi="Tahoma" w:cs="Tahoma"/>
                <w:b/>
                <w:sz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w:lastRenderedPageBreak/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и 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,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либо их (bid/ask) нет;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если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  <w:lang w:val="en-US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14:paraId="5D7B3495" w14:textId="77777777" w:rsidR="002570EE" w:rsidRPr="00A12993" w:rsidRDefault="002570EE" w:rsidP="002570EE">
            <w:pPr>
              <w:ind w:left="317"/>
              <w:jc w:val="both"/>
              <w:rPr>
                <w:rFonts w:ascii="Tahoma" w:hAnsi="Tahoma" w:cs="Tahoma"/>
                <w:sz w:val="20"/>
              </w:rPr>
            </w:pPr>
            <w:r w:rsidRPr="00A12993">
              <w:rPr>
                <w:rFonts w:ascii="Tahoma" w:hAnsi="Tahoma" w:cs="Tahoma"/>
                <w:sz w:val="20"/>
              </w:rPr>
              <w:t xml:space="preserve">где: </w:t>
            </w:r>
          </w:p>
          <w:tbl>
            <w:tblPr>
              <w:tblStyle w:val="af"/>
              <w:tblW w:w="757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9"/>
              <w:gridCol w:w="5909"/>
            </w:tblGrid>
            <w:tr w:rsidR="000E3DC7" w:rsidRPr="00A12993" w14:paraId="34E43167" w14:textId="77777777" w:rsidTr="000E3DC7">
              <w:tc>
                <w:tcPr>
                  <w:tcW w:w="1669" w:type="dxa"/>
                  <w:vAlign w:val="center"/>
                </w:tcPr>
                <w:p w14:paraId="5A9D25F9" w14:textId="77777777" w:rsidR="000E3DC7" w:rsidRPr="00A12993" w:rsidRDefault="000E3DC7" w:rsidP="000E3DC7">
                  <w:pPr>
                    <w:pStyle w:val="ae"/>
                    <w:ind w:left="0"/>
                    <w:rPr>
                      <w:rFonts w:ascii="Tahoma" w:hAnsi="Tahoma" w:cs="Tahoma"/>
                      <w:sz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  <w:lang w:val="en-US"/>
                        </w:rPr>
                        <m:t>Deal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14:paraId="59C6A63C" w14:textId="77777777" w:rsidR="000E3DC7" w:rsidRPr="00A12993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последней сделки с </w:t>
                  </w:r>
                  <w:r w:rsidR="00AF3261"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Опционом дальней серии</w:t>
                  </w:r>
                  <w:r w:rsidR="00AF3261" w:rsidRPr="00A12993" w:rsidDel="00AF326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="008727DC" w:rsidRPr="00A12993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K</w:t>
                  </w:r>
                  <w:r w:rsidR="008727DC" w:rsidRPr="00A12993">
                    <w:rPr>
                      <w:rFonts w:ascii="Tahoma" w:eastAsia="Times New Roman" w:hAnsi="Tahoma" w:cs="Tahoma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r w:rsidRPr="00A1299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в текущую сессию;</w:t>
                  </w:r>
                </w:p>
              </w:tc>
            </w:tr>
            <w:tr w:rsidR="000E3DC7" w:rsidRPr="00A12993" w14:paraId="4B2F7F9E" w14:textId="77777777" w:rsidTr="000E3DC7">
              <w:tc>
                <w:tcPr>
                  <w:tcW w:w="1669" w:type="dxa"/>
                  <w:vAlign w:val="center"/>
                </w:tcPr>
                <w:p w14:paraId="3147FB95" w14:textId="77777777" w:rsidR="000E3DC7" w:rsidRPr="00A12993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14:paraId="318B61B1" w14:textId="77777777" w:rsidR="000E3DC7" w:rsidRPr="00A12993" w:rsidRDefault="000E3DC7" w:rsidP="00AF3261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A12993">
                    <w:rPr>
                      <w:rFonts w:ascii="Tahoma" w:hAnsi="Tahoma" w:cs="Tahoma"/>
                      <w:sz w:val="20"/>
                    </w:rPr>
                    <w:t xml:space="preserve">лучшая заявка на покупку </w:t>
                  </w:r>
                  <w:r w:rsidR="00AF3261" w:rsidRPr="00A12993">
                    <w:rPr>
                      <w:rFonts w:ascii="Tahoma" w:hAnsi="Tahoma" w:cs="Tahoma"/>
                      <w:sz w:val="20"/>
                    </w:rPr>
                    <w:t>Опциона дальней серии</w:t>
                  </w:r>
                  <w:r w:rsidR="00AF3261" w:rsidRPr="00A12993" w:rsidDel="00AF3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A12993">
                    <w:rPr>
                      <w:rFonts w:ascii="Tahoma" w:hAnsi="Tahoma" w:cs="Tahoma"/>
                      <w:sz w:val="20"/>
                    </w:rPr>
                    <w:t xml:space="preserve">со </w:t>
                  </w:r>
                  <w:proofErr w:type="spellStart"/>
                  <w:r w:rsidRPr="00A12993">
                    <w:rPr>
                      <w:rFonts w:ascii="Tahoma" w:hAnsi="Tahoma" w:cs="Tahoma"/>
                      <w:sz w:val="20"/>
                    </w:rPr>
                    <w:t>страйком</w:t>
                  </w:r>
                  <w:proofErr w:type="spellEnd"/>
                  <w:r w:rsidRPr="00A12993">
                    <w:rPr>
                      <w:rFonts w:ascii="Tahoma" w:hAnsi="Tahoma" w:cs="Tahoma"/>
                      <w:sz w:val="20"/>
                    </w:rPr>
                    <w:t xml:space="preserve"> K</w:t>
                  </w:r>
                  <w:proofErr w:type="spellStart"/>
                  <w:r w:rsidR="008727DC" w:rsidRPr="00A12993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proofErr w:type="spellEnd"/>
                  <w:r w:rsidRPr="00A12993">
                    <w:rPr>
                      <w:rFonts w:ascii="Tahoma" w:hAnsi="Tahoma" w:cs="Tahoma"/>
                      <w:sz w:val="20"/>
                    </w:rPr>
                    <w:t xml:space="preserve"> на момент окончания текущей сессии;</w:t>
                  </w:r>
                </w:p>
              </w:tc>
            </w:tr>
            <w:tr w:rsidR="000E3DC7" w:rsidRPr="00A12993" w14:paraId="2217FD7E" w14:textId="77777777" w:rsidTr="000E3DC7">
              <w:tc>
                <w:tcPr>
                  <w:tcW w:w="1669" w:type="dxa"/>
                  <w:vAlign w:val="center"/>
                </w:tcPr>
                <w:p w14:paraId="783FB2B4" w14:textId="77777777" w:rsidR="000E3DC7" w:rsidRPr="00A12993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14:paraId="3EB78938" w14:textId="77777777" w:rsidR="000E3DC7" w:rsidRPr="00A12993" w:rsidRDefault="000E3DC7" w:rsidP="00AF3261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A12993">
                    <w:rPr>
                      <w:rFonts w:ascii="Tahoma" w:hAnsi="Tahoma" w:cs="Tahoma"/>
                      <w:sz w:val="20"/>
                    </w:rPr>
                    <w:t xml:space="preserve">лучшая заявка на продажу </w:t>
                  </w:r>
                  <w:r w:rsidR="00AF3261" w:rsidRPr="00A12993">
                    <w:rPr>
                      <w:rFonts w:ascii="Tahoma" w:hAnsi="Tahoma" w:cs="Tahoma"/>
                      <w:sz w:val="20"/>
                    </w:rPr>
                    <w:t>Опциона дальней серии</w:t>
                  </w:r>
                  <w:r w:rsidR="00AF3261" w:rsidRPr="00A12993" w:rsidDel="00AF3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A12993">
                    <w:rPr>
                      <w:rFonts w:ascii="Tahoma" w:hAnsi="Tahoma" w:cs="Tahoma"/>
                      <w:sz w:val="20"/>
                    </w:rPr>
                    <w:t xml:space="preserve">со </w:t>
                  </w:r>
                  <w:proofErr w:type="spellStart"/>
                  <w:r w:rsidRPr="00A12993">
                    <w:rPr>
                      <w:rFonts w:ascii="Tahoma" w:hAnsi="Tahoma" w:cs="Tahoma"/>
                      <w:sz w:val="20"/>
                    </w:rPr>
                    <w:t>страйком</w:t>
                  </w:r>
                  <w:proofErr w:type="spellEnd"/>
                  <w:r w:rsidRPr="00A12993">
                    <w:rPr>
                      <w:rFonts w:ascii="Tahoma" w:hAnsi="Tahoma" w:cs="Tahoma"/>
                      <w:sz w:val="20"/>
                    </w:rPr>
                    <w:t xml:space="preserve"> K</w:t>
                  </w:r>
                  <w:proofErr w:type="spellStart"/>
                  <w:r w:rsidR="008727DC" w:rsidRPr="00A12993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proofErr w:type="spellEnd"/>
                  <w:r w:rsidRPr="00A12993">
                    <w:rPr>
                      <w:rFonts w:ascii="Tahoma" w:hAnsi="Tahoma" w:cs="Tahoma"/>
                      <w:sz w:val="20"/>
                    </w:rPr>
                    <w:t xml:space="preserve"> на момент окончания текущей сессии.</w:t>
                  </w:r>
                </w:p>
              </w:tc>
            </w:tr>
          </w:tbl>
          <w:p w14:paraId="0D647D94" w14:textId="77777777" w:rsidR="000E3DC7" w:rsidRPr="00A12993" w:rsidRDefault="000E3DC7" w:rsidP="000E3DC7">
            <w:pPr>
              <w:pStyle w:val="ae"/>
              <w:ind w:left="317"/>
              <w:jc w:val="both"/>
              <w:rPr>
                <w:rFonts w:ascii="Tahoma" w:hAnsi="Tahoma" w:cs="Tahoma"/>
                <w:sz w:val="20"/>
              </w:rPr>
            </w:pPr>
          </w:p>
          <w:p w14:paraId="63325015" w14:textId="77777777" w:rsidR="000E3DC7" w:rsidRPr="00A12993" w:rsidRDefault="000E3DC7" w:rsidP="000E3DC7">
            <w:pPr>
              <w:pStyle w:val="ae"/>
              <w:numPr>
                <w:ilvl w:val="0"/>
                <w:numId w:val="7"/>
              </w:numPr>
              <w:ind w:left="317" w:hanging="283"/>
              <w:jc w:val="both"/>
              <w:rPr>
                <w:rFonts w:ascii="Tahoma" w:hAnsi="Tahoma" w:cs="Tahoma"/>
                <w:sz w:val="20"/>
              </w:rPr>
            </w:pPr>
            <w:r w:rsidRPr="00A12993">
              <w:rPr>
                <w:rFonts w:ascii="Tahoma" w:hAnsi="Tahoma" w:cs="Tahoma"/>
                <w:sz w:val="20"/>
              </w:rPr>
              <w:t xml:space="preserve">В случае если в течение текущей сессии не было зарегистрировано сделок с </w:t>
            </w:r>
            <w:r w:rsidR="00003C0C" w:rsidRPr="00A12993">
              <w:rPr>
                <w:rFonts w:ascii="Tahoma" w:hAnsi="Tahoma" w:cs="Tahoma"/>
                <w:sz w:val="20"/>
              </w:rPr>
              <w:t xml:space="preserve">Опционом дальней серии </w:t>
            </w:r>
            <w:r w:rsidRPr="00A12993">
              <w:rPr>
                <w:rFonts w:ascii="Tahoma" w:hAnsi="Tahoma" w:cs="Tahoma"/>
                <w:sz w:val="20"/>
              </w:rPr>
              <w:t xml:space="preserve">с </w:t>
            </w:r>
            <w:proofErr w:type="spellStart"/>
            <w:r w:rsidRPr="00A12993">
              <w:rPr>
                <w:rFonts w:ascii="Tahoma" w:hAnsi="Tahoma" w:cs="Tahoma"/>
                <w:sz w:val="20"/>
                <w:lang w:val="en-US"/>
              </w:rPr>
              <w:t>i</w:t>
            </w:r>
            <w:proofErr w:type="spellEnd"/>
            <w:r w:rsidRPr="00A12993">
              <w:rPr>
                <w:rFonts w:ascii="Tahoma" w:hAnsi="Tahoma" w:cs="Tahoma"/>
                <w:sz w:val="20"/>
              </w:rPr>
              <w:t xml:space="preserve">-ым </w:t>
            </w:r>
            <w:proofErr w:type="spellStart"/>
            <w:r w:rsidRPr="00A12993">
              <w:rPr>
                <w:rFonts w:ascii="Tahoma" w:hAnsi="Tahoma" w:cs="Tahoma"/>
                <w:sz w:val="20"/>
              </w:rPr>
              <w:t>страйком</w:t>
            </w:r>
            <w:proofErr w:type="spellEnd"/>
            <w:r w:rsidRPr="00A12993">
              <w:rPr>
                <w:rFonts w:ascii="Tahoma" w:hAnsi="Tahoma" w:cs="Tahoma"/>
                <w:sz w:val="20"/>
              </w:rPr>
              <w:t>:</w:t>
            </w:r>
          </w:p>
          <w:p w14:paraId="1C37341C" w14:textId="77777777" w:rsidR="008727DC" w:rsidRPr="00A12993" w:rsidRDefault="008727DC" w:rsidP="008727DC">
            <w:pPr>
              <w:pStyle w:val="ae"/>
              <w:ind w:left="317"/>
              <w:jc w:val="both"/>
              <w:rPr>
                <w:rFonts w:ascii="Tahoma" w:hAnsi="Tahoma" w:cs="Tahoma"/>
                <w:sz w:val="20"/>
              </w:rPr>
            </w:pPr>
          </w:p>
          <w:p w14:paraId="0CD6E107" w14:textId="77777777" w:rsidR="000E3DC7" w:rsidRPr="00A12993" w:rsidRDefault="000E3DC7" w:rsidP="000E3DC7">
            <w:pPr>
              <w:ind w:left="317"/>
              <w:rPr>
                <w:rFonts w:ascii="Tahoma" w:eastAsiaTheme="minorEastAsia" w:hAnsi="Tahoma" w:cs="Tahoma"/>
                <w:b/>
                <w:sz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если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и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, либо их (bid/ask) нет;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→ес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ли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14:paraId="2A838EA1" w14:textId="77777777" w:rsidR="000E3DC7" w:rsidRPr="00A12993" w:rsidRDefault="000E3DC7" w:rsidP="000E3DC7">
            <w:pPr>
              <w:ind w:left="317"/>
              <w:rPr>
                <w:rFonts w:ascii="Tahoma" w:hAnsi="Tahoma" w:cs="Tahoma"/>
                <w:sz w:val="20"/>
                <w:lang w:val="en-US"/>
              </w:rPr>
            </w:pPr>
            <w:r w:rsidRPr="00A12993">
              <w:rPr>
                <w:rFonts w:ascii="Tahoma" w:eastAsia="Calibri" w:hAnsi="Tahoma" w:cs="Tahoma"/>
                <w:sz w:val="20"/>
                <w:szCs w:val="20"/>
              </w:rPr>
              <w:t>где:</w:t>
            </w:r>
          </w:p>
          <w:tbl>
            <w:tblPr>
              <w:tblStyle w:val="af"/>
              <w:tblW w:w="75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5918"/>
            </w:tblGrid>
            <w:tr w:rsidR="000E3DC7" w:rsidRPr="00A12993" w14:paraId="32973459" w14:textId="77777777" w:rsidTr="008727DC">
              <w:tc>
                <w:tcPr>
                  <w:tcW w:w="1666" w:type="dxa"/>
                  <w:vAlign w:val="center"/>
                </w:tcPr>
                <w:p w14:paraId="14037C1A" w14:textId="77777777" w:rsidR="000E3DC7" w:rsidRPr="00A12993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TheorPrice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14:paraId="64BC9B1B" w14:textId="77777777" w:rsidR="000E3DC7" w:rsidRPr="00A12993" w:rsidRDefault="000E3DC7" w:rsidP="00003C0C">
                  <w:pPr>
                    <w:tabs>
                      <w:tab w:val="left" w:pos="2694"/>
                      <w:tab w:val="left" w:pos="3261"/>
                    </w:tabs>
                    <w:ind w:right="15"/>
                    <w:jc w:val="both"/>
                    <w:rPr>
                      <w:rFonts w:ascii="Tahoma" w:eastAsia="Calibri" w:hAnsi="Tahoma" w:cs="Tahoma"/>
                      <w:b/>
                      <w:color w:val="000000"/>
                      <w:szCs w:val="20"/>
                    </w:rPr>
                  </w:pPr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теоретическая цена </w:t>
                  </w:r>
                  <w:r w:rsidR="00003C0C"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со </w:t>
                  </w:r>
                  <w:proofErr w:type="spellStart"/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, определяемая на </w:t>
                  </w:r>
                  <w:r w:rsidRPr="00A1299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основании котировки фьючерсного контракта, являющегося базовым активом </w:t>
                  </w:r>
                  <w:r w:rsidR="00003C0C" w:rsidRPr="00A1299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данного </w:t>
                  </w:r>
                  <w:r w:rsidRPr="00A1299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опциона</w:t>
                  </w:r>
                  <w:r w:rsidR="009640E5" w:rsidRPr="00A1299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(далее – котировка фьючерсного контракта)</w:t>
                  </w:r>
                  <w:r w:rsidRPr="00A1299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, и кривой волатильности на момент расчета</w:t>
                  </w:r>
                  <w:r w:rsidR="00D61A38" w:rsidRPr="00A1299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E3DC7" w:rsidRPr="00A12993" w14:paraId="13E3B21C" w14:textId="77777777" w:rsidTr="008727DC">
              <w:tc>
                <w:tcPr>
                  <w:tcW w:w="1666" w:type="dxa"/>
                  <w:vAlign w:val="center"/>
                </w:tcPr>
                <w:p w14:paraId="6DC0167E" w14:textId="77777777" w:rsidR="000E3DC7" w:rsidRPr="00A12993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14:paraId="7D2BC9A5" w14:textId="77777777" w:rsidR="000E3DC7" w:rsidRPr="00A12993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лучшая заявка на покупку </w:t>
                  </w:r>
                  <w:r w:rsidR="00003C0C"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="00003C0C" w:rsidRPr="00A12993" w:rsidDel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A1299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на момент окончания текущей сессии;</w:t>
                  </w:r>
                </w:p>
              </w:tc>
            </w:tr>
            <w:tr w:rsidR="000E3DC7" w:rsidRPr="00A12993" w14:paraId="1EDBC5EF" w14:textId="77777777" w:rsidTr="008727DC">
              <w:tc>
                <w:tcPr>
                  <w:tcW w:w="1666" w:type="dxa"/>
                  <w:vAlign w:val="center"/>
                </w:tcPr>
                <w:p w14:paraId="213496B1" w14:textId="77777777" w:rsidR="000E3DC7" w:rsidRPr="00A12993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14:paraId="7985D8D1" w14:textId="77777777" w:rsidR="000E3DC7" w:rsidRPr="00A12993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лучшая заявка на продажу </w:t>
                  </w:r>
                  <w:r w:rsidR="00003C0C"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="00003C0C" w:rsidRPr="00A12993" w:rsidDel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A12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A1299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на момент окончания текущей сессии.</w:t>
                  </w:r>
                </w:p>
              </w:tc>
            </w:tr>
          </w:tbl>
          <w:p w14:paraId="70452CFA" w14:textId="77777777" w:rsidR="008727DC" w:rsidRPr="00A12993" w:rsidRDefault="008727DC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14:paraId="28DB53C7" w14:textId="77777777" w:rsidR="000E3DC7" w:rsidRPr="00A12993" w:rsidRDefault="000E3DC7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7 (семи) страйках, значение которых больше центрального,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A12993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917DC5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="00003C0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пционов дальней серии</w:t>
            </w:r>
            <w:r w:rsidR="00AB1F20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покупку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Call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) </w:t>
            </w:r>
            <w:r w:rsidR="00003C0C" w:rsidRPr="00A12993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  <w:p w14:paraId="0129D4EF" w14:textId="77777777" w:rsidR="000E3DC7" w:rsidRPr="00A12993" w:rsidRDefault="000E3DC7" w:rsidP="000E3DC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A12993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 7 (семи) </w:t>
            </w:r>
            <w:proofErr w:type="spell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страйках</w:t>
            </w:r>
            <w:proofErr w:type="spell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значение которых меньше центрального, используются заявки на покупку/продажу </w:t>
            </w:r>
            <w:r w:rsidR="00917DC5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="00003C0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пционов дальней серии</w:t>
            </w:r>
            <w:r w:rsidR="00003C0C" w:rsidRPr="00A12993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продажу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Put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  <w:p w14:paraId="3CDA8DEC" w14:textId="77777777" w:rsidR="00195A4D" w:rsidRPr="00A12993" w:rsidRDefault="000E3DC7" w:rsidP="00FE1A15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A12993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Опциона дальней серии</w:t>
            </w:r>
            <w:r w:rsidR="00003C0C" w:rsidRPr="00A12993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центральным</w:t>
            </w:r>
            <w:proofErr w:type="gram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страйком</w:t>
            </w:r>
            <w:proofErr w:type="spell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учитывается котировка фьючерсного контракта. В случае если котировка фьючерсного контракта больше центрального </w:t>
            </w:r>
            <w:proofErr w:type="spell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</w:t>
            </w:r>
            <w:proofErr w:type="spell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003C0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данного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опциона,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A12993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9640E5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A12993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продажу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Put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В остальных случаях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A12993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9640E5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A12993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покупку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Call</w:t>
            </w:r>
            <w:r w:rsidR="00B0752C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26442E" w:rsidRPr="00A12993" w14:paraId="533062AF" w14:textId="77777777" w:rsidTr="0026442E">
        <w:trPr>
          <w:trHeight w:val="2951"/>
        </w:trPr>
        <w:tc>
          <w:tcPr>
            <w:tcW w:w="909" w:type="dxa"/>
          </w:tcPr>
          <w:p w14:paraId="751E7B97" w14:textId="77777777" w:rsidR="0026442E" w:rsidRPr="00A12993" w:rsidRDefault="0026442E" w:rsidP="009A6BEE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lastRenderedPageBreak/>
              <w:t>F</w:t>
            </w:r>
          </w:p>
        </w:tc>
        <w:tc>
          <w:tcPr>
            <w:tcW w:w="7810" w:type="dxa"/>
          </w:tcPr>
          <w:p w14:paraId="2D785887" w14:textId="77777777" w:rsidR="0026442E" w:rsidRPr="00A12993" w:rsidRDefault="0026442E" w:rsidP="00FE1A15">
            <w:pPr>
              <w:tabs>
                <w:tab w:val="left" w:pos="1985"/>
                <w:tab w:val="left" w:pos="2835"/>
                <w:tab w:val="center" w:pos="5250"/>
              </w:tabs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котировка фьючерсного контракта, являющегося базовым активом Опциона дальней серии (далее – </w:t>
            </w:r>
            <w:r w:rsidR="0022098E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ьючерсны</w:t>
            </w:r>
            <w:r w:rsidR="0022098E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контракт). </w:t>
            </w:r>
          </w:p>
          <w:p w14:paraId="7CE8F281" w14:textId="77777777" w:rsidR="00AB1F20" w:rsidRPr="00A12993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Котировка фьючерсного контракта равна</w:t>
            </w:r>
            <w:r w:rsidR="00AB1F20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:</w:t>
            </w:r>
          </w:p>
          <w:p w14:paraId="0FAC394D" w14:textId="77777777" w:rsidR="00AB1F20" w:rsidRPr="00A12993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последней сделки</w:t>
            </w:r>
            <w:r w:rsidR="0022098E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 Фьючерсным контрактом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</w:p>
          <w:p w14:paraId="5D1EEAF4" w14:textId="77777777" w:rsidR="00AB1F20" w:rsidRPr="00A12993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лучшей активной заявки на продажу</w:t>
            </w:r>
            <w:r w:rsidR="0022098E" w:rsidRPr="00A12993">
              <w:t xml:space="preserve"> </w:t>
            </w:r>
            <w:r w:rsidR="0022098E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Фьючерсного контракта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которая меньше цены последней сделки,</w:t>
            </w:r>
          </w:p>
          <w:p w14:paraId="06288463" w14:textId="77777777" w:rsidR="00AB1F20" w:rsidRPr="00A12993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лучшей активной заявки на покупку</w:t>
            </w:r>
            <w:r w:rsidR="0022098E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Фьючерсного контракта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которая больше цены последней сделки в момент</w:t>
            </w:r>
            <w:r w:rsidR="00F35406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расчета котировки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  <w:p w14:paraId="5B6B7319" w14:textId="77777777" w:rsidR="00FF60F8" w:rsidRPr="00A12993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 если сделок</w:t>
            </w:r>
            <w:r w:rsidR="00AB1F20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 Фьючерсным контрактом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текущей сессии до момента расчета котировки фьючерсного контракта не было, используется среднеарифметическое значение между ценами лучшей активной заявки на покупку </w:t>
            </w:r>
            <w:r w:rsidR="0022098E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Фьючерсного контракта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лучшей активной заявки на продажу</w:t>
            </w:r>
            <w:r w:rsidR="0022098E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Фьючерсного контракта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  <w:p w14:paraId="442B7B92" w14:textId="77777777" w:rsidR="0026442E" w:rsidRPr="00A12993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Если на момент расчета активные заявки на покупку и активные заявки на продажу </w:t>
            </w:r>
            <w:r w:rsidR="0022098E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Фьючерсного контракта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отсутствуют, используется Расчетная цена </w:t>
            </w:r>
            <w:r w:rsidR="0022098E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Фьючерсного 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контракта, определенная по итогам ближайшего предыдущего Расчетного периода.</w:t>
            </w:r>
          </w:p>
        </w:tc>
      </w:tr>
      <w:tr w:rsidR="0026442E" w:rsidRPr="00A12993" w14:paraId="5CAC0188" w14:textId="77777777" w:rsidTr="008727DC">
        <w:tc>
          <w:tcPr>
            <w:tcW w:w="909" w:type="dxa"/>
          </w:tcPr>
          <w:p w14:paraId="0246BAD4" w14:textId="77777777" w:rsidR="0026442E" w:rsidRPr="00A12993" w:rsidRDefault="0026442E" w:rsidP="002C5F7A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</w:pPr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К</w:t>
            </w:r>
            <w:proofErr w:type="gramStart"/>
            <w:r w:rsidRPr="00A12993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  <w:t>0</w:t>
            </w:r>
            <w:proofErr w:type="gramEnd"/>
          </w:p>
        </w:tc>
        <w:tc>
          <w:tcPr>
            <w:tcW w:w="7810" w:type="dxa"/>
          </w:tcPr>
          <w:p w14:paraId="6E7A1607" w14:textId="77777777" w:rsidR="0026442E" w:rsidRPr="00A12993" w:rsidRDefault="0026442E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центральный</w:t>
            </w:r>
            <w:proofErr w:type="gramEnd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</w:t>
            </w:r>
            <w:proofErr w:type="spellEnd"/>
            <w:r w:rsidR="009640E5" w:rsidRPr="00A12993">
              <w:t xml:space="preserve"> </w:t>
            </w:r>
            <w:r w:rsidR="009640E5"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Опциона дальней серии</w:t>
            </w:r>
            <w:r w:rsidRPr="00A12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</w:tbl>
    <w:p w14:paraId="4DC39A0B" w14:textId="4A6D8AAD" w:rsidR="008727DC" w:rsidRPr="00A12993" w:rsidRDefault="002C5F7A" w:rsidP="00DC442E">
      <w:pPr>
        <w:pStyle w:val="a0"/>
        <w:numPr>
          <w:ilvl w:val="0"/>
          <w:numId w:val="0"/>
        </w:numPr>
        <w:spacing w:before="120"/>
        <w:ind w:left="720"/>
        <w:rPr>
          <w:rFonts w:ascii="Tahoma" w:hAnsi="Tahoma" w:cs="Tahoma"/>
        </w:rPr>
      </w:pPr>
      <w:r w:rsidRPr="00A12993">
        <w:rPr>
          <w:rFonts w:ascii="Tahoma" w:hAnsi="Tahoma" w:cs="Tahoma"/>
        </w:rPr>
        <w:t xml:space="preserve">2.2.3. Цена исполнения Контракта </w:t>
      </w:r>
      <w:r w:rsidR="00B52EFC" w:rsidRPr="00A12993">
        <w:rPr>
          <w:rFonts w:ascii="Tahoma" w:hAnsi="Tahoma" w:cs="Tahoma"/>
        </w:rPr>
        <w:t xml:space="preserve">корректируется </w:t>
      </w:r>
      <w:proofErr w:type="gramStart"/>
      <w:r w:rsidR="00B52EFC" w:rsidRPr="00A12993">
        <w:rPr>
          <w:rFonts w:ascii="Tahoma" w:hAnsi="Tahoma" w:cs="Tahoma"/>
        </w:rPr>
        <w:t>с учетом ограничения для величины отклонения Расчетной цены фьючерсного контракта в случае его установления Биржей по согласованию с Клиринговым центром</w:t>
      </w:r>
      <w:proofErr w:type="gramEnd"/>
      <w:r w:rsidR="00B52EFC" w:rsidRPr="00A12993">
        <w:rPr>
          <w:rFonts w:ascii="Tahoma" w:hAnsi="Tahoma" w:cs="Tahoma"/>
        </w:rPr>
        <w:t xml:space="preserve"> в соответствии с Методикой определения расчетной цены срочных контрактов, являющейся приложением к Правилам торгов</w:t>
      </w:r>
      <w:r w:rsidRPr="00A12993">
        <w:rPr>
          <w:rFonts w:ascii="Tahoma" w:hAnsi="Tahoma" w:cs="Tahoma"/>
        </w:rPr>
        <w:t>.</w:t>
      </w:r>
    </w:p>
    <w:p w14:paraId="63F97774" w14:textId="77777777" w:rsidR="00D61A38" w:rsidRPr="00A12993" w:rsidRDefault="00D61A38" w:rsidP="00D61A38">
      <w:pPr>
        <w:pStyle w:val="a"/>
        <w:rPr>
          <w:rFonts w:ascii="Tahoma" w:hAnsi="Tahoma" w:cs="Tahoma"/>
        </w:rPr>
      </w:pPr>
      <w:r w:rsidRPr="00A12993">
        <w:rPr>
          <w:rFonts w:ascii="Tahoma" w:hAnsi="Tahoma" w:cs="Tahoma"/>
        </w:rPr>
        <w:t>Основания и порядок прекращения обязательств по Контракту</w:t>
      </w:r>
    </w:p>
    <w:p w14:paraId="746886B6" w14:textId="77777777" w:rsidR="00D61A38" w:rsidRPr="00A12993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A12993">
        <w:rPr>
          <w:rFonts w:ascii="Tahoma" w:hAnsi="Tahoma" w:cs="Tahoma"/>
        </w:rPr>
        <w:t xml:space="preserve">Обязательства по Контракту полностью прекращаются их надлежащим исполнением. </w:t>
      </w:r>
    </w:p>
    <w:p w14:paraId="6904F1B2" w14:textId="77777777" w:rsidR="00D61A38" w:rsidRPr="00A12993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A12993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</w:t>
      </w:r>
      <w:proofErr w:type="gramStart"/>
      <w:r w:rsidRPr="00A12993">
        <w:rPr>
          <w:rFonts w:ascii="Tahoma" w:hAnsi="Tahoma" w:cs="Tahoma"/>
        </w:rPr>
        <w:t>ств Пр</w:t>
      </w:r>
      <w:proofErr w:type="gramEnd"/>
      <w:r w:rsidRPr="00A12993">
        <w:rPr>
          <w:rFonts w:ascii="Tahoma" w:hAnsi="Tahoma" w:cs="Tahoma"/>
        </w:rPr>
        <w:t>одавца, в порядке и сроки, предусмотренные Правилами клиринга.</w:t>
      </w:r>
    </w:p>
    <w:p w14:paraId="7DB923FC" w14:textId="77777777" w:rsidR="00D61A38" w:rsidRPr="00A12993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A12993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42A67115" w14:textId="77777777" w:rsidR="00D61A38" w:rsidRPr="00A12993" w:rsidRDefault="00D61A38" w:rsidP="00D61A38">
      <w:pPr>
        <w:pStyle w:val="a"/>
        <w:spacing w:before="240" w:after="0"/>
        <w:rPr>
          <w:rFonts w:ascii="Tahoma" w:hAnsi="Tahoma" w:cs="Tahoma"/>
        </w:rPr>
      </w:pPr>
      <w:r w:rsidRPr="00A12993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064D1A42" w14:textId="77777777" w:rsidR="00D61A38" w:rsidRPr="00A12993" w:rsidRDefault="00D61A38" w:rsidP="00D61A38">
      <w:pPr>
        <w:pStyle w:val="a0"/>
        <w:tabs>
          <w:tab w:val="clear" w:pos="1287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A12993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361A0D" w:rsidRPr="00A12993">
        <w:rPr>
          <w:rFonts w:ascii="Tahoma" w:hAnsi="Tahoma" w:cs="Tahoma"/>
        </w:rPr>
        <w:t>,</w:t>
      </w:r>
      <w:r w:rsidRPr="00A12993">
        <w:rPr>
          <w:rFonts w:ascii="Tahoma" w:hAnsi="Tahoma" w:cs="Tahoma"/>
        </w:rPr>
        <w:t xml:space="preserve"> Правилами торгов</w:t>
      </w:r>
      <w:r w:rsidR="00361A0D" w:rsidRPr="00A12993">
        <w:rPr>
          <w:rFonts w:ascii="Tahoma" w:hAnsi="Tahoma" w:cs="Tahoma"/>
        </w:rPr>
        <w:t xml:space="preserve"> и Правилами допуска</w:t>
      </w:r>
      <w:r w:rsidRPr="00A12993">
        <w:rPr>
          <w:rFonts w:ascii="Tahoma" w:hAnsi="Tahoma" w:cs="Tahoma"/>
        </w:rPr>
        <w:t>.</w:t>
      </w:r>
    </w:p>
    <w:p w14:paraId="56F51178" w14:textId="77777777" w:rsidR="00D61A38" w:rsidRPr="00A12993" w:rsidRDefault="00D61A38" w:rsidP="00D61A38">
      <w:pPr>
        <w:tabs>
          <w:tab w:val="left" w:pos="284"/>
        </w:tabs>
        <w:spacing w:before="120" w:after="0" w:line="240" w:lineRule="auto"/>
        <w:rPr>
          <w:rFonts w:ascii="Tahoma" w:eastAsia="Calibri" w:hAnsi="Tahoma" w:cs="Tahoma"/>
          <w:b/>
          <w:sz w:val="20"/>
          <w:szCs w:val="20"/>
        </w:rPr>
      </w:pPr>
      <w:r w:rsidRPr="00A12993">
        <w:rPr>
          <w:rFonts w:ascii="Tahoma" w:eastAsia="Calibri" w:hAnsi="Tahoma" w:cs="Tahoma"/>
          <w:b/>
          <w:sz w:val="20"/>
          <w:szCs w:val="20"/>
        </w:rPr>
        <w:t>5.</w:t>
      </w:r>
      <w:r w:rsidRPr="00A12993">
        <w:rPr>
          <w:rFonts w:ascii="Tahoma" w:eastAsia="Calibri" w:hAnsi="Tahoma" w:cs="Tahoma"/>
          <w:b/>
          <w:sz w:val="20"/>
          <w:szCs w:val="20"/>
        </w:rPr>
        <w:tab/>
        <w:t>Особые условия</w:t>
      </w:r>
    </w:p>
    <w:p w14:paraId="12AC0AFA" w14:textId="77777777" w:rsidR="00D61A38" w:rsidRPr="00A12993" w:rsidRDefault="00D61A38" w:rsidP="00140175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>5.1.</w:t>
      </w:r>
      <w:r w:rsidRPr="00A12993">
        <w:rPr>
          <w:rFonts w:ascii="Tahoma" w:eastAsia="Calibri" w:hAnsi="Tahoma" w:cs="Tahoma"/>
          <w:sz w:val="20"/>
          <w:szCs w:val="20"/>
        </w:rPr>
        <w:tab/>
        <w:t xml:space="preserve">В случае </w:t>
      </w:r>
      <w:r w:rsidR="00573263" w:rsidRPr="00A12993">
        <w:rPr>
          <w:rFonts w:ascii="Tahoma" w:eastAsia="Calibri" w:hAnsi="Tahoma" w:cs="Tahoma"/>
          <w:sz w:val="20"/>
          <w:szCs w:val="20"/>
        </w:rPr>
        <w:t xml:space="preserve">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 </w:t>
      </w:r>
      <w:r w:rsidRPr="00A12993">
        <w:rPr>
          <w:rFonts w:ascii="Tahoma" w:eastAsia="Calibri" w:hAnsi="Tahoma" w:cs="Tahoma"/>
          <w:sz w:val="20"/>
          <w:szCs w:val="20"/>
        </w:rPr>
        <w:t>приостановления/прекращения заключения Контракта на Торгах, а также в иных случаях, предусмотренных Правилами торгов, Биржа вправе по согласованию с Клиринговым центром принять одно или несколько из следующих решений:</w:t>
      </w:r>
    </w:p>
    <w:p w14:paraId="6D2DDF40" w14:textId="77777777" w:rsidR="00D61A38" w:rsidRPr="00A12993" w:rsidRDefault="00674FD2" w:rsidP="00674FD2">
      <w:pPr>
        <w:tabs>
          <w:tab w:val="left" w:pos="1418"/>
        </w:tabs>
        <w:spacing w:before="120"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 xml:space="preserve">5.1.1. </w:t>
      </w:r>
      <w:r w:rsidR="00D61A38" w:rsidRPr="00A12993">
        <w:rPr>
          <w:rFonts w:ascii="Tahoma" w:eastAsia="Calibri" w:hAnsi="Tahoma" w:cs="Tahoma"/>
          <w:sz w:val="20"/>
          <w:szCs w:val="20"/>
        </w:rPr>
        <w:t xml:space="preserve">об изменении даты последнего дня заключения Контракта; </w:t>
      </w:r>
    </w:p>
    <w:p w14:paraId="13DA9091" w14:textId="77777777" w:rsidR="00D61A38" w:rsidRPr="00A12993" w:rsidRDefault="00674FD2" w:rsidP="00674FD2">
      <w:pPr>
        <w:tabs>
          <w:tab w:val="left" w:pos="1418"/>
        </w:tabs>
        <w:spacing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 xml:space="preserve">5.1.2. </w:t>
      </w:r>
      <w:r w:rsidR="00D61A38" w:rsidRPr="00A12993">
        <w:rPr>
          <w:rFonts w:ascii="Tahoma" w:eastAsia="Calibri" w:hAnsi="Tahoma" w:cs="Tahoma"/>
          <w:sz w:val="20"/>
          <w:szCs w:val="20"/>
        </w:rPr>
        <w:t xml:space="preserve">об изменении даты дня исполнения Контракта; </w:t>
      </w:r>
    </w:p>
    <w:p w14:paraId="42E8B6F5" w14:textId="00C35FC0" w:rsidR="00D61A38" w:rsidRPr="00A12993" w:rsidRDefault="00674FD2" w:rsidP="00674FD2">
      <w:pPr>
        <w:tabs>
          <w:tab w:val="left" w:pos="1418"/>
        </w:tabs>
        <w:spacing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 xml:space="preserve">5.1.3. </w:t>
      </w:r>
      <w:r w:rsidR="00D61A38" w:rsidRPr="00A12993">
        <w:rPr>
          <w:rFonts w:ascii="Tahoma" w:eastAsia="Calibri" w:hAnsi="Tahoma" w:cs="Tahoma"/>
          <w:sz w:val="20"/>
          <w:szCs w:val="20"/>
        </w:rPr>
        <w:t>об изменении текущей (последней) Расчетной цены и</w:t>
      </w:r>
      <w:r w:rsidR="00573263" w:rsidRPr="00A12993">
        <w:rPr>
          <w:rFonts w:ascii="Tahoma" w:eastAsia="Calibri" w:hAnsi="Tahoma" w:cs="Tahoma"/>
          <w:sz w:val="20"/>
          <w:szCs w:val="20"/>
        </w:rPr>
        <w:t xml:space="preserve"> (или)</w:t>
      </w:r>
      <w:r w:rsidR="00D61A38" w:rsidRPr="00A12993">
        <w:rPr>
          <w:rFonts w:ascii="Tahoma" w:eastAsia="Calibri" w:hAnsi="Tahoma" w:cs="Tahoma"/>
          <w:sz w:val="20"/>
          <w:szCs w:val="20"/>
        </w:rPr>
        <w:t xml:space="preserve"> определени</w:t>
      </w:r>
      <w:r w:rsidR="00573263" w:rsidRPr="00A12993">
        <w:rPr>
          <w:rFonts w:ascii="Tahoma" w:eastAsia="Calibri" w:hAnsi="Tahoma" w:cs="Tahoma"/>
          <w:sz w:val="20"/>
          <w:szCs w:val="20"/>
        </w:rPr>
        <w:t>и</w:t>
      </w:r>
      <w:r w:rsidR="00D61A38" w:rsidRPr="00A12993">
        <w:rPr>
          <w:rFonts w:ascii="Tahoma" w:eastAsia="Calibri" w:hAnsi="Tahoma" w:cs="Tahoma"/>
          <w:sz w:val="20"/>
          <w:szCs w:val="20"/>
        </w:rPr>
        <w:t xml:space="preserve"> порядка расчета и уплаты вариационной маржи; </w:t>
      </w:r>
    </w:p>
    <w:p w14:paraId="74BFBC41" w14:textId="77777777" w:rsidR="00D61A38" w:rsidRPr="00A12993" w:rsidRDefault="00674FD2" w:rsidP="00674FD2">
      <w:pPr>
        <w:tabs>
          <w:tab w:val="left" w:pos="1418"/>
        </w:tabs>
        <w:spacing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 xml:space="preserve">5.1.4. </w:t>
      </w:r>
      <w:r w:rsidR="00D61A38" w:rsidRPr="00A12993">
        <w:rPr>
          <w:rFonts w:ascii="Tahoma" w:eastAsia="Calibri" w:hAnsi="Tahoma" w:cs="Tahoma"/>
          <w:sz w:val="20"/>
          <w:szCs w:val="20"/>
        </w:rPr>
        <w:t>иные решения, предусмотренные Правилами торгов.</w:t>
      </w:r>
    </w:p>
    <w:p w14:paraId="7AA5EEFD" w14:textId="623CE931" w:rsidR="00D61A38" w:rsidRPr="00A12993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>5.2.</w:t>
      </w:r>
      <w:r w:rsidRPr="00A12993">
        <w:rPr>
          <w:rFonts w:ascii="Tahoma" w:eastAsia="Calibri" w:hAnsi="Tahoma" w:cs="Tahoma"/>
          <w:sz w:val="20"/>
          <w:szCs w:val="20"/>
        </w:rPr>
        <w:tab/>
        <w:t xml:space="preserve">Биржа вправе по согласованию с Клиринговым центром изменить дату последнего дня заключения и (или) дату дня исполнения Контракта с определенным кодом, </w:t>
      </w:r>
      <w:r w:rsidR="003B75DE" w:rsidRPr="00A12993">
        <w:rPr>
          <w:rFonts w:ascii="Tahoma" w:eastAsia="Calibri" w:hAnsi="Tahoma" w:cs="Tahoma"/>
          <w:sz w:val="20"/>
          <w:szCs w:val="20"/>
        </w:rPr>
        <w:t xml:space="preserve">или принять иное (иные) решение (решения), предусмотренные пунктом 5.1 Спецификации, </w:t>
      </w:r>
      <w:r w:rsidRPr="00A12993">
        <w:rPr>
          <w:rFonts w:ascii="Tahoma" w:eastAsia="Calibri" w:hAnsi="Tahoma" w:cs="Tahoma"/>
          <w:sz w:val="20"/>
          <w:szCs w:val="20"/>
        </w:rPr>
        <w:t xml:space="preserve">если в </w:t>
      </w:r>
      <w:r w:rsidRPr="00A12993">
        <w:rPr>
          <w:rFonts w:ascii="Tahoma" w:eastAsia="Calibri" w:hAnsi="Tahoma" w:cs="Tahoma"/>
          <w:sz w:val="20"/>
          <w:szCs w:val="20"/>
        </w:rPr>
        <w:lastRenderedPageBreak/>
        <w:t>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ACE56F9" w14:textId="655663A6" w:rsidR="00D61A38" w:rsidRPr="00A12993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>5.3.</w:t>
      </w:r>
      <w:r w:rsidRPr="00A12993">
        <w:rPr>
          <w:rFonts w:ascii="Tahoma" w:eastAsia="Calibri" w:hAnsi="Tahoma" w:cs="Tahoma"/>
          <w:sz w:val="20"/>
          <w:szCs w:val="20"/>
        </w:rPr>
        <w:tab/>
        <w:t xml:space="preserve">Информация о решении (решениях), принятом (принятых) Биржей в соответствии с пунктами 5.1–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</w:t>
      </w:r>
    </w:p>
    <w:p w14:paraId="68EB5A0F" w14:textId="46592999" w:rsidR="00D61A38" w:rsidRPr="00A12993" w:rsidRDefault="00D61A38" w:rsidP="00724F0A">
      <w:pPr>
        <w:tabs>
          <w:tab w:val="left" w:pos="993"/>
        </w:tabs>
        <w:spacing w:before="120" w:after="0" w:line="240" w:lineRule="auto"/>
        <w:ind w:left="851"/>
        <w:jc w:val="both"/>
        <w:rPr>
          <w:rFonts w:ascii="Tahoma" w:eastAsia="Calibri" w:hAnsi="Tahoma" w:cs="Tahoma"/>
          <w:sz w:val="20"/>
          <w:szCs w:val="20"/>
        </w:rPr>
      </w:pPr>
      <w:proofErr w:type="gramStart"/>
      <w:r w:rsidRPr="00A12993">
        <w:rPr>
          <w:rFonts w:ascii="Tahoma" w:eastAsia="Calibri" w:hAnsi="Tahoma" w:cs="Tahoma"/>
          <w:sz w:val="20"/>
          <w:szCs w:val="20"/>
        </w:rPr>
        <w:t xml:space="preserve">В случае наступления оснований для принятия решений, предусмотренных пунктами 5.1–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 </w:t>
      </w:r>
      <w:proofErr w:type="gramEnd"/>
    </w:p>
    <w:p w14:paraId="27EAD5DB" w14:textId="449B2BE2" w:rsidR="00D61A38" w:rsidRPr="00A12993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>5.4.</w:t>
      </w:r>
      <w:r w:rsidRPr="00A12993">
        <w:rPr>
          <w:rFonts w:ascii="Tahoma" w:eastAsia="Calibri" w:hAnsi="Tahoma" w:cs="Tahoma"/>
          <w:sz w:val="20"/>
          <w:szCs w:val="20"/>
        </w:rPr>
        <w:tab/>
      </w:r>
      <w:r w:rsidR="00361A0D" w:rsidRPr="00A12993">
        <w:rPr>
          <w:rFonts w:ascii="Tahoma" w:eastAsia="Calibri" w:hAnsi="Tahoma" w:cs="Tahoma"/>
          <w:sz w:val="20"/>
          <w:szCs w:val="20"/>
        </w:rPr>
        <w:t xml:space="preserve">Если иное не предусмотрено решением Биржи, с </w:t>
      </w:r>
      <w:r w:rsidRPr="00A12993">
        <w:rPr>
          <w:rFonts w:ascii="Tahoma" w:eastAsia="Calibri" w:hAnsi="Tahoma" w:cs="Tahoma"/>
          <w:sz w:val="20"/>
          <w:szCs w:val="20"/>
        </w:rPr>
        <w:t xml:space="preserve">момента вступления в силу решения (решений), принятого (принятых) Биржей в соответствии с пунктами 5.1–5.2 Спецификации, условия обязательств по ранее заключенным Контрактам считаются измененными с учетом указанного решения (решений). </w:t>
      </w:r>
    </w:p>
    <w:p w14:paraId="771AF551" w14:textId="77777777" w:rsidR="00724F0A" w:rsidRPr="00A12993" w:rsidRDefault="00724F0A" w:rsidP="00724F0A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ahoma" w:eastAsia="Calibri" w:hAnsi="Tahoma" w:cs="Tahoma"/>
          <w:b/>
          <w:sz w:val="20"/>
          <w:szCs w:val="20"/>
        </w:rPr>
      </w:pPr>
      <w:r w:rsidRPr="00A12993">
        <w:rPr>
          <w:rFonts w:ascii="Tahoma" w:eastAsia="Calibri" w:hAnsi="Tahoma" w:cs="Tahoma"/>
          <w:b/>
          <w:sz w:val="20"/>
          <w:szCs w:val="20"/>
        </w:rPr>
        <w:t>6.</w:t>
      </w:r>
      <w:r w:rsidRPr="00A12993">
        <w:rPr>
          <w:rFonts w:ascii="Tahoma" w:eastAsia="Calibri" w:hAnsi="Tahoma" w:cs="Tahoma"/>
          <w:b/>
          <w:sz w:val="20"/>
          <w:szCs w:val="20"/>
        </w:rPr>
        <w:tab/>
        <w:t>Внесение изменений и дополнений в Спецификацию</w:t>
      </w:r>
    </w:p>
    <w:p w14:paraId="60421E8F" w14:textId="77777777" w:rsidR="00724F0A" w:rsidRPr="00A12993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>6.1.</w:t>
      </w:r>
      <w:r w:rsidRPr="00A12993">
        <w:rPr>
          <w:rFonts w:ascii="Tahoma" w:eastAsia="Calibri" w:hAnsi="Tahoma" w:cs="Tahoma"/>
          <w:sz w:val="20"/>
          <w:szCs w:val="20"/>
        </w:rPr>
        <w:tab/>
        <w:t>Биржа вправе по согласованию с Клиринговым центром внести изменения и дополнения в Спецификацию.</w:t>
      </w:r>
    </w:p>
    <w:p w14:paraId="639B30C9" w14:textId="77777777" w:rsidR="00724F0A" w:rsidRPr="00A12993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>6.2.</w:t>
      </w:r>
      <w:r w:rsidRPr="00A12993">
        <w:rPr>
          <w:rFonts w:ascii="Tahoma" w:eastAsia="Calibri" w:hAnsi="Tahoma" w:cs="Tahoma"/>
          <w:sz w:val="20"/>
          <w:szCs w:val="20"/>
        </w:rPr>
        <w:tab/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14:paraId="53AB6AE1" w14:textId="77777777" w:rsidR="00724F0A" w:rsidRPr="00A12993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>6.3.</w:t>
      </w:r>
      <w:r w:rsidRPr="00A12993">
        <w:rPr>
          <w:rFonts w:ascii="Tahoma" w:eastAsia="Calibri" w:hAnsi="Tahoma" w:cs="Tahoma"/>
          <w:sz w:val="20"/>
          <w:szCs w:val="20"/>
        </w:rPr>
        <w:tab/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Торговых дня до введения ее в действие.</w:t>
      </w:r>
    </w:p>
    <w:p w14:paraId="72302E19" w14:textId="77777777" w:rsidR="00D61A38" w:rsidRPr="00285FDF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A12993">
        <w:rPr>
          <w:rFonts w:ascii="Tahoma" w:eastAsia="Calibri" w:hAnsi="Tahoma" w:cs="Tahoma"/>
          <w:sz w:val="20"/>
          <w:szCs w:val="20"/>
        </w:rPr>
        <w:t>6.4.</w:t>
      </w:r>
      <w:r w:rsidRPr="00A12993">
        <w:rPr>
          <w:rFonts w:ascii="Tahoma" w:eastAsia="Calibri" w:hAnsi="Tahoma" w:cs="Tahoma"/>
          <w:sz w:val="20"/>
          <w:szCs w:val="20"/>
        </w:rPr>
        <w:tab/>
      </w:r>
      <w:r w:rsidR="00361A0D" w:rsidRPr="00A12993">
        <w:rPr>
          <w:rFonts w:ascii="Tahoma" w:eastAsia="Calibri" w:hAnsi="Tahoma" w:cs="Tahoma"/>
          <w:sz w:val="20"/>
          <w:szCs w:val="20"/>
        </w:rPr>
        <w:t>Если иное не предусмотрено решением Биржи, с</w:t>
      </w:r>
      <w:r w:rsidRPr="00A12993">
        <w:rPr>
          <w:rFonts w:ascii="Tahoma" w:eastAsia="Calibri" w:hAnsi="Tahoma" w:cs="Tahoma"/>
          <w:sz w:val="20"/>
          <w:szCs w:val="20"/>
        </w:rPr>
        <w:t xml:space="preserve">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D61A38" w:rsidRPr="00285FDF" w:rsidSect="00814FDC">
      <w:headerReference w:type="default" r:id="rId9"/>
      <w:footerReference w:type="default" r:id="rId10"/>
      <w:pgSz w:w="11906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1F656" w14:textId="77777777" w:rsidR="004B60C1" w:rsidRDefault="004B60C1" w:rsidP="00724F0A">
      <w:pPr>
        <w:spacing w:after="0" w:line="240" w:lineRule="auto"/>
      </w:pPr>
      <w:r>
        <w:separator/>
      </w:r>
    </w:p>
  </w:endnote>
  <w:endnote w:type="continuationSeparator" w:id="0">
    <w:p w14:paraId="75EDEFBD" w14:textId="77777777" w:rsidR="004B60C1" w:rsidRDefault="004B60C1" w:rsidP="0072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926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3329D47" w14:textId="77777777" w:rsidR="00724F0A" w:rsidRPr="00724F0A" w:rsidRDefault="00724F0A">
        <w:pPr>
          <w:pStyle w:val="ac"/>
          <w:jc w:val="right"/>
          <w:rPr>
            <w:rFonts w:ascii="Tahoma" w:hAnsi="Tahoma" w:cs="Tahoma"/>
            <w:sz w:val="20"/>
            <w:szCs w:val="20"/>
          </w:rPr>
        </w:pPr>
        <w:r w:rsidRPr="00724F0A">
          <w:rPr>
            <w:rFonts w:ascii="Tahoma" w:hAnsi="Tahoma" w:cs="Tahoma"/>
            <w:sz w:val="20"/>
            <w:szCs w:val="20"/>
          </w:rPr>
          <w:fldChar w:fldCharType="begin"/>
        </w:r>
        <w:r w:rsidRPr="00724F0A">
          <w:rPr>
            <w:rFonts w:ascii="Tahoma" w:hAnsi="Tahoma" w:cs="Tahoma"/>
            <w:sz w:val="20"/>
            <w:szCs w:val="20"/>
          </w:rPr>
          <w:instrText>PAGE   \* MERGEFORMAT</w:instrText>
        </w:r>
        <w:r w:rsidRPr="00724F0A">
          <w:rPr>
            <w:rFonts w:ascii="Tahoma" w:hAnsi="Tahoma" w:cs="Tahoma"/>
            <w:sz w:val="20"/>
            <w:szCs w:val="20"/>
          </w:rPr>
          <w:fldChar w:fldCharType="separate"/>
        </w:r>
        <w:r w:rsidR="00960266">
          <w:rPr>
            <w:rFonts w:ascii="Tahoma" w:hAnsi="Tahoma" w:cs="Tahoma"/>
            <w:noProof/>
            <w:sz w:val="20"/>
            <w:szCs w:val="20"/>
          </w:rPr>
          <w:t>1</w:t>
        </w:r>
        <w:r w:rsidRPr="00724F0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7C85195" w14:textId="77777777" w:rsidR="00724F0A" w:rsidRDefault="00724F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962F7" w14:textId="77777777" w:rsidR="004B60C1" w:rsidRDefault="004B60C1" w:rsidP="00724F0A">
      <w:pPr>
        <w:spacing w:after="0" w:line="240" w:lineRule="auto"/>
      </w:pPr>
      <w:r>
        <w:separator/>
      </w:r>
    </w:p>
  </w:footnote>
  <w:footnote w:type="continuationSeparator" w:id="0">
    <w:p w14:paraId="75AEF0A4" w14:textId="77777777" w:rsidR="004B60C1" w:rsidRDefault="004B60C1" w:rsidP="0072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C793C" w14:textId="77777777" w:rsidR="00B60C25" w:rsidRPr="00B60C25" w:rsidRDefault="00B60C25" w:rsidP="00EA18EC">
    <w:pPr>
      <w:pStyle w:val="af0"/>
      <w:jc w:val="right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Спецификация фьючерсного контракта</w:t>
    </w:r>
  </w:p>
  <w:p w14:paraId="5B63BEC6" w14:textId="77777777" w:rsidR="00B60C25" w:rsidRDefault="00B60C25" w:rsidP="00EA18EC">
    <w:pPr>
      <w:pStyle w:val="af0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на волатильность российского рынка</w:t>
    </w:r>
  </w:p>
  <w:p w14:paraId="1C9A92D1" w14:textId="77777777" w:rsidR="00B60C25" w:rsidRDefault="00B60C25">
    <w:pPr>
      <w:pStyle w:val="af0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3EE"/>
    <w:multiLevelType w:val="hybridMultilevel"/>
    <w:tmpl w:val="CEBA6A96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B53604"/>
    <w:multiLevelType w:val="hybridMultilevel"/>
    <w:tmpl w:val="F7F4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8F5837"/>
    <w:multiLevelType w:val="hybridMultilevel"/>
    <w:tmpl w:val="4860FD86"/>
    <w:lvl w:ilvl="0" w:tplc="42B81DA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16BBF"/>
    <w:multiLevelType w:val="multilevel"/>
    <w:tmpl w:val="814CD1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  <w:b w:val="0"/>
      </w:rPr>
    </w:lvl>
    <w:lvl w:ilvl="2">
      <w:start w:val="1"/>
      <w:numFmt w:val="decimal"/>
      <w:pStyle w:val="1"/>
      <w:lvlText w:val="%1.%2.%3."/>
      <w:lvlJc w:val="left"/>
      <w:pPr>
        <w:tabs>
          <w:tab w:val="num" w:pos="9356"/>
        </w:tabs>
        <w:ind w:left="935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>
    <w:nsid w:val="44A36186"/>
    <w:multiLevelType w:val="hybridMultilevel"/>
    <w:tmpl w:val="4B5ED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4A3A1F"/>
    <w:multiLevelType w:val="hybridMultilevel"/>
    <w:tmpl w:val="49A8131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0AF22D9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53A2E96"/>
    <w:multiLevelType w:val="hybridMultilevel"/>
    <w:tmpl w:val="C73602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8B7A13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F81FB5"/>
    <w:multiLevelType w:val="hybridMultilevel"/>
    <w:tmpl w:val="2A9AB9C0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4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  <w:num w:numId="16">
    <w:abstractNumId w:val="4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2"/>
    <w:rsid w:val="00003C0C"/>
    <w:rsid w:val="0000564C"/>
    <w:rsid w:val="00016DFB"/>
    <w:rsid w:val="00023494"/>
    <w:rsid w:val="00050222"/>
    <w:rsid w:val="00050D92"/>
    <w:rsid w:val="00056CA8"/>
    <w:rsid w:val="000574A4"/>
    <w:rsid w:val="000623F2"/>
    <w:rsid w:val="00081821"/>
    <w:rsid w:val="00097E6B"/>
    <w:rsid w:val="000C1F00"/>
    <w:rsid w:val="000D774A"/>
    <w:rsid w:val="000E3DC7"/>
    <w:rsid w:val="000E6047"/>
    <w:rsid w:val="000E722C"/>
    <w:rsid w:val="00122BDC"/>
    <w:rsid w:val="00140175"/>
    <w:rsid w:val="00195A4D"/>
    <w:rsid w:val="001C3C1A"/>
    <w:rsid w:val="001C7172"/>
    <w:rsid w:val="001F222E"/>
    <w:rsid w:val="0022098E"/>
    <w:rsid w:val="00234D82"/>
    <w:rsid w:val="002570EE"/>
    <w:rsid w:val="00262AF9"/>
    <w:rsid w:val="0026442E"/>
    <w:rsid w:val="0028264B"/>
    <w:rsid w:val="00285FDF"/>
    <w:rsid w:val="00290F8D"/>
    <w:rsid w:val="00291C5C"/>
    <w:rsid w:val="00293820"/>
    <w:rsid w:val="002B3C44"/>
    <w:rsid w:val="002C5F7A"/>
    <w:rsid w:val="002D1D0F"/>
    <w:rsid w:val="002D3912"/>
    <w:rsid w:val="00311310"/>
    <w:rsid w:val="00315F11"/>
    <w:rsid w:val="0033220B"/>
    <w:rsid w:val="00361A0D"/>
    <w:rsid w:val="00365DCA"/>
    <w:rsid w:val="00375348"/>
    <w:rsid w:val="00393D3A"/>
    <w:rsid w:val="003B75DE"/>
    <w:rsid w:val="003E7976"/>
    <w:rsid w:val="003F5ECC"/>
    <w:rsid w:val="00423B63"/>
    <w:rsid w:val="00425AA5"/>
    <w:rsid w:val="00440842"/>
    <w:rsid w:val="00440F29"/>
    <w:rsid w:val="004441DE"/>
    <w:rsid w:val="004638CF"/>
    <w:rsid w:val="00487DC8"/>
    <w:rsid w:val="00496F69"/>
    <w:rsid w:val="004B60C1"/>
    <w:rsid w:val="004C208A"/>
    <w:rsid w:val="004C6122"/>
    <w:rsid w:val="004F1919"/>
    <w:rsid w:val="00506828"/>
    <w:rsid w:val="00522717"/>
    <w:rsid w:val="0056166B"/>
    <w:rsid w:val="00573002"/>
    <w:rsid w:val="00573263"/>
    <w:rsid w:val="005B2717"/>
    <w:rsid w:val="005C2DC3"/>
    <w:rsid w:val="005E50A9"/>
    <w:rsid w:val="005F1F11"/>
    <w:rsid w:val="006000F9"/>
    <w:rsid w:val="006030EB"/>
    <w:rsid w:val="00635EC4"/>
    <w:rsid w:val="006378A0"/>
    <w:rsid w:val="00674FD2"/>
    <w:rsid w:val="006A6202"/>
    <w:rsid w:val="006D3DC7"/>
    <w:rsid w:val="006D4425"/>
    <w:rsid w:val="006F5649"/>
    <w:rsid w:val="00712167"/>
    <w:rsid w:val="00724F0A"/>
    <w:rsid w:val="00752E41"/>
    <w:rsid w:val="007700A8"/>
    <w:rsid w:val="00797F91"/>
    <w:rsid w:val="007D2171"/>
    <w:rsid w:val="007E1A62"/>
    <w:rsid w:val="00801A94"/>
    <w:rsid w:val="0081391D"/>
    <w:rsid w:val="00814FDC"/>
    <w:rsid w:val="008302A7"/>
    <w:rsid w:val="00871919"/>
    <w:rsid w:val="008727DC"/>
    <w:rsid w:val="008806CC"/>
    <w:rsid w:val="008F453A"/>
    <w:rsid w:val="00917DC5"/>
    <w:rsid w:val="009413D5"/>
    <w:rsid w:val="00951507"/>
    <w:rsid w:val="009542D5"/>
    <w:rsid w:val="00960266"/>
    <w:rsid w:val="009640E5"/>
    <w:rsid w:val="009709BE"/>
    <w:rsid w:val="00980318"/>
    <w:rsid w:val="009933AE"/>
    <w:rsid w:val="009B7E65"/>
    <w:rsid w:val="009D4C5A"/>
    <w:rsid w:val="00A02E00"/>
    <w:rsid w:val="00A12993"/>
    <w:rsid w:val="00A50996"/>
    <w:rsid w:val="00A5372C"/>
    <w:rsid w:val="00A81B21"/>
    <w:rsid w:val="00A87F71"/>
    <w:rsid w:val="00AB1F20"/>
    <w:rsid w:val="00AB6E5C"/>
    <w:rsid w:val="00AD6263"/>
    <w:rsid w:val="00AF0295"/>
    <w:rsid w:val="00AF3261"/>
    <w:rsid w:val="00AF70B7"/>
    <w:rsid w:val="00B0752C"/>
    <w:rsid w:val="00B353D9"/>
    <w:rsid w:val="00B357DA"/>
    <w:rsid w:val="00B42D3E"/>
    <w:rsid w:val="00B52EFC"/>
    <w:rsid w:val="00B60C25"/>
    <w:rsid w:val="00B93A8F"/>
    <w:rsid w:val="00B93C01"/>
    <w:rsid w:val="00B961B7"/>
    <w:rsid w:val="00BB22BC"/>
    <w:rsid w:val="00BD5E17"/>
    <w:rsid w:val="00C04BAD"/>
    <w:rsid w:val="00C20674"/>
    <w:rsid w:val="00C21A1C"/>
    <w:rsid w:val="00C301BD"/>
    <w:rsid w:val="00CA4732"/>
    <w:rsid w:val="00CA7A85"/>
    <w:rsid w:val="00CB3E06"/>
    <w:rsid w:val="00CD0E09"/>
    <w:rsid w:val="00CE699F"/>
    <w:rsid w:val="00D1075A"/>
    <w:rsid w:val="00D57619"/>
    <w:rsid w:val="00D605DE"/>
    <w:rsid w:val="00D61A38"/>
    <w:rsid w:val="00D640EA"/>
    <w:rsid w:val="00D80208"/>
    <w:rsid w:val="00D80503"/>
    <w:rsid w:val="00D80A1B"/>
    <w:rsid w:val="00DC442E"/>
    <w:rsid w:val="00E51DE7"/>
    <w:rsid w:val="00E946CB"/>
    <w:rsid w:val="00E95D43"/>
    <w:rsid w:val="00E97142"/>
    <w:rsid w:val="00EA18EC"/>
    <w:rsid w:val="00EB753D"/>
    <w:rsid w:val="00F03936"/>
    <w:rsid w:val="00F1398E"/>
    <w:rsid w:val="00F35406"/>
    <w:rsid w:val="00F612D2"/>
    <w:rsid w:val="00F6595A"/>
    <w:rsid w:val="00F6630C"/>
    <w:rsid w:val="00F82386"/>
    <w:rsid w:val="00F95964"/>
    <w:rsid w:val="00FE1A15"/>
    <w:rsid w:val="00FE5556"/>
    <w:rsid w:val="00FF60F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  <w:style w:type="paragraph" w:styleId="af7">
    <w:name w:val="Body Text"/>
    <w:basedOn w:val="a1"/>
    <w:link w:val="af8"/>
    <w:uiPriority w:val="99"/>
    <w:semiHidden/>
    <w:unhideWhenUsed/>
    <w:rsid w:val="00EA18EC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EA18EC"/>
  </w:style>
  <w:style w:type="paragraph" w:styleId="af9">
    <w:name w:val="footnote text"/>
    <w:basedOn w:val="a1"/>
    <w:link w:val="afa"/>
    <w:uiPriority w:val="99"/>
    <w:semiHidden/>
    <w:unhideWhenUsed/>
    <w:rsid w:val="00AB6E5C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uiPriority w:val="99"/>
    <w:semiHidden/>
    <w:rsid w:val="00AB6E5C"/>
    <w:rPr>
      <w:sz w:val="20"/>
      <w:szCs w:val="20"/>
    </w:rPr>
  </w:style>
  <w:style w:type="character" w:styleId="afb">
    <w:name w:val="footnote reference"/>
    <w:basedOn w:val="a2"/>
    <w:uiPriority w:val="99"/>
    <w:semiHidden/>
    <w:unhideWhenUsed/>
    <w:rsid w:val="00AB6E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  <w:style w:type="paragraph" w:styleId="af7">
    <w:name w:val="Body Text"/>
    <w:basedOn w:val="a1"/>
    <w:link w:val="af8"/>
    <w:uiPriority w:val="99"/>
    <w:semiHidden/>
    <w:unhideWhenUsed/>
    <w:rsid w:val="00EA18EC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EA18EC"/>
  </w:style>
  <w:style w:type="paragraph" w:styleId="af9">
    <w:name w:val="footnote text"/>
    <w:basedOn w:val="a1"/>
    <w:link w:val="afa"/>
    <w:uiPriority w:val="99"/>
    <w:semiHidden/>
    <w:unhideWhenUsed/>
    <w:rsid w:val="00AB6E5C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uiPriority w:val="99"/>
    <w:semiHidden/>
    <w:rsid w:val="00AB6E5C"/>
    <w:rPr>
      <w:sz w:val="20"/>
      <w:szCs w:val="20"/>
    </w:rPr>
  </w:style>
  <w:style w:type="character" w:styleId="afb">
    <w:name w:val="footnote reference"/>
    <w:basedOn w:val="a2"/>
    <w:uiPriority w:val="99"/>
    <w:semiHidden/>
    <w:unhideWhenUsed/>
    <w:rsid w:val="00AB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CC59-F8BA-4E56-A4FC-C3DB0766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Никитина Татьяна Игоревна</cp:lastModifiedBy>
  <cp:revision>4</cp:revision>
  <cp:lastPrinted>2014-04-16T08:51:00Z</cp:lastPrinted>
  <dcterms:created xsi:type="dcterms:W3CDTF">2016-07-20T12:39:00Z</dcterms:created>
  <dcterms:modified xsi:type="dcterms:W3CDTF">2016-08-05T11:37:00Z</dcterms:modified>
</cp:coreProperties>
</file>