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32CFF" w14:textId="77777777" w:rsidR="00F93452" w:rsidRPr="00231D6A" w:rsidRDefault="00F93452" w:rsidP="00231D6A">
      <w:pPr>
        <w:spacing w:before="120" w:after="120" w:line="240" w:lineRule="auto"/>
        <w:ind w:left="5812" w:right="-81"/>
        <w:rPr>
          <w:rFonts w:ascii="Tahoma" w:eastAsia="Times New Roman" w:hAnsi="Tahoma" w:cs="Tahoma"/>
          <w:b/>
          <w:sz w:val="20"/>
          <w:szCs w:val="20"/>
          <w:lang w:val="ru-RU" w:eastAsia="x-none"/>
        </w:rPr>
      </w:pPr>
    </w:p>
    <w:p w14:paraId="6F722A25" w14:textId="77777777" w:rsidR="00F93452" w:rsidRPr="00231D6A" w:rsidRDefault="00F93452" w:rsidP="00231D6A">
      <w:pPr>
        <w:spacing w:before="120" w:after="120" w:line="240" w:lineRule="auto"/>
        <w:ind w:left="5812" w:right="-81"/>
        <w:rPr>
          <w:rFonts w:ascii="Tahoma" w:eastAsia="Times New Roman" w:hAnsi="Tahoma" w:cs="Tahoma"/>
          <w:b/>
          <w:sz w:val="20"/>
          <w:szCs w:val="20"/>
          <w:lang w:val="x-none" w:eastAsia="x-none"/>
        </w:rPr>
      </w:pPr>
    </w:p>
    <w:p w14:paraId="09C7C2DC" w14:textId="77777777" w:rsidR="00F93452" w:rsidRPr="00231D6A" w:rsidRDefault="00F93452" w:rsidP="00231D6A">
      <w:pPr>
        <w:spacing w:before="120" w:after="120" w:line="240" w:lineRule="auto"/>
        <w:ind w:left="142" w:right="-81"/>
        <w:rPr>
          <w:rFonts w:ascii="Tahoma" w:eastAsia="Times New Roman" w:hAnsi="Tahoma" w:cs="Tahoma"/>
          <w:b/>
          <w:sz w:val="20"/>
          <w:szCs w:val="20"/>
        </w:rPr>
      </w:pPr>
      <w:r w:rsidRPr="00231D6A">
        <w:rPr>
          <w:rFonts w:ascii="Tahoma" w:hAnsi="Tahoma" w:cs="Tahoma"/>
          <w:b/>
          <w:sz w:val="20"/>
        </w:rPr>
        <w:t>APPROVED</w:t>
      </w:r>
    </w:p>
    <w:p w14:paraId="5E3274B5" w14:textId="77777777" w:rsidR="00231D6A" w:rsidRDefault="00F93452" w:rsidP="00231D6A">
      <w:pPr>
        <w:tabs>
          <w:tab w:val="left" w:pos="5387"/>
          <w:tab w:val="left" w:pos="5812"/>
        </w:tabs>
        <w:spacing w:after="0" w:line="240" w:lineRule="auto"/>
        <w:ind w:left="142" w:right="-79"/>
        <w:rPr>
          <w:rFonts w:ascii="Tahoma" w:hAnsi="Tahoma" w:cs="Tahoma"/>
          <w:sz w:val="20"/>
        </w:rPr>
      </w:pPr>
      <w:r w:rsidRPr="00231D6A">
        <w:rPr>
          <w:rFonts w:ascii="Tahoma" w:hAnsi="Tahoma" w:cs="Tahoma"/>
          <w:sz w:val="20"/>
        </w:rPr>
        <w:t xml:space="preserve">by Public Joint Stock Company </w:t>
      </w:r>
      <w:r w:rsidRPr="00231D6A">
        <w:rPr>
          <w:rFonts w:ascii="Tahoma" w:hAnsi="Tahoma" w:cs="Tahoma"/>
          <w:sz w:val="20"/>
        </w:rPr>
        <w:cr/>
        <w:t>Moscow Exchange MICEX-RTS</w:t>
      </w:r>
    </w:p>
    <w:p w14:paraId="260A240B" w14:textId="2ECF3509" w:rsidR="00F93452" w:rsidRPr="00231D6A" w:rsidRDefault="00F93452" w:rsidP="00231D6A">
      <w:pPr>
        <w:tabs>
          <w:tab w:val="left" w:pos="5387"/>
          <w:tab w:val="left" w:pos="5812"/>
        </w:tabs>
        <w:spacing w:after="0" w:line="240" w:lineRule="auto"/>
        <w:ind w:left="142" w:right="-79"/>
        <w:rPr>
          <w:rFonts w:ascii="Tahoma" w:eastAsia="Times New Roman" w:hAnsi="Tahoma" w:cs="Tahoma"/>
          <w:sz w:val="20"/>
          <w:szCs w:val="20"/>
        </w:rPr>
      </w:pPr>
      <w:r w:rsidRPr="00231D6A">
        <w:rPr>
          <w:rFonts w:ascii="Tahoma" w:hAnsi="Tahoma" w:cs="Tahoma"/>
          <w:sz w:val="20"/>
        </w:rPr>
        <w:t>(Order No. МБ-П-2025-1394 dated 15 April 2025)</w:t>
      </w:r>
    </w:p>
    <w:p w14:paraId="6E157483" w14:textId="77777777" w:rsidR="00F93452" w:rsidRPr="00231D6A" w:rsidRDefault="00F93452" w:rsidP="00231D6A">
      <w:pPr>
        <w:tabs>
          <w:tab w:val="left" w:pos="4962"/>
        </w:tabs>
        <w:spacing w:before="120" w:after="120" w:line="240" w:lineRule="auto"/>
        <w:ind w:left="5103" w:right="-81"/>
        <w:rPr>
          <w:rFonts w:ascii="Tahoma" w:eastAsia="Times New Roman" w:hAnsi="Tahoma" w:cs="Tahoma"/>
          <w:sz w:val="20"/>
          <w:szCs w:val="20"/>
          <w:lang w:eastAsia="ru-RU"/>
        </w:rPr>
      </w:pPr>
    </w:p>
    <w:p w14:paraId="4823C079" w14:textId="77777777" w:rsidR="00F93452" w:rsidRPr="00231D6A" w:rsidRDefault="00F93452" w:rsidP="00231D6A">
      <w:pPr>
        <w:tabs>
          <w:tab w:val="left" w:pos="4962"/>
        </w:tabs>
        <w:spacing w:before="120" w:after="120" w:line="240" w:lineRule="auto"/>
        <w:ind w:left="5103" w:right="-81"/>
        <w:rPr>
          <w:rFonts w:ascii="Tahoma" w:eastAsia="Times New Roman" w:hAnsi="Tahoma" w:cs="Tahoma"/>
          <w:sz w:val="20"/>
          <w:szCs w:val="20"/>
          <w:lang w:eastAsia="ru-RU"/>
        </w:rPr>
      </w:pPr>
      <w:bookmarkStart w:id="0" w:name="_GoBack"/>
      <w:bookmarkEnd w:id="0"/>
    </w:p>
    <w:p w14:paraId="0C91D741" w14:textId="77777777" w:rsidR="00231D6A" w:rsidRDefault="00F93452" w:rsidP="00231D6A">
      <w:pPr>
        <w:autoSpaceDE w:val="0"/>
        <w:autoSpaceDN w:val="0"/>
        <w:spacing w:after="0" w:line="240" w:lineRule="auto"/>
        <w:ind w:right="-6"/>
        <w:jc w:val="center"/>
        <w:rPr>
          <w:rFonts w:ascii="Tahoma" w:hAnsi="Tahoma" w:cs="Tahoma"/>
          <w:b/>
          <w:sz w:val="20"/>
        </w:rPr>
      </w:pPr>
      <w:r w:rsidRPr="00231D6A">
        <w:rPr>
          <w:rFonts w:ascii="Tahoma" w:hAnsi="Tahoma" w:cs="Tahoma"/>
          <w:b/>
          <w:color w:val="000000"/>
          <w:sz w:val="20"/>
        </w:rPr>
        <w:t>SPECIFICATION</w:t>
      </w:r>
      <w:r w:rsidRPr="00231D6A">
        <w:rPr>
          <w:rFonts w:ascii="Tahoma" w:hAnsi="Tahoma" w:cs="Tahoma"/>
          <w:b/>
          <w:sz w:val="20"/>
        </w:rPr>
        <w:t xml:space="preserve"> FOR THE FUTURES CONTRACT </w:t>
      </w:r>
    </w:p>
    <w:p w14:paraId="1E9BB79A" w14:textId="0CD61936" w:rsidR="00F93452" w:rsidRPr="00231D6A" w:rsidRDefault="00F93452" w:rsidP="00231D6A">
      <w:pPr>
        <w:autoSpaceDE w:val="0"/>
        <w:autoSpaceDN w:val="0"/>
        <w:spacing w:after="0" w:line="240" w:lineRule="auto"/>
        <w:ind w:right="-6"/>
        <w:jc w:val="center"/>
        <w:rPr>
          <w:rFonts w:ascii="Tahoma" w:eastAsia="Arial Unicode MS" w:hAnsi="Tahoma" w:cs="Tahoma"/>
          <w:b/>
          <w:sz w:val="20"/>
          <w:szCs w:val="20"/>
        </w:rPr>
      </w:pPr>
      <w:r w:rsidRPr="00231D6A">
        <w:rPr>
          <w:rFonts w:ascii="Tahoma" w:hAnsi="Tahoma" w:cs="Tahoma"/>
          <w:b/>
          <w:sz w:val="20"/>
        </w:rPr>
        <w:t xml:space="preserve">ON THE RUSSIAN MARKET VOLATILITY INDEX </w:t>
      </w:r>
    </w:p>
    <w:p w14:paraId="56DF5A06" w14:textId="77777777" w:rsidR="00F93452" w:rsidRPr="00231D6A" w:rsidRDefault="00F93452" w:rsidP="00231D6A">
      <w:pPr>
        <w:autoSpaceDE w:val="0"/>
        <w:autoSpaceDN w:val="0"/>
        <w:spacing w:before="120" w:after="120" w:line="240" w:lineRule="auto"/>
        <w:ind w:right="-6"/>
        <w:jc w:val="center"/>
        <w:rPr>
          <w:rFonts w:ascii="Tahoma" w:eastAsia="Arial Unicode MS" w:hAnsi="Tahoma" w:cs="Tahoma"/>
          <w:b/>
          <w:sz w:val="20"/>
          <w:szCs w:val="20"/>
        </w:rPr>
      </w:pPr>
    </w:p>
    <w:p w14:paraId="3F9DE0D9" w14:textId="2B7CCA95" w:rsidR="00050D92" w:rsidRPr="00231D6A" w:rsidRDefault="00050D92" w:rsidP="00231D6A">
      <w:pPr>
        <w:tabs>
          <w:tab w:val="left" w:pos="9000"/>
        </w:tabs>
        <w:autoSpaceDE w:val="0"/>
        <w:autoSpaceDN w:val="0"/>
        <w:spacing w:before="120" w:after="120" w:line="240" w:lineRule="auto"/>
        <w:ind w:right="57"/>
        <w:jc w:val="both"/>
        <w:rPr>
          <w:rFonts w:ascii="Tahoma" w:eastAsia="Times New Roman" w:hAnsi="Tahoma" w:cs="Tahoma"/>
          <w:sz w:val="20"/>
          <w:szCs w:val="20"/>
        </w:rPr>
      </w:pPr>
      <w:r w:rsidRPr="00231D6A">
        <w:rPr>
          <w:rFonts w:ascii="Tahoma" w:hAnsi="Tahoma" w:cs="Tahoma"/>
          <w:sz w:val="20"/>
        </w:rPr>
        <w:t>This Specification sets out the standard terms and conditions of the cash-settled Russian Market Volatility Index Futures contract (the "Specification").</w:t>
      </w:r>
    </w:p>
    <w:p w14:paraId="26C7B9A7" w14:textId="6D747870" w:rsidR="00050D92" w:rsidRPr="00231D6A" w:rsidRDefault="00050D92" w:rsidP="00231D6A">
      <w:pPr>
        <w:tabs>
          <w:tab w:val="left" w:pos="9000"/>
        </w:tabs>
        <w:autoSpaceDE w:val="0"/>
        <w:autoSpaceDN w:val="0"/>
        <w:spacing w:before="120" w:after="120" w:line="240" w:lineRule="auto"/>
        <w:jc w:val="both"/>
        <w:rPr>
          <w:rFonts w:ascii="Tahoma" w:eastAsia="Times New Roman" w:hAnsi="Tahoma" w:cs="Tahoma"/>
          <w:sz w:val="20"/>
          <w:szCs w:val="20"/>
        </w:rPr>
      </w:pPr>
      <w:r w:rsidRPr="00231D6A">
        <w:rPr>
          <w:rFonts w:ascii="Tahoma" w:hAnsi="Tahoma" w:cs="Tahoma"/>
          <w:sz w:val="20"/>
        </w:rPr>
        <w:t>The Specification with the Clearing Rules for the Moscow Exchange Derivatives Market (the “Clearing Rules”), Trading Rules for the Moscow Exchange Derivatives Market (the “Trading Rules”) defines the obligations under the Russian Market Volatility Index Futures contract (the “Contract”) including how these obligations come into effect, are modified, or terminated.</w:t>
      </w:r>
    </w:p>
    <w:p w14:paraId="572A06D2" w14:textId="7C49BCD9" w:rsidR="00D80A1B" w:rsidRPr="00231D6A" w:rsidRDefault="003534E1" w:rsidP="00231D6A">
      <w:pPr>
        <w:tabs>
          <w:tab w:val="left" w:pos="9000"/>
        </w:tabs>
        <w:autoSpaceDE w:val="0"/>
        <w:autoSpaceDN w:val="0"/>
        <w:spacing w:before="120" w:after="120" w:line="240" w:lineRule="auto"/>
        <w:jc w:val="both"/>
        <w:rPr>
          <w:rFonts w:ascii="Tahoma" w:eastAsia="Times New Roman" w:hAnsi="Tahoma" w:cs="Tahoma"/>
          <w:sz w:val="20"/>
          <w:szCs w:val="20"/>
        </w:rPr>
      </w:pPr>
      <w:r w:rsidRPr="00231D6A">
        <w:rPr>
          <w:rFonts w:ascii="Tahoma" w:hAnsi="Tahoma" w:cs="Tahoma"/>
          <w:sz w:val="20"/>
        </w:rPr>
        <w:t xml:space="preserve">The underlying asset of the Contract is the MOEX Russian Market Volatility Index (the "RVI Index"), index code </w:t>
      </w:r>
      <w:r w:rsidR="00C8201B" w:rsidRPr="00231D6A">
        <w:rPr>
          <w:rFonts w:ascii="Tahoma" w:hAnsi="Tahoma" w:cs="Tahoma"/>
          <w:sz w:val="20"/>
        </w:rPr>
        <w:t>RVI, which</w:t>
      </w:r>
      <w:r w:rsidRPr="00231D6A">
        <w:rPr>
          <w:rFonts w:ascii="Tahoma" w:hAnsi="Tahoma" w:cs="Tahoma"/>
          <w:sz w:val="20"/>
        </w:rPr>
        <w:t xml:space="preserve"> is calculated by Moscow Exchange (the "Exchange") in accordance with the Moscow Exchange Russian Market Volatility Index Methodology published on the Exchange's website. The RVI Index is calculated by the Exchange using two series of options on the RTS Index Futures contract, namely nearest series options and next series options (the "Nearby Option Series" and the "Next Option Series", respectively), which fulfil the following conditions:</w:t>
      </w:r>
    </w:p>
    <w:p w14:paraId="02548740" w14:textId="6F6B07BB" w:rsidR="00D80A1B" w:rsidRPr="00231D6A" w:rsidRDefault="00D80A1B" w:rsidP="00231D6A">
      <w:pPr>
        <w:tabs>
          <w:tab w:val="left" w:pos="9000"/>
        </w:tabs>
        <w:autoSpaceDE w:val="0"/>
        <w:autoSpaceDN w:val="0"/>
        <w:spacing w:before="120" w:after="120" w:line="240" w:lineRule="auto"/>
        <w:jc w:val="both"/>
        <w:rPr>
          <w:rFonts w:ascii="Tahoma" w:eastAsia="Times New Roman" w:hAnsi="Tahoma" w:cs="Tahoma"/>
          <w:sz w:val="20"/>
          <w:szCs w:val="20"/>
        </w:rPr>
      </w:pPr>
      <w:r w:rsidRPr="00231D6A">
        <w:rPr>
          <w:rFonts w:ascii="Tahoma" w:hAnsi="Tahoma" w:cs="Tahoma"/>
          <w:sz w:val="20"/>
        </w:rPr>
        <w:t>The Nearby Option Series and the Next Option Series are in a quarterly or monthly series, but not in a weekly series;</w:t>
      </w:r>
    </w:p>
    <w:p w14:paraId="7FD5575F" w14:textId="7F0D5AE7" w:rsidR="00050D92" w:rsidRPr="00231D6A" w:rsidRDefault="00050D92" w:rsidP="00231D6A">
      <w:pPr>
        <w:tabs>
          <w:tab w:val="left" w:pos="9000"/>
        </w:tabs>
        <w:autoSpaceDE w:val="0"/>
        <w:autoSpaceDN w:val="0"/>
        <w:spacing w:before="120" w:after="120" w:line="240" w:lineRule="auto"/>
        <w:jc w:val="both"/>
        <w:rPr>
          <w:rFonts w:ascii="Tahoma" w:eastAsia="Times New Roman" w:hAnsi="Tahoma" w:cs="Tahoma"/>
          <w:sz w:val="20"/>
          <w:szCs w:val="20"/>
        </w:rPr>
      </w:pPr>
      <w:r w:rsidRPr="00231D6A">
        <w:rPr>
          <w:rFonts w:ascii="Tahoma" w:hAnsi="Tahoma" w:cs="Tahoma"/>
          <w:sz w:val="20"/>
        </w:rPr>
        <w:t>The time to the expiry date (hereinafter referred to as the "Expiration Date") of the Nearby Option Series and the Next Option Series is not less than 7 (seven) days.</w:t>
      </w:r>
    </w:p>
    <w:p w14:paraId="3685CF66" w14:textId="77777777" w:rsidR="00050D92" w:rsidRPr="00231D6A" w:rsidRDefault="00050D92" w:rsidP="00231D6A">
      <w:pPr>
        <w:tabs>
          <w:tab w:val="left" w:pos="0"/>
        </w:tabs>
        <w:autoSpaceDE w:val="0"/>
        <w:autoSpaceDN w:val="0"/>
        <w:spacing w:before="120" w:after="120" w:line="240" w:lineRule="auto"/>
        <w:jc w:val="both"/>
        <w:rPr>
          <w:rFonts w:ascii="Tahoma" w:eastAsia="Times New Roman" w:hAnsi="Tahoma" w:cs="Tahoma"/>
          <w:sz w:val="20"/>
          <w:szCs w:val="20"/>
        </w:rPr>
      </w:pPr>
      <w:r w:rsidRPr="00231D6A">
        <w:rPr>
          <w:rFonts w:ascii="Tahoma" w:hAnsi="Tahoma" w:cs="Tahoma"/>
          <w:sz w:val="20"/>
        </w:rPr>
        <w:t>Terms and definitions not expressly defined in the Specification shall be understood in accordance with the laws of the Russian Federation, the Trading Rules and the Clearing Rules.</w:t>
      </w:r>
    </w:p>
    <w:p w14:paraId="46725E96" w14:textId="77777777" w:rsidR="00050D92" w:rsidRPr="00231D6A" w:rsidRDefault="00050D92" w:rsidP="00231D6A">
      <w:pPr>
        <w:pStyle w:val="a"/>
        <w:ind w:firstLine="0"/>
        <w:rPr>
          <w:rFonts w:ascii="Tahoma" w:hAnsi="Tahoma" w:cs="Tahoma"/>
        </w:rPr>
      </w:pPr>
      <w:r w:rsidRPr="00231D6A">
        <w:rPr>
          <w:rFonts w:ascii="Tahoma" w:hAnsi="Tahoma" w:cs="Tahoma"/>
        </w:rPr>
        <w:t>Entering into the Contract</w:t>
      </w:r>
    </w:p>
    <w:p w14:paraId="2CA374DD" w14:textId="77777777" w:rsidR="00050D92" w:rsidRPr="00231D6A" w:rsidRDefault="00050D92" w:rsidP="00231D6A">
      <w:pPr>
        <w:pStyle w:val="a0"/>
        <w:tabs>
          <w:tab w:val="clear" w:pos="1287"/>
        </w:tabs>
        <w:spacing w:before="120" w:after="120"/>
        <w:ind w:left="1276"/>
        <w:rPr>
          <w:rFonts w:ascii="Tahoma" w:hAnsi="Tahoma" w:cs="Tahoma"/>
        </w:rPr>
      </w:pPr>
      <w:bookmarkStart w:id="1" w:name="_Ref231897687"/>
      <w:r w:rsidRPr="00231D6A">
        <w:rPr>
          <w:rFonts w:ascii="Tahoma" w:hAnsi="Tahoma" w:cs="Tahoma"/>
        </w:rPr>
        <w:t>The introduction of the Contract for trading on the Exchange shall be determined by a resolution of the Exchange, which shall specify the details:</w:t>
      </w:r>
      <w:bookmarkEnd w:id="1"/>
    </w:p>
    <w:p w14:paraId="15C709FF" w14:textId="77777777" w:rsidR="00050D92" w:rsidRPr="00231D6A" w:rsidRDefault="00050D92" w:rsidP="00231D6A">
      <w:pPr>
        <w:pStyle w:val="Pointmark"/>
        <w:numPr>
          <w:ilvl w:val="0"/>
          <w:numId w:val="7"/>
        </w:numPr>
        <w:spacing w:before="120" w:after="120"/>
        <w:ind w:firstLine="0"/>
        <w:rPr>
          <w:rFonts w:ascii="Tahoma" w:hAnsi="Tahoma" w:cs="Tahoma"/>
        </w:rPr>
      </w:pPr>
      <w:r w:rsidRPr="00231D6A">
        <w:rPr>
          <w:rFonts w:ascii="Tahoma" w:hAnsi="Tahoma" w:cs="Tahoma"/>
        </w:rPr>
        <w:t>Contract code (designation);</w:t>
      </w:r>
    </w:p>
    <w:p w14:paraId="0FD72899" w14:textId="77777777" w:rsidR="00D80208" w:rsidRPr="00231D6A" w:rsidRDefault="00050D92" w:rsidP="00231D6A">
      <w:pPr>
        <w:pStyle w:val="Pointmark"/>
        <w:numPr>
          <w:ilvl w:val="0"/>
          <w:numId w:val="7"/>
        </w:numPr>
        <w:spacing w:before="120" w:after="120"/>
        <w:ind w:firstLine="0"/>
        <w:rPr>
          <w:rFonts w:ascii="Tahoma" w:hAnsi="Tahoma" w:cs="Tahoma"/>
        </w:rPr>
      </w:pPr>
      <w:r w:rsidRPr="00231D6A">
        <w:rPr>
          <w:rFonts w:ascii="Tahoma" w:hAnsi="Tahoma" w:cs="Tahoma"/>
        </w:rPr>
        <w:t>The first trading day during which the Contract may trade (hereinafter referred to as the "First Trading Day");</w:t>
      </w:r>
    </w:p>
    <w:p w14:paraId="4C3D2875" w14:textId="42604644" w:rsidR="00050D92" w:rsidRPr="00231D6A" w:rsidRDefault="00050D92" w:rsidP="00231D6A">
      <w:pPr>
        <w:pStyle w:val="Pointmark"/>
        <w:numPr>
          <w:ilvl w:val="0"/>
          <w:numId w:val="7"/>
        </w:numPr>
        <w:spacing w:before="120" w:after="120"/>
        <w:ind w:firstLine="0"/>
        <w:rPr>
          <w:rFonts w:ascii="Tahoma" w:hAnsi="Tahoma" w:cs="Tahoma"/>
        </w:rPr>
      </w:pPr>
      <w:r w:rsidRPr="00231D6A">
        <w:rPr>
          <w:rFonts w:ascii="Tahoma" w:hAnsi="Tahoma" w:cs="Tahoma"/>
        </w:rPr>
        <w:t>The time from which the Contract may be executed (hereinafter referred to as the "Start of Trading").</w:t>
      </w:r>
    </w:p>
    <w:p w14:paraId="0C6D3F46" w14:textId="77777777" w:rsidR="00050D92" w:rsidRPr="00231D6A" w:rsidRDefault="00050D92" w:rsidP="00231D6A">
      <w:pPr>
        <w:pStyle w:val="a0"/>
        <w:tabs>
          <w:tab w:val="clear" w:pos="1287"/>
        </w:tabs>
        <w:spacing w:before="120" w:after="120"/>
        <w:ind w:left="1276"/>
        <w:rPr>
          <w:rFonts w:ascii="Tahoma" w:hAnsi="Tahoma" w:cs="Tahoma"/>
        </w:rPr>
      </w:pPr>
      <w:r w:rsidRPr="00231D6A">
        <w:rPr>
          <w:rFonts w:ascii="Tahoma" w:hAnsi="Tahoma" w:cs="Tahoma"/>
        </w:rPr>
        <w:t>The Contract code (designation) is formed as follows:</w:t>
      </w:r>
    </w:p>
    <w:p w14:paraId="562121FE" w14:textId="77777777" w:rsidR="00050D92" w:rsidRPr="00231D6A" w:rsidRDefault="00050D92" w:rsidP="00231D6A">
      <w:pPr>
        <w:pStyle w:val="a0"/>
        <w:numPr>
          <w:ilvl w:val="0"/>
          <w:numId w:val="0"/>
        </w:numPr>
        <w:spacing w:before="120" w:after="120"/>
        <w:ind w:left="1276"/>
        <w:rPr>
          <w:rFonts w:ascii="Tahoma" w:hAnsi="Tahoma" w:cs="Tahoma"/>
        </w:rPr>
      </w:pPr>
      <w:r w:rsidRPr="00231D6A">
        <w:rPr>
          <w:rFonts w:ascii="Tahoma" w:hAnsi="Tahoma" w:cs="Tahoma"/>
        </w:rPr>
        <w:t>RVI-&lt;settlement month</w:t>
      </w:r>
      <w:proofErr w:type="gramStart"/>
      <w:r w:rsidRPr="00231D6A">
        <w:rPr>
          <w:rFonts w:ascii="Tahoma" w:hAnsi="Tahoma" w:cs="Tahoma"/>
        </w:rPr>
        <w:t>&gt;.&lt;</w:t>
      </w:r>
      <w:proofErr w:type="gramEnd"/>
      <w:r w:rsidRPr="00231D6A">
        <w:rPr>
          <w:rFonts w:ascii="Tahoma" w:hAnsi="Tahoma" w:cs="Tahoma"/>
        </w:rPr>
        <w:t>settlement year&gt;.</w:t>
      </w:r>
    </w:p>
    <w:p w14:paraId="5021E4A4" w14:textId="77777777" w:rsidR="00050D92" w:rsidRPr="00231D6A" w:rsidRDefault="00050D92" w:rsidP="00231D6A">
      <w:pPr>
        <w:pStyle w:val="a0"/>
        <w:numPr>
          <w:ilvl w:val="0"/>
          <w:numId w:val="0"/>
        </w:numPr>
        <w:spacing w:before="120" w:after="120"/>
        <w:ind w:left="1276"/>
        <w:rPr>
          <w:rFonts w:ascii="Tahoma" w:hAnsi="Tahoma" w:cs="Tahoma"/>
        </w:rPr>
      </w:pPr>
      <w:r w:rsidRPr="00231D6A">
        <w:rPr>
          <w:rFonts w:ascii="Tahoma" w:hAnsi="Tahoma" w:cs="Tahoma"/>
        </w:rPr>
        <w:t>The expiration settlement month and expiration settlement year (hereinafter the "Expiration Settlement Month" and the "Expiration Settlement Year") specified in the Contract’s code (designation) shall be indicated in Arabic numerals and shall be used to determine the Last Trading Day on which the Contract may be executed and its expiration settlement day.</w:t>
      </w:r>
    </w:p>
    <w:p w14:paraId="3F4D397A" w14:textId="77777777" w:rsidR="00050D92" w:rsidRPr="00231D6A" w:rsidRDefault="00050D92" w:rsidP="00231D6A">
      <w:pPr>
        <w:pStyle w:val="a0"/>
        <w:tabs>
          <w:tab w:val="clear" w:pos="1287"/>
        </w:tabs>
        <w:spacing w:before="120" w:after="120"/>
        <w:ind w:left="1276"/>
        <w:rPr>
          <w:rFonts w:ascii="Tahoma" w:hAnsi="Tahoma" w:cs="Tahoma"/>
        </w:rPr>
      </w:pPr>
      <w:r w:rsidRPr="00231D6A">
        <w:rPr>
          <w:rFonts w:ascii="Tahoma" w:hAnsi="Tahoma" w:cs="Tahoma"/>
        </w:rPr>
        <w:t>Contract price.</w:t>
      </w:r>
    </w:p>
    <w:p w14:paraId="10A2C541" w14:textId="1641C613" w:rsidR="00050D92" w:rsidRPr="00231D6A" w:rsidRDefault="00050D92" w:rsidP="00231D6A">
      <w:pPr>
        <w:pStyle w:val="1"/>
        <w:tabs>
          <w:tab w:val="num" w:pos="1418"/>
        </w:tabs>
        <w:spacing w:before="120" w:after="120"/>
        <w:ind w:left="1418" w:firstLine="0"/>
        <w:rPr>
          <w:rFonts w:ascii="Tahoma" w:hAnsi="Tahoma" w:cs="Tahoma"/>
        </w:rPr>
      </w:pPr>
      <w:r w:rsidRPr="00231D6A">
        <w:rPr>
          <w:rFonts w:ascii="Tahoma" w:hAnsi="Tahoma" w:cs="Tahoma"/>
        </w:rPr>
        <w:t>When orders are submitted and contracts are executed, the Contract price shall be quoted in points as the RVI Index.</w:t>
      </w:r>
    </w:p>
    <w:p w14:paraId="4F76107A" w14:textId="77777777" w:rsidR="00050D92" w:rsidRPr="00231D6A" w:rsidRDefault="00050D92" w:rsidP="00231D6A">
      <w:pPr>
        <w:pStyle w:val="1"/>
        <w:tabs>
          <w:tab w:val="num" w:pos="1418"/>
        </w:tabs>
        <w:spacing w:before="120" w:after="120"/>
        <w:ind w:left="1418" w:firstLine="0"/>
        <w:rPr>
          <w:rFonts w:ascii="Tahoma" w:hAnsi="Tahoma" w:cs="Tahoma"/>
        </w:rPr>
      </w:pPr>
      <w:r w:rsidRPr="00231D6A">
        <w:rPr>
          <w:rFonts w:ascii="Tahoma" w:hAnsi="Tahoma" w:cs="Tahoma"/>
        </w:rPr>
        <w:lastRenderedPageBreak/>
        <w:t xml:space="preserve">The minimum price movement (the “Tick”) for the Contract is 0.05 (five hundredths) of a point. </w:t>
      </w:r>
    </w:p>
    <w:p w14:paraId="7F62E531" w14:textId="5C677123" w:rsidR="00050D92" w:rsidRPr="00231D6A" w:rsidRDefault="00050D92" w:rsidP="00231D6A">
      <w:pPr>
        <w:pStyle w:val="1"/>
        <w:tabs>
          <w:tab w:val="num" w:pos="1418"/>
        </w:tabs>
        <w:spacing w:before="120" w:after="120"/>
        <w:ind w:left="1418" w:firstLine="0"/>
        <w:rPr>
          <w:rFonts w:ascii="Tahoma" w:hAnsi="Tahoma" w:cs="Tahoma"/>
          <w:strike/>
        </w:rPr>
      </w:pPr>
      <w:r w:rsidRPr="00231D6A">
        <w:rPr>
          <w:rFonts w:ascii="Tahoma" w:hAnsi="Tahoma" w:cs="Tahoma"/>
        </w:rPr>
        <w:t>The Tick value is calculated in Russian roubles and is equal to USD 0.10 at the US Dollar to Russian Rouble exchange rate determined in accordance with the Indicative Exchange Rates Methodology approved by the Exchange and published on its website (the "US Dollar FX Rate").</w:t>
      </w:r>
    </w:p>
    <w:p w14:paraId="6987AB31" w14:textId="032C3727" w:rsidR="00050D92" w:rsidRPr="00231D6A" w:rsidRDefault="00056CA8" w:rsidP="00231D6A">
      <w:pPr>
        <w:pStyle w:val="a0"/>
        <w:tabs>
          <w:tab w:val="clear" w:pos="1287"/>
        </w:tabs>
        <w:spacing w:before="120" w:after="120"/>
        <w:ind w:left="1276"/>
        <w:rPr>
          <w:rFonts w:ascii="Tahoma" w:hAnsi="Tahoma" w:cs="Tahoma"/>
        </w:rPr>
      </w:pPr>
      <w:bookmarkStart w:id="2" w:name="_Ref249525019"/>
      <w:bookmarkStart w:id="3" w:name="_Ref231714566"/>
      <w:r w:rsidRPr="00231D6A">
        <w:rPr>
          <w:rFonts w:ascii="Tahoma" w:hAnsi="Tahoma" w:cs="Tahoma"/>
        </w:rPr>
        <w:t>The Last Trading Day for the Contract is the last day for the execution of the Nearby Series Option exercisable in the Expiration Settlement Month and Expiration Settlement Year of the Contract.</w:t>
      </w:r>
      <w:bookmarkEnd w:id="2"/>
      <w:bookmarkEnd w:id="3"/>
    </w:p>
    <w:p w14:paraId="14BF603A" w14:textId="77777777" w:rsidR="00056CA8" w:rsidRPr="00231D6A" w:rsidRDefault="00056CA8" w:rsidP="00231D6A">
      <w:pPr>
        <w:pStyle w:val="a0"/>
        <w:numPr>
          <w:ilvl w:val="0"/>
          <w:numId w:val="0"/>
        </w:numPr>
        <w:spacing w:before="120" w:after="120"/>
        <w:ind w:left="1276"/>
        <w:rPr>
          <w:rFonts w:ascii="Tahoma" w:hAnsi="Tahoma" w:cs="Tahoma"/>
        </w:rPr>
      </w:pPr>
      <w:r w:rsidRPr="00231D6A">
        <w:rPr>
          <w:rFonts w:ascii="Tahoma" w:hAnsi="Tahoma" w:cs="Tahoma"/>
        </w:rPr>
        <w:t>The Exchange shall be entitled, in agreement with the Clearing Centre, to set a different date for the Last Trading Day for the Contract than the date determined in accordance with this clause.</w:t>
      </w:r>
    </w:p>
    <w:p w14:paraId="66509579" w14:textId="46815621" w:rsidR="00E36FFE" w:rsidRPr="00231D6A" w:rsidRDefault="00E36FFE" w:rsidP="00231D6A">
      <w:pPr>
        <w:pStyle w:val="a0"/>
        <w:tabs>
          <w:tab w:val="clear" w:pos="1287"/>
        </w:tabs>
        <w:spacing w:before="120" w:after="120"/>
        <w:ind w:left="1276"/>
        <w:rPr>
          <w:rFonts w:ascii="Tahoma" w:hAnsi="Tahoma" w:cs="Tahoma"/>
        </w:rPr>
      </w:pPr>
      <w:r w:rsidRPr="00231D6A">
        <w:rPr>
          <w:rFonts w:ascii="Tahoma" w:hAnsi="Tahoma" w:cs="Tahoma"/>
        </w:rPr>
        <w:t xml:space="preserve">The </w:t>
      </w:r>
      <w:r w:rsidR="00C8201B" w:rsidRPr="00231D6A">
        <w:rPr>
          <w:rFonts w:ascii="Tahoma" w:hAnsi="Tahoma" w:cs="Tahoma"/>
          <w:lang w:val="en-US"/>
        </w:rPr>
        <w:t xml:space="preserve">Expiration </w:t>
      </w:r>
      <w:r w:rsidRPr="00231D6A">
        <w:rPr>
          <w:rFonts w:ascii="Tahoma" w:hAnsi="Tahoma" w:cs="Tahoma"/>
        </w:rPr>
        <w:t>Settlement Day for the Contract is its Last Trading Day, except to the extent mentioned in Clauses 6.1 and 6.2 below.</w:t>
      </w:r>
    </w:p>
    <w:p w14:paraId="7C0AD368" w14:textId="5C44E078" w:rsidR="0082574B" w:rsidRPr="00231D6A" w:rsidRDefault="0082574B" w:rsidP="00231D6A">
      <w:pPr>
        <w:pStyle w:val="a0"/>
        <w:tabs>
          <w:tab w:val="clear" w:pos="1287"/>
        </w:tabs>
        <w:spacing w:before="120" w:after="120"/>
        <w:ind w:left="1276"/>
        <w:rPr>
          <w:rFonts w:ascii="Tahoma" w:hAnsi="Tahoma" w:cs="Tahoma"/>
        </w:rPr>
      </w:pPr>
      <w:r w:rsidRPr="00231D6A">
        <w:rPr>
          <w:rFonts w:ascii="Tahoma" w:hAnsi="Tahoma" w:cs="Tahoma"/>
        </w:rPr>
        <w:t>The list of dates representing the Last Trading and Settlement Days for the Contracts, shall be published on the Exchange</w:t>
      </w:r>
      <w:r w:rsidR="00C8201B" w:rsidRPr="00231D6A">
        <w:rPr>
          <w:rFonts w:ascii="Tahoma" w:hAnsi="Tahoma" w:cs="Tahoma"/>
        </w:rPr>
        <w:t>’s</w:t>
      </w:r>
      <w:r w:rsidRPr="00231D6A">
        <w:rPr>
          <w:rFonts w:ascii="Tahoma" w:hAnsi="Tahoma" w:cs="Tahoma"/>
        </w:rPr>
        <w:t xml:space="preserve"> website.</w:t>
      </w:r>
    </w:p>
    <w:p w14:paraId="5625FAE5" w14:textId="77777777" w:rsidR="00050D92" w:rsidRPr="00231D6A" w:rsidRDefault="00050D92" w:rsidP="00231D6A">
      <w:pPr>
        <w:pStyle w:val="a"/>
        <w:ind w:firstLine="0"/>
        <w:rPr>
          <w:rFonts w:ascii="Tahoma" w:hAnsi="Tahoma" w:cs="Tahoma"/>
        </w:rPr>
      </w:pPr>
      <w:r w:rsidRPr="00231D6A">
        <w:rPr>
          <w:rFonts w:ascii="Tahoma" w:hAnsi="Tahoma" w:cs="Tahoma"/>
        </w:rPr>
        <w:t>Obligations under the Contract</w:t>
      </w:r>
    </w:p>
    <w:p w14:paraId="0A1718FB" w14:textId="77777777" w:rsidR="008806CC" w:rsidRPr="00231D6A" w:rsidRDefault="008806CC" w:rsidP="00231D6A">
      <w:pPr>
        <w:pStyle w:val="a0"/>
        <w:tabs>
          <w:tab w:val="clear" w:pos="1287"/>
        </w:tabs>
        <w:spacing w:before="120" w:after="120"/>
        <w:ind w:left="1276"/>
        <w:rPr>
          <w:rFonts w:ascii="Tahoma" w:hAnsi="Tahoma" w:cs="Tahoma"/>
        </w:rPr>
      </w:pPr>
      <w:r w:rsidRPr="00231D6A">
        <w:rPr>
          <w:rFonts w:ascii="Tahoma" w:hAnsi="Tahoma" w:cs="Tahoma"/>
        </w:rPr>
        <w:t>Variation margin obligation.</w:t>
      </w:r>
    </w:p>
    <w:p w14:paraId="33261D57" w14:textId="0CA58E76" w:rsidR="00050D92" w:rsidRPr="00231D6A" w:rsidRDefault="008806CC" w:rsidP="00231D6A">
      <w:pPr>
        <w:pStyle w:val="1"/>
        <w:tabs>
          <w:tab w:val="clear" w:pos="1275"/>
        </w:tabs>
        <w:spacing w:before="120" w:after="120"/>
        <w:ind w:left="1985" w:hanging="708"/>
        <w:rPr>
          <w:rFonts w:ascii="Tahoma" w:hAnsi="Tahoma" w:cs="Tahoma"/>
        </w:rPr>
      </w:pPr>
      <w:r w:rsidRPr="00231D6A">
        <w:rPr>
          <w:rFonts w:ascii="Tahoma" w:hAnsi="Tahoma" w:cs="Tahoma"/>
        </w:rPr>
        <w:t>The Parties to the Contract must pay each other variation margin in the form of cash, in the</w:t>
      </w:r>
      <w:r w:rsidR="00C8201B" w:rsidRPr="00231D6A">
        <w:rPr>
          <w:rFonts w:ascii="Tahoma" w:hAnsi="Tahoma" w:cs="Tahoma"/>
        </w:rPr>
        <w:t xml:space="preserve"> </w:t>
      </w:r>
      <w:r w:rsidRPr="00231D6A">
        <w:rPr>
          <w:rFonts w:ascii="Tahoma" w:hAnsi="Tahoma" w:cs="Tahoma"/>
        </w:rPr>
        <w:t>amount depending on the changes in the value of the Contract’s underlying.</w:t>
      </w:r>
    </w:p>
    <w:p w14:paraId="5840695F" w14:textId="4656F712" w:rsidR="008806CC" w:rsidRPr="00231D6A" w:rsidRDefault="008806CC" w:rsidP="00231D6A">
      <w:pPr>
        <w:pStyle w:val="1"/>
        <w:tabs>
          <w:tab w:val="clear" w:pos="1275"/>
        </w:tabs>
        <w:spacing w:before="120" w:after="120"/>
        <w:ind w:left="1985" w:hanging="708"/>
        <w:rPr>
          <w:rFonts w:ascii="Tahoma" w:hAnsi="Tahoma" w:cs="Tahoma"/>
        </w:rPr>
      </w:pPr>
      <w:r w:rsidRPr="00231D6A">
        <w:rPr>
          <w:rFonts w:ascii="Tahoma" w:hAnsi="Tahoma" w:cs="Tahoma"/>
        </w:rPr>
        <w:t xml:space="preserve">Variation margin will be calculated and must be paid during the life of the Contract. </w:t>
      </w:r>
    </w:p>
    <w:p w14:paraId="3A174864" w14:textId="11513BD8" w:rsidR="00050D92" w:rsidRPr="00231D6A" w:rsidRDefault="008806CC" w:rsidP="00231D6A">
      <w:pPr>
        <w:pStyle w:val="1"/>
        <w:tabs>
          <w:tab w:val="clear" w:pos="1275"/>
        </w:tabs>
        <w:spacing w:before="120" w:after="120"/>
        <w:ind w:left="1985" w:hanging="708"/>
        <w:rPr>
          <w:rFonts w:ascii="Tahoma" w:hAnsi="Tahoma" w:cs="Tahoma"/>
        </w:rPr>
      </w:pPr>
      <w:bookmarkStart w:id="4" w:name="_Ref156961941"/>
      <w:r w:rsidRPr="00231D6A">
        <w:rPr>
          <w:rFonts w:ascii="Tahoma" w:hAnsi="Tahoma" w:cs="Tahoma"/>
        </w:rPr>
        <w:t>Variation margin is calculated according to the following formulas:</w:t>
      </w:r>
      <w:bookmarkEnd w:id="4"/>
    </w:p>
    <w:p w14:paraId="2A40E6DE" w14:textId="77777777" w:rsidR="00050D92" w:rsidRPr="00231D6A" w:rsidRDefault="00050D92" w:rsidP="00231D6A">
      <w:pPr>
        <w:pStyle w:val="1"/>
        <w:numPr>
          <w:ilvl w:val="3"/>
          <w:numId w:val="1"/>
        </w:numPr>
        <w:tabs>
          <w:tab w:val="clear" w:pos="3240"/>
        </w:tabs>
        <w:spacing w:before="120" w:after="120"/>
        <w:ind w:left="1985" w:firstLine="0"/>
        <w:rPr>
          <w:rFonts w:ascii="Tahoma" w:hAnsi="Tahoma" w:cs="Tahoma"/>
        </w:rPr>
      </w:pPr>
      <w:r w:rsidRPr="00231D6A">
        <w:rPr>
          <w:rFonts w:ascii="Tahoma" w:hAnsi="Tahoma" w:cs="Tahoma"/>
        </w:rPr>
        <w:t xml:space="preserve"> During the intraday clearing session:</w:t>
      </w:r>
    </w:p>
    <w:p w14:paraId="16E59184" w14:textId="77777777" w:rsidR="00050D92" w:rsidRPr="00231D6A" w:rsidRDefault="00050D92" w:rsidP="00231D6A">
      <w:pPr>
        <w:numPr>
          <w:ilvl w:val="0"/>
          <w:numId w:val="3"/>
        </w:numPr>
        <w:autoSpaceDE w:val="0"/>
        <w:autoSpaceDN w:val="0"/>
        <w:spacing w:before="120" w:after="120" w:line="240" w:lineRule="auto"/>
        <w:ind w:left="2410" w:firstLine="0"/>
        <w:jc w:val="both"/>
        <w:rPr>
          <w:rFonts w:ascii="Tahoma" w:eastAsia="Times New Roman" w:hAnsi="Tahoma" w:cs="Tahoma"/>
          <w:sz w:val="20"/>
          <w:szCs w:val="20"/>
        </w:rPr>
      </w:pPr>
      <w:r w:rsidRPr="00231D6A">
        <w:rPr>
          <w:rFonts w:ascii="Tahoma" w:hAnsi="Tahoma" w:cs="Tahoma"/>
          <w:sz w:val="20"/>
        </w:rPr>
        <w:t>If the variation margin under the Contract has not been previously calculated:</w:t>
      </w:r>
    </w:p>
    <w:p w14:paraId="000C37A5" w14:textId="77777777" w:rsidR="00050D92" w:rsidRPr="00231D6A" w:rsidRDefault="00050D92" w:rsidP="00231D6A">
      <w:pPr>
        <w:tabs>
          <w:tab w:val="left" w:pos="9000"/>
        </w:tabs>
        <w:autoSpaceDE w:val="0"/>
        <w:autoSpaceDN w:val="0"/>
        <w:spacing w:before="120" w:after="120" w:line="240" w:lineRule="auto"/>
        <w:ind w:left="2410" w:right="-569"/>
        <w:jc w:val="both"/>
        <w:rPr>
          <w:rFonts w:ascii="Tahoma" w:eastAsia="Times New Roman" w:hAnsi="Tahoma" w:cs="Tahoma"/>
          <w:b/>
          <w:sz w:val="20"/>
          <w:szCs w:val="20"/>
        </w:rPr>
      </w:pPr>
      <w:r w:rsidRPr="00231D6A">
        <w:rPr>
          <w:rFonts w:ascii="Tahoma" w:hAnsi="Tahoma" w:cs="Tahoma"/>
          <w:b/>
          <w:sz w:val="20"/>
        </w:rPr>
        <w:t>VM</w:t>
      </w:r>
      <w:r w:rsidRPr="00231D6A">
        <w:rPr>
          <w:rFonts w:ascii="Tahoma" w:hAnsi="Tahoma" w:cs="Tahoma"/>
          <w:b/>
          <w:sz w:val="20"/>
          <w:vertAlign w:val="subscript"/>
        </w:rPr>
        <w:t>1</w:t>
      </w:r>
      <w:r w:rsidRPr="00231D6A">
        <w:rPr>
          <w:rFonts w:ascii="Tahoma" w:hAnsi="Tahoma" w:cs="Tahoma"/>
          <w:b/>
          <w:sz w:val="20"/>
        </w:rPr>
        <w:t xml:space="preserve"> = Round (SP</w:t>
      </w:r>
      <w:r w:rsidRPr="00231D6A">
        <w:rPr>
          <w:rFonts w:ascii="Tahoma" w:hAnsi="Tahoma" w:cs="Tahoma"/>
          <w:b/>
          <w:sz w:val="20"/>
          <w:vertAlign w:val="subscript"/>
        </w:rPr>
        <w:t>1</w:t>
      </w:r>
      <w:r w:rsidRPr="00231D6A">
        <w:rPr>
          <w:rFonts w:ascii="Tahoma" w:hAnsi="Tahoma" w:cs="Tahoma"/>
          <w:b/>
          <w:sz w:val="20"/>
        </w:rPr>
        <w:t>*</w:t>
      </w:r>
      <w:proofErr w:type="gramStart"/>
      <w:r w:rsidRPr="00231D6A">
        <w:rPr>
          <w:rFonts w:ascii="Tahoma" w:hAnsi="Tahoma" w:cs="Tahoma"/>
          <w:b/>
          <w:sz w:val="20"/>
        </w:rPr>
        <w:t>Round(</w:t>
      </w:r>
      <w:proofErr w:type="gramEnd"/>
      <w:r w:rsidRPr="00231D6A">
        <w:rPr>
          <w:rFonts w:ascii="Tahoma" w:hAnsi="Tahoma" w:cs="Tahoma"/>
          <w:b/>
          <w:sz w:val="20"/>
        </w:rPr>
        <w:t>W</w:t>
      </w:r>
      <w:r w:rsidRPr="00231D6A">
        <w:rPr>
          <w:rFonts w:ascii="Tahoma" w:hAnsi="Tahoma" w:cs="Tahoma"/>
          <w:b/>
          <w:sz w:val="20"/>
          <w:vertAlign w:val="subscript"/>
        </w:rPr>
        <w:t>1</w:t>
      </w:r>
      <w:r w:rsidRPr="00231D6A">
        <w:rPr>
          <w:rFonts w:ascii="Tahoma" w:hAnsi="Tahoma" w:cs="Tahoma"/>
          <w:b/>
          <w:sz w:val="20"/>
        </w:rPr>
        <w:t>/R; 5); 2) – Round (P</w:t>
      </w:r>
      <w:r w:rsidRPr="00231D6A">
        <w:rPr>
          <w:rFonts w:ascii="Tahoma" w:hAnsi="Tahoma" w:cs="Tahoma"/>
          <w:b/>
          <w:sz w:val="20"/>
          <w:vertAlign w:val="subscript"/>
        </w:rPr>
        <w:t>0</w:t>
      </w:r>
      <w:r w:rsidRPr="00231D6A">
        <w:rPr>
          <w:rFonts w:ascii="Tahoma" w:hAnsi="Tahoma" w:cs="Tahoma"/>
          <w:b/>
          <w:sz w:val="20"/>
        </w:rPr>
        <w:t>*Round (W</w:t>
      </w:r>
      <w:r w:rsidRPr="00231D6A">
        <w:rPr>
          <w:rFonts w:ascii="Tahoma" w:hAnsi="Tahoma" w:cs="Tahoma"/>
          <w:b/>
          <w:sz w:val="20"/>
          <w:vertAlign w:val="subscript"/>
        </w:rPr>
        <w:t>1</w:t>
      </w:r>
      <w:r w:rsidRPr="00231D6A">
        <w:rPr>
          <w:rFonts w:ascii="Tahoma" w:hAnsi="Tahoma" w:cs="Tahoma"/>
          <w:b/>
          <w:sz w:val="20"/>
        </w:rPr>
        <w:t xml:space="preserve">/R; 5); 2)          </w:t>
      </w:r>
    </w:p>
    <w:p w14:paraId="6FBF5B61"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where:</w:t>
      </w:r>
    </w:p>
    <w:p w14:paraId="1B21790D"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VМ</w:t>
      </w:r>
      <w:r w:rsidRPr="00231D6A">
        <w:rPr>
          <w:rFonts w:ascii="Tahoma" w:hAnsi="Tahoma" w:cs="Tahoma"/>
          <w:sz w:val="20"/>
          <w:vertAlign w:val="subscript"/>
        </w:rPr>
        <w:t>1</w:t>
      </w:r>
      <w:r w:rsidRPr="00231D6A">
        <w:rPr>
          <w:rFonts w:ascii="Tahoma" w:hAnsi="Tahoma" w:cs="Tahoma"/>
          <w:sz w:val="20"/>
        </w:rPr>
        <w:t xml:space="preserve"> – variation margin under the Contract calculated during the intraday clearing session of the current Trading Day;</w:t>
      </w:r>
    </w:p>
    <w:p w14:paraId="6E2D9CB2"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Round – mathematical rounding to the specified precision,</w:t>
      </w:r>
    </w:p>
    <w:p w14:paraId="66E1429C"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P</w:t>
      </w:r>
      <w:r w:rsidRPr="00231D6A">
        <w:rPr>
          <w:rFonts w:ascii="Tahoma" w:hAnsi="Tahoma" w:cs="Tahoma"/>
          <w:sz w:val="20"/>
          <w:vertAlign w:val="subscript"/>
        </w:rPr>
        <w:t>0</w:t>
      </w:r>
      <w:r w:rsidRPr="00231D6A">
        <w:rPr>
          <w:rFonts w:ascii="Tahoma" w:hAnsi="Tahoma" w:cs="Tahoma"/>
          <w:sz w:val="20"/>
        </w:rPr>
        <w:t xml:space="preserve"> – the execution price of the Contract,</w:t>
      </w:r>
    </w:p>
    <w:p w14:paraId="6AC554E1"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SP</w:t>
      </w:r>
      <w:r w:rsidRPr="00231D6A">
        <w:rPr>
          <w:rFonts w:ascii="Tahoma" w:hAnsi="Tahoma" w:cs="Tahoma"/>
          <w:sz w:val="20"/>
          <w:vertAlign w:val="subscript"/>
        </w:rPr>
        <w:t>1</w:t>
      </w:r>
      <w:r w:rsidRPr="00231D6A">
        <w:rPr>
          <w:rFonts w:ascii="Tahoma" w:hAnsi="Tahoma" w:cs="Tahoma"/>
          <w:sz w:val="20"/>
        </w:rPr>
        <w:t xml:space="preserve"> – the daily (last) Settlement Price of the Contract,</w:t>
      </w:r>
    </w:p>
    <w:p w14:paraId="2F561F65"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W</w:t>
      </w:r>
      <w:r w:rsidRPr="00231D6A">
        <w:rPr>
          <w:rFonts w:ascii="Tahoma" w:hAnsi="Tahoma" w:cs="Tahoma"/>
          <w:sz w:val="20"/>
          <w:vertAlign w:val="subscript"/>
        </w:rPr>
        <w:t>1</w:t>
      </w:r>
      <w:r w:rsidRPr="00231D6A">
        <w:rPr>
          <w:rFonts w:ascii="Tahoma" w:hAnsi="Tahoma" w:cs="Tahoma"/>
          <w:sz w:val="20"/>
        </w:rPr>
        <w:t xml:space="preserve"> – the Tick value,</w:t>
      </w:r>
    </w:p>
    <w:p w14:paraId="15FF2FA6" w14:textId="77777777" w:rsidR="00050D92" w:rsidRPr="00231D6A" w:rsidRDefault="00050D92" w:rsidP="00231D6A">
      <w:pPr>
        <w:autoSpaceDE w:val="0"/>
        <w:autoSpaceDN w:val="0"/>
        <w:spacing w:before="120" w:after="120" w:line="240" w:lineRule="auto"/>
        <w:ind w:left="2410"/>
        <w:jc w:val="both"/>
        <w:rPr>
          <w:rFonts w:ascii="Tahoma" w:eastAsia="Times New Roman" w:hAnsi="Tahoma" w:cs="Tahoma"/>
          <w:color w:val="000000"/>
          <w:sz w:val="20"/>
          <w:szCs w:val="20"/>
        </w:rPr>
      </w:pPr>
      <w:r w:rsidRPr="00231D6A">
        <w:rPr>
          <w:rFonts w:ascii="Tahoma" w:hAnsi="Tahoma" w:cs="Tahoma"/>
          <w:color w:val="000000"/>
          <w:sz w:val="20"/>
        </w:rPr>
        <w:t>R - the Tick.</w:t>
      </w:r>
    </w:p>
    <w:p w14:paraId="79D3B17E" w14:textId="77777777" w:rsidR="00050D92" w:rsidRPr="00231D6A" w:rsidRDefault="00050D92" w:rsidP="00231D6A">
      <w:pPr>
        <w:numPr>
          <w:ilvl w:val="0"/>
          <w:numId w:val="3"/>
        </w:numPr>
        <w:autoSpaceDE w:val="0"/>
        <w:autoSpaceDN w:val="0"/>
        <w:spacing w:before="120" w:after="120" w:line="240" w:lineRule="auto"/>
        <w:ind w:left="2410" w:firstLine="0"/>
        <w:jc w:val="both"/>
        <w:rPr>
          <w:rFonts w:ascii="Tahoma" w:eastAsia="Times New Roman" w:hAnsi="Tahoma" w:cs="Tahoma"/>
          <w:sz w:val="20"/>
          <w:szCs w:val="20"/>
        </w:rPr>
      </w:pPr>
      <w:r w:rsidRPr="00231D6A">
        <w:rPr>
          <w:rFonts w:ascii="Tahoma" w:hAnsi="Tahoma" w:cs="Tahoma"/>
          <w:sz w:val="20"/>
        </w:rPr>
        <w:t>If the variation margin under the Contract has been previously calculated:</w:t>
      </w:r>
    </w:p>
    <w:p w14:paraId="494D25D6" w14:textId="77777777" w:rsidR="00050D92" w:rsidRPr="00231D6A" w:rsidRDefault="00050D92" w:rsidP="00231D6A">
      <w:pPr>
        <w:autoSpaceDE w:val="0"/>
        <w:autoSpaceDN w:val="0"/>
        <w:spacing w:before="120" w:after="120" w:line="240" w:lineRule="auto"/>
        <w:ind w:left="2410" w:right="-427"/>
        <w:jc w:val="both"/>
        <w:rPr>
          <w:rFonts w:ascii="Tahoma" w:eastAsia="Times New Roman" w:hAnsi="Tahoma" w:cs="Tahoma"/>
          <w:b/>
          <w:sz w:val="20"/>
          <w:szCs w:val="20"/>
        </w:rPr>
      </w:pPr>
      <w:r w:rsidRPr="00231D6A">
        <w:rPr>
          <w:rFonts w:ascii="Tahoma" w:hAnsi="Tahoma" w:cs="Tahoma"/>
          <w:b/>
          <w:sz w:val="20"/>
        </w:rPr>
        <w:t>VM</w:t>
      </w:r>
      <w:r w:rsidRPr="00231D6A">
        <w:rPr>
          <w:rFonts w:ascii="Tahoma" w:hAnsi="Tahoma" w:cs="Tahoma"/>
          <w:b/>
          <w:sz w:val="20"/>
          <w:vertAlign w:val="subscript"/>
        </w:rPr>
        <w:t>1</w:t>
      </w:r>
      <w:r w:rsidRPr="00231D6A">
        <w:rPr>
          <w:rFonts w:ascii="Tahoma" w:hAnsi="Tahoma" w:cs="Tahoma"/>
          <w:b/>
          <w:sz w:val="20"/>
        </w:rPr>
        <w:t xml:space="preserve"> = Round (SP</w:t>
      </w:r>
      <w:r w:rsidRPr="00231D6A">
        <w:rPr>
          <w:rFonts w:ascii="Tahoma" w:hAnsi="Tahoma" w:cs="Tahoma"/>
          <w:b/>
          <w:sz w:val="20"/>
          <w:vertAlign w:val="subscript"/>
        </w:rPr>
        <w:t>1</w:t>
      </w:r>
      <w:r w:rsidRPr="00231D6A">
        <w:rPr>
          <w:rFonts w:ascii="Tahoma" w:hAnsi="Tahoma" w:cs="Tahoma"/>
          <w:b/>
          <w:sz w:val="20"/>
        </w:rPr>
        <w:t>*</w:t>
      </w:r>
      <w:proofErr w:type="gramStart"/>
      <w:r w:rsidRPr="00231D6A">
        <w:rPr>
          <w:rFonts w:ascii="Tahoma" w:hAnsi="Tahoma" w:cs="Tahoma"/>
          <w:b/>
          <w:sz w:val="20"/>
        </w:rPr>
        <w:t>Round(</w:t>
      </w:r>
      <w:proofErr w:type="gramEnd"/>
      <w:r w:rsidRPr="00231D6A">
        <w:rPr>
          <w:rFonts w:ascii="Tahoma" w:hAnsi="Tahoma" w:cs="Tahoma"/>
          <w:b/>
          <w:sz w:val="20"/>
        </w:rPr>
        <w:t>W</w:t>
      </w:r>
      <w:r w:rsidRPr="00231D6A">
        <w:rPr>
          <w:rFonts w:ascii="Tahoma" w:hAnsi="Tahoma" w:cs="Tahoma"/>
          <w:b/>
          <w:sz w:val="20"/>
          <w:vertAlign w:val="subscript"/>
        </w:rPr>
        <w:t>1</w:t>
      </w:r>
      <w:r w:rsidRPr="00231D6A">
        <w:rPr>
          <w:rFonts w:ascii="Tahoma" w:hAnsi="Tahoma" w:cs="Tahoma"/>
          <w:b/>
          <w:sz w:val="20"/>
        </w:rPr>
        <w:t>/R; 5); 2) – Round (SP</w:t>
      </w:r>
      <w:r w:rsidRPr="00231D6A">
        <w:rPr>
          <w:rFonts w:ascii="Tahoma" w:hAnsi="Tahoma" w:cs="Tahoma"/>
          <w:b/>
          <w:sz w:val="20"/>
          <w:vertAlign w:val="subscript"/>
        </w:rPr>
        <w:t>П</w:t>
      </w:r>
      <w:r w:rsidRPr="00231D6A">
        <w:rPr>
          <w:rFonts w:ascii="Tahoma" w:hAnsi="Tahoma" w:cs="Tahoma"/>
          <w:b/>
          <w:sz w:val="20"/>
        </w:rPr>
        <w:t>*Round(W</w:t>
      </w:r>
      <w:r w:rsidRPr="00231D6A">
        <w:rPr>
          <w:rFonts w:ascii="Tahoma" w:hAnsi="Tahoma" w:cs="Tahoma"/>
          <w:b/>
          <w:sz w:val="20"/>
          <w:vertAlign w:val="subscript"/>
        </w:rPr>
        <w:t>1</w:t>
      </w:r>
      <w:r w:rsidRPr="00231D6A">
        <w:rPr>
          <w:rFonts w:ascii="Tahoma" w:hAnsi="Tahoma" w:cs="Tahoma"/>
          <w:b/>
          <w:sz w:val="20"/>
        </w:rPr>
        <w:t xml:space="preserve">/R; 5); 2)          </w:t>
      </w:r>
    </w:p>
    <w:p w14:paraId="2FB14E59"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where:</w:t>
      </w:r>
    </w:p>
    <w:p w14:paraId="40176A5F"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VМ</w:t>
      </w:r>
      <w:r w:rsidRPr="00231D6A">
        <w:rPr>
          <w:rFonts w:ascii="Tahoma" w:hAnsi="Tahoma" w:cs="Tahoma"/>
          <w:sz w:val="20"/>
          <w:vertAlign w:val="subscript"/>
        </w:rPr>
        <w:t>1</w:t>
      </w:r>
      <w:r w:rsidRPr="00231D6A">
        <w:rPr>
          <w:rFonts w:ascii="Tahoma" w:hAnsi="Tahoma" w:cs="Tahoma"/>
          <w:sz w:val="20"/>
        </w:rPr>
        <w:t xml:space="preserve"> – variation margin under the Contract calculated during the intraday clearing session of the current Trading Day;</w:t>
      </w:r>
    </w:p>
    <w:p w14:paraId="5D58A7A2"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Round – mathematical rounding to the specified precision;</w:t>
      </w:r>
    </w:p>
    <w:p w14:paraId="2D23EBFC"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SP</w:t>
      </w:r>
      <w:r w:rsidRPr="00231D6A">
        <w:rPr>
          <w:rFonts w:ascii="Tahoma" w:hAnsi="Tahoma" w:cs="Tahoma"/>
          <w:sz w:val="20"/>
          <w:vertAlign w:val="subscript"/>
        </w:rPr>
        <w:t>1</w:t>
      </w:r>
      <w:r w:rsidRPr="00231D6A">
        <w:rPr>
          <w:rFonts w:ascii="Tahoma" w:hAnsi="Tahoma" w:cs="Tahoma"/>
          <w:sz w:val="20"/>
        </w:rPr>
        <w:t xml:space="preserve"> – the daily (last) Settlement Price of the Contract,</w:t>
      </w:r>
    </w:p>
    <w:p w14:paraId="5620FF3B"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proofErr w:type="spellStart"/>
      <w:r w:rsidRPr="00231D6A">
        <w:rPr>
          <w:rFonts w:ascii="Tahoma" w:hAnsi="Tahoma" w:cs="Tahoma"/>
          <w:sz w:val="20"/>
        </w:rPr>
        <w:t>SP</w:t>
      </w:r>
      <w:r w:rsidRPr="00231D6A">
        <w:rPr>
          <w:rFonts w:ascii="Tahoma" w:hAnsi="Tahoma" w:cs="Tahoma"/>
          <w:sz w:val="20"/>
          <w:vertAlign w:val="subscript"/>
        </w:rPr>
        <w:t>p</w:t>
      </w:r>
      <w:proofErr w:type="spellEnd"/>
      <w:r w:rsidRPr="00231D6A">
        <w:rPr>
          <w:rFonts w:ascii="Tahoma" w:hAnsi="Tahoma" w:cs="Tahoma"/>
          <w:sz w:val="20"/>
        </w:rPr>
        <w:t xml:space="preserve"> – the Settlement Price of the Contract determined at the end of the end-of-day Settlement Period of the previous Trading Day;</w:t>
      </w:r>
    </w:p>
    <w:p w14:paraId="4AEC6EB9"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lastRenderedPageBreak/>
        <w:t>W</w:t>
      </w:r>
      <w:r w:rsidRPr="00231D6A">
        <w:rPr>
          <w:rFonts w:ascii="Tahoma" w:hAnsi="Tahoma" w:cs="Tahoma"/>
          <w:sz w:val="20"/>
          <w:vertAlign w:val="subscript"/>
        </w:rPr>
        <w:t>1</w:t>
      </w:r>
      <w:r w:rsidRPr="00231D6A">
        <w:rPr>
          <w:rFonts w:ascii="Tahoma" w:hAnsi="Tahoma" w:cs="Tahoma"/>
          <w:sz w:val="20"/>
        </w:rPr>
        <w:t xml:space="preserve"> – the Tick value,</w:t>
      </w:r>
    </w:p>
    <w:p w14:paraId="6B608572" w14:textId="77777777" w:rsidR="00050D92" w:rsidRPr="00231D6A" w:rsidRDefault="00050D92" w:rsidP="00231D6A">
      <w:pPr>
        <w:autoSpaceDE w:val="0"/>
        <w:autoSpaceDN w:val="0"/>
        <w:spacing w:before="120" w:after="120" w:line="240" w:lineRule="auto"/>
        <w:ind w:left="2410"/>
        <w:jc w:val="both"/>
        <w:rPr>
          <w:rFonts w:ascii="Tahoma" w:eastAsia="Times New Roman" w:hAnsi="Tahoma" w:cs="Tahoma"/>
          <w:color w:val="000000"/>
          <w:sz w:val="20"/>
          <w:szCs w:val="20"/>
        </w:rPr>
      </w:pPr>
      <w:r w:rsidRPr="00231D6A">
        <w:rPr>
          <w:rFonts w:ascii="Tahoma" w:hAnsi="Tahoma" w:cs="Tahoma"/>
          <w:color w:val="000000"/>
          <w:sz w:val="20"/>
        </w:rPr>
        <w:t>R - the Tick.</w:t>
      </w:r>
    </w:p>
    <w:p w14:paraId="70EC693C" w14:textId="77777777" w:rsidR="00050D92" w:rsidRPr="00231D6A" w:rsidRDefault="00050D92" w:rsidP="00231D6A">
      <w:pPr>
        <w:autoSpaceDE w:val="0"/>
        <w:autoSpaceDN w:val="0"/>
        <w:spacing w:before="120" w:after="120" w:line="240" w:lineRule="auto"/>
        <w:ind w:left="2410"/>
        <w:jc w:val="both"/>
        <w:rPr>
          <w:rFonts w:ascii="Tahoma" w:eastAsia="Times New Roman" w:hAnsi="Tahoma" w:cs="Tahoma"/>
          <w:color w:val="000000"/>
          <w:sz w:val="20"/>
          <w:szCs w:val="20"/>
        </w:rPr>
      </w:pPr>
      <w:r w:rsidRPr="00231D6A">
        <w:rPr>
          <w:rFonts w:ascii="Tahoma" w:hAnsi="Tahoma" w:cs="Tahoma"/>
          <w:color w:val="000000"/>
          <w:sz w:val="20"/>
        </w:rPr>
        <w:t>To calculate the variation margin during the intraday clearing session of the current Trading Day, the Tick value is calculated using the US Dollar FX Rate the time of which is determined by the Exchange and published on the Exchange's website.</w:t>
      </w:r>
    </w:p>
    <w:p w14:paraId="388E28B2" w14:textId="77777777" w:rsidR="00050D92" w:rsidRPr="00231D6A" w:rsidRDefault="00050D92" w:rsidP="00231D6A">
      <w:pPr>
        <w:pStyle w:val="1"/>
        <w:numPr>
          <w:ilvl w:val="3"/>
          <w:numId w:val="1"/>
        </w:numPr>
        <w:tabs>
          <w:tab w:val="clear" w:pos="3240"/>
        </w:tabs>
        <w:spacing w:before="120" w:after="120"/>
        <w:ind w:left="1985" w:firstLine="0"/>
        <w:rPr>
          <w:rFonts w:ascii="Tahoma" w:hAnsi="Tahoma" w:cs="Tahoma"/>
        </w:rPr>
      </w:pPr>
      <w:r w:rsidRPr="00231D6A">
        <w:rPr>
          <w:rFonts w:ascii="Tahoma" w:hAnsi="Tahoma" w:cs="Tahoma"/>
        </w:rPr>
        <w:t xml:space="preserve"> During the end-of-day clearing session:</w:t>
      </w:r>
    </w:p>
    <w:p w14:paraId="40BBFEEB" w14:textId="77777777" w:rsidR="00050D92" w:rsidRPr="00231D6A" w:rsidRDefault="00050D92" w:rsidP="00231D6A">
      <w:pPr>
        <w:pStyle w:val="a8"/>
        <w:numPr>
          <w:ilvl w:val="0"/>
          <w:numId w:val="4"/>
        </w:numPr>
        <w:tabs>
          <w:tab w:val="clear" w:pos="9000"/>
        </w:tabs>
        <w:spacing w:before="120" w:after="120"/>
        <w:ind w:left="2410" w:right="-285" w:firstLine="0"/>
        <w:rPr>
          <w:rFonts w:ascii="Tahoma" w:hAnsi="Tahoma" w:cs="Tahoma"/>
        </w:rPr>
      </w:pPr>
      <w:r w:rsidRPr="00231D6A">
        <w:rPr>
          <w:rFonts w:ascii="Tahoma" w:hAnsi="Tahoma" w:cs="Tahoma"/>
        </w:rPr>
        <w:t>If the variation margin under the Contract has not been previously calculated:</w:t>
      </w:r>
    </w:p>
    <w:p w14:paraId="072F5770" w14:textId="77777777" w:rsidR="00050D92" w:rsidRPr="00231D6A" w:rsidRDefault="00050D92" w:rsidP="00231D6A">
      <w:pPr>
        <w:pStyle w:val="a8"/>
        <w:spacing w:before="120" w:after="120"/>
        <w:ind w:left="2410" w:right="-285"/>
        <w:rPr>
          <w:rFonts w:ascii="Tahoma" w:hAnsi="Tahoma" w:cs="Tahoma"/>
          <w:b/>
        </w:rPr>
      </w:pPr>
      <w:r w:rsidRPr="00231D6A">
        <w:rPr>
          <w:rFonts w:ascii="Tahoma" w:hAnsi="Tahoma" w:cs="Tahoma"/>
          <w:b/>
        </w:rPr>
        <w:t>VM</w:t>
      </w:r>
      <w:r w:rsidRPr="00231D6A">
        <w:rPr>
          <w:rFonts w:ascii="Tahoma" w:hAnsi="Tahoma" w:cs="Tahoma"/>
          <w:b/>
          <w:vertAlign w:val="subscript"/>
        </w:rPr>
        <w:t>2</w:t>
      </w:r>
      <w:r w:rsidRPr="00231D6A">
        <w:rPr>
          <w:rFonts w:ascii="Tahoma" w:hAnsi="Tahoma" w:cs="Tahoma"/>
          <w:b/>
        </w:rPr>
        <w:t xml:space="preserve"> = Round (SP</w:t>
      </w:r>
      <w:r w:rsidRPr="00231D6A">
        <w:rPr>
          <w:rFonts w:ascii="Tahoma" w:hAnsi="Tahoma" w:cs="Tahoma"/>
          <w:b/>
          <w:vertAlign w:val="subscript"/>
        </w:rPr>
        <w:t>2</w:t>
      </w:r>
      <w:r w:rsidRPr="00231D6A">
        <w:rPr>
          <w:rFonts w:ascii="Tahoma" w:hAnsi="Tahoma" w:cs="Tahoma"/>
          <w:b/>
        </w:rPr>
        <w:t>*</w:t>
      </w:r>
      <w:proofErr w:type="gramStart"/>
      <w:r w:rsidRPr="00231D6A">
        <w:rPr>
          <w:rFonts w:ascii="Tahoma" w:hAnsi="Tahoma" w:cs="Tahoma"/>
          <w:b/>
        </w:rPr>
        <w:t>Round(</w:t>
      </w:r>
      <w:proofErr w:type="gramEnd"/>
      <w:r w:rsidRPr="00231D6A">
        <w:rPr>
          <w:rFonts w:ascii="Tahoma" w:hAnsi="Tahoma" w:cs="Tahoma"/>
          <w:b/>
        </w:rPr>
        <w:t>W</w:t>
      </w:r>
      <w:r w:rsidRPr="00231D6A">
        <w:rPr>
          <w:rFonts w:ascii="Tahoma" w:hAnsi="Tahoma" w:cs="Tahoma"/>
          <w:b/>
          <w:vertAlign w:val="subscript"/>
        </w:rPr>
        <w:t>2</w:t>
      </w:r>
      <w:r w:rsidRPr="00231D6A">
        <w:rPr>
          <w:rFonts w:ascii="Tahoma" w:hAnsi="Tahoma" w:cs="Tahoma"/>
          <w:b/>
        </w:rPr>
        <w:t>/R; 5); 2) – Round (P</w:t>
      </w:r>
      <w:r w:rsidRPr="00231D6A">
        <w:rPr>
          <w:rFonts w:ascii="Tahoma" w:hAnsi="Tahoma" w:cs="Tahoma"/>
          <w:b/>
          <w:vertAlign w:val="subscript"/>
        </w:rPr>
        <w:t>0</w:t>
      </w:r>
      <w:r w:rsidRPr="00231D6A">
        <w:rPr>
          <w:rFonts w:ascii="Tahoma" w:hAnsi="Tahoma" w:cs="Tahoma"/>
          <w:b/>
        </w:rPr>
        <w:t>*Round(W</w:t>
      </w:r>
      <w:r w:rsidRPr="00231D6A">
        <w:rPr>
          <w:rFonts w:ascii="Tahoma" w:hAnsi="Tahoma" w:cs="Tahoma"/>
          <w:b/>
          <w:vertAlign w:val="subscript"/>
        </w:rPr>
        <w:t>2</w:t>
      </w:r>
      <w:r w:rsidRPr="00231D6A">
        <w:rPr>
          <w:rFonts w:ascii="Tahoma" w:hAnsi="Tahoma" w:cs="Tahoma"/>
          <w:b/>
        </w:rPr>
        <w:t xml:space="preserve">/R; 5); 2)          </w:t>
      </w:r>
    </w:p>
    <w:p w14:paraId="3E3A23E7" w14:textId="77777777" w:rsidR="00050D92" w:rsidRPr="00231D6A" w:rsidRDefault="00050D92" w:rsidP="00231D6A">
      <w:pPr>
        <w:pStyle w:val="a8"/>
        <w:spacing w:before="120" w:after="120"/>
        <w:ind w:left="2410" w:right="-285"/>
        <w:rPr>
          <w:rFonts w:ascii="Tahoma" w:hAnsi="Tahoma" w:cs="Tahoma"/>
        </w:rPr>
      </w:pPr>
      <w:r w:rsidRPr="00231D6A">
        <w:rPr>
          <w:rFonts w:ascii="Tahoma" w:hAnsi="Tahoma" w:cs="Tahoma"/>
        </w:rPr>
        <w:t>where:</w:t>
      </w:r>
    </w:p>
    <w:p w14:paraId="578021F1" w14:textId="77777777" w:rsidR="00050D92" w:rsidRPr="00231D6A" w:rsidRDefault="00050D92" w:rsidP="00231D6A">
      <w:pPr>
        <w:pStyle w:val="a8"/>
        <w:spacing w:before="120" w:after="120"/>
        <w:ind w:left="2410"/>
        <w:rPr>
          <w:rFonts w:ascii="Tahoma" w:hAnsi="Tahoma" w:cs="Tahoma"/>
        </w:rPr>
      </w:pPr>
      <w:r w:rsidRPr="00231D6A">
        <w:rPr>
          <w:rFonts w:ascii="Tahoma" w:hAnsi="Tahoma" w:cs="Tahoma"/>
        </w:rPr>
        <w:t>VМ</w:t>
      </w:r>
      <w:r w:rsidRPr="00231D6A">
        <w:rPr>
          <w:rFonts w:ascii="Tahoma" w:hAnsi="Tahoma" w:cs="Tahoma"/>
          <w:vertAlign w:val="subscript"/>
        </w:rPr>
        <w:t>2</w:t>
      </w:r>
      <w:r w:rsidRPr="00231D6A">
        <w:rPr>
          <w:rFonts w:ascii="Tahoma" w:hAnsi="Tahoma" w:cs="Tahoma"/>
        </w:rPr>
        <w:t xml:space="preserve"> – variation margin under the Contract calculated during the end-of-day clearing session for the end-of-day Settlement Period of the current Trading Day;</w:t>
      </w:r>
    </w:p>
    <w:p w14:paraId="69A31043" w14:textId="77777777" w:rsidR="00050D92" w:rsidRPr="00231D6A" w:rsidRDefault="00050D92" w:rsidP="00231D6A">
      <w:pPr>
        <w:pStyle w:val="a8"/>
        <w:spacing w:before="120" w:after="120"/>
        <w:ind w:left="2410"/>
        <w:rPr>
          <w:rFonts w:ascii="Tahoma" w:hAnsi="Tahoma" w:cs="Tahoma"/>
        </w:rPr>
      </w:pPr>
      <w:r w:rsidRPr="00231D6A">
        <w:rPr>
          <w:rFonts w:ascii="Tahoma" w:hAnsi="Tahoma" w:cs="Tahoma"/>
        </w:rPr>
        <w:t>Round – mathematical rounding to the specified precision;</w:t>
      </w:r>
    </w:p>
    <w:p w14:paraId="2FB3C1E4" w14:textId="77777777" w:rsidR="00050D92" w:rsidRPr="00231D6A" w:rsidRDefault="00050D92" w:rsidP="00231D6A">
      <w:pPr>
        <w:pStyle w:val="a8"/>
        <w:spacing w:before="120" w:after="120"/>
        <w:ind w:left="2410"/>
        <w:rPr>
          <w:rFonts w:ascii="Tahoma" w:hAnsi="Tahoma" w:cs="Tahoma"/>
        </w:rPr>
      </w:pPr>
      <w:r w:rsidRPr="00231D6A">
        <w:rPr>
          <w:rFonts w:ascii="Tahoma" w:hAnsi="Tahoma" w:cs="Tahoma"/>
        </w:rPr>
        <w:t>P</w:t>
      </w:r>
      <w:r w:rsidRPr="00231D6A">
        <w:rPr>
          <w:rFonts w:ascii="Tahoma" w:hAnsi="Tahoma" w:cs="Tahoma"/>
          <w:vertAlign w:val="subscript"/>
        </w:rPr>
        <w:t>0</w:t>
      </w:r>
      <w:r w:rsidRPr="00231D6A">
        <w:rPr>
          <w:rFonts w:ascii="Tahoma" w:hAnsi="Tahoma" w:cs="Tahoma"/>
        </w:rPr>
        <w:t xml:space="preserve"> – the execution price of the Contract;</w:t>
      </w:r>
    </w:p>
    <w:p w14:paraId="1E2222B8" w14:textId="77777777" w:rsidR="00050D92" w:rsidRPr="00231D6A" w:rsidRDefault="00050D92" w:rsidP="00231D6A">
      <w:pPr>
        <w:pStyle w:val="a8"/>
        <w:spacing w:before="120" w:after="120"/>
        <w:ind w:left="2410"/>
        <w:rPr>
          <w:rFonts w:ascii="Tahoma" w:hAnsi="Tahoma" w:cs="Tahoma"/>
        </w:rPr>
      </w:pPr>
      <w:r w:rsidRPr="00231D6A">
        <w:rPr>
          <w:rFonts w:ascii="Tahoma" w:hAnsi="Tahoma" w:cs="Tahoma"/>
        </w:rPr>
        <w:t>SP</w:t>
      </w:r>
      <w:r w:rsidRPr="00231D6A">
        <w:rPr>
          <w:rFonts w:ascii="Tahoma" w:hAnsi="Tahoma" w:cs="Tahoma"/>
          <w:vertAlign w:val="subscript"/>
        </w:rPr>
        <w:t>1</w:t>
      </w:r>
      <w:r w:rsidRPr="00231D6A">
        <w:rPr>
          <w:rFonts w:ascii="Tahoma" w:hAnsi="Tahoma" w:cs="Tahoma"/>
        </w:rPr>
        <w:t xml:space="preserve"> – the daily (last) Settlement Price of the Contract;</w:t>
      </w:r>
    </w:p>
    <w:p w14:paraId="1E9AACFC" w14:textId="77777777" w:rsidR="00050D92" w:rsidRPr="00231D6A" w:rsidRDefault="00050D92" w:rsidP="00231D6A">
      <w:pPr>
        <w:pStyle w:val="a8"/>
        <w:spacing w:before="120" w:after="120"/>
        <w:ind w:left="2410"/>
        <w:rPr>
          <w:rFonts w:ascii="Tahoma" w:hAnsi="Tahoma" w:cs="Tahoma"/>
        </w:rPr>
      </w:pPr>
      <w:r w:rsidRPr="00231D6A">
        <w:rPr>
          <w:rFonts w:ascii="Tahoma" w:hAnsi="Tahoma" w:cs="Tahoma"/>
        </w:rPr>
        <w:t>W</w:t>
      </w:r>
      <w:r w:rsidRPr="00231D6A">
        <w:rPr>
          <w:rFonts w:ascii="Tahoma" w:hAnsi="Tahoma" w:cs="Tahoma"/>
          <w:vertAlign w:val="subscript"/>
        </w:rPr>
        <w:t>2</w:t>
      </w:r>
      <w:r w:rsidRPr="00231D6A">
        <w:rPr>
          <w:rFonts w:ascii="Tahoma" w:hAnsi="Tahoma" w:cs="Tahoma"/>
        </w:rPr>
        <w:t xml:space="preserve"> – the Tick value;</w:t>
      </w:r>
    </w:p>
    <w:p w14:paraId="2EEB059B" w14:textId="77777777" w:rsidR="00050D92" w:rsidRPr="00231D6A" w:rsidRDefault="00050D92" w:rsidP="00231D6A">
      <w:pPr>
        <w:pStyle w:val="a8"/>
        <w:spacing w:before="120" w:after="120"/>
        <w:ind w:left="2410"/>
        <w:rPr>
          <w:rFonts w:ascii="Tahoma" w:hAnsi="Tahoma" w:cs="Tahoma"/>
        </w:rPr>
      </w:pPr>
      <w:r w:rsidRPr="00231D6A">
        <w:rPr>
          <w:rFonts w:ascii="Tahoma" w:hAnsi="Tahoma" w:cs="Tahoma"/>
        </w:rPr>
        <w:t>R - the Tick.</w:t>
      </w:r>
    </w:p>
    <w:p w14:paraId="0942DEC8" w14:textId="77777777" w:rsidR="00050D92" w:rsidRPr="00231D6A" w:rsidRDefault="00050D92" w:rsidP="00231D6A">
      <w:pPr>
        <w:numPr>
          <w:ilvl w:val="0"/>
          <w:numId w:val="4"/>
        </w:numPr>
        <w:tabs>
          <w:tab w:val="left" w:pos="1701"/>
        </w:tabs>
        <w:autoSpaceDE w:val="0"/>
        <w:autoSpaceDN w:val="0"/>
        <w:spacing w:before="120" w:after="120" w:line="240" w:lineRule="auto"/>
        <w:ind w:left="2410" w:firstLine="0"/>
        <w:jc w:val="both"/>
        <w:rPr>
          <w:rFonts w:ascii="Tahoma" w:eastAsia="Times New Roman" w:hAnsi="Tahoma" w:cs="Tahoma"/>
          <w:sz w:val="20"/>
          <w:szCs w:val="20"/>
        </w:rPr>
      </w:pPr>
      <w:r w:rsidRPr="00231D6A">
        <w:rPr>
          <w:rFonts w:ascii="Tahoma" w:hAnsi="Tahoma" w:cs="Tahoma"/>
          <w:sz w:val="20"/>
        </w:rPr>
        <w:t>If the variation margin for the Contract has been calculated in the intraday clearing session on the current Trading Day:</w:t>
      </w:r>
    </w:p>
    <w:p w14:paraId="65695F78"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b/>
          <w:sz w:val="20"/>
          <w:szCs w:val="20"/>
        </w:rPr>
      </w:pPr>
      <w:r w:rsidRPr="00231D6A">
        <w:rPr>
          <w:rFonts w:ascii="Tahoma" w:hAnsi="Tahoma" w:cs="Tahoma"/>
          <w:b/>
          <w:sz w:val="20"/>
        </w:rPr>
        <w:t>VМ</w:t>
      </w:r>
      <w:r w:rsidRPr="00231D6A">
        <w:rPr>
          <w:rFonts w:ascii="Tahoma" w:hAnsi="Tahoma" w:cs="Tahoma"/>
          <w:b/>
          <w:sz w:val="20"/>
          <w:vertAlign w:val="subscript"/>
        </w:rPr>
        <w:t>2</w:t>
      </w:r>
      <w:r w:rsidRPr="00231D6A">
        <w:rPr>
          <w:rFonts w:ascii="Tahoma" w:hAnsi="Tahoma" w:cs="Tahoma"/>
          <w:b/>
          <w:sz w:val="20"/>
        </w:rPr>
        <w:t xml:space="preserve"> = VМ – VМ</w:t>
      </w:r>
      <w:r w:rsidRPr="00231D6A">
        <w:rPr>
          <w:rFonts w:ascii="Tahoma" w:hAnsi="Tahoma" w:cs="Tahoma"/>
          <w:b/>
          <w:sz w:val="20"/>
          <w:vertAlign w:val="subscript"/>
        </w:rPr>
        <w:t>1</w:t>
      </w:r>
      <w:r w:rsidRPr="00231D6A">
        <w:rPr>
          <w:rFonts w:ascii="Tahoma" w:hAnsi="Tahoma" w:cs="Tahoma"/>
          <w:b/>
          <w:sz w:val="20"/>
        </w:rPr>
        <w:t xml:space="preserve">          </w:t>
      </w:r>
    </w:p>
    <w:p w14:paraId="16805D02"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where:</w:t>
      </w:r>
    </w:p>
    <w:p w14:paraId="557CC41B"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VМ</w:t>
      </w:r>
      <w:r w:rsidRPr="00231D6A">
        <w:rPr>
          <w:rFonts w:ascii="Tahoma" w:hAnsi="Tahoma" w:cs="Tahoma"/>
          <w:sz w:val="20"/>
          <w:vertAlign w:val="subscript"/>
        </w:rPr>
        <w:t>2</w:t>
      </w:r>
      <w:r w:rsidRPr="00231D6A">
        <w:rPr>
          <w:rFonts w:ascii="Tahoma" w:hAnsi="Tahoma" w:cs="Tahoma"/>
          <w:sz w:val="20"/>
        </w:rPr>
        <w:t xml:space="preserve"> – variation margin under the Contract calculated during the end-of-day clearing session for the end-of-day Settlement Period of the current Trading Day;</w:t>
      </w:r>
    </w:p>
    <w:p w14:paraId="2E7C2A5C" w14:textId="77777777"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VМ – variation margin under the Contract calculated during the end-of-day clearing session of the current Trading Day;</w:t>
      </w:r>
    </w:p>
    <w:p w14:paraId="6C71CA22" w14:textId="3C085F3D" w:rsidR="00050D92" w:rsidRPr="00231D6A" w:rsidRDefault="00050D92" w:rsidP="00231D6A">
      <w:pPr>
        <w:tabs>
          <w:tab w:val="left" w:pos="9000"/>
        </w:tabs>
        <w:autoSpaceDE w:val="0"/>
        <w:autoSpaceDN w:val="0"/>
        <w:spacing w:before="120" w:after="120" w:line="240" w:lineRule="auto"/>
        <w:ind w:left="2410"/>
        <w:jc w:val="both"/>
        <w:rPr>
          <w:rFonts w:ascii="Tahoma" w:eastAsia="Times New Roman" w:hAnsi="Tahoma" w:cs="Tahoma"/>
          <w:sz w:val="20"/>
          <w:szCs w:val="20"/>
        </w:rPr>
      </w:pPr>
      <w:r w:rsidRPr="00231D6A">
        <w:rPr>
          <w:rFonts w:ascii="Tahoma" w:hAnsi="Tahoma" w:cs="Tahoma"/>
          <w:sz w:val="20"/>
        </w:rPr>
        <w:t>VM</w:t>
      </w:r>
      <w:r w:rsidRPr="00231D6A">
        <w:rPr>
          <w:rFonts w:ascii="Tahoma" w:hAnsi="Tahoma" w:cs="Tahoma"/>
          <w:sz w:val="20"/>
          <w:vertAlign w:val="subscript"/>
        </w:rPr>
        <w:t>1</w:t>
      </w:r>
      <w:r w:rsidRPr="00231D6A">
        <w:rPr>
          <w:rFonts w:ascii="Tahoma" w:hAnsi="Tahoma" w:cs="Tahoma"/>
          <w:sz w:val="20"/>
        </w:rPr>
        <w:t xml:space="preserve"> – variation margin for the Contract as calculated in the intraday clearing session on the current trading day as per </w:t>
      </w:r>
      <w:r w:rsidR="00231D6A" w:rsidRPr="00231D6A">
        <w:rPr>
          <w:rFonts w:ascii="Tahoma" w:hAnsi="Tahoma" w:cs="Tahoma"/>
          <w:sz w:val="20"/>
        </w:rPr>
        <w:t>Clause</w:t>
      </w:r>
      <w:r w:rsidRPr="00231D6A">
        <w:rPr>
          <w:rFonts w:ascii="Tahoma" w:hAnsi="Tahoma" w:cs="Tahoma"/>
          <w:sz w:val="20"/>
        </w:rPr>
        <w:t xml:space="preserve"> 2.1.3.1 above.</w:t>
      </w:r>
    </w:p>
    <w:p w14:paraId="64647BD3" w14:textId="77777777" w:rsidR="00050D92" w:rsidRPr="00231D6A" w:rsidRDefault="00050D92" w:rsidP="00231D6A">
      <w:pPr>
        <w:tabs>
          <w:tab w:val="left" w:pos="9000"/>
        </w:tabs>
        <w:autoSpaceDE w:val="0"/>
        <w:autoSpaceDN w:val="0"/>
        <w:spacing w:before="120" w:after="120" w:line="240" w:lineRule="auto"/>
        <w:ind w:left="1985"/>
        <w:jc w:val="both"/>
        <w:rPr>
          <w:rFonts w:ascii="Tahoma" w:eastAsia="Times New Roman" w:hAnsi="Tahoma" w:cs="Tahoma"/>
          <w:sz w:val="20"/>
          <w:szCs w:val="20"/>
        </w:rPr>
      </w:pPr>
      <w:r w:rsidRPr="00231D6A">
        <w:rPr>
          <w:rFonts w:ascii="Tahoma" w:hAnsi="Tahoma" w:cs="Tahoma"/>
          <w:sz w:val="20"/>
        </w:rPr>
        <w:t>VM is determined according to the following formulas:</w:t>
      </w:r>
    </w:p>
    <w:p w14:paraId="7DEF490E" w14:textId="77777777" w:rsidR="00050D92" w:rsidRPr="00231D6A" w:rsidRDefault="00050D92" w:rsidP="00231D6A">
      <w:pPr>
        <w:numPr>
          <w:ilvl w:val="0"/>
          <w:numId w:val="5"/>
        </w:numPr>
        <w:autoSpaceDE w:val="0"/>
        <w:autoSpaceDN w:val="0"/>
        <w:spacing w:before="120" w:after="120" w:line="240" w:lineRule="auto"/>
        <w:ind w:left="2268" w:firstLine="0"/>
        <w:jc w:val="both"/>
        <w:rPr>
          <w:rFonts w:ascii="Tahoma" w:eastAsia="Times New Roman" w:hAnsi="Tahoma" w:cs="Tahoma"/>
          <w:sz w:val="20"/>
          <w:szCs w:val="20"/>
        </w:rPr>
      </w:pPr>
      <w:r w:rsidRPr="00231D6A">
        <w:rPr>
          <w:rFonts w:ascii="Tahoma" w:hAnsi="Tahoma" w:cs="Tahoma"/>
          <w:sz w:val="20"/>
        </w:rPr>
        <w:t>If the variation margin under the Contract has not been calculated during the end-of-day clearing session of the previous Trading Day:</w:t>
      </w:r>
    </w:p>
    <w:p w14:paraId="5FD2A481" w14:textId="77777777" w:rsidR="00050D92" w:rsidRPr="00231D6A" w:rsidRDefault="00050D92" w:rsidP="00231D6A">
      <w:pPr>
        <w:tabs>
          <w:tab w:val="left" w:pos="9000"/>
        </w:tabs>
        <w:autoSpaceDE w:val="0"/>
        <w:autoSpaceDN w:val="0"/>
        <w:spacing w:before="120" w:after="120" w:line="240" w:lineRule="auto"/>
        <w:ind w:left="2268" w:right="-427"/>
        <w:jc w:val="both"/>
        <w:rPr>
          <w:rFonts w:ascii="Tahoma" w:eastAsia="Times New Roman" w:hAnsi="Tahoma" w:cs="Tahoma"/>
          <w:b/>
          <w:sz w:val="20"/>
          <w:szCs w:val="20"/>
        </w:rPr>
      </w:pPr>
      <w:r w:rsidRPr="00231D6A">
        <w:rPr>
          <w:rFonts w:ascii="Tahoma" w:hAnsi="Tahoma" w:cs="Tahoma"/>
          <w:b/>
          <w:sz w:val="20"/>
        </w:rPr>
        <w:t>VM = Round (SP</w:t>
      </w:r>
      <w:r w:rsidRPr="00231D6A">
        <w:rPr>
          <w:rFonts w:ascii="Tahoma" w:hAnsi="Tahoma" w:cs="Tahoma"/>
          <w:b/>
          <w:sz w:val="20"/>
          <w:vertAlign w:val="subscript"/>
        </w:rPr>
        <w:t xml:space="preserve">2 </w:t>
      </w:r>
      <w:r w:rsidRPr="00231D6A">
        <w:rPr>
          <w:rFonts w:ascii="Tahoma" w:hAnsi="Tahoma" w:cs="Tahoma"/>
          <w:b/>
          <w:sz w:val="20"/>
        </w:rPr>
        <w:t>*</w:t>
      </w:r>
      <w:proofErr w:type="gramStart"/>
      <w:r w:rsidRPr="00231D6A">
        <w:rPr>
          <w:rFonts w:ascii="Tahoma" w:hAnsi="Tahoma" w:cs="Tahoma"/>
          <w:b/>
          <w:sz w:val="20"/>
        </w:rPr>
        <w:t>Round(</w:t>
      </w:r>
      <w:proofErr w:type="gramEnd"/>
      <w:r w:rsidRPr="00231D6A">
        <w:rPr>
          <w:rFonts w:ascii="Tahoma" w:hAnsi="Tahoma" w:cs="Tahoma"/>
          <w:b/>
          <w:sz w:val="20"/>
        </w:rPr>
        <w:t>W</w:t>
      </w:r>
      <w:r w:rsidRPr="00231D6A">
        <w:rPr>
          <w:rFonts w:ascii="Tahoma" w:hAnsi="Tahoma" w:cs="Tahoma"/>
          <w:b/>
          <w:sz w:val="20"/>
          <w:vertAlign w:val="subscript"/>
        </w:rPr>
        <w:t>2</w:t>
      </w:r>
      <w:r w:rsidRPr="00231D6A">
        <w:rPr>
          <w:rFonts w:ascii="Tahoma" w:hAnsi="Tahoma" w:cs="Tahoma"/>
          <w:b/>
          <w:sz w:val="20"/>
        </w:rPr>
        <w:t>/R; 5); 2) – Round (P</w:t>
      </w:r>
      <w:r w:rsidRPr="00231D6A">
        <w:rPr>
          <w:rFonts w:ascii="Tahoma" w:hAnsi="Tahoma" w:cs="Tahoma"/>
          <w:b/>
          <w:sz w:val="20"/>
          <w:vertAlign w:val="subscript"/>
        </w:rPr>
        <w:t>0</w:t>
      </w:r>
      <w:r w:rsidRPr="00231D6A">
        <w:rPr>
          <w:rFonts w:ascii="Tahoma" w:hAnsi="Tahoma" w:cs="Tahoma"/>
          <w:b/>
          <w:sz w:val="20"/>
        </w:rPr>
        <w:t>*Round(W</w:t>
      </w:r>
      <w:r w:rsidRPr="00231D6A">
        <w:rPr>
          <w:rFonts w:ascii="Tahoma" w:hAnsi="Tahoma" w:cs="Tahoma"/>
          <w:b/>
          <w:sz w:val="20"/>
          <w:vertAlign w:val="subscript"/>
        </w:rPr>
        <w:t>2</w:t>
      </w:r>
      <w:r w:rsidRPr="00231D6A">
        <w:rPr>
          <w:rFonts w:ascii="Tahoma" w:hAnsi="Tahoma" w:cs="Tahoma"/>
          <w:b/>
          <w:sz w:val="20"/>
        </w:rPr>
        <w:t xml:space="preserve"> / R; 5); 2)</w:t>
      </w:r>
    </w:p>
    <w:p w14:paraId="2EFDE3F9"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t>where:</w:t>
      </w:r>
    </w:p>
    <w:p w14:paraId="5D1F8BA4"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t>Round – mathematical rounding to the specified precision;</w:t>
      </w:r>
    </w:p>
    <w:p w14:paraId="1E3CF7A9"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t>SP</w:t>
      </w:r>
      <w:r w:rsidRPr="00231D6A">
        <w:rPr>
          <w:rFonts w:ascii="Tahoma" w:hAnsi="Tahoma" w:cs="Tahoma"/>
          <w:sz w:val="20"/>
          <w:vertAlign w:val="subscript"/>
        </w:rPr>
        <w:t>1</w:t>
      </w:r>
      <w:r w:rsidRPr="00231D6A">
        <w:rPr>
          <w:rFonts w:ascii="Tahoma" w:hAnsi="Tahoma" w:cs="Tahoma"/>
          <w:sz w:val="20"/>
        </w:rPr>
        <w:t xml:space="preserve"> – the daily (last) Settlement Price of the Contract;</w:t>
      </w:r>
    </w:p>
    <w:p w14:paraId="23F5C325"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t>P</w:t>
      </w:r>
      <w:r w:rsidRPr="00231D6A">
        <w:rPr>
          <w:rFonts w:ascii="Tahoma" w:hAnsi="Tahoma" w:cs="Tahoma"/>
          <w:sz w:val="20"/>
          <w:vertAlign w:val="subscript"/>
        </w:rPr>
        <w:t>0</w:t>
      </w:r>
      <w:r w:rsidRPr="00231D6A">
        <w:rPr>
          <w:rFonts w:ascii="Tahoma" w:hAnsi="Tahoma" w:cs="Tahoma"/>
          <w:sz w:val="20"/>
        </w:rPr>
        <w:t xml:space="preserve"> – the execution price of the Contract;</w:t>
      </w:r>
    </w:p>
    <w:p w14:paraId="264C377D"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t>W</w:t>
      </w:r>
      <w:r w:rsidRPr="00231D6A">
        <w:rPr>
          <w:rFonts w:ascii="Tahoma" w:hAnsi="Tahoma" w:cs="Tahoma"/>
          <w:sz w:val="20"/>
          <w:vertAlign w:val="subscript"/>
        </w:rPr>
        <w:t>2</w:t>
      </w:r>
      <w:r w:rsidRPr="00231D6A">
        <w:rPr>
          <w:rFonts w:ascii="Tahoma" w:hAnsi="Tahoma" w:cs="Tahoma"/>
          <w:sz w:val="20"/>
        </w:rPr>
        <w:t xml:space="preserve"> – the Tick value;</w:t>
      </w:r>
    </w:p>
    <w:p w14:paraId="54F9701B"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t>R - the Tick.</w:t>
      </w:r>
    </w:p>
    <w:p w14:paraId="004E9068" w14:textId="77777777" w:rsidR="00050D92" w:rsidRPr="00231D6A" w:rsidRDefault="00050D92" w:rsidP="00231D6A">
      <w:pPr>
        <w:numPr>
          <w:ilvl w:val="0"/>
          <w:numId w:val="5"/>
        </w:numPr>
        <w:autoSpaceDE w:val="0"/>
        <w:autoSpaceDN w:val="0"/>
        <w:spacing w:before="120" w:after="120" w:line="240" w:lineRule="auto"/>
        <w:ind w:left="2268" w:firstLine="0"/>
        <w:jc w:val="both"/>
        <w:rPr>
          <w:rFonts w:ascii="Tahoma" w:eastAsia="Times New Roman" w:hAnsi="Tahoma" w:cs="Tahoma"/>
          <w:sz w:val="20"/>
          <w:szCs w:val="20"/>
        </w:rPr>
      </w:pPr>
      <w:r w:rsidRPr="00231D6A">
        <w:rPr>
          <w:rFonts w:ascii="Tahoma" w:hAnsi="Tahoma" w:cs="Tahoma"/>
          <w:sz w:val="20"/>
        </w:rPr>
        <w:t>If the variation margin under the Contract has been calculated during the end-of-day clearing session of the previous Trading Day:</w:t>
      </w:r>
    </w:p>
    <w:p w14:paraId="61069C07" w14:textId="77777777" w:rsidR="00050D92" w:rsidRPr="00231D6A" w:rsidRDefault="00050D92" w:rsidP="00231D6A">
      <w:pPr>
        <w:tabs>
          <w:tab w:val="left" w:pos="9000"/>
        </w:tabs>
        <w:autoSpaceDE w:val="0"/>
        <w:autoSpaceDN w:val="0"/>
        <w:spacing w:before="120" w:after="120" w:line="240" w:lineRule="auto"/>
        <w:ind w:left="2268" w:right="-285"/>
        <w:jc w:val="both"/>
        <w:rPr>
          <w:rFonts w:ascii="Tahoma" w:eastAsia="Times New Roman" w:hAnsi="Tahoma" w:cs="Tahoma"/>
          <w:b/>
          <w:sz w:val="20"/>
          <w:szCs w:val="20"/>
        </w:rPr>
      </w:pPr>
      <w:r w:rsidRPr="00231D6A">
        <w:rPr>
          <w:rFonts w:ascii="Tahoma" w:hAnsi="Tahoma" w:cs="Tahoma"/>
          <w:b/>
          <w:sz w:val="20"/>
        </w:rPr>
        <w:t>VM = Round (SP</w:t>
      </w:r>
      <w:r w:rsidRPr="00231D6A">
        <w:rPr>
          <w:rFonts w:ascii="Tahoma" w:hAnsi="Tahoma" w:cs="Tahoma"/>
          <w:b/>
          <w:sz w:val="20"/>
          <w:vertAlign w:val="subscript"/>
        </w:rPr>
        <w:t>2</w:t>
      </w:r>
      <w:r w:rsidRPr="00231D6A">
        <w:rPr>
          <w:rFonts w:ascii="Tahoma" w:hAnsi="Tahoma" w:cs="Tahoma"/>
          <w:b/>
          <w:sz w:val="20"/>
        </w:rPr>
        <w:t>*Round (W</w:t>
      </w:r>
      <w:r w:rsidRPr="00231D6A">
        <w:rPr>
          <w:rFonts w:ascii="Tahoma" w:hAnsi="Tahoma" w:cs="Tahoma"/>
          <w:b/>
          <w:sz w:val="20"/>
          <w:vertAlign w:val="subscript"/>
        </w:rPr>
        <w:t>2</w:t>
      </w:r>
      <w:r w:rsidRPr="00231D6A">
        <w:rPr>
          <w:rFonts w:ascii="Tahoma" w:hAnsi="Tahoma" w:cs="Tahoma"/>
          <w:b/>
          <w:sz w:val="20"/>
        </w:rPr>
        <w:t>/R;5); 2) – Round (SP</w:t>
      </w:r>
      <w:r w:rsidRPr="00231D6A">
        <w:rPr>
          <w:rFonts w:ascii="Tahoma" w:hAnsi="Tahoma" w:cs="Tahoma"/>
          <w:b/>
          <w:sz w:val="20"/>
          <w:vertAlign w:val="subscript"/>
        </w:rPr>
        <w:t>П</w:t>
      </w:r>
      <w:r w:rsidRPr="00231D6A">
        <w:rPr>
          <w:rFonts w:ascii="Tahoma" w:hAnsi="Tahoma" w:cs="Tahoma"/>
          <w:b/>
          <w:sz w:val="20"/>
        </w:rPr>
        <w:t>*Round (W</w:t>
      </w:r>
      <w:r w:rsidRPr="00231D6A">
        <w:rPr>
          <w:rFonts w:ascii="Tahoma" w:hAnsi="Tahoma" w:cs="Tahoma"/>
          <w:b/>
          <w:sz w:val="20"/>
          <w:vertAlign w:val="subscript"/>
        </w:rPr>
        <w:t>2</w:t>
      </w:r>
      <w:r w:rsidRPr="00231D6A">
        <w:rPr>
          <w:rFonts w:ascii="Tahoma" w:hAnsi="Tahoma" w:cs="Tahoma"/>
          <w:b/>
          <w:sz w:val="20"/>
        </w:rPr>
        <w:t>/R;5); 2)</w:t>
      </w:r>
    </w:p>
    <w:p w14:paraId="559CA5DD"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t>where:</w:t>
      </w:r>
    </w:p>
    <w:p w14:paraId="7593F808"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lastRenderedPageBreak/>
        <w:t>Round – mathematical rounding to the specified precision;</w:t>
      </w:r>
    </w:p>
    <w:p w14:paraId="489F4890"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t>SP</w:t>
      </w:r>
      <w:r w:rsidRPr="00231D6A">
        <w:rPr>
          <w:rFonts w:ascii="Tahoma" w:hAnsi="Tahoma" w:cs="Tahoma"/>
          <w:sz w:val="20"/>
          <w:vertAlign w:val="subscript"/>
        </w:rPr>
        <w:t>1</w:t>
      </w:r>
      <w:r w:rsidRPr="00231D6A">
        <w:rPr>
          <w:rFonts w:ascii="Tahoma" w:hAnsi="Tahoma" w:cs="Tahoma"/>
          <w:sz w:val="20"/>
        </w:rPr>
        <w:t xml:space="preserve"> – the daily (last) Settlement Price of the Contract;</w:t>
      </w:r>
    </w:p>
    <w:p w14:paraId="21AF8751"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proofErr w:type="spellStart"/>
      <w:r w:rsidRPr="00231D6A">
        <w:rPr>
          <w:rFonts w:ascii="Tahoma" w:hAnsi="Tahoma" w:cs="Tahoma"/>
          <w:sz w:val="20"/>
        </w:rPr>
        <w:t>SP</w:t>
      </w:r>
      <w:r w:rsidRPr="00231D6A">
        <w:rPr>
          <w:rFonts w:ascii="Tahoma" w:hAnsi="Tahoma" w:cs="Tahoma"/>
          <w:sz w:val="20"/>
          <w:vertAlign w:val="subscript"/>
        </w:rPr>
        <w:t>p</w:t>
      </w:r>
      <w:proofErr w:type="spellEnd"/>
      <w:r w:rsidRPr="00231D6A">
        <w:rPr>
          <w:rFonts w:ascii="Tahoma" w:hAnsi="Tahoma" w:cs="Tahoma"/>
          <w:sz w:val="20"/>
        </w:rPr>
        <w:t xml:space="preserve"> – the Settlement Price of the Contract determined at the end of the end-of-day Settlement Period of the previous Trading Day;</w:t>
      </w:r>
    </w:p>
    <w:p w14:paraId="65E70172"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t>W</w:t>
      </w:r>
      <w:r w:rsidRPr="00231D6A">
        <w:rPr>
          <w:rFonts w:ascii="Tahoma" w:hAnsi="Tahoma" w:cs="Tahoma"/>
          <w:sz w:val="20"/>
          <w:vertAlign w:val="subscript"/>
        </w:rPr>
        <w:t>2</w:t>
      </w:r>
      <w:r w:rsidRPr="00231D6A">
        <w:rPr>
          <w:rFonts w:ascii="Tahoma" w:hAnsi="Tahoma" w:cs="Tahoma"/>
          <w:sz w:val="20"/>
        </w:rPr>
        <w:t xml:space="preserve"> – the Tick value;</w:t>
      </w:r>
    </w:p>
    <w:p w14:paraId="6A2F5624" w14:textId="77777777" w:rsidR="00050D92" w:rsidRPr="00231D6A" w:rsidRDefault="00050D92" w:rsidP="00231D6A">
      <w:pPr>
        <w:tabs>
          <w:tab w:val="left" w:pos="9000"/>
        </w:tabs>
        <w:autoSpaceDE w:val="0"/>
        <w:autoSpaceDN w:val="0"/>
        <w:spacing w:before="120" w:after="120" w:line="240" w:lineRule="auto"/>
        <w:ind w:left="2268"/>
        <w:jc w:val="both"/>
        <w:rPr>
          <w:rFonts w:ascii="Tahoma" w:eastAsia="Times New Roman" w:hAnsi="Tahoma" w:cs="Tahoma"/>
          <w:sz w:val="20"/>
          <w:szCs w:val="20"/>
        </w:rPr>
      </w:pPr>
      <w:r w:rsidRPr="00231D6A">
        <w:rPr>
          <w:rFonts w:ascii="Tahoma" w:hAnsi="Tahoma" w:cs="Tahoma"/>
          <w:sz w:val="20"/>
        </w:rPr>
        <w:t>R - the Tick.</w:t>
      </w:r>
    </w:p>
    <w:p w14:paraId="35089A37" w14:textId="77777777" w:rsidR="00050D92" w:rsidRPr="00231D6A" w:rsidRDefault="00050D92" w:rsidP="00231D6A">
      <w:pPr>
        <w:autoSpaceDE w:val="0"/>
        <w:autoSpaceDN w:val="0"/>
        <w:spacing w:before="120" w:after="120" w:line="240" w:lineRule="auto"/>
        <w:ind w:left="1276"/>
        <w:jc w:val="both"/>
        <w:rPr>
          <w:rFonts w:ascii="Tahoma" w:eastAsia="Times New Roman" w:hAnsi="Tahoma" w:cs="Tahoma"/>
          <w:color w:val="000000"/>
          <w:sz w:val="20"/>
          <w:szCs w:val="20"/>
        </w:rPr>
      </w:pPr>
      <w:r w:rsidRPr="00231D6A">
        <w:rPr>
          <w:rFonts w:ascii="Tahoma" w:hAnsi="Tahoma" w:cs="Tahoma"/>
          <w:color w:val="000000"/>
          <w:sz w:val="20"/>
        </w:rPr>
        <w:t>To calculate the variation margin during the end-of-day clearing session of the current Trading Day, the Tick value is calculated using the US Dollar FX Rate the time of which is determined by the Exchange and published on the Exchange's website.</w:t>
      </w:r>
    </w:p>
    <w:p w14:paraId="2611027A" w14:textId="71026B3E" w:rsidR="00050D92" w:rsidRPr="00231D6A" w:rsidRDefault="006D4425" w:rsidP="00231D6A">
      <w:pPr>
        <w:pStyle w:val="1"/>
        <w:tabs>
          <w:tab w:val="clear" w:pos="1275"/>
        </w:tabs>
        <w:spacing w:before="120" w:after="120"/>
        <w:ind w:left="1985" w:hanging="708"/>
        <w:rPr>
          <w:rFonts w:ascii="Tahoma" w:hAnsi="Tahoma" w:cs="Tahoma"/>
        </w:rPr>
      </w:pPr>
      <w:r w:rsidRPr="00231D6A">
        <w:rPr>
          <w:rFonts w:ascii="Tahoma" w:hAnsi="Tahoma" w:cs="Tahoma"/>
        </w:rPr>
        <w:t xml:space="preserve"> Fulfilment of the obligation to pay the variation margin calculated according to the formulas set forth in </w:t>
      </w:r>
      <w:r w:rsidR="00231D6A" w:rsidRPr="00231D6A">
        <w:rPr>
          <w:rFonts w:ascii="Tahoma" w:hAnsi="Tahoma" w:cs="Tahoma"/>
        </w:rPr>
        <w:t>Clause</w:t>
      </w:r>
      <w:r w:rsidRPr="00231D6A">
        <w:rPr>
          <w:rFonts w:ascii="Tahoma" w:hAnsi="Tahoma" w:cs="Tahoma"/>
        </w:rPr>
        <w:t xml:space="preserve"> 2.1.3 of the Specification shall be performed in the manner and within the terms set forth in the Clearing Rules. In this case,</w:t>
      </w:r>
    </w:p>
    <w:p w14:paraId="7598DBA2" w14:textId="77777777" w:rsidR="00050D92" w:rsidRPr="00231D6A" w:rsidRDefault="00050D92" w:rsidP="00231D6A">
      <w:pPr>
        <w:numPr>
          <w:ilvl w:val="0"/>
          <w:numId w:val="6"/>
        </w:numPr>
        <w:autoSpaceDE w:val="0"/>
        <w:autoSpaceDN w:val="0"/>
        <w:spacing w:before="120" w:after="120" w:line="240" w:lineRule="auto"/>
        <w:ind w:left="2694" w:hanging="589"/>
        <w:jc w:val="both"/>
        <w:rPr>
          <w:rFonts w:ascii="Tahoma" w:eastAsia="Times New Roman" w:hAnsi="Tahoma" w:cs="Tahoma"/>
          <w:color w:val="000000"/>
          <w:sz w:val="20"/>
          <w:szCs w:val="20"/>
        </w:rPr>
      </w:pPr>
      <w:r w:rsidRPr="00231D6A">
        <w:rPr>
          <w:rFonts w:ascii="Tahoma" w:hAnsi="Tahoma" w:cs="Tahoma"/>
          <w:color w:val="000000"/>
          <w:sz w:val="20"/>
        </w:rPr>
        <w:t>if the variation margin is positive, the obligation to pay the variation margin arises for the Seller;</w:t>
      </w:r>
    </w:p>
    <w:p w14:paraId="042EC37A" w14:textId="77777777" w:rsidR="006D4425" w:rsidRPr="00231D6A" w:rsidRDefault="00050D92" w:rsidP="00231D6A">
      <w:pPr>
        <w:numPr>
          <w:ilvl w:val="0"/>
          <w:numId w:val="6"/>
        </w:numPr>
        <w:autoSpaceDE w:val="0"/>
        <w:autoSpaceDN w:val="0"/>
        <w:spacing w:before="120" w:after="120" w:line="240" w:lineRule="auto"/>
        <w:ind w:left="2694" w:hanging="589"/>
        <w:jc w:val="both"/>
        <w:rPr>
          <w:rFonts w:ascii="Tahoma" w:hAnsi="Tahoma" w:cs="Tahoma"/>
          <w:sz w:val="20"/>
          <w:szCs w:val="20"/>
        </w:rPr>
      </w:pPr>
      <w:r w:rsidRPr="00231D6A">
        <w:rPr>
          <w:rFonts w:ascii="Tahoma" w:hAnsi="Tahoma" w:cs="Tahoma"/>
          <w:color w:val="000000"/>
          <w:sz w:val="20"/>
        </w:rPr>
        <w:t>if the variation margin is negative, the Buyer is obligated to pay the variation margin in an amount equal to the absolute value of the calculated variation margin.</w:t>
      </w:r>
    </w:p>
    <w:p w14:paraId="110DC8E9" w14:textId="77777777" w:rsidR="006D4425" w:rsidRPr="00231D6A" w:rsidRDefault="006D4425" w:rsidP="00231D6A">
      <w:pPr>
        <w:pStyle w:val="1"/>
        <w:tabs>
          <w:tab w:val="clear" w:pos="1275"/>
        </w:tabs>
        <w:spacing w:before="120" w:after="120"/>
        <w:ind w:left="1985" w:hanging="708"/>
        <w:rPr>
          <w:rFonts w:ascii="Tahoma" w:hAnsi="Tahoma" w:cs="Tahoma"/>
        </w:rPr>
      </w:pPr>
      <w:r w:rsidRPr="00231D6A">
        <w:rPr>
          <w:rFonts w:ascii="Tahoma" w:hAnsi="Tahoma" w:cs="Tahoma"/>
        </w:rPr>
        <w:t xml:space="preserve"> The settlement price of the Contract is set by the Exchange under the procedure and within the time frames set out in the Trading Rules and Specification.</w:t>
      </w:r>
    </w:p>
    <w:p w14:paraId="58E13EDA" w14:textId="4EA0905E" w:rsidR="006D4425" w:rsidRPr="00231D6A" w:rsidRDefault="006D4425" w:rsidP="00231D6A">
      <w:pPr>
        <w:pStyle w:val="a"/>
        <w:ind w:firstLine="0"/>
        <w:rPr>
          <w:rFonts w:ascii="Tahoma" w:hAnsi="Tahoma" w:cs="Tahoma"/>
        </w:rPr>
      </w:pPr>
      <w:r w:rsidRPr="00231D6A">
        <w:rPr>
          <w:rFonts w:ascii="Tahoma" w:hAnsi="Tahoma" w:cs="Tahoma"/>
        </w:rPr>
        <w:t>Expiration settlement obligation</w:t>
      </w:r>
    </w:p>
    <w:p w14:paraId="5435117A" w14:textId="0A769EEC" w:rsidR="006D4425" w:rsidRPr="00231D6A" w:rsidRDefault="006D4425" w:rsidP="00231D6A">
      <w:pPr>
        <w:pStyle w:val="a0"/>
        <w:tabs>
          <w:tab w:val="clear" w:pos="1287"/>
        </w:tabs>
        <w:spacing w:before="120" w:after="120"/>
        <w:ind w:left="1276"/>
        <w:rPr>
          <w:rFonts w:ascii="Tahoma" w:hAnsi="Tahoma" w:cs="Tahoma"/>
        </w:rPr>
      </w:pPr>
      <w:r w:rsidRPr="00231D6A">
        <w:rPr>
          <w:rFonts w:ascii="Tahoma" w:hAnsi="Tahoma" w:cs="Tahoma"/>
        </w:rPr>
        <w:t>The obligation to pay the variation margin as determined during the end-of-day clearing session on the Expiration Settlement Day of the Contract, is the Expiration Settlement Obligation.</w:t>
      </w:r>
    </w:p>
    <w:p w14:paraId="410CA0B6" w14:textId="2104ED7D" w:rsidR="00312C06" w:rsidRPr="00231D6A" w:rsidRDefault="00312C06" w:rsidP="00231D6A">
      <w:pPr>
        <w:pStyle w:val="a0"/>
        <w:tabs>
          <w:tab w:val="clear" w:pos="1287"/>
        </w:tabs>
        <w:spacing w:before="120" w:after="120"/>
        <w:ind w:left="1276"/>
        <w:rPr>
          <w:rFonts w:ascii="Tahoma" w:hAnsi="Tahoma" w:cs="Tahoma"/>
        </w:rPr>
      </w:pPr>
      <w:r w:rsidRPr="00231D6A">
        <w:rPr>
          <w:rFonts w:ascii="Tahoma" w:hAnsi="Tahoma" w:cs="Tahoma"/>
        </w:rPr>
        <w:t xml:space="preserve">For the purpose of determining the Expiration Settlement Obligation, the current Contract Settlement Price (Contract Expiration Settlement Price) shall be determined as the arithmetic mean of the RVI Index calculated for the period from 14:05:15 to 18:05:00 Moscow time inclusive (hereinafter referred to as the "Calculation Period") on the Contract Expiration Settlement Day, determined in accordance with Clauses 1.4-1.5 above. </w:t>
      </w:r>
    </w:p>
    <w:p w14:paraId="63F97774" w14:textId="77777777" w:rsidR="00D61A38" w:rsidRPr="00231D6A" w:rsidRDefault="00D61A38" w:rsidP="00231D6A">
      <w:pPr>
        <w:pStyle w:val="a"/>
        <w:ind w:firstLine="0"/>
        <w:rPr>
          <w:rFonts w:ascii="Tahoma" w:hAnsi="Tahoma" w:cs="Tahoma"/>
        </w:rPr>
      </w:pPr>
      <w:r w:rsidRPr="00231D6A">
        <w:rPr>
          <w:rFonts w:ascii="Tahoma" w:hAnsi="Tahoma" w:cs="Tahoma"/>
        </w:rPr>
        <w:t>Grounds and procedure for termination of obligations under the Contract</w:t>
      </w:r>
    </w:p>
    <w:p w14:paraId="746886B6" w14:textId="77777777" w:rsidR="00D61A38" w:rsidRPr="00231D6A" w:rsidRDefault="00D61A38" w:rsidP="00231D6A">
      <w:pPr>
        <w:pStyle w:val="a0"/>
        <w:tabs>
          <w:tab w:val="clear" w:pos="1287"/>
        </w:tabs>
        <w:spacing w:before="120" w:after="120"/>
        <w:ind w:left="1276"/>
        <w:rPr>
          <w:rFonts w:ascii="Tahoma" w:hAnsi="Tahoma" w:cs="Tahoma"/>
        </w:rPr>
      </w:pPr>
      <w:r w:rsidRPr="00231D6A">
        <w:rPr>
          <w:rFonts w:ascii="Tahoma" w:hAnsi="Tahoma" w:cs="Tahoma"/>
        </w:rPr>
        <w:t xml:space="preserve">The obligations under the Contract shall terminate in full upon their due performance. </w:t>
      </w:r>
    </w:p>
    <w:p w14:paraId="6904F1B2" w14:textId="77777777" w:rsidR="00D61A38" w:rsidRPr="00231D6A" w:rsidRDefault="00D61A38" w:rsidP="00231D6A">
      <w:pPr>
        <w:pStyle w:val="a0"/>
        <w:tabs>
          <w:tab w:val="clear" w:pos="1287"/>
        </w:tabs>
        <w:spacing w:before="120" w:after="120"/>
        <w:ind w:left="1276"/>
        <w:rPr>
          <w:rFonts w:ascii="Tahoma" w:hAnsi="Tahoma" w:cs="Tahoma"/>
        </w:rPr>
      </w:pPr>
      <w:r w:rsidRPr="00231D6A">
        <w:rPr>
          <w:rFonts w:ascii="Tahoma" w:hAnsi="Tahoma" w:cs="Tahoma"/>
        </w:rPr>
        <w:t>The party’s obligations under the Contract will be terminated prior to the final settlement by entering into an offsetting Contract with the same Contract code (designation), subject to the procedures and time limits set forth in the Clearing Rules.</w:t>
      </w:r>
    </w:p>
    <w:p w14:paraId="7DB923FC" w14:textId="77777777" w:rsidR="00D61A38" w:rsidRPr="00231D6A" w:rsidRDefault="00D61A38" w:rsidP="00231D6A">
      <w:pPr>
        <w:pStyle w:val="a0"/>
        <w:tabs>
          <w:tab w:val="clear" w:pos="1287"/>
        </w:tabs>
        <w:spacing w:before="120" w:after="120"/>
        <w:ind w:left="1276"/>
        <w:rPr>
          <w:rFonts w:ascii="Tahoma" w:hAnsi="Tahoma" w:cs="Tahoma"/>
        </w:rPr>
      </w:pPr>
      <w:r w:rsidRPr="00231D6A">
        <w:rPr>
          <w:rFonts w:ascii="Tahoma" w:hAnsi="Tahoma" w:cs="Tahoma"/>
        </w:rPr>
        <w:t>The obligations under the Contract may be terminated for other reasons provided for in the Clearing Rules, in accordance with the procedures set forth therein.</w:t>
      </w:r>
    </w:p>
    <w:p w14:paraId="42A67115" w14:textId="77777777" w:rsidR="00D61A38" w:rsidRPr="00231D6A" w:rsidRDefault="00D61A38" w:rsidP="00231D6A">
      <w:pPr>
        <w:pStyle w:val="a"/>
        <w:ind w:firstLine="0"/>
        <w:rPr>
          <w:rFonts w:ascii="Tahoma" w:hAnsi="Tahoma" w:cs="Tahoma"/>
        </w:rPr>
      </w:pPr>
      <w:r w:rsidRPr="00231D6A">
        <w:rPr>
          <w:rFonts w:ascii="Tahoma" w:hAnsi="Tahoma" w:cs="Tahoma"/>
        </w:rPr>
        <w:t>Liability of the parties for failure to perform the obligations under the Contract</w:t>
      </w:r>
    </w:p>
    <w:p w14:paraId="064D1A42" w14:textId="77777777" w:rsidR="00D61A38" w:rsidRPr="00231D6A" w:rsidRDefault="00D61A38" w:rsidP="00231D6A">
      <w:pPr>
        <w:pStyle w:val="a0"/>
        <w:tabs>
          <w:tab w:val="clear" w:pos="1287"/>
        </w:tabs>
        <w:spacing w:before="120" w:after="120"/>
        <w:ind w:left="1276"/>
        <w:rPr>
          <w:rFonts w:ascii="Tahoma" w:hAnsi="Tahoma" w:cs="Tahoma"/>
        </w:rPr>
      </w:pPr>
      <w:r w:rsidRPr="00231D6A">
        <w:rPr>
          <w:rFonts w:ascii="Tahoma" w:hAnsi="Tahoma" w:cs="Tahoma"/>
        </w:rPr>
        <w:t>The parties shall be liable for non-performance or improper performance of obligations under the Contract in accordance with the legislation of the Russian Federation, the Trading Rules, the Admission Rules and the Clearing Rules.</w:t>
      </w:r>
    </w:p>
    <w:p w14:paraId="56F51178" w14:textId="1E5E7A81" w:rsidR="00D61A38" w:rsidRPr="00231D6A" w:rsidRDefault="00D61A38" w:rsidP="00231D6A">
      <w:pPr>
        <w:pStyle w:val="a"/>
        <w:ind w:firstLine="0"/>
        <w:rPr>
          <w:rFonts w:ascii="Tahoma" w:eastAsia="Calibri" w:hAnsi="Tahoma" w:cs="Tahoma"/>
        </w:rPr>
      </w:pPr>
      <w:r w:rsidRPr="00231D6A">
        <w:rPr>
          <w:rFonts w:ascii="Tahoma" w:hAnsi="Tahoma" w:cs="Tahoma"/>
        </w:rPr>
        <w:t>Special provisions</w:t>
      </w:r>
    </w:p>
    <w:p w14:paraId="12AC0AFA" w14:textId="51449718" w:rsidR="00D61A38" w:rsidRPr="00231D6A" w:rsidRDefault="00D61A38" w:rsidP="00231D6A">
      <w:pPr>
        <w:pStyle w:val="a0"/>
        <w:tabs>
          <w:tab w:val="clear" w:pos="1287"/>
        </w:tabs>
        <w:spacing w:before="120" w:after="120"/>
        <w:ind w:left="1276"/>
        <w:rPr>
          <w:rFonts w:ascii="Tahoma" w:eastAsia="Calibri" w:hAnsi="Tahoma" w:cs="Tahoma"/>
        </w:rPr>
      </w:pPr>
      <w:r w:rsidRPr="00231D6A">
        <w:rPr>
          <w:rFonts w:ascii="Tahoma" w:hAnsi="Tahoma" w:cs="Tahoma"/>
        </w:rPr>
        <w:t>In the event of circumstances that lead to a material change in the settlement terms for the Contract set forth in the Specification, including in the case of suspension/cancellation of trading in the Contract on the Exchange, suspension/termination of the calculation of the RVI Index, as well as in all other cases stipulated in the Trading Rules, the Exchange shall be entitled, in agreement with the Clearing Centre, to take one or more of the following decisions:</w:t>
      </w:r>
    </w:p>
    <w:p w14:paraId="6D2DDF40" w14:textId="184F04D5" w:rsidR="00D61A38" w:rsidRPr="00231D6A" w:rsidRDefault="0029497D" w:rsidP="00231D6A">
      <w:pPr>
        <w:pStyle w:val="1"/>
        <w:tabs>
          <w:tab w:val="clear" w:pos="1275"/>
        </w:tabs>
        <w:spacing w:before="120" w:after="120"/>
        <w:ind w:left="1985" w:hanging="708"/>
        <w:rPr>
          <w:rFonts w:ascii="Tahoma" w:hAnsi="Tahoma" w:cs="Tahoma"/>
        </w:rPr>
      </w:pPr>
      <w:r w:rsidRPr="00231D6A">
        <w:rPr>
          <w:rFonts w:ascii="Tahoma" w:hAnsi="Tahoma" w:cs="Tahoma"/>
        </w:rPr>
        <w:t xml:space="preserve">Change the Last Trading Day for the Contract, </w:t>
      </w:r>
    </w:p>
    <w:p w14:paraId="0BA29416" w14:textId="77777777" w:rsidR="008A4D37" w:rsidRPr="00231D6A" w:rsidRDefault="0029497D" w:rsidP="00231D6A">
      <w:pPr>
        <w:pStyle w:val="1"/>
        <w:tabs>
          <w:tab w:val="clear" w:pos="1275"/>
        </w:tabs>
        <w:spacing w:before="120" w:after="120"/>
        <w:ind w:left="1985" w:hanging="708"/>
        <w:rPr>
          <w:rFonts w:ascii="Tahoma" w:hAnsi="Tahoma" w:cs="Tahoma"/>
        </w:rPr>
      </w:pPr>
      <w:r w:rsidRPr="00231D6A">
        <w:rPr>
          <w:rFonts w:ascii="Tahoma" w:hAnsi="Tahoma" w:cs="Tahoma"/>
        </w:rPr>
        <w:lastRenderedPageBreak/>
        <w:t>Change the Expiration Settlement Day for the Contract,</w:t>
      </w:r>
    </w:p>
    <w:p w14:paraId="13DA9091" w14:textId="28A0DC6E" w:rsidR="00D61A38" w:rsidRPr="00231D6A" w:rsidRDefault="008A4D37" w:rsidP="00231D6A">
      <w:pPr>
        <w:pStyle w:val="1"/>
        <w:tabs>
          <w:tab w:val="clear" w:pos="1275"/>
        </w:tabs>
        <w:spacing w:before="120" w:after="120"/>
        <w:ind w:left="1985" w:hanging="708"/>
        <w:rPr>
          <w:rFonts w:ascii="Tahoma" w:hAnsi="Tahoma" w:cs="Tahoma"/>
        </w:rPr>
      </w:pPr>
      <w:r w:rsidRPr="00231D6A">
        <w:rPr>
          <w:rFonts w:ascii="Tahoma" w:hAnsi="Tahoma" w:cs="Tahoma"/>
        </w:rPr>
        <w:t>Change the Calculation Period for the Contract's Expiration Settlement Price,</w:t>
      </w:r>
    </w:p>
    <w:p w14:paraId="42E8B6F5" w14:textId="7B2ADCF9" w:rsidR="00D61A38" w:rsidRPr="00231D6A" w:rsidRDefault="0029497D" w:rsidP="00231D6A">
      <w:pPr>
        <w:pStyle w:val="1"/>
        <w:tabs>
          <w:tab w:val="clear" w:pos="1275"/>
        </w:tabs>
        <w:spacing w:before="120" w:after="120"/>
        <w:ind w:left="1985" w:hanging="708"/>
        <w:rPr>
          <w:rFonts w:ascii="Tahoma" w:hAnsi="Tahoma" w:cs="Tahoma"/>
        </w:rPr>
      </w:pPr>
      <w:r w:rsidRPr="00231D6A">
        <w:rPr>
          <w:rFonts w:ascii="Tahoma" w:hAnsi="Tahoma" w:cs="Tahoma"/>
        </w:rPr>
        <w:t xml:space="preserve">Change the daily (final) Settlement Price, and/or change the way variation margin is calculated and paid, </w:t>
      </w:r>
    </w:p>
    <w:p w14:paraId="74BFBC41" w14:textId="366C3AB6" w:rsidR="00D61A38" w:rsidRPr="00231D6A" w:rsidRDefault="0029497D" w:rsidP="00231D6A">
      <w:pPr>
        <w:pStyle w:val="1"/>
        <w:tabs>
          <w:tab w:val="clear" w:pos="1275"/>
        </w:tabs>
        <w:spacing w:before="120" w:after="120"/>
        <w:ind w:left="1985" w:hanging="708"/>
        <w:rPr>
          <w:rFonts w:ascii="Tahoma" w:eastAsia="Calibri" w:hAnsi="Tahoma" w:cs="Tahoma"/>
        </w:rPr>
      </w:pPr>
      <w:r w:rsidRPr="00231D6A">
        <w:rPr>
          <w:rFonts w:ascii="Tahoma" w:hAnsi="Tahoma" w:cs="Tahoma"/>
        </w:rPr>
        <w:t>Undertake other actions provided for in the Trading Rules.</w:t>
      </w:r>
    </w:p>
    <w:p w14:paraId="347D5B5B" w14:textId="567FC377" w:rsidR="005E630E" w:rsidRPr="00231D6A" w:rsidRDefault="00D61A38" w:rsidP="00231D6A">
      <w:pPr>
        <w:pStyle w:val="a0"/>
        <w:tabs>
          <w:tab w:val="clear" w:pos="1287"/>
        </w:tabs>
        <w:spacing w:before="120" w:after="120"/>
        <w:ind w:left="1276"/>
        <w:rPr>
          <w:rFonts w:ascii="Tahoma" w:eastAsia="Calibri" w:hAnsi="Tahoma" w:cs="Tahoma"/>
        </w:rPr>
      </w:pPr>
      <w:r w:rsidRPr="00231D6A">
        <w:rPr>
          <w:rFonts w:ascii="Tahoma" w:hAnsi="Tahoma" w:cs="Tahoma"/>
        </w:rPr>
        <w:t>The Exchange shall be entitled, in agreement with the Clearing Centre, to change the date of the Last Trading Day and/or the Expiration Settlement Day for the Contract with a certain code, or to make other decisions provided for in Clause 6.1 of the Specification, if the Last Trading Day is announced a non-business day by the decision of the state body of the Russian Federation.</w:t>
      </w:r>
    </w:p>
    <w:p w14:paraId="3AFF8C36" w14:textId="0276B549" w:rsidR="00806DED" w:rsidRPr="00231D6A" w:rsidRDefault="00DE149D" w:rsidP="00231D6A">
      <w:pPr>
        <w:pStyle w:val="a0"/>
        <w:tabs>
          <w:tab w:val="clear" w:pos="1287"/>
        </w:tabs>
        <w:spacing w:before="120" w:after="120"/>
        <w:ind w:left="1276"/>
        <w:rPr>
          <w:rFonts w:ascii="Tahoma" w:hAnsi="Tahoma" w:cs="Tahoma"/>
        </w:rPr>
      </w:pPr>
      <w:r w:rsidRPr="00231D6A">
        <w:rPr>
          <w:rFonts w:ascii="Tahoma" w:hAnsi="Tahoma" w:cs="Tahoma"/>
        </w:rPr>
        <w:t xml:space="preserve">Information on the decision(s) taken by the Exchange under clauses 6.1 and/or 6.2 above shall be communicated to the Trading Members by its publication on the Exchange website not less than 3 (three) Trading Days prior to the effective date of the respective decision(s). In case the grounds for decisions provided by Clauses 6.1 and/or 6.2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27EAD5DB" w14:textId="021E7B7C" w:rsidR="00D61A38" w:rsidRPr="00231D6A" w:rsidRDefault="00361A0D" w:rsidP="00231D6A">
      <w:pPr>
        <w:pStyle w:val="a0"/>
        <w:tabs>
          <w:tab w:val="clear" w:pos="1287"/>
        </w:tabs>
        <w:spacing w:before="120" w:after="120"/>
        <w:ind w:left="1276"/>
        <w:rPr>
          <w:rFonts w:ascii="Tahoma" w:eastAsia="Calibri" w:hAnsi="Tahoma" w:cs="Tahoma"/>
        </w:rPr>
      </w:pPr>
      <w:r w:rsidRPr="00231D6A">
        <w:rPr>
          <w:rFonts w:ascii="Tahoma" w:hAnsi="Tahoma" w:cs="Tahoma"/>
        </w:rPr>
        <w:t>Unless otherwise determined by the Exchange, the terms and conditions of existing Contracts previously executed shall be deemed to have been amended accordingly from the date on which the decision(s) adopted by the Exchange pursuant to Clauses 6.1 and/or 6.2 above takes effect.</w:t>
      </w:r>
    </w:p>
    <w:p w14:paraId="771AF551" w14:textId="00D5AC1C" w:rsidR="00724F0A" w:rsidRPr="00231D6A" w:rsidRDefault="00724F0A" w:rsidP="00231D6A">
      <w:pPr>
        <w:pStyle w:val="a"/>
        <w:ind w:firstLine="0"/>
        <w:rPr>
          <w:rFonts w:ascii="Tahoma" w:eastAsia="Calibri" w:hAnsi="Tahoma" w:cs="Tahoma"/>
        </w:rPr>
      </w:pPr>
      <w:r w:rsidRPr="00231D6A">
        <w:rPr>
          <w:rFonts w:ascii="Tahoma" w:hAnsi="Tahoma" w:cs="Tahoma"/>
        </w:rPr>
        <w:t>Amendments and supplements to the Specification</w:t>
      </w:r>
    </w:p>
    <w:p w14:paraId="59BB27DE" w14:textId="03F69077" w:rsidR="00A923D2" w:rsidRPr="00231D6A" w:rsidRDefault="00724F0A" w:rsidP="00231D6A">
      <w:pPr>
        <w:pStyle w:val="a0"/>
        <w:tabs>
          <w:tab w:val="clear" w:pos="1287"/>
        </w:tabs>
        <w:spacing w:before="120" w:after="120"/>
        <w:ind w:left="1276"/>
        <w:rPr>
          <w:rFonts w:ascii="Tahoma" w:eastAsia="Calibri" w:hAnsi="Tahoma" w:cs="Tahoma"/>
          <w:color w:val="auto"/>
        </w:rPr>
      </w:pPr>
      <w:r w:rsidRPr="00231D6A">
        <w:rPr>
          <w:rFonts w:ascii="Tahoma" w:hAnsi="Tahoma" w:cs="Tahoma"/>
          <w:color w:val="auto"/>
        </w:rPr>
        <w:t xml:space="preserve">The Exchange is entitled to introduce amendments and supplements hereto in agreement with the Clearing </w:t>
      </w:r>
      <w:proofErr w:type="spellStart"/>
      <w:r w:rsidRPr="00231D6A">
        <w:rPr>
          <w:rFonts w:ascii="Tahoma" w:hAnsi="Tahoma" w:cs="Tahoma"/>
          <w:color w:val="auto"/>
        </w:rPr>
        <w:t>Center</w:t>
      </w:r>
      <w:proofErr w:type="spellEnd"/>
      <w:r w:rsidRPr="00231D6A">
        <w:rPr>
          <w:rFonts w:ascii="Tahoma" w:hAnsi="Tahoma" w:cs="Tahoma"/>
          <w:color w:val="auto"/>
        </w:rPr>
        <w:t>.</w:t>
      </w:r>
    </w:p>
    <w:p w14:paraId="639B30C9" w14:textId="3B1B3025" w:rsidR="00724F0A" w:rsidRPr="00231D6A" w:rsidRDefault="00724F0A" w:rsidP="00231D6A">
      <w:pPr>
        <w:pStyle w:val="a0"/>
        <w:tabs>
          <w:tab w:val="clear" w:pos="1287"/>
        </w:tabs>
        <w:spacing w:before="120" w:after="120"/>
        <w:ind w:left="1276"/>
        <w:rPr>
          <w:rFonts w:ascii="Tahoma" w:eastAsia="Calibri" w:hAnsi="Tahoma" w:cs="Tahoma"/>
        </w:rPr>
      </w:pPr>
      <w:r w:rsidRPr="00231D6A">
        <w:rPr>
          <w:rFonts w:ascii="Tahoma" w:hAnsi="Tahoma" w:cs="Tahoma"/>
        </w:rPr>
        <w:t xml:space="preserve">Amendments and supplements to the Specification shall enter into </w:t>
      </w:r>
      <w:r w:rsidR="00231D6A" w:rsidRPr="00231D6A">
        <w:rPr>
          <w:rFonts w:ascii="Tahoma" w:hAnsi="Tahoma" w:cs="Tahoma"/>
        </w:rPr>
        <w:t>force on</w:t>
      </w:r>
      <w:r w:rsidRPr="00231D6A">
        <w:rPr>
          <w:rFonts w:ascii="Tahoma" w:hAnsi="Tahoma" w:cs="Tahoma"/>
        </w:rPr>
        <w:t xml:space="preserve"> the date on which the Exchange enters into force the updated Specification containing such amendments and supplements.</w:t>
      </w:r>
    </w:p>
    <w:p w14:paraId="08342ACA" w14:textId="5A930959" w:rsidR="00A923D2" w:rsidRPr="00231D6A" w:rsidRDefault="00B42DD7" w:rsidP="00231D6A">
      <w:pPr>
        <w:pStyle w:val="a0"/>
        <w:tabs>
          <w:tab w:val="clear" w:pos="1287"/>
        </w:tabs>
        <w:spacing w:before="120" w:after="120"/>
        <w:ind w:left="1276"/>
        <w:rPr>
          <w:rFonts w:ascii="Tahoma" w:hAnsi="Tahoma" w:cs="Tahoma"/>
        </w:rPr>
      </w:pPr>
      <w:r w:rsidRPr="00231D6A">
        <w:rPr>
          <w:rFonts w:ascii="Tahoma" w:hAnsi="Tahoma" w:cs="Tahoma"/>
        </w:rPr>
        <w:t xml:space="preserve">The Specification as amended and supplemented from time to time, is published on the Exchange's website at least 3 (three) business </w:t>
      </w:r>
      <w:r w:rsidR="00231D6A" w:rsidRPr="00231D6A">
        <w:rPr>
          <w:rFonts w:ascii="Tahoma" w:hAnsi="Tahoma" w:cs="Tahoma"/>
        </w:rPr>
        <w:t>days prior</w:t>
      </w:r>
      <w:r w:rsidRPr="00231D6A">
        <w:rPr>
          <w:rFonts w:ascii="Tahoma" w:hAnsi="Tahoma" w:cs="Tahoma"/>
        </w:rPr>
        <w:t xml:space="preserve"> to its entry into force, which shall serve as notice to the trading members.</w:t>
      </w:r>
    </w:p>
    <w:p w14:paraId="6788DA86" w14:textId="77777777" w:rsidR="00A923D2" w:rsidRPr="00231D6A" w:rsidRDefault="00A923D2" w:rsidP="00231D6A">
      <w:pPr>
        <w:pStyle w:val="a0"/>
        <w:tabs>
          <w:tab w:val="clear" w:pos="1287"/>
        </w:tabs>
        <w:spacing w:before="120" w:after="120"/>
        <w:ind w:left="1276"/>
        <w:rPr>
          <w:rFonts w:ascii="Tahoma" w:hAnsi="Tahoma" w:cs="Tahoma"/>
        </w:rPr>
      </w:pPr>
      <w:r w:rsidRPr="00231D6A">
        <w:rPr>
          <w:rFonts w:ascii="Tahoma" w:hAnsi="Tahoma" w:cs="Tahoma"/>
        </w:rPr>
        <w:t>Unless otherwise decided by the Exchange, once any amendments and supplements to the Specification come into effect, the terms of existing Contracts previously executed shall be deemed to have been amended or supplemented accordingly.</w:t>
      </w:r>
    </w:p>
    <w:p w14:paraId="72302E19" w14:textId="57236DC8" w:rsidR="00D61A38" w:rsidRPr="00231D6A" w:rsidRDefault="00D61A38" w:rsidP="00231D6A">
      <w:pPr>
        <w:tabs>
          <w:tab w:val="left" w:pos="851"/>
        </w:tabs>
        <w:spacing w:before="120" w:after="120" w:line="240" w:lineRule="auto"/>
        <w:jc w:val="both"/>
        <w:rPr>
          <w:rFonts w:ascii="Tahoma" w:eastAsia="Calibri" w:hAnsi="Tahoma" w:cs="Tahoma"/>
          <w:sz w:val="20"/>
          <w:szCs w:val="20"/>
        </w:rPr>
      </w:pPr>
    </w:p>
    <w:sectPr w:rsidR="00D61A38" w:rsidRPr="00231D6A" w:rsidSect="00814FDC">
      <w:headerReference w:type="default" r:id="rId8"/>
      <w:footerReference w:type="default" r:id="rId9"/>
      <w:pgSz w:w="11906" w:h="16838" w:code="9"/>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FB00F" w14:textId="77777777" w:rsidR="00FD19A2" w:rsidRDefault="00FD19A2" w:rsidP="00724F0A">
      <w:pPr>
        <w:spacing w:after="0" w:line="240" w:lineRule="auto"/>
      </w:pPr>
      <w:r>
        <w:separator/>
      </w:r>
    </w:p>
  </w:endnote>
  <w:endnote w:type="continuationSeparator" w:id="0">
    <w:p w14:paraId="367350CA" w14:textId="77777777" w:rsidR="00FD19A2" w:rsidRDefault="00FD19A2" w:rsidP="0072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292647"/>
      <w:docPartObj>
        <w:docPartGallery w:val="Page Numbers (Bottom of Page)"/>
        <w:docPartUnique/>
      </w:docPartObj>
    </w:sdtPr>
    <w:sdtEndPr>
      <w:rPr>
        <w:rFonts w:ascii="Tahoma" w:hAnsi="Tahoma" w:cs="Tahoma"/>
        <w:sz w:val="20"/>
        <w:szCs w:val="20"/>
      </w:rPr>
    </w:sdtEndPr>
    <w:sdtContent>
      <w:p w14:paraId="03329D47" w14:textId="77777777" w:rsidR="00724F0A" w:rsidRPr="00724F0A" w:rsidRDefault="00724F0A">
        <w:pPr>
          <w:pStyle w:val="ac"/>
          <w:jc w:val="right"/>
          <w:rPr>
            <w:rFonts w:ascii="Tahoma" w:hAnsi="Tahoma" w:cs="Tahoma"/>
            <w:sz w:val="20"/>
            <w:szCs w:val="20"/>
          </w:rPr>
        </w:pPr>
        <w:r w:rsidRPr="00724F0A">
          <w:rPr>
            <w:rFonts w:ascii="Tahoma" w:hAnsi="Tahoma" w:cs="Tahoma"/>
            <w:sz w:val="20"/>
          </w:rPr>
          <w:fldChar w:fldCharType="begin"/>
        </w:r>
        <w:r w:rsidRPr="00724F0A">
          <w:rPr>
            <w:rFonts w:ascii="Tahoma" w:hAnsi="Tahoma" w:cs="Tahoma"/>
            <w:sz w:val="20"/>
          </w:rPr>
          <w:instrText>PAGE   \* MERGEFORMAT</w:instrText>
        </w:r>
        <w:r w:rsidRPr="00724F0A">
          <w:rPr>
            <w:rFonts w:ascii="Tahoma" w:hAnsi="Tahoma" w:cs="Tahoma"/>
            <w:sz w:val="20"/>
          </w:rPr>
          <w:fldChar w:fldCharType="separate"/>
        </w:r>
        <w:r w:rsidR="00960266">
          <w:rPr>
            <w:rFonts w:ascii="Tahoma" w:hAnsi="Tahoma" w:cs="Tahoma"/>
            <w:sz w:val="20"/>
          </w:rPr>
          <w:t>1</w:t>
        </w:r>
        <w:r w:rsidRPr="00724F0A">
          <w:rPr>
            <w:rFonts w:ascii="Tahoma" w:hAnsi="Tahoma" w:cs="Tahoma"/>
            <w:sz w:val="20"/>
          </w:rPr>
          <w:fldChar w:fldCharType="end"/>
        </w:r>
      </w:p>
    </w:sdtContent>
  </w:sdt>
  <w:p w14:paraId="47C85195" w14:textId="77777777" w:rsidR="00724F0A" w:rsidRDefault="00724F0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0C7FC" w14:textId="77777777" w:rsidR="00FD19A2" w:rsidRDefault="00FD19A2" w:rsidP="00724F0A">
      <w:pPr>
        <w:spacing w:after="0" w:line="240" w:lineRule="auto"/>
      </w:pPr>
      <w:r>
        <w:separator/>
      </w:r>
    </w:p>
  </w:footnote>
  <w:footnote w:type="continuationSeparator" w:id="0">
    <w:p w14:paraId="49E6CB41" w14:textId="77777777" w:rsidR="00FD19A2" w:rsidRDefault="00FD19A2" w:rsidP="00724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793C" w14:textId="2CD16467" w:rsidR="00B60C25" w:rsidRPr="00B60C25" w:rsidRDefault="00B60C25" w:rsidP="00C8201B">
    <w:pPr>
      <w:pStyle w:val="af0"/>
      <w:rPr>
        <w:rFonts w:ascii="Tahoma" w:hAnsi="Tahoma" w:cs="Tahoma"/>
        <w:b/>
        <w:sz w:val="20"/>
        <w:szCs w:val="20"/>
      </w:rPr>
    </w:pPr>
    <w:r>
      <w:rPr>
        <w:rFonts w:ascii="Tahoma" w:hAnsi="Tahoma"/>
        <w:b/>
        <w:sz w:val="20"/>
      </w:rPr>
      <w:t>Specification for the Futures Contract on the Russian Market Volatility Index</w:t>
    </w:r>
  </w:p>
  <w:p w14:paraId="5B63BEC6" w14:textId="12EFD546" w:rsidR="00B60C25" w:rsidRDefault="00B60C25" w:rsidP="00EA18EC">
    <w:pPr>
      <w:pStyle w:val="af0"/>
      <w:pBdr>
        <w:bottom w:val="single" w:sz="12" w:space="1" w:color="auto"/>
      </w:pBdr>
      <w:jc w:val="right"/>
      <w:rPr>
        <w:rFonts w:ascii="Tahoma" w:hAnsi="Tahoma" w:cs="Tahoma"/>
        <w:b/>
        <w:sz w:val="20"/>
        <w:szCs w:val="20"/>
      </w:rPr>
    </w:pPr>
  </w:p>
  <w:p w14:paraId="1C9A92D1" w14:textId="77777777" w:rsidR="00B60C25" w:rsidRDefault="00B60C25">
    <w:pPr>
      <w:pStyle w:val="af0"/>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13EE"/>
    <w:multiLevelType w:val="hybridMultilevel"/>
    <w:tmpl w:val="CEBA6A96"/>
    <w:lvl w:ilvl="0" w:tplc="0419001B">
      <w:start w:val="1"/>
      <w:numFmt w:val="low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2" w15:restartNumberingAfterBreak="0">
    <w:nsid w:val="2A8F5837"/>
    <w:multiLevelType w:val="hybridMultilevel"/>
    <w:tmpl w:val="4860FD86"/>
    <w:lvl w:ilvl="0" w:tplc="42B81DAA">
      <w:start w:val="1"/>
      <w:numFmt w:val="lowerLetter"/>
      <w:lvlText w:val="%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A116BBF"/>
    <w:multiLevelType w:val="multilevel"/>
    <w:tmpl w:val="AF6AFA30"/>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1287"/>
        </w:tabs>
        <w:ind w:left="1287" w:hanging="567"/>
      </w:pPr>
      <w:rPr>
        <w:rFonts w:hint="default"/>
        <w:b w:val="0"/>
      </w:rPr>
    </w:lvl>
    <w:lvl w:ilvl="2">
      <w:start w:val="1"/>
      <w:numFmt w:val="decimal"/>
      <w:pStyle w:val="1"/>
      <w:lvlText w:val="%1.%2.%3."/>
      <w:lvlJc w:val="left"/>
      <w:pPr>
        <w:tabs>
          <w:tab w:val="num" w:pos="1275"/>
        </w:tabs>
        <w:ind w:left="1275" w:hanging="567"/>
      </w:pPr>
      <w:rPr>
        <w:rFonts w:hint="default"/>
        <w:strike w:val="0"/>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44A36186"/>
    <w:multiLevelType w:val="hybridMultilevel"/>
    <w:tmpl w:val="4B5ED8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E4A3A1F"/>
    <w:multiLevelType w:val="hybridMultilevel"/>
    <w:tmpl w:val="49A81314"/>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653A2E96"/>
    <w:multiLevelType w:val="hybridMultilevel"/>
    <w:tmpl w:val="C73602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92"/>
    <w:rsid w:val="00002BC6"/>
    <w:rsid w:val="00003C0C"/>
    <w:rsid w:val="0000512C"/>
    <w:rsid w:val="0000564C"/>
    <w:rsid w:val="00007DFD"/>
    <w:rsid w:val="00016DFB"/>
    <w:rsid w:val="000217BB"/>
    <w:rsid w:val="00023494"/>
    <w:rsid w:val="00033F73"/>
    <w:rsid w:val="00050222"/>
    <w:rsid w:val="00050D92"/>
    <w:rsid w:val="00056CA8"/>
    <w:rsid w:val="000574A4"/>
    <w:rsid w:val="000623F2"/>
    <w:rsid w:val="00081821"/>
    <w:rsid w:val="00081C32"/>
    <w:rsid w:val="0008319D"/>
    <w:rsid w:val="000845CB"/>
    <w:rsid w:val="00097E6B"/>
    <w:rsid w:val="000C1F00"/>
    <w:rsid w:val="000C67DD"/>
    <w:rsid w:val="000D54B4"/>
    <w:rsid w:val="000D774A"/>
    <w:rsid w:val="000E3DC7"/>
    <w:rsid w:val="000E6047"/>
    <w:rsid w:val="000E722C"/>
    <w:rsid w:val="000E7A5F"/>
    <w:rsid w:val="00117BA5"/>
    <w:rsid w:val="00122BDC"/>
    <w:rsid w:val="00140175"/>
    <w:rsid w:val="0014079F"/>
    <w:rsid w:val="001503D3"/>
    <w:rsid w:val="00151C7C"/>
    <w:rsid w:val="0018145E"/>
    <w:rsid w:val="00185211"/>
    <w:rsid w:val="00195A4D"/>
    <w:rsid w:val="001A5B30"/>
    <w:rsid w:val="001B1C90"/>
    <w:rsid w:val="001C390F"/>
    <w:rsid w:val="001C3C1A"/>
    <w:rsid w:val="001C7172"/>
    <w:rsid w:val="001D2161"/>
    <w:rsid w:val="001D3143"/>
    <w:rsid w:val="001F222E"/>
    <w:rsid w:val="002042AC"/>
    <w:rsid w:val="00206BC4"/>
    <w:rsid w:val="00210781"/>
    <w:rsid w:val="002107DA"/>
    <w:rsid w:val="0022098E"/>
    <w:rsid w:val="002210D7"/>
    <w:rsid w:val="00230BA1"/>
    <w:rsid w:val="00231D6A"/>
    <w:rsid w:val="00234D82"/>
    <w:rsid w:val="00236047"/>
    <w:rsid w:val="00241B71"/>
    <w:rsid w:val="0025031D"/>
    <w:rsid w:val="002570EE"/>
    <w:rsid w:val="00262AF9"/>
    <w:rsid w:val="0026442E"/>
    <w:rsid w:val="00274E58"/>
    <w:rsid w:val="0028264B"/>
    <w:rsid w:val="00285FDF"/>
    <w:rsid w:val="002860A0"/>
    <w:rsid w:val="00290F8D"/>
    <w:rsid w:val="00291C5C"/>
    <w:rsid w:val="00293820"/>
    <w:rsid w:val="0029497D"/>
    <w:rsid w:val="002B3C44"/>
    <w:rsid w:val="002B4DB6"/>
    <w:rsid w:val="002C3B04"/>
    <w:rsid w:val="002C5F7A"/>
    <w:rsid w:val="002D1D0F"/>
    <w:rsid w:val="002D3912"/>
    <w:rsid w:val="002E5962"/>
    <w:rsid w:val="002F5D84"/>
    <w:rsid w:val="00311310"/>
    <w:rsid w:val="00312C06"/>
    <w:rsid w:val="00315F11"/>
    <w:rsid w:val="0033220B"/>
    <w:rsid w:val="003534E1"/>
    <w:rsid w:val="00361A0D"/>
    <w:rsid w:val="00365DCA"/>
    <w:rsid w:val="00375348"/>
    <w:rsid w:val="00380795"/>
    <w:rsid w:val="00393D3A"/>
    <w:rsid w:val="003B45F1"/>
    <w:rsid w:val="003B75DE"/>
    <w:rsid w:val="003C2975"/>
    <w:rsid w:val="003D7F5D"/>
    <w:rsid w:val="003E7976"/>
    <w:rsid w:val="003F15BB"/>
    <w:rsid w:val="003F5ECC"/>
    <w:rsid w:val="003F7633"/>
    <w:rsid w:val="003F7958"/>
    <w:rsid w:val="00410279"/>
    <w:rsid w:val="004145A9"/>
    <w:rsid w:val="00423B63"/>
    <w:rsid w:val="00425AA5"/>
    <w:rsid w:val="00440842"/>
    <w:rsid w:val="00440F29"/>
    <w:rsid w:val="004441DE"/>
    <w:rsid w:val="004638CF"/>
    <w:rsid w:val="004863F4"/>
    <w:rsid w:val="00487DC8"/>
    <w:rsid w:val="00496F69"/>
    <w:rsid w:val="004A230D"/>
    <w:rsid w:val="004B60C1"/>
    <w:rsid w:val="004C208A"/>
    <w:rsid w:val="004C6122"/>
    <w:rsid w:val="004D2995"/>
    <w:rsid w:val="004E32C4"/>
    <w:rsid w:val="004F1919"/>
    <w:rsid w:val="004F2958"/>
    <w:rsid w:val="00500F68"/>
    <w:rsid w:val="00506828"/>
    <w:rsid w:val="00514817"/>
    <w:rsid w:val="00517EB5"/>
    <w:rsid w:val="00522717"/>
    <w:rsid w:val="0054521B"/>
    <w:rsid w:val="0056166B"/>
    <w:rsid w:val="00564DDF"/>
    <w:rsid w:val="00565012"/>
    <w:rsid w:val="00573002"/>
    <w:rsid w:val="00573263"/>
    <w:rsid w:val="00591514"/>
    <w:rsid w:val="0059487F"/>
    <w:rsid w:val="005B2717"/>
    <w:rsid w:val="005B4D00"/>
    <w:rsid w:val="005C2DC3"/>
    <w:rsid w:val="005C7CDB"/>
    <w:rsid w:val="005D3ABD"/>
    <w:rsid w:val="005E50A9"/>
    <w:rsid w:val="005E630E"/>
    <w:rsid w:val="005F1F11"/>
    <w:rsid w:val="006000F9"/>
    <w:rsid w:val="006030EB"/>
    <w:rsid w:val="00605A71"/>
    <w:rsid w:val="00630AD9"/>
    <w:rsid w:val="00635EC4"/>
    <w:rsid w:val="006378A0"/>
    <w:rsid w:val="00662D28"/>
    <w:rsid w:val="00662E5F"/>
    <w:rsid w:val="006734F2"/>
    <w:rsid w:val="00674FD2"/>
    <w:rsid w:val="00684D12"/>
    <w:rsid w:val="0069770E"/>
    <w:rsid w:val="006A6202"/>
    <w:rsid w:val="006D3DC7"/>
    <w:rsid w:val="006D4425"/>
    <w:rsid w:val="006E5D52"/>
    <w:rsid w:val="006F5649"/>
    <w:rsid w:val="006F58D5"/>
    <w:rsid w:val="00702A93"/>
    <w:rsid w:val="007078B5"/>
    <w:rsid w:val="00712167"/>
    <w:rsid w:val="00724F0A"/>
    <w:rsid w:val="00752468"/>
    <w:rsid w:val="00752E41"/>
    <w:rsid w:val="007609FA"/>
    <w:rsid w:val="007700A8"/>
    <w:rsid w:val="00794514"/>
    <w:rsid w:val="00797F91"/>
    <w:rsid w:val="007D126A"/>
    <w:rsid w:val="007D2171"/>
    <w:rsid w:val="007D7D8B"/>
    <w:rsid w:val="007E1A62"/>
    <w:rsid w:val="007E3A3E"/>
    <w:rsid w:val="007E5493"/>
    <w:rsid w:val="007F37DA"/>
    <w:rsid w:val="007F78D4"/>
    <w:rsid w:val="00801A94"/>
    <w:rsid w:val="00806123"/>
    <w:rsid w:val="00806DED"/>
    <w:rsid w:val="0081391D"/>
    <w:rsid w:val="00814A76"/>
    <w:rsid w:val="00814FDC"/>
    <w:rsid w:val="00815120"/>
    <w:rsid w:val="0082574B"/>
    <w:rsid w:val="0082666C"/>
    <w:rsid w:val="008302A7"/>
    <w:rsid w:val="008515F1"/>
    <w:rsid w:val="00871919"/>
    <w:rsid w:val="008727DC"/>
    <w:rsid w:val="008738BE"/>
    <w:rsid w:val="008806CC"/>
    <w:rsid w:val="00883D20"/>
    <w:rsid w:val="008A0BCD"/>
    <w:rsid w:val="008A4D37"/>
    <w:rsid w:val="008B6AA3"/>
    <w:rsid w:val="008C65AA"/>
    <w:rsid w:val="008D4BE0"/>
    <w:rsid w:val="008E2FC4"/>
    <w:rsid w:val="008F453A"/>
    <w:rsid w:val="008F5916"/>
    <w:rsid w:val="008F7030"/>
    <w:rsid w:val="00904888"/>
    <w:rsid w:val="009146E7"/>
    <w:rsid w:val="00917AD5"/>
    <w:rsid w:val="00917DC5"/>
    <w:rsid w:val="00923238"/>
    <w:rsid w:val="0093650D"/>
    <w:rsid w:val="009413D5"/>
    <w:rsid w:val="00951507"/>
    <w:rsid w:val="009542D5"/>
    <w:rsid w:val="00960266"/>
    <w:rsid w:val="009640E5"/>
    <w:rsid w:val="009709BE"/>
    <w:rsid w:val="00980318"/>
    <w:rsid w:val="009933AE"/>
    <w:rsid w:val="009B1994"/>
    <w:rsid w:val="009B7E65"/>
    <w:rsid w:val="009D4C5A"/>
    <w:rsid w:val="009F109D"/>
    <w:rsid w:val="009F4897"/>
    <w:rsid w:val="00A02E00"/>
    <w:rsid w:val="00A038A3"/>
    <w:rsid w:val="00A12993"/>
    <w:rsid w:val="00A15CCB"/>
    <w:rsid w:val="00A2583A"/>
    <w:rsid w:val="00A50996"/>
    <w:rsid w:val="00A5372C"/>
    <w:rsid w:val="00A56507"/>
    <w:rsid w:val="00A62CF9"/>
    <w:rsid w:val="00A81B21"/>
    <w:rsid w:val="00A87F71"/>
    <w:rsid w:val="00A91A78"/>
    <w:rsid w:val="00A923D2"/>
    <w:rsid w:val="00AA01DF"/>
    <w:rsid w:val="00AA4303"/>
    <w:rsid w:val="00AB1F20"/>
    <w:rsid w:val="00AB6A84"/>
    <w:rsid w:val="00AB6E5C"/>
    <w:rsid w:val="00AD6263"/>
    <w:rsid w:val="00AF0295"/>
    <w:rsid w:val="00AF3261"/>
    <w:rsid w:val="00AF5A5B"/>
    <w:rsid w:val="00AF70B7"/>
    <w:rsid w:val="00B0752C"/>
    <w:rsid w:val="00B13903"/>
    <w:rsid w:val="00B353D9"/>
    <w:rsid w:val="00B357DA"/>
    <w:rsid w:val="00B41E5C"/>
    <w:rsid w:val="00B42D3E"/>
    <w:rsid w:val="00B42DD7"/>
    <w:rsid w:val="00B52EFC"/>
    <w:rsid w:val="00B60C25"/>
    <w:rsid w:val="00B93A8F"/>
    <w:rsid w:val="00B93C01"/>
    <w:rsid w:val="00B95856"/>
    <w:rsid w:val="00B961B7"/>
    <w:rsid w:val="00BB22BC"/>
    <w:rsid w:val="00BC1F77"/>
    <w:rsid w:val="00BC2D61"/>
    <w:rsid w:val="00BC2F3E"/>
    <w:rsid w:val="00BD5E17"/>
    <w:rsid w:val="00BF69A3"/>
    <w:rsid w:val="00C01574"/>
    <w:rsid w:val="00C02363"/>
    <w:rsid w:val="00C04BAD"/>
    <w:rsid w:val="00C075F1"/>
    <w:rsid w:val="00C20674"/>
    <w:rsid w:val="00C21A1C"/>
    <w:rsid w:val="00C301BD"/>
    <w:rsid w:val="00C569F6"/>
    <w:rsid w:val="00C8201B"/>
    <w:rsid w:val="00CA4732"/>
    <w:rsid w:val="00CA7A85"/>
    <w:rsid w:val="00CB3E06"/>
    <w:rsid w:val="00CD0E09"/>
    <w:rsid w:val="00CE699F"/>
    <w:rsid w:val="00D1075A"/>
    <w:rsid w:val="00D14C45"/>
    <w:rsid w:val="00D31BBB"/>
    <w:rsid w:val="00D33FD0"/>
    <w:rsid w:val="00D34BBD"/>
    <w:rsid w:val="00D4016F"/>
    <w:rsid w:val="00D517A9"/>
    <w:rsid w:val="00D53AA8"/>
    <w:rsid w:val="00D57619"/>
    <w:rsid w:val="00D605DE"/>
    <w:rsid w:val="00D61A38"/>
    <w:rsid w:val="00D62E7F"/>
    <w:rsid w:val="00D640EA"/>
    <w:rsid w:val="00D80208"/>
    <w:rsid w:val="00D80503"/>
    <w:rsid w:val="00D80746"/>
    <w:rsid w:val="00D80A1B"/>
    <w:rsid w:val="00DA087C"/>
    <w:rsid w:val="00DA3D17"/>
    <w:rsid w:val="00DA61AB"/>
    <w:rsid w:val="00DB5E8E"/>
    <w:rsid w:val="00DC442E"/>
    <w:rsid w:val="00DD1743"/>
    <w:rsid w:val="00DE149D"/>
    <w:rsid w:val="00E1339C"/>
    <w:rsid w:val="00E170E0"/>
    <w:rsid w:val="00E21A0E"/>
    <w:rsid w:val="00E36FFE"/>
    <w:rsid w:val="00E41AAD"/>
    <w:rsid w:val="00E51DE7"/>
    <w:rsid w:val="00E736A2"/>
    <w:rsid w:val="00E73BA7"/>
    <w:rsid w:val="00E946CB"/>
    <w:rsid w:val="00E95D43"/>
    <w:rsid w:val="00E97142"/>
    <w:rsid w:val="00EA18EC"/>
    <w:rsid w:val="00EB753D"/>
    <w:rsid w:val="00EC2A05"/>
    <w:rsid w:val="00EE209B"/>
    <w:rsid w:val="00EE2E68"/>
    <w:rsid w:val="00F03936"/>
    <w:rsid w:val="00F1398E"/>
    <w:rsid w:val="00F35406"/>
    <w:rsid w:val="00F42EB0"/>
    <w:rsid w:val="00F5190C"/>
    <w:rsid w:val="00F54766"/>
    <w:rsid w:val="00F56C21"/>
    <w:rsid w:val="00F612D2"/>
    <w:rsid w:val="00F6411D"/>
    <w:rsid w:val="00F6595A"/>
    <w:rsid w:val="00F65B7E"/>
    <w:rsid w:val="00F6630C"/>
    <w:rsid w:val="00F672E8"/>
    <w:rsid w:val="00F75B0D"/>
    <w:rsid w:val="00F82386"/>
    <w:rsid w:val="00F93452"/>
    <w:rsid w:val="00F95964"/>
    <w:rsid w:val="00FD19A2"/>
    <w:rsid w:val="00FD1BA7"/>
    <w:rsid w:val="00FD1FBC"/>
    <w:rsid w:val="00FE1A15"/>
    <w:rsid w:val="00FE5556"/>
    <w:rsid w:val="00FE6E3D"/>
    <w:rsid w:val="00FF1899"/>
    <w:rsid w:val="00FF5510"/>
    <w:rsid w:val="00FF60F8"/>
    <w:rsid w:val="00FF63AB"/>
    <w:rsid w:val="00FF6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C224"/>
  <w15:docId w15:val="{B340E0A7-4CE5-40DC-8ADC-5DF52EE4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rsid w:val="00050D92"/>
    <w:pPr>
      <w:autoSpaceDE w:val="0"/>
      <w:autoSpaceDN w:val="0"/>
      <w:spacing w:before="100" w:after="100" w:line="240" w:lineRule="auto"/>
    </w:pPr>
    <w:rPr>
      <w:rFonts w:ascii="Times New Roman" w:eastAsia="Times New Roman" w:hAnsi="Times New Roman" w:cs="Times New Roman"/>
      <w:color w:val="000000"/>
      <w:sz w:val="20"/>
      <w:szCs w:val="20"/>
      <w:lang w:eastAsia="ru-RU"/>
    </w:rPr>
  </w:style>
  <w:style w:type="paragraph" w:customStyle="1" w:styleId="a0">
    <w:name w:val="Подпункт спецификации"/>
    <w:basedOn w:val="a6"/>
    <w:rsid w:val="00050D92"/>
    <w:pPr>
      <w:numPr>
        <w:ilvl w:val="1"/>
        <w:numId w:val="1"/>
      </w:numPr>
      <w:autoSpaceDE w:val="0"/>
      <w:autoSpaceDN w:val="0"/>
      <w:spacing w:after="60" w:line="240" w:lineRule="auto"/>
      <w:jc w:val="both"/>
    </w:pPr>
    <w:rPr>
      <w:rFonts w:ascii="Arial" w:eastAsia="Times New Roman" w:hAnsi="Arial" w:cs="Arial"/>
      <w:color w:val="000000"/>
      <w:sz w:val="20"/>
      <w:szCs w:val="20"/>
      <w:lang w:eastAsia="ru-RU"/>
    </w:rPr>
  </w:style>
  <w:style w:type="paragraph" w:customStyle="1" w:styleId="a">
    <w:name w:val="Пункт спецификации"/>
    <w:basedOn w:val="a1"/>
    <w:rsid w:val="00050D92"/>
    <w:pPr>
      <w:numPr>
        <w:numId w:val="1"/>
      </w:numPr>
      <w:autoSpaceDE w:val="0"/>
      <w:autoSpaceDN w:val="0"/>
      <w:spacing w:before="120" w:after="120" w:line="240" w:lineRule="auto"/>
      <w:jc w:val="both"/>
    </w:pPr>
    <w:rPr>
      <w:rFonts w:ascii="Arial" w:eastAsia="Times New Roman" w:hAnsi="Arial" w:cs="Arial"/>
      <w:b/>
      <w:sz w:val="20"/>
      <w:szCs w:val="20"/>
      <w:lang w:eastAsia="ru-RU"/>
    </w:rPr>
  </w:style>
  <w:style w:type="paragraph" w:customStyle="1" w:styleId="Pointmark">
    <w:name w:val="Point (mark)"/>
    <w:rsid w:val="00050D92"/>
    <w:pPr>
      <w:numPr>
        <w:numId w:val="2"/>
      </w:numPr>
      <w:tabs>
        <w:tab w:val="clear" w:pos="360"/>
        <w:tab w:val="num" w:pos="1134"/>
      </w:tabs>
      <w:spacing w:after="60" w:line="240" w:lineRule="auto"/>
      <w:ind w:left="567" w:firstLine="0"/>
      <w:jc w:val="both"/>
    </w:pPr>
    <w:rPr>
      <w:rFonts w:ascii="Arial" w:eastAsia="Times New Roman" w:hAnsi="Arial" w:cs="Arial"/>
      <w:sz w:val="20"/>
      <w:szCs w:val="20"/>
    </w:rPr>
  </w:style>
  <w:style w:type="paragraph" w:customStyle="1" w:styleId="1">
    <w:name w:val="Подпункт спецификации 1"/>
    <w:basedOn w:val="a0"/>
    <w:rsid w:val="00050D92"/>
    <w:pPr>
      <w:numPr>
        <w:ilvl w:val="2"/>
      </w:numPr>
    </w:pPr>
  </w:style>
  <w:style w:type="paragraph" w:styleId="a6">
    <w:name w:val="Body Text Indent"/>
    <w:basedOn w:val="a1"/>
    <w:link w:val="a7"/>
    <w:uiPriority w:val="99"/>
    <w:semiHidden/>
    <w:unhideWhenUsed/>
    <w:rsid w:val="00050D92"/>
    <w:pPr>
      <w:spacing w:after="120"/>
      <w:ind w:left="283"/>
    </w:pPr>
  </w:style>
  <w:style w:type="character" w:customStyle="1" w:styleId="a7">
    <w:name w:val="Основной текст с отступом Знак"/>
    <w:basedOn w:val="a2"/>
    <w:link w:val="a6"/>
    <w:uiPriority w:val="99"/>
    <w:semiHidden/>
    <w:rsid w:val="00050D92"/>
  </w:style>
  <w:style w:type="paragraph" w:customStyle="1" w:styleId="a8">
    <w:name w:val="Текст таб"/>
    <w:basedOn w:val="a1"/>
    <w:rsid w:val="00050D92"/>
    <w:pPr>
      <w:tabs>
        <w:tab w:val="left" w:pos="9000"/>
      </w:tabs>
      <w:autoSpaceDE w:val="0"/>
      <w:autoSpaceDN w:val="0"/>
      <w:spacing w:after="60" w:line="240" w:lineRule="auto"/>
      <w:ind w:left="567"/>
      <w:jc w:val="both"/>
    </w:pPr>
    <w:rPr>
      <w:rFonts w:ascii="Arial" w:eastAsia="Times New Roman" w:hAnsi="Arial" w:cs="Arial"/>
      <w:sz w:val="20"/>
      <w:szCs w:val="20"/>
      <w:lang w:eastAsia="ru-RU"/>
    </w:rPr>
  </w:style>
  <w:style w:type="character" w:styleId="a9">
    <w:name w:val="Placeholder Text"/>
    <w:basedOn w:val="a2"/>
    <w:uiPriority w:val="99"/>
    <w:semiHidden/>
    <w:rsid w:val="00050D92"/>
    <w:rPr>
      <w:color w:val="808080"/>
    </w:rPr>
  </w:style>
  <w:style w:type="paragraph" w:styleId="aa">
    <w:name w:val="Balloon Text"/>
    <w:basedOn w:val="a1"/>
    <w:link w:val="ab"/>
    <w:uiPriority w:val="99"/>
    <w:semiHidden/>
    <w:unhideWhenUsed/>
    <w:rsid w:val="00050D92"/>
    <w:pPr>
      <w:spacing w:after="0" w:line="240" w:lineRule="auto"/>
    </w:pPr>
    <w:rPr>
      <w:rFonts w:ascii="Tahoma" w:hAnsi="Tahoma" w:cs="Tahoma"/>
      <w:sz w:val="16"/>
      <w:szCs w:val="16"/>
    </w:rPr>
  </w:style>
  <w:style w:type="character" w:customStyle="1" w:styleId="ab">
    <w:name w:val="Текст выноски Знак"/>
    <w:basedOn w:val="a2"/>
    <w:link w:val="aa"/>
    <w:uiPriority w:val="99"/>
    <w:semiHidden/>
    <w:rsid w:val="00050D92"/>
    <w:rPr>
      <w:rFonts w:ascii="Tahoma" w:hAnsi="Tahoma" w:cs="Tahoma"/>
      <w:sz w:val="16"/>
      <w:szCs w:val="16"/>
    </w:rPr>
  </w:style>
  <w:style w:type="paragraph" w:styleId="ac">
    <w:name w:val="footer"/>
    <w:basedOn w:val="a1"/>
    <w:link w:val="ad"/>
    <w:uiPriority w:val="99"/>
    <w:unhideWhenUsed/>
    <w:rsid w:val="00050D92"/>
    <w:pPr>
      <w:tabs>
        <w:tab w:val="center" w:pos="4677"/>
        <w:tab w:val="right" w:pos="9355"/>
      </w:tabs>
      <w:spacing w:after="0" w:line="240" w:lineRule="auto"/>
    </w:pPr>
  </w:style>
  <w:style w:type="character" w:customStyle="1" w:styleId="ad">
    <w:name w:val="Нижний колонтитул Знак"/>
    <w:basedOn w:val="a2"/>
    <w:link w:val="ac"/>
    <w:uiPriority w:val="99"/>
    <w:rsid w:val="00050D92"/>
  </w:style>
  <w:style w:type="paragraph" w:styleId="ae">
    <w:name w:val="List Paragraph"/>
    <w:basedOn w:val="a1"/>
    <w:uiPriority w:val="34"/>
    <w:qFormat/>
    <w:rsid w:val="00285FDF"/>
    <w:pPr>
      <w:ind w:left="720"/>
      <w:contextualSpacing/>
    </w:pPr>
  </w:style>
  <w:style w:type="table" w:styleId="af">
    <w:name w:val="Table Grid"/>
    <w:basedOn w:val="a3"/>
    <w:uiPriority w:val="59"/>
    <w:rsid w:val="00E97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1"/>
    <w:link w:val="af1"/>
    <w:uiPriority w:val="99"/>
    <w:unhideWhenUsed/>
    <w:rsid w:val="00724F0A"/>
    <w:pPr>
      <w:tabs>
        <w:tab w:val="center" w:pos="4677"/>
        <w:tab w:val="right" w:pos="9355"/>
      </w:tabs>
      <w:spacing w:after="0" w:line="240" w:lineRule="auto"/>
    </w:pPr>
  </w:style>
  <w:style w:type="character" w:customStyle="1" w:styleId="af1">
    <w:name w:val="Верхний колонтитул Знак"/>
    <w:basedOn w:val="a2"/>
    <w:link w:val="af0"/>
    <w:uiPriority w:val="99"/>
    <w:rsid w:val="00724F0A"/>
  </w:style>
  <w:style w:type="character" w:styleId="af2">
    <w:name w:val="annotation reference"/>
    <w:basedOn w:val="a2"/>
    <w:uiPriority w:val="99"/>
    <w:semiHidden/>
    <w:unhideWhenUsed/>
    <w:rsid w:val="00917DC5"/>
    <w:rPr>
      <w:sz w:val="16"/>
      <w:szCs w:val="16"/>
    </w:rPr>
  </w:style>
  <w:style w:type="paragraph" w:styleId="af3">
    <w:name w:val="annotation text"/>
    <w:basedOn w:val="a1"/>
    <w:link w:val="af4"/>
    <w:uiPriority w:val="99"/>
    <w:semiHidden/>
    <w:unhideWhenUsed/>
    <w:rsid w:val="00917DC5"/>
    <w:pPr>
      <w:spacing w:line="240" w:lineRule="auto"/>
    </w:pPr>
    <w:rPr>
      <w:sz w:val="20"/>
      <w:szCs w:val="20"/>
    </w:rPr>
  </w:style>
  <w:style w:type="character" w:customStyle="1" w:styleId="af4">
    <w:name w:val="Текст примечания Знак"/>
    <w:basedOn w:val="a2"/>
    <w:link w:val="af3"/>
    <w:uiPriority w:val="99"/>
    <w:semiHidden/>
    <w:rsid w:val="00917DC5"/>
    <w:rPr>
      <w:sz w:val="20"/>
      <w:szCs w:val="20"/>
    </w:rPr>
  </w:style>
  <w:style w:type="paragraph" w:styleId="af5">
    <w:name w:val="annotation subject"/>
    <w:basedOn w:val="af3"/>
    <w:next w:val="af3"/>
    <w:link w:val="af6"/>
    <w:uiPriority w:val="99"/>
    <w:semiHidden/>
    <w:unhideWhenUsed/>
    <w:rsid w:val="00917DC5"/>
    <w:rPr>
      <w:b/>
      <w:bCs/>
    </w:rPr>
  </w:style>
  <w:style w:type="character" w:customStyle="1" w:styleId="af6">
    <w:name w:val="Тема примечания Знак"/>
    <w:basedOn w:val="af4"/>
    <w:link w:val="af5"/>
    <w:uiPriority w:val="99"/>
    <w:semiHidden/>
    <w:rsid w:val="00917DC5"/>
    <w:rPr>
      <w:b/>
      <w:bCs/>
      <w:sz w:val="20"/>
      <w:szCs w:val="20"/>
    </w:rPr>
  </w:style>
  <w:style w:type="paragraph" w:styleId="af7">
    <w:name w:val="Body Text"/>
    <w:basedOn w:val="a1"/>
    <w:link w:val="af8"/>
    <w:uiPriority w:val="99"/>
    <w:semiHidden/>
    <w:unhideWhenUsed/>
    <w:rsid w:val="00EA18EC"/>
    <w:pPr>
      <w:spacing w:after="120"/>
    </w:pPr>
  </w:style>
  <w:style w:type="character" w:customStyle="1" w:styleId="af8">
    <w:name w:val="Основной текст Знак"/>
    <w:basedOn w:val="a2"/>
    <w:link w:val="af7"/>
    <w:uiPriority w:val="99"/>
    <w:semiHidden/>
    <w:rsid w:val="00EA18EC"/>
  </w:style>
  <w:style w:type="paragraph" w:styleId="af9">
    <w:name w:val="footnote text"/>
    <w:basedOn w:val="a1"/>
    <w:link w:val="afa"/>
    <w:uiPriority w:val="99"/>
    <w:semiHidden/>
    <w:unhideWhenUsed/>
    <w:rsid w:val="00AB6E5C"/>
    <w:pPr>
      <w:spacing w:after="0" w:line="240" w:lineRule="auto"/>
    </w:pPr>
    <w:rPr>
      <w:sz w:val="20"/>
      <w:szCs w:val="20"/>
    </w:rPr>
  </w:style>
  <w:style w:type="character" w:customStyle="1" w:styleId="afa">
    <w:name w:val="Текст сноски Знак"/>
    <w:basedOn w:val="a2"/>
    <w:link w:val="af9"/>
    <w:uiPriority w:val="99"/>
    <w:semiHidden/>
    <w:rsid w:val="00AB6E5C"/>
    <w:rPr>
      <w:sz w:val="20"/>
      <w:szCs w:val="20"/>
    </w:rPr>
  </w:style>
  <w:style w:type="character" w:styleId="afb">
    <w:name w:val="footnote reference"/>
    <w:basedOn w:val="a2"/>
    <w:uiPriority w:val="99"/>
    <w:semiHidden/>
    <w:unhideWhenUsed/>
    <w:rsid w:val="00AB6E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615110">
      <w:bodyDiv w:val="1"/>
      <w:marLeft w:val="0"/>
      <w:marRight w:val="0"/>
      <w:marTop w:val="0"/>
      <w:marBottom w:val="0"/>
      <w:divBdr>
        <w:top w:val="none" w:sz="0" w:space="0" w:color="auto"/>
        <w:left w:val="none" w:sz="0" w:space="0" w:color="auto"/>
        <w:bottom w:val="none" w:sz="0" w:space="0" w:color="auto"/>
        <w:right w:val="none" w:sz="0" w:space="0" w:color="auto"/>
      </w:divBdr>
    </w:div>
    <w:div w:id="18638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46C8-D206-42CB-B428-055B449E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1931</Words>
  <Characters>11012</Characters>
  <Application>Microsoft Office Word</Application>
  <DocSecurity>4</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Евстратова Ульяна Александровна</dc:creator>
  <cp:lastModifiedBy>Бандакова Екатерина Игоревна</cp:lastModifiedBy>
  <cp:revision>2</cp:revision>
  <cp:lastPrinted>2014-04-16T08:51:00Z</cp:lastPrinted>
  <dcterms:created xsi:type="dcterms:W3CDTF">2025-04-22T12:28:00Z</dcterms:created>
  <dcterms:modified xsi:type="dcterms:W3CDTF">2025-04-22T12:28:00Z</dcterms:modified>
</cp:coreProperties>
</file>