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3CD0FCC2" w:rsidR="00E81060" w:rsidRPr="009C49CF" w:rsidRDefault="00C77108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6E439F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14:paraId="4A94F81E" w14:textId="0DDBF8C5" w:rsidR="00E81060" w:rsidRPr="009C49CF" w:rsidRDefault="00C7710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14:paraId="4FFF6473" w14:textId="1A7D581A" w:rsidR="00E81060" w:rsidRPr="009C49CF" w:rsidRDefault="00C7710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6E439F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14:paraId="2121B60A" w14:textId="41D21082" w:rsidR="00E81060" w:rsidRPr="009C49CF" w:rsidRDefault="00C7710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25516B7C" w14:textId="5ADB469D" w:rsidR="00E81060" w:rsidRPr="009C49CF" w:rsidRDefault="00C7710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C77108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C77108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D81940" w:rsidRPr="009C49CF" w14:paraId="1D83A34C" w14:textId="77777777" w:rsidTr="003426BB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D81940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D81940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D8194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4C132B67" w:rsidR="00E81060" w:rsidRPr="009C49CF" w:rsidRDefault="00C77108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C77108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C77108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C77108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C77108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534F2C65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  <w:r w:rsidR="0084527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="00845279" w:rsidRPr="00C771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позициях по счетам - только для клиринговых идентификаторов</w:t>
            </w:r>
          </w:p>
          <w:p w14:paraId="03BFD46D" w14:textId="7C5C4025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="0084527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и позиций по счетам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наличии ограничений по ТКС по умолчанию информация не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036CC16D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счетам</w:t>
            </w:r>
            <w:r w:rsidR="002431E1" w:rsidRPr="00C771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 w:rsidRPr="00C771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1951BE98" w14:textId="515F5F1B" w:rsidR="00E85CDD" w:rsidRPr="000348BB" w:rsidRDefault="00E85CDD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маркировке финансовых инструментов (платная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опция)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1ECCBAC2" w14:textId="0E86C8B2" w:rsidR="00E85CDD" w:rsidRPr="000348BB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установлен</w:t>
            </w: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br/>
              <w:t xml:space="preserve">Недоступно для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Pr="000348BB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подключений.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256956" w14:textId="71ED793D" w:rsidR="00E85CDD" w:rsidRDefault="00C77108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4946DF4F" w14:textId="3E511205" w:rsidR="00E85CDD" w:rsidRDefault="00C77108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FA757C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615F62" w14:textId="602E0B64" w:rsidR="00540DC4" w:rsidRPr="005D6AF7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C77108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C77108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324D5248" w:rsid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C77108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ста</w:t>
      </w:r>
      <w:r w:rsidR="008F4C08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</w:t>
      </w:r>
      <w:r w:rsidR="0085149C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заявлению о</w:t>
      </w:r>
      <w:r w:rsidR="00330524" w:rsidRPr="00C771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Trade SE, </w:t>
      </w:r>
      <w:proofErr w:type="spellStart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1F22D606" w14:textId="77777777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0E61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2C110E1A" w14:textId="63748416" w:rsidR="00CB7EB4" w:rsidRPr="00CB7EB4" w:rsidRDefault="00C77108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(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b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MOEX</w:t>
            </w:r>
            <w:r w:rsidR="00CB7EB4" w:rsidRPr="000A3DF9">
              <w:rPr>
                <w:iCs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Trade</w:t>
            </w:r>
            <w:r w:rsidR="00CB7EB4" w:rsidRPr="000A3DF9">
              <w:rPr>
                <w:iCs/>
              </w:rPr>
              <w:t xml:space="preserve"> </w:t>
            </w:r>
            <w:r w:rsidR="00CB7EB4"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i/>
              </w:rPr>
              <w:t xml:space="preserve"> </w:t>
            </w:r>
            <w:r w:rsidR="00CB7EB4" w:rsidRPr="000A3DF9">
              <w:rPr>
                <w:iCs/>
              </w:rPr>
              <w:t>Универсальное рабочее место CMA</w:t>
            </w:r>
            <w:r w:rsidR="00CB7EB4"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</w:t>
            </w:r>
            <w:proofErr w:type="spellStart"/>
            <w:r w:rsidR="00CB7EB4" w:rsidRPr="00AE4E33">
              <w:rPr>
                <w:b/>
                <w:spacing w:val="-5"/>
              </w:rPr>
              <w:t>Colocation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C77108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CB7EB4" w:rsidRPr="00AE4E33">
              <w:rPr>
                <w:b/>
                <w:spacing w:val="-5"/>
              </w:rPr>
              <w:t>ASTSBridge</w:t>
            </w:r>
            <w:proofErr w:type="spellEnd"/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CB7EB4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CB7EB4" w:rsidRPr="00F04F91">
              <w:rPr>
                <w:b/>
                <w:spacing w:val="-5"/>
                <w:vertAlign w:val="superscript"/>
              </w:rPr>
              <w:t>4)</w:t>
            </w:r>
          </w:p>
          <w:p w14:paraId="04E10264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C77108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D2BA1" w:rsidRPr="00747F2F">
              <w:rPr>
                <w:b/>
                <w:spacing w:val="-5"/>
                <w:vertAlign w:val="superscript"/>
              </w:rPr>
              <w:t>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C77108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C77108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C77108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FB36F9" w:rsidRPr="00FB36F9" w14:paraId="48757512" w14:textId="77777777" w:rsidTr="00F33C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C7710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19C7C6FB" w:rsidR="002C6E2D" w:rsidRPr="00FB36F9" w:rsidRDefault="00C7710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C771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C771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1F745D3E" w:rsidR="00402673" w:rsidRPr="00FB36F9" w:rsidRDefault="00C771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</w:t>
            </w:r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proofErr w:type="gramStart"/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C771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F33CCC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F33CCC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F33C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F33CCC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F33CCC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F33CCC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77777777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6BEA9C21" w:rsidR="007C6274" w:rsidRPr="00FB36F9" w:rsidRDefault="00707C21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</w:t>
      </w:r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989B" w14:textId="77777777" w:rsidR="003E3FE7" w:rsidRDefault="003E3FE7">
      <w:pPr>
        <w:spacing w:after="0" w:line="240" w:lineRule="auto"/>
      </w:pPr>
      <w:r>
        <w:separator/>
      </w:r>
    </w:p>
  </w:endnote>
  <w:endnote w:type="continuationSeparator" w:id="0">
    <w:p w14:paraId="73B05775" w14:textId="77777777" w:rsidR="003E3FE7" w:rsidRDefault="003E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C771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A713" w14:textId="77777777" w:rsidR="003E3FE7" w:rsidRDefault="003E3FE7">
      <w:pPr>
        <w:spacing w:after="0" w:line="240" w:lineRule="auto"/>
      </w:pPr>
      <w:r>
        <w:separator/>
      </w:r>
    </w:p>
  </w:footnote>
  <w:footnote w:type="continuationSeparator" w:id="0">
    <w:p w14:paraId="0CDBD89D" w14:textId="77777777" w:rsidR="003E3FE7" w:rsidRDefault="003E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85B67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7CDF"/>
    <w:rsid w:val="00103CE6"/>
    <w:rsid w:val="00107A72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426BB"/>
    <w:rsid w:val="00357A68"/>
    <w:rsid w:val="00365E2E"/>
    <w:rsid w:val="003A1FA5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06C05"/>
    <w:rsid w:val="005115BC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80D17"/>
    <w:rsid w:val="0078217C"/>
    <w:rsid w:val="007A4CC0"/>
    <w:rsid w:val="007C6274"/>
    <w:rsid w:val="008077A8"/>
    <w:rsid w:val="00813BDF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4C08"/>
    <w:rsid w:val="009673D2"/>
    <w:rsid w:val="00987BCE"/>
    <w:rsid w:val="00992A6F"/>
    <w:rsid w:val="009942E2"/>
    <w:rsid w:val="009A5C03"/>
    <w:rsid w:val="009B6074"/>
    <w:rsid w:val="009C49CF"/>
    <w:rsid w:val="009D40C9"/>
    <w:rsid w:val="009E1156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34759"/>
    <w:rsid w:val="00C45276"/>
    <w:rsid w:val="00C51717"/>
    <w:rsid w:val="00C52F32"/>
    <w:rsid w:val="00C77108"/>
    <w:rsid w:val="00C81848"/>
    <w:rsid w:val="00CB18FD"/>
    <w:rsid w:val="00CB7EB4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17</cp:revision>
  <cp:lastPrinted>2019-08-29T09:59:00Z</cp:lastPrinted>
  <dcterms:created xsi:type="dcterms:W3CDTF">2022-07-04T14:12:00Z</dcterms:created>
  <dcterms:modified xsi:type="dcterms:W3CDTF">2022-08-04T10:34:00Z</dcterms:modified>
</cp:coreProperties>
</file>