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59" w:rsidRPr="00472F3C" w:rsidRDefault="00004359" w:rsidP="00004359">
      <w:pPr>
        <w:autoSpaceDE w:val="0"/>
        <w:autoSpaceDN w:val="0"/>
        <w:spacing w:after="0" w:line="240" w:lineRule="auto"/>
        <w:ind w:left="4962" w:right="-81"/>
        <w:rPr>
          <w:rFonts w:eastAsia="Times New Roman"/>
          <w:b/>
          <w:szCs w:val="20"/>
          <w:lang w:val="en-US"/>
        </w:rPr>
      </w:pPr>
      <w:r w:rsidRPr="00472F3C">
        <w:rPr>
          <w:b/>
          <w:lang w:val="en-US"/>
        </w:rPr>
        <w:t>APPROVED</w:t>
      </w:r>
    </w:p>
    <w:p w:rsidR="00004359" w:rsidRPr="00472F3C" w:rsidRDefault="00004359" w:rsidP="00004359">
      <w:pPr>
        <w:tabs>
          <w:tab w:val="left" w:pos="5245"/>
          <w:tab w:val="left" w:pos="5954"/>
        </w:tabs>
        <w:autoSpaceDE w:val="0"/>
        <w:autoSpaceDN w:val="0"/>
        <w:spacing w:after="0" w:line="240" w:lineRule="auto"/>
        <w:ind w:left="4962" w:right="-79"/>
        <w:rPr>
          <w:rFonts w:eastAsia="Times New Roman"/>
          <w:szCs w:val="20"/>
          <w:lang w:val="en-US"/>
        </w:rPr>
      </w:pPr>
      <w:r w:rsidRPr="00472F3C">
        <w:rPr>
          <w:lang w:val="en-US"/>
        </w:rPr>
        <w:t xml:space="preserve">by Public Joint Stock Company </w:t>
      </w:r>
      <w:r w:rsidRPr="00472F3C">
        <w:rPr>
          <w:lang w:val="en-US"/>
        </w:rPr>
        <w:cr/>
        <w:t>Moscow Exchange MICEX-RTS</w:t>
      </w:r>
    </w:p>
    <w:p w:rsidR="00004359" w:rsidRPr="00472F3C" w:rsidRDefault="00004359" w:rsidP="00004359">
      <w:pPr>
        <w:tabs>
          <w:tab w:val="left" w:pos="4962"/>
        </w:tabs>
        <w:autoSpaceDE w:val="0"/>
        <w:autoSpaceDN w:val="0"/>
        <w:spacing w:after="0" w:line="240" w:lineRule="auto"/>
        <w:ind w:left="4962" w:right="27"/>
        <w:rPr>
          <w:rFonts w:eastAsia="Times New Roman"/>
          <w:szCs w:val="20"/>
          <w:lang w:val="en-US"/>
        </w:rPr>
      </w:pPr>
      <w:r w:rsidRPr="00472F3C">
        <w:rPr>
          <w:lang w:val="en-US"/>
        </w:rPr>
        <w:t xml:space="preserve">(Order No. </w:t>
      </w:r>
      <w:r>
        <w:t>МБ</w:t>
      </w:r>
      <w:r w:rsidRPr="005627DB">
        <w:rPr>
          <w:lang w:val="en-US"/>
        </w:rPr>
        <w:t>-</w:t>
      </w:r>
      <w:r>
        <w:t>П</w:t>
      </w:r>
      <w:r w:rsidRPr="005627DB">
        <w:rPr>
          <w:lang w:val="en-US"/>
        </w:rPr>
        <w:t>-2022-</w:t>
      </w:r>
      <w:r>
        <w:rPr>
          <w:lang w:val="en-US"/>
        </w:rPr>
        <w:t>818</w:t>
      </w:r>
      <w:r w:rsidRPr="00472F3C">
        <w:rPr>
          <w:sz w:val="18"/>
          <w:lang w:val="en-US"/>
        </w:rPr>
        <w:t xml:space="preserve"> dated</w:t>
      </w:r>
      <w:r w:rsidRPr="005627DB">
        <w:rPr>
          <w:sz w:val="18"/>
          <w:lang w:val="en-US"/>
        </w:rPr>
        <w:t xml:space="preserve"> </w:t>
      </w:r>
      <w:r>
        <w:rPr>
          <w:sz w:val="18"/>
          <w:lang w:val="en-US"/>
        </w:rPr>
        <w:t xml:space="preserve">18 April </w:t>
      </w:r>
      <w:r w:rsidRPr="00472F3C">
        <w:rPr>
          <w:sz w:val="18"/>
          <w:lang w:val="en-US"/>
        </w:rPr>
        <w:t>2022</w:t>
      </w:r>
      <w:r w:rsidRPr="00472F3C">
        <w:rPr>
          <w:lang w:val="en-US"/>
        </w:rPr>
        <w:t>)</w:t>
      </w:r>
    </w:p>
    <w:p w:rsidR="00C11804" w:rsidRPr="006B7970" w:rsidRDefault="00B65483">
      <w:pPr>
        <w:spacing w:after="0" w:line="259" w:lineRule="auto"/>
        <w:ind w:left="2501" w:right="0" w:firstLine="0"/>
        <w:jc w:val="center"/>
        <w:rPr>
          <w:lang w:val="en-US"/>
        </w:rPr>
      </w:pPr>
      <w:r w:rsidRPr="006B7970">
        <w:rPr>
          <w:lang w:val="en-US"/>
        </w:rPr>
        <w:t xml:space="preserve"> </w:t>
      </w:r>
    </w:p>
    <w:p w:rsidR="00762F01" w:rsidRDefault="00762F01">
      <w:pPr>
        <w:spacing w:after="0" w:line="259" w:lineRule="auto"/>
        <w:ind w:right="91"/>
        <w:jc w:val="center"/>
        <w:rPr>
          <w:b/>
          <w:lang w:val="en-US"/>
        </w:rPr>
      </w:pPr>
    </w:p>
    <w:p w:rsidR="00762F01" w:rsidRDefault="00762F01">
      <w:pPr>
        <w:spacing w:after="0" w:line="259" w:lineRule="auto"/>
        <w:ind w:right="91"/>
        <w:jc w:val="center"/>
        <w:rPr>
          <w:b/>
          <w:lang w:val="en-US"/>
        </w:rPr>
      </w:pPr>
    </w:p>
    <w:p w:rsidR="00C11804" w:rsidRPr="006B7970" w:rsidRDefault="00762F01">
      <w:pPr>
        <w:spacing w:after="0" w:line="259" w:lineRule="auto"/>
        <w:ind w:right="91"/>
        <w:jc w:val="center"/>
        <w:rPr>
          <w:lang w:val="en-US"/>
        </w:rPr>
      </w:pPr>
      <w:r>
        <w:rPr>
          <w:b/>
          <w:lang w:val="en-US"/>
        </w:rPr>
        <w:t>NATURAL GAS</w:t>
      </w:r>
      <w:r w:rsidR="00B65483" w:rsidRPr="006B7970">
        <w:rPr>
          <w:b/>
          <w:lang w:val="en-US"/>
        </w:rPr>
        <w:t xml:space="preserve">  </w:t>
      </w:r>
    </w:p>
    <w:p w:rsidR="00C11804" w:rsidRPr="006B7970" w:rsidRDefault="00B65483">
      <w:pPr>
        <w:spacing w:after="95" w:line="259" w:lineRule="auto"/>
        <w:ind w:right="84"/>
        <w:jc w:val="center"/>
        <w:rPr>
          <w:lang w:val="en-US"/>
        </w:rPr>
      </w:pPr>
      <w:r w:rsidRPr="006B7970">
        <w:rPr>
          <w:b/>
          <w:lang w:val="en-US"/>
        </w:rPr>
        <w:t xml:space="preserve">FUTURES CONTRACT SPECIFICATION </w:t>
      </w:r>
    </w:p>
    <w:p w:rsidR="00C11804" w:rsidRPr="006B7970" w:rsidRDefault="00B65483">
      <w:pPr>
        <w:ind w:left="-5" w:right="71"/>
        <w:rPr>
          <w:lang w:val="en-US"/>
        </w:rPr>
      </w:pPr>
      <w:r w:rsidRPr="006B7970">
        <w:rPr>
          <w:lang w:val="en-US"/>
        </w:rPr>
        <w:t xml:space="preserve">The </w:t>
      </w:r>
      <w:r w:rsidR="00762F01">
        <w:rPr>
          <w:lang w:val="en-US"/>
        </w:rPr>
        <w:t>Natural Gas</w:t>
      </w:r>
      <w:r w:rsidRPr="006B7970">
        <w:rPr>
          <w:lang w:val="en-US"/>
        </w:rPr>
        <w:t xml:space="preserve"> Futures Contract Specification (hereinafter, “Specification”) establishes the standard terms and conditions </w:t>
      </w:r>
      <w:r w:rsidR="009160F2">
        <w:rPr>
          <w:lang w:val="en-US"/>
        </w:rPr>
        <w:t xml:space="preserve">of </w:t>
      </w:r>
      <w:r w:rsidRPr="006B7970">
        <w:rPr>
          <w:lang w:val="en-US"/>
        </w:rPr>
        <w:t xml:space="preserve">the cash-settled </w:t>
      </w:r>
      <w:r w:rsidR="009160F2">
        <w:rPr>
          <w:lang w:val="en-US"/>
        </w:rPr>
        <w:t>Natural Gas</w:t>
      </w:r>
      <w:r w:rsidRPr="006B7970">
        <w:rPr>
          <w:lang w:val="en-US"/>
        </w:rPr>
        <w:t xml:space="preserve"> Futures Contract (hereinafter, “Contract”). </w:t>
      </w:r>
    </w:p>
    <w:p w:rsidR="00C11804" w:rsidRPr="006B7970" w:rsidRDefault="00B65483">
      <w:pPr>
        <w:ind w:left="-5" w:right="71"/>
        <w:rPr>
          <w:lang w:val="en-US"/>
        </w:rPr>
      </w:pPr>
      <w:r w:rsidRPr="006B7970">
        <w:rPr>
          <w:lang w:val="en-US"/>
        </w:rPr>
        <w:t xml:space="preserve">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 </w:t>
      </w:r>
    </w:p>
    <w:p w:rsidR="00C11804" w:rsidRPr="006B7970" w:rsidRDefault="00B65483">
      <w:pPr>
        <w:spacing w:after="43"/>
        <w:ind w:left="-5" w:right="71"/>
        <w:rPr>
          <w:lang w:val="en-US"/>
        </w:rPr>
      </w:pPr>
      <w:r w:rsidRPr="006B7970">
        <w:rPr>
          <w:lang w:val="en-US"/>
        </w:rPr>
        <w:t xml:space="preserve">The Contract’s underlying assets is </w:t>
      </w:r>
      <w:r w:rsidR="00762F01">
        <w:rPr>
          <w:lang w:val="en-US"/>
        </w:rPr>
        <w:t>natural gas</w:t>
      </w:r>
      <w:r w:rsidRPr="006B7970">
        <w:rPr>
          <w:lang w:val="en-US"/>
        </w:rPr>
        <w:t xml:space="preserve"> (hereinafter, “Contract’s underlying”). </w:t>
      </w:r>
    </w:p>
    <w:p w:rsidR="00C11804" w:rsidRPr="006B7970" w:rsidRDefault="00B65483">
      <w:pPr>
        <w:spacing w:after="46"/>
        <w:ind w:left="-5" w:right="71"/>
        <w:rPr>
          <w:lang w:val="en-US"/>
        </w:rPr>
      </w:pPr>
      <w:r w:rsidRPr="006B7970">
        <w:rPr>
          <w:lang w:val="en-US"/>
        </w:rPr>
        <w:t xml:space="preserve">Terms not explicitly defined in the Specification will have the same definitions as in the Trading Rules, the Clearing Rules, and the laws of the Russian Federation.     </w:t>
      </w:r>
    </w:p>
    <w:p w:rsidR="00C11804" w:rsidRPr="006B7970" w:rsidRDefault="00B65483">
      <w:pPr>
        <w:spacing w:after="0" w:line="259" w:lineRule="auto"/>
        <w:ind w:left="0"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Entering</w:t>
      </w:r>
      <w:proofErr w:type="spellEnd"/>
      <w:r>
        <w:rPr>
          <w:b/>
        </w:rPr>
        <w:t xml:space="preserve"> </w:t>
      </w:r>
      <w:proofErr w:type="spellStart"/>
      <w:r>
        <w:rPr>
          <w:b/>
        </w:rPr>
        <w:t>into</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Entering into the Contract in course of trading is sanctioned by the Exchange, and must contain the following: </w:t>
      </w:r>
    </w:p>
    <w:p w:rsidR="00C11804" w:rsidRDefault="00B65483">
      <w:pPr>
        <w:numPr>
          <w:ilvl w:val="4"/>
          <w:numId w:val="2"/>
        </w:numPr>
        <w:spacing w:after="10"/>
        <w:ind w:left="993" w:right="71" w:hanging="283"/>
      </w:pPr>
      <w:proofErr w:type="spellStart"/>
      <w:r>
        <w:t>contract</w:t>
      </w:r>
      <w:proofErr w:type="spellEnd"/>
      <w:r>
        <w:t xml:space="preserve"> </w:t>
      </w:r>
      <w:proofErr w:type="spellStart"/>
      <w:r>
        <w:t>code</w:t>
      </w:r>
      <w:proofErr w:type="spellEnd"/>
      <w:r>
        <w:t xml:space="preserve"> (</w:t>
      </w:r>
      <w:proofErr w:type="spellStart"/>
      <w:r>
        <w:t>designation</w:t>
      </w:r>
      <w:proofErr w:type="spellEnd"/>
      <w:r>
        <w:t xml:space="preserve">) </w:t>
      </w:r>
    </w:p>
    <w:p w:rsidR="00C11804" w:rsidRPr="006B7970" w:rsidRDefault="00B65483">
      <w:pPr>
        <w:numPr>
          <w:ilvl w:val="4"/>
          <w:numId w:val="2"/>
        </w:numPr>
        <w:spacing w:after="10"/>
        <w:ind w:left="993" w:right="71" w:hanging="283"/>
        <w:rPr>
          <w:lang w:val="en-US"/>
        </w:rPr>
      </w:pPr>
      <w:r w:rsidRPr="006B7970">
        <w:rPr>
          <w:lang w:val="en-US"/>
        </w:rPr>
        <w:t xml:space="preserve">the first trade date when the Contract may be entered into (hereinafter, “first trade date”) </w:t>
      </w:r>
    </w:p>
    <w:p w:rsidR="00C11804" w:rsidRPr="006B7970" w:rsidRDefault="00B65483">
      <w:pPr>
        <w:numPr>
          <w:ilvl w:val="4"/>
          <w:numId w:val="2"/>
        </w:numPr>
        <w:spacing w:after="0"/>
        <w:ind w:left="993" w:right="71" w:hanging="283"/>
        <w:rPr>
          <w:lang w:val="en-US"/>
        </w:rPr>
      </w:pPr>
      <w:r w:rsidRPr="006B7970">
        <w:rPr>
          <w:lang w:val="en-US"/>
        </w:rPr>
        <w:t xml:space="preserve">opening time when the Contract may be entered into (i.e. the start of trading in the Contract) </w:t>
      </w:r>
    </w:p>
    <w:p w:rsidR="00C11804" w:rsidRPr="00762F01" w:rsidRDefault="00B65483" w:rsidP="00762F01">
      <w:pPr>
        <w:numPr>
          <w:ilvl w:val="4"/>
          <w:numId w:val="2"/>
        </w:numPr>
        <w:spacing w:after="88"/>
        <w:ind w:left="993" w:right="71" w:hanging="283"/>
        <w:rPr>
          <w:lang w:val="en-US"/>
        </w:rPr>
      </w:pPr>
      <w:r w:rsidRPr="00762F01">
        <w:rPr>
          <w:lang w:val="en-US"/>
        </w:rPr>
        <w:t xml:space="preserve"> the last trade date when the Contract may be entered into (hereinafter, “last trade date”) </w:t>
      </w:r>
    </w:p>
    <w:p w:rsidR="00C11804" w:rsidRPr="006B7970" w:rsidRDefault="00B65483" w:rsidP="00762F01">
      <w:pPr>
        <w:numPr>
          <w:ilvl w:val="1"/>
          <w:numId w:val="1"/>
        </w:numPr>
        <w:spacing w:after="52"/>
        <w:ind w:left="567" w:right="71" w:hanging="566"/>
        <w:rPr>
          <w:lang w:val="en-US"/>
        </w:rPr>
      </w:pPr>
      <w:r w:rsidRPr="006B7970">
        <w:rPr>
          <w:lang w:val="en-US"/>
        </w:rPr>
        <w:t xml:space="preserve">The code (designation) of the Contract consists of the following: </w:t>
      </w:r>
    </w:p>
    <w:p w:rsidR="00C11804" w:rsidRPr="006B7970" w:rsidRDefault="00762F01">
      <w:pPr>
        <w:ind w:left="576" w:right="71"/>
        <w:rPr>
          <w:lang w:val="en-US"/>
        </w:rPr>
      </w:pPr>
      <w:r>
        <w:rPr>
          <w:lang w:val="en-US"/>
        </w:rPr>
        <w:t>NG</w:t>
      </w:r>
      <w:r w:rsidR="00B65483" w:rsidRPr="006B7970">
        <w:rPr>
          <w:lang w:val="en-US"/>
        </w:rPr>
        <w:t xml:space="preserve"> -&lt;settlement month</w:t>
      </w:r>
      <w:proofErr w:type="gramStart"/>
      <w:r w:rsidR="00B65483" w:rsidRPr="006B7970">
        <w:rPr>
          <w:lang w:val="en-US"/>
        </w:rPr>
        <w:t>&gt;.&lt;</w:t>
      </w:r>
      <w:proofErr w:type="gramEnd"/>
      <w:r w:rsidR="00B65483" w:rsidRPr="006B7970">
        <w:rPr>
          <w:lang w:val="en-US"/>
        </w:rPr>
        <w:t xml:space="preserve">settlement year&gt; </w:t>
      </w:r>
    </w:p>
    <w:p w:rsidR="00C11804" w:rsidRPr="006B7970" w:rsidRDefault="00B65483">
      <w:pPr>
        <w:spacing w:after="0"/>
        <w:ind w:left="576" w:right="71"/>
        <w:rPr>
          <w:lang w:val="en-US"/>
        </w:rPr>
      </w:pPr>
      <w:r w:rsidRPr="006B7970">
        <w:rPr>
          <w:lang w:val="en-US"/>
        </w:rPr>
        <w:t xml:space="preserve">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 </w:t>
      </w:r>
    </w:p>
    <w:p w:rsidR="00C11804" w:rsidRPr="006B7970" w:rsidRDefault="00B65483">
      <w:pPr>
        <w:spacing w:after="0" w:line="259" w:lineRule="auto"/>
        <w:ind w:left="566" w:right="0" w:firstLine="0"/>
        <w:jc w:val="left"/>
        <w:rPr>
          <w:lang w:val="en-US"/>
        </w:rPr>
      </w:pPr>
      <w:r w:rsidRPr="006B7970">
        <w:rPr>
          <w:lang w:val="en-US"/>
        </w:rPr>
        <w:t xml:space="preserve"> </w:t>
      </w:r>
    </w:p>
    <w:p w:rsidR="00C11804" w:rsidRDefault="00B65483" w:rsidP="00762F01">
      <w:pPr>
        <w:numPr>
          <w:ilvl w:val="1"/>
          <w:numId w:val="1"/>
        </w:numPr>
        <w:spacing w:after="52"/>
        <w:ind w:left="567" w:right="71" w:hanging="566"/>
      </w:pPr>
      <w:proofErr w:type="spellStart"/>
      <w:r>
        <w:t>The</w:t>
      </w:r>
      <w:proofErr w:type="spellEnd"/>
      <w:r>
        <w:t xml:space="preserve"> </w:t>
      </w:r>
      <w:proofErr w:type="spellStart"/>
      <w:r>
        <w:t>Contract</w:t>
      </w:r>
      <w:proofErr w:type="spellEnd"/>
      <w:r>
        <w:t xml:space="preserve"> </w:t>
      </w:r>
      <w:proofErr w:type="spellStart"/>
      <w:r>
        <w:t>price</w:t>
      </w:r>
      <w:proofErr w:type="spellEnd"/>
      <w:r>
        <w:t xml:space="preserve">. </w:t>
      </w:r>
    </w:p>
    <w:p w:rsidR="00C11804" w:rsidRPr="006B7970" w:rsidRDefault="00B65483" w:rsidP="00004359">
      <w:pPr>
        <w:numPr>
          <w:ilvl w:val="2"/>
          <w:numId w:val="1"/>
        </w:numPr>
        <w:ind w:left="1134" w:right="71" w:hanging="567"/>
        <w:rPr>
          <w:lang w:val="en-US"/>
        </w:rPr>
      </w:pPr>
      <w:r w:rsidRPr="006B7970">
        <w:rPr>
          <w:lang w:val="en-US"/>
        </w:rPr>
        <w:t xml:space="preserve">Upon </w:t>
      </w:r>
      <w:proofErr w:type="gramStart"/>
      <w:r w:rsidRPr="006B7970">
        <w:rPr>
          <w:lang w:val="en-US"/>
        </w:rPr>
        <w:t>entering into</w:t>
      </w:r>
      <w:proofErr w:type="gramEnd"/>
      <w:r w:rsidRPr="006B7970">
        <w:rPr>
          <w:lang w:val="en-US"/>
        </w:rPr>
        <w:t xml:space="preserve"> the Contract in the course of trading, the Contract price will be quoted in U.S. dollars per </w:t>
      </w:r>
      <w:r w:rsidR="00762F01">
        <w:rPr>
          <w:lang w:val="en-US"/>
        </w:rPr>
        <w:t>MMBtu</w:t>
      </w:r>
      <w:r w:rsidR="00D624DC">
        <w:rPr>
          <w:rStyle w:val="a7"/>
          <w:lang w:val="en-US"/>
        </w:rPr>
        <w:footnoteReference w:id="1"/>
      </w:r>
      <w:r w:rsidRPr="006B7970">
        <w:rPr>
          <w:lang w:val="en-US"/>
        </w:rPr>
        <w:t xml:space="preserve">.  </w:t>
      </w:r>
    </w:p>
    <w:p w:rsidR="00C11804" w:rsidRPr="006B7970" w:rsidRDefault="00B65483" w:rsidP="00004359">
      <w:pPr>
        <w:numPr>
          <w:ilvl w:val="2"/>
          <w:numId w:val="1"/>
        </w:numPr>
        <w:ind w:left="1134" w:right="71" w:hanging="567"/>
        <w:rPr>
          <w:lang w:val="en-US"/>
        </w:rPr>
      </w:pPr>
      <w:r w:rsidRPr="006B7970">
        <w:rPr>
          <w:lang w:val="en-US"/>
        </w:rPr>
        <w:t xml:space="preserve">The Contract’s minimum price interval (hereinafter, “tick”) </w:t>
      </w:r>
      <w:proofErr w:type="gramStart"/>
      <w:r w:rsidRPr="006B7970">
        <w:rPr>
          <w:lang w:val="en-US"/>
        </w:rPr>
        <w:t>during the course of</w:t>
      </w:r>
      <w:proofErr w:type="gramEnd"/>
      <w:r w:rsidRPr="006B7970">
        <w:rPr>
          <w:lang w:val="en-US"/>
        </w:rPr>
        <w:t xml:space="preserve"> trading is USD 0.0</w:t>
      </w:r>
      <w:r w:rsidR="00762F01" w:rsidRPr="00762F01">
        <w:rPr>
          <w:lang w:val="en-US"/>
        </w:rPr>
        <w:t>0</w:t>
      </w:r>
      <w:r w:rsidRPr="006B7970">
        <w:rPr>
          <w:lang w:val="en-US"/>
        </w:rPr>
        <w:t xml:space="preserve">1 (one </w:t>
      </w:r>
      <w:r w:rsidR="00762F01">
        <w:rPr>
          <w:lang w:val="en-US"/>
        </w:rPr>
        <w:t>thousan</w:t>
      </w:r>
      <w:r w:rsidR="00762F01" w:rsidRPr="006B7970">
        <w:rPr>
          <w:lang w:val="en-US"/>
        </w:rPr>
        <w:t>dth</w:t>
      </w:r>
      <w:r w:rsidRPr="006B7970">
        <w:rPr>
          <w:lang w:val="en-US"/>
        </w:rPr>
        <w:t xml:space="preserve">).  </w:t>
      </w:r>
    </w:p>
    <w:p w:rsidR="00004359" w:rsidRDefault="00B65483" w:rsidP="00004359">
      <w:pPr>
        <w:numPr>
          <w:ilvl w:val="2"/>
          <w:numId w:val="1"/>
        </w:numPr>
        <w:ind w:left="1426" w:right="71" w:hanging="567"/>
        <w:rPr>
          <w:lang w:val="en-US"/>
        </w:rPr>
      </w:pPr>
      <w:r w:rsidRPr="00004359">
        <w:rPr>
          <w:lang w:val="en-US"/>
        </w:rPr>
        <w:t>The value of a tick is USD 0.1 (one tenth), express in Rubles – the national currency of the Russian Federation, and converted from US Dollars into Rubles using the Exchange’s official USD/RUB FX rate (hereinafter, “USD/RUB FX rate”).  The Exchange determines the USD/RUB FX rate according to the methodology described in the document titled, “Methodology for Calculation of the Indicative Foreign Exchange Rate”, published on the Exchange’s website.</w:t>
      </w:r>
    </w:p>
    <w:p w:rsidR="00C11804" w:rsidRPr="00004359" w:rsidRDefault="00B65483" w:rsidP="00004359">
      <w:pPr>
        <w:ind w:left="1426" w:right="71" w:firstLine="0"/>
        <w:rPr>
          <w:lang w:val="en-US"/>
        </w:rPr>
      </w:pPr>
      <w:r w:rsidRPr="00004359">
        <w:rPr>
          <w:lang w:val="en-US"/>
        </w:rPr>
        <w:t xml:space="preserve"> If the upper/lower price bands are exceeded, the USD/RUB FX rate will be set equal to the upper/lower bound, respectively. </w:t>
      </w:r>
    </w:p>
    <w:p w:rsidR="00C11804" w:rsidRPr="006B7970" w:rsidRDefault="00B65483">
      <w:pPr>
        <w:ind w:left="1426" w:right="71"/>
        <w:rPr>
          <w:lang w:val="en-US"/>
        </w:rPr>
      </w:pPr>
      <w:r w:rsidRPr="006B7970">
        <w:rPr>
          <w:lang w:val="en-US"/>
        </w:rPr>
        <w:t xml:space="preserve">The time of the USD/RUB FX rate fixing is set by the Exchange and published on the Exchange’s website. </w:t>
      </w:r>
    </w:p>
    <w:p w:rsidR="00C11804" w:rsidRPr="006B7970" w:rsidRDefault="00B65483" w:rsidP="00762F01">
      <w:pPr>
        <w:numPr>
          <w:ilvl w:val="1"/>
          <w:numId w:val="1"/>
        </w:numPr>
        <w:spacing w:after="52"/>
        <w:ind w:left="567" w:right="71" w:hanging="566"/>
        <w:rPr>
          <w:lang w:val="en-US"/>
        </w:rPr>
      </w:pPr>
      <w:r w:rsidRPr="006B7970">
        <w:rPr>
          <w:lang w:val="en-US"/>
        </w:rPr>
        <w:t>The Contract's lot is 10</w:t>
      </w:r>
      <w:r w:rsidR="00762F01">
        <w:rPr>
          <w:lang w:val="en-US"/>
        </w:rPr>
        <w:t>0</w:t>
      </w:r>
      <w:r w:rsidRPr="006B7970">
        <w:rPr>
          <w:lang w:val="en-US"/>
        </w:rPr>
        <w:t xml:space="preserve"> (</w:t>
      </w:r>
      <w:r w:rsidR="00762F01">
        <w:rPr>
          <w:lang w:val="en-US"/>
        </w:rPr>
        <w:t>one hundred</w:t>
      </w:r>
      <w:r w:rsidRPr="006B7970">
        <w:rPr>
          <w:lang w:val="en-US"/>
        </w:rPr>
        <w:t xml:space="preserve">) </w:t>
      </w:r>
      <w:r w:rsidR="00762F01">
        <w:rPr>
          <w:lang w:val="en-US"/>
        </w:rPr>
        <w:t>MMBtu</w:t>
      </w:r>
      <w:r w:rsidRPr="006B7970">
        <w:rPr>
          <w:lang w:val="en-US"/>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The last trade date for the Contract shall be </w:t>
      </w:r>
      <w:r w:rsidR="00762F01" w:rsidRPr="006B7970">
        <w:rPr>
          <w:lang w:val="en-US"/>
        </w:rPr>
        <w:t>the Settlement</w:t>
      </w:r>
      <w:r w:rsidRPr="006B7970">
        <w:rPr>
          <w:lang w:val="en-US"/>
        </w:rPr>
        <w:t xml:space="preserve"> Date of </w:t>
      </w:r>
      <w:r w:rsidR="00762F01">
        <w:rPr>
          <w:lang w:val="en-US"/>
        </w:rPr>
        <w:t xml:space="preserve">the </w:t>
      </w:r>
      <w:r w:rsidR="00D624DC">
        <w:rPr>
          <w:lang w:val="en-US"/>
        </w:rPr>
        <w:t>related</w:t>
      </w:r>
      <w:r w:rsidR="00762F01">
        <w:rPr>
          <w:lang w:val="en-US"/>
        </w:rPr>
        <w:t xml:space="preserve"> </w:t>
      </w:r>
      <w:r w:rsidR="00762F01" w:rsidRPr="00762F01">
        <w:rPr>
          <w:lang w:val="en-US"/>
        </w:rPr>
        <w:t>Henry Hub Natural Gas Futures</w:t>
      </w:r>
      <w:r w:rsidR="00762F01" w:rsidRPr="006B7970">
        <w:rPr>
          <w:lang w:val="en-US"/>
        </w:rPr>
        <w:t xml:space="preserve"> </w:t>
      </w:r>
      <w:r w:rsidR="00762F01">
        <w:rPr>
          <w:lang w:val="en-US"/>
        </w:rPr>
        <w:t xml:space="preserve">Contract </w:t>
      </w:r>
      <w:r w:rsidRPr="006B7970">
        <w:rPr>
          <w:lang w:val="en-US"/>
        </w:rPr>
        <w:t xml:space="preserve">as published on the </w:t>
      </w:r>
      <w:r w:rsidR="00762F01">
        <w:rPr>
          <w:lang w:val="en-US"/>
        </w:rPr>
        <w:t>CME Group</w:t>
      </w:r>
      <w:r w:rsidRPr="006B7970">
        <w:rPr>
          <w:lang w:val="en-US"/>
        </w:rPr>
        <w:t xml:space="preserve">’s website at </w:t>
      </w:r>
      <w:hyperlink r:id="rId8" w:history="1">
        <w:r w:rsidR="00762F01" w:rsidRPr="00762F01">
          <w:rPr>
            <w:rStyle w:val="a8"/>
            <w:lang w:val="en-US"/>
          </w:rPr>
          <w:t>www.cmegroup.com</w:t>
        </w:r>
      </w:hyperlink>
      <w:r w:rsidR="00762F01" w:rsidRPr="00762F01">
        <w:rPr>
          <w:lang w:val="en-US"/>
        </w:rPr>
        <w:t>.</w:t>
      </w:r>
      <w:r w:rsidRPr="006B7970">
        <w:rPr>
          <w:lang w:val="en-US"/>
        </w:rPr>
        <w:t xml:space="preserve">  </w:t>
      </w:r>
    </w:p>
    <w:p w:rsidR="00C11804" w:rsidRPr="006B7970" w:rsidRDefault="00B65483">
      <w:pPr>
        <w:ind w:left="576" w:right="71"/>
        <w:rPr>
          <w:lang w:val="en-US"/>
        </w:rPr>
      </w:pPr>
      <w:r w:rsidRPr="006B7970">
        <w:rPr>
          <w:lang w:val="en-US"/>
        </w:rPr>
        <w:t xml:space="preserve">The </w:t>
      </w:r>
      <w:r w:rsidR="00762F01">
        <w:rPr>
          <w:lang w:val="en-US"/>
        </w:rPr>
        <w:t>rel</w:t>
      </w:r>
      <w:r w:rsidR="00D624DC">
        <w:rPr>
          <w:lang w:val="en-US"/>
        </w:rPr>
        <w:t>ated</w:t>
      </w:r>
      <w:r w:rsidR="00762F01">
        <w:rPr>
          <w:lang w:val="en-US"/>
        </w:rPr>
        <w:t xml:space="preserve"> </w:t>
      </w:r>
      <w:r w:rsidR="00762F01" w:rsidRPr="00762F01">
        <w:rPr>
          <w:lang w:val="en-US"/>
        </w:rPr>
        <w:t>Henry Hub Natural Gas Futures</w:t>
      </w:r>
      <w:r w:rsidR="00762F01" w:rsidRPr="006B7970">
        <w:rPr>
          <w:lang w:val="en-US"/>
        </w:rPr>
        <w:t xml:space="preserve"> </w:t>
      </w:r>
      <w:r w:rsidR="00762F01">
        <w:rPr>
          <w:lang w:val="en-US"/>
        </w:rPr>
        <w:t xml:space="preserve">Contract </w:t>
      </w:r>
      <w:r w:rsidR="00D624DC">
        <w:rPr>
          <w:lang w:val="en-US"/>
        </w:rPr>
        <w:t>means</w:t>
      </w:r>
      <w:r w:rsidR="00762F01">
        <w:rPr>
          <w:lang w:val="en-US"/>
        </w:rPr>
        <w:t xml:space="preserve"> the </w:t>
      </w:r>
      <w:r w:rsidR="00D624DC" w:rsidRPr="00762F01">
        <w:rPr>
          <w:lang w:val="en-US"/>
        </w:rPr>
        <w:t>Henry Hub Natural Gas Futures</w:t>
      </w:r>
      <w:r w:rsidR="00D624DC" w:rsidRPr="006B7970">
        <w:rPr>
          <w:lang w:val="en-US"/>
        </w:rPr>
        <w:t xml:space="preserve"> </w:t>
      </w:r>
      <w:r w:rsidR="00D624DC">
        <w:rPr>
          <w:lang w:val="en-US"/>
        </w:rPr>
        <w:t>Contract</w:t>
      </w:r>
      <w:r w:rsidR="00762F01">
        <w:rPr>
          <w:lang w:val="en-US"/>
        </w:rPr>
        <w:t xml:space="preserve"> </w:t>
      </w:r>
      <w:r w:rsidRPr="006B7970">
        <w:rPr>
          <w:lang w:val="en-US"/>
        </w:rPr>
        <w:t xml:space="preserve">traded on </w:t>
      </w:r>
      <w:r w:rsidR="00762F01">
        <w:rPr>
          <w:lang w:val="en-US"/>
        </w:rPr>
        <w:t>CME Group’s NYMEX</w:t>
      </w:r>
      <w:r w:rsidRPr="006B7970">
        <w:rPr>
          <w:lang w:val="en-US"/>
        </w:rPr>
        <w:t xml:space="preserve"> </w:t>
      </w:r>
      <w:r w:rsidR="00762F01">
        <w:rPr>
          <w:lang w:val="en-US"/>
        </w:rPr>
        <w:t xml:space="preserve">with </w:t>
      </w:r>
      <w:r w:rsidR="00D624DC">
        <w:rPr>
          <w:lang w:val="en-US"/>
        </w:rPr>
        <w:t xml:space="preserve">its </w:t>
      </w:r>
      <w:r w:rsidRPr="006B7970">
        <w:rPr>
          <w:lang w:val="en-US"/>
        </w:rPr>
        <w:t xml:space="preserve">Last Trade Date </w:t>
      </w:r>
      <w:r w:rsidR="00762F01">
        <w:rPr>
          <w:lang w:val="en-US"/>
        </w:rPr>
        <w:t xml:space="preserve">falling on the </w:t>
      </w:r>
      <w:r w:rsidR="00D624DC">
        <w:rPr>
          <w:lang w:val="en-US"/>
        </w:rPr>
        <w:t xml:space="preserve">month and year which are the Contract’s settlement month and year </w:t>
      </w:r>
      <w:r w:rsidRPr="006B7970">
        <w:rPr>
          <w:lang w:val="en-US"/>
        </w:rPr>
        <w:t>(</w:t>
      </w:r>
      <w:r w:rsidR="00D624DC">
        <w:rPr>
          <w:lang w:val="en-US"/>
        </w:rPr>
        <w:t>the</w:t>
      </w:r>
      <w:r w:rsidRPr="006B7970">
        <w:rPr>
          <w:lang w:val="en-US"/>
        </w:rPr>
        <w:t xml:space="preserve"> “</w:t>
      </w:r>
      <w:r w:rsidR="00D624DC">
        <w:rPr>
          <w:lang w:val="en-US"/>
        </w:rPr>
        <w:t>related</w:t>
      </w:r>
      <w:r w:rsidRPr="006B7970">
        <w:rPr>
          <w:lang w:val="en-US"/>
        </w:rPr>
        <w:t xml:space="preserve"> </w:t>
      </w:r>
      <w:r w:rsidR="00D624DC" w:rsidRPr="00762F01">
        <w:rPr>
          <w:lang w:val="en-US"/>
        </w:rPr>
        <w:t>Henry Hub Natural Gas Futures</w:t>
      </w:r>
      <w:r w:rsidRPr="006B7970">
        <w:rPr>
          <w:lang w:val="en-US"/>
        </w:rPr>
        <w:t>”)</w:t>
      </w:r>
      <w:r w:rsidR="00D624DC">
        <w:rPr>
          <w:rStyle w:val="a7"/>
          <w:lang w:val="en-US"/>
        </w:rPr>
        <w:footnoteReference w:id="2"/>
      </w:r>
      <w:r w:rsidRPr="006B7970">
        <w:rPr>
          <w:lang w:val="en-US"/>
        </w:rPr>
        <w:t xml:space="preserve">.   </w:t>
      </w:r>
    </w:p>
    <w:p w:rsidR="00C11804" w:rsidRPr="006B7970" w:rsidRDefault="00B65483">
      <w:pPr>
        <w:ind w:left="576" w:right="71"/>
        <w:rPr>
          <w:lang w:val="en-US"/>
        </w:rPr>
      </w:pPr>
      <w:r w:rsidRPr="006B7970">
        <w:rPr>
          <w:lang w:val="en-US"/>
        </w:rPr>
        <w:t xml:space="preserve">The Exchange is entitled to establish a date of the Contract’s last trade date other than as specified herein as agreed with the Clearing Center. </w:t>
      </w:r>
    </w:p>
    <w:p w:rsidR="00C11804" w:rsidRPr="006B7970" w:rsidRDefault="00B65483" w:rsidP="00762F01">
      <w:pPr>
        <w:numPr>
          <w:ilvl w:val="1"/>
          <w:numId w:val="1"/>
        </w:numPr>
        <w:spacing w:after="52"/>
        <w:ind w:left="567" w:right="71" w:hanging="566"/>
        <w:rPr>
          <w:lang w:val="en-US"/>
        </w:rPr>
      </w:pPr>
      <w:r w:rsidRPr="006B7970">
        <w:rPr>
          <w:lang w:val="en-US"/>
        </w:rPr>
        <w:t xml:space="preserve">The Contract’s final settlement date will coincide with the Contract’s last trade date, except in the cases provided for in Sections 5.1, 5.2 herein. </w:t>
      </w:r>
    </w:p>
    <w:p w:rsidR="00C11804" w:rsidRPr="006B7970" w:rsidRDefault="00B65483" w:rsidP="00762F01">
      <w:pPr>
        <w:numPr>
          <w:ilvl w:val="1"/>
          <w:numId w:val="1"/>
        </w:numPr>
        <w:spacing w:after="52"/>
        <w:ind w:left="567" w:right="71" w:hanging="566"/>
        <w:rPr>
          <w:lang w:val="en-US"/>
        </w:rPr>
      </w:pPr>
      <w:r w:rsidRPr="006B7970">
        <w:rPr>
          <w:lang w:val="en-US"/>
        </w:rPr>
        <w:t xml:space="preserve">The list of the dates which are the Contract’s last trade dates is published on the Exchange’s website. </w:t>
      </w:r>
    </w:p>
    <w:p w:rsidR="00C11804" w:rsidRPr="006B7970" w:rsidRDefault="00B65483">
      <w:pPr>
        <w:spacing w:after="0" w:line="259" w:lineRule="auto"/>
        <w:ind w:left="902"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Obligations</w:t>
      </w:r>
      <w:proofErr w:type="spellEnd"/>
      <w:r>
        <w:rPr>
          <w:b/>
        </w:rPr>
        <w:t xml:space="preserve"> </w:t>
      </w:r>
      <w:proofErr w:type="spellStart"/>
      <w:r>
        <w:rPr>
          <w:b/>
        </w:rPr>
        <w:t>under</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Default="00B65483" w:rsidP="00762F01">
      <w:pPr>
        <w:numPr>
          <w:ilvl w:val="1"/>
          <w:numId w:val="1"/>
        </w:numPr>
        <w:spacing w:after="52"/>
        <w:ind w:left="567" w:right="71" w:hanging="566"/>
      </w:pPr>
      <w:r w:rsidRPr="00762F01">
        <w:rPr>
          <w:lang w:val="en-US"/>
        </w:rPr>
        <w:t>Variation</w:t>
      </w:r>
      <w:r>
        <w:t xml:space="preserve"> </w:t>
      </w:r>
      <w:proofErr w:type="spellStart"/>
      <w:r>
        <w:t>Margin</w:t>
      </w:r>
      <w:proofErr w:type="spellEnd"/>
      <w:r>
        <w:t xml:space="preserve"> </w:t>
      </w:r>
      <w:proofErr w:type="spellStart"/>
      <w:r>
        <w:t>obligation</w:t>
      </w:r>
      <w:proofErr w:type="spellEnd"/>
      <w:r>
        <w:t xml:space="preserve">. </w:t>
      </w:r>
    </w:p>
    <w:p w:rsidR="00C11804" w:rsidRPr="006B7970" w:rsidRDefault="00B65483">
      <w:pPr>
        <w:numPr>
          <w:ilvl w:val="2"/>
          <w:numId w:val="1"/>
        </w:numPr>
        <w:spacing w:after="53"/>
        <w:ind w:right="71" w:hanging="850"/>
        <w:rPr>
          <w:lang w:val="en-US"/>
        </w:rPr>
      </w:pPr>
      <w:r w:rsidRPr="006B7970">
        <w:rPr>
          <w:lang w:val="en-US"/>
        </w:rPr>
        <w:t xml:space="preserve">The Parties to the Contract must pay each other variation margin in the form of cash, in the amount depending on the changes in the value of the Contract’s underlying. </w:t>
      </w:r>
    </w:p>
    <w:p w:rsidR="00C11804" w:rsidRPr="006B7970" w:rsidRDefault="00B65483">
      <w:pPr>
        <w:numPr>
          <w:ilvl w:val="2"/>
          <w:numId w:val="1"/>
        </w:numPr>
        <w:spacing w:after="49"/>
        <w:ind w:right="71" w:hanging="850"/>
        <w:rPr>
          <w:lang w:val="en-US"/>
        </w:rPr>
      </w:pPr>
      <w:r w:rsidRPr="006B7970">
        <w:rPr>
          <w:lang w:val="en-US"/>
        </w:rPr>
        <w:t xml:space="preserve">Variation margin will be calculated and must be paid during the life of the Contract.  </w:t>
      </w:r>
    </w:p>
    <w:p w:rsidR="00C11804" w:rsidRPr="006B7970" w:rsidRDefault="00B65483">
      <w:pPr>
        <w:numPr>
          <w:ilvl w:val="2"/>
          <w:numId w:val="1"/>
        </w:numPr>
        <w:spacing w:after="59"/>
        <w:ind w:right="71" w:hanging="850"/>
        <w:rPr>
          <w:lang w:val="en-US"/>
        </w:rPr>
      </w:pPr>
      <w:r w:rsidRPr="006B7970">
        <w:rPr>
          <w:lang w:val="en-US"/>
        </w:rPr>
        <w:t xml:space="preserve">Variation margin for the Contract is calculated according to the following formulas: </w:t>
      </w:r>
    </w:p>
    <w:p w:rsidR="00C11804" w:rsidRPr="006B7970" w:rsidRDefault="00B65483">
      <w:pPr>
        <w:numPr>
          <w:ilvl w:val="3"/>
          <w:numId w:val="1"/>
        </w:numPr>
        <w:ind w:right="71" w:hanging="1051"/>
        <w:rPr>
          <w:lang w:val="en-US"/>
        </w:rPr>
      </w:pPr>
      <w:r w:rsidRPr="006B7970">
        <w:rPr>
          <w:lang w:val="en-US"/>
        </w:rPr>
        <w:t xml:space="preserve">During the intraday clearing session: </w:t>
      </w:r>
    </w:p>
    <w:p w:rsidR="00C11804" w:rsidRPr="006B7970" w:rsidRDefault="00B65483">
      <w:pPr>
        <w:numPr>
          <w:ilvl w:val="5"/>
          <w:numId w:val="3"/>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1</w:t>
      </w:r>
      <w:r w:rsidRPr="006B7970">
        <w:rPr>
          <w:b/>
          <w:lang w:val="en-US"/>
        </w:rPr>
        <w:t xml:space="preserve"> =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1</w:t>
      </w:r>
      <w:r w:rsidRPr="006B7970">
        <w:rPr>
          <w:b/>
          <w:lang w:val="en-US"/>
        </w:rPr>
        <w:t xml:space="preserve">/R; 5); 2)    </w:t>
      </w:r>
      <w:r w:rsidRPr="006B7970">
        <w:rPr>
          <w:lang w:val="en-US"/>
        </w:rPr>
        <w:t xml:space="preserve">where: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0"/>
        <w:ind w:left="1426" w:right="71"/>
        <w:rPr>
          <w:lang w:val="en-US"/>
        </w:rPr>
      </w:pPr>
      <w:r w:rsidRPr="006B7970">
        <w:rPr>
          <w:lang w:val="en-US"/>
        </w:rPr>
        <w:t>SP</w:t>
      </w:r>
      <w:r w:rsidRPr="006B7970">
        <w:rPr>
          <w:vertAlign w:val="subscript"/>
          <w:lang w:val="en-US"/>
        </w:rPr>
        <w:t xml:space="preserve">1 </w:t>
      </w:r>
      <w:r w:rsidRPr="006B7970">
        <w:rPr>
          <w:lang w:val="en-US"/>
        </w:rPr>
        <w:t xml:space="preserve">– current settlement price of the Contract </w:t>
      </w:r>
    </w:p>
    <w:p w:rsidR="00C11804" w:rsidRPr="006B7970" w:rsidRDefault="00B65483">
      <w:pPr>
        <w:ind w:left="1426" w:right="6263"/>
        <w:rPr>
          <w:lang w:val="en-US"/>
        </w:rPr>
      </w:pPr>
      <w:r w:rsidRPr="006B7970">
        <w:rPr>
          <w:lang w:val="en-US"/>
        </w:rPr>
        <w:t>W</w:t>
      </w:r>
      <w:r w:rsidRPr="006B7970">
        <w:rPr>
          <w:vertAlign w:val="subscript"/>
          <w:lang w:val="en-US"/>
        </w:rPr>
        <w:t>1</w:t>
      </w:r>
      <w:r w:rsidRPr="006B7970">
        <w:rPr>
          <w:lang w:val="en-US"/>
        </w:rPr>
        <w:t xml:space="preserve"> – tick value R – tick size </w:t>
      </w:r>
    </w:p>
    <w:p w:rsidR="00C11804" w:rsidRPr="006B7970" w:rsidRDefault="00B65483">
      <w:pPr>
        <w:numPr>
          <w:ilvl w:val="5"/>
          <w:numId w:val="3"/>
        </w:numPr>
        <w:ind w:right="71" w:hanging="283"/>
        <w:rPr>
          <w:lang w:val="en-US"/>
        </w:rPr>
      </w:pPr>
      <w:r w:rsidRPr="006B7970">
        <w:rPr>
          <w:lang w:val="en-US"/>
        </w:rPr>
        <w:t xml:space="preserve">If the variation margin has been calculated before: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 xml:space="preserve">1 </w:t>
      </w:r>
      <w:r w:rsidRPr="006B7970">
        <w:rPr>
          <w:b/>
          <w:lang w:val="en-US"/>
        </w:rPr>
        <w:t>=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(SP</w:t>
      </w:r>
      <w:r w:rsidRPr="006B7970">
        <w:rPr>
          <w:b/>
          <w:vertAlign w:val="subscript"/>
          <w:lang w:val="en-US"/>
        </w:rPr>
        <w:t>P</w:t>
      </w:r>
      <w:r w:rsidRPr="006B7970">
        <w:rPr>
          <w:b/>
          <w:lang w:val="en-US"/>
        </w:rPr>
        <w:t>*Round (W</w:t>
      </w:r>
      <w:r w:rsidRPr="006B7970">
        <w:rPr>
          <w:b/>
          <w:vertAlign w:val="subscript"/>
          <w:lang w:val="en-US"/>
        </w:rPr>
        <w:t>1</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rsidP="006C6603">
      <w:pPr>
        <w:spacing w:after="0"/>
        <w:ind w:left="1426" w:right="71"/>
        <w:rPr>
          <w:lang w:val="en-US"/>
        </w:rPr>
      </w:pPr>
      <w:r w:rsidRPr="006B7970">
        <w:rPr>
          <w:lang w:val="en-US"/>
        </w:rPr>
        <w:t>SP</w:t>
      </w:r>
      <w:r w:rsidRPr="006B7970">
        <w:rPr>
          <w:vertAlign w:val="subscript"/>
          <w:lang w:val="en-US"/>
        </w:rPr>
        <w:t>1</w:t>
      </w:r>
      <w:r w:rsidRPr="006B7970">
        <w:rPr>
          <w:lang w:val="en-US"/>
        </w:rPr>
        <w:t xml:space="preserve"> – current settlement price of the Contract </w:t>
      </w:r>
    </w:p>
    <w:p w:rsidR="00C11804" w:rsidRPr="006B7970" w:rsidRDefault="00B65483">
      <w:pPr>
        <w:spacing w:after="0"/>
        <w:ind w:left="1426" w:right="71"/>
        <w:rPr>
          <w:lang w:val="en-US"/>
        </w:rPr>
      </w:pPr>
      <w:proofErr w:type="spellStart"/>
      <w:r w:rsidRPr="006B7970">
        <w:rPr>
          <w:lang w:val="en-US"/>
        </w:rPr>
        <w:t>SP</w:t>
      </w:r>
      <w:r w:rsidRPr="006B7970">
        <w:rPr>
          <w:vertAlign w:val="subscript"/>
          <w:lang w:val="en-US"/>
        </w:rPr>
        <w:t>p</w:t>
      </w:r>
      <w:proofErr w:type="spellEnd"/>
      <w:r w:rsidRPr="006B7970">
        <w:rPr>
          <w:lang w:val="en-US"/>
        </w:rPr>
        <w:t xml:space="preserve"> – settlement price of the Contract calculated during the previous trading day’s evening clearing session </w:t>
      </w:r>
    </w:p>
    <w:p w:rsidR="00C11804" w:rsidRPr="006B7970" w:rsidRDefault="00B65483">
      <w:pPr>
        <w:spacing w:after="10"/>
        <w:ind w:left="1426" w:right="71"/>
        <w:rPr>
          <w:lang w:val="en-US"/>
        </w:rPr>
      </w:pPr>
      <w:r w:rsidRPr="006B7970">
        <w:rPr>
          <w:lang w:val="en-US"/>
        </w:rPr>
        <w:t>W</w:t>
      </w:r>
      <w:r w:rsidRPr="006B7970">
        <w:rPr>
          <w:vertAlign w:val="subscript"/>
          <w:lang w:val="en-US"/>
        </w:rPr>
        <w:t>1</w:t>
      </w:r>
      <w:r w:rsidRPr="006B7970">
        <w:rPr>
          <w:lang w:val="en-US"/>
        </w:rPr>
        <w:t xml:space="preserve"> – tick value </w:t>
      </w:r>
    </w:p>
    <w:p w:rsidR="00C11804" w:rsidRPr="006B7970" w:rsidRDefault="00B65483">
      <w:pPr>
        <w:ind w:left="1426" w:right="71"/>
        <w:rPr>
          <w:lang w:val="en-US"/>
        </w:rPr>
      </w:pPr>
      <w:r w:rsidRPr="006B7970">
        <w:rPr>
          <w:lang w:val="en-US"/>
        </w:rPr>
        <w:t xml:space="preserve">R – tick size </w:t>
      </w:r>
    </w:p>
    <w:p w:rsidR="00C11804" w:rsidRPr="006B7970" w:rsidRDefault="00B65483">
      <w:pPr>
        <w:ind w:left="1143"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numPr>
          <w:ilvl w:val="3"/>
          <w:numId w:val="1"/>
        </w:numPr>
        <w:ind w:right="71" w:hanging="1051"/>
        <w:rPr>
          <w:lang w:val="en-US"/>
        </w:rPr>
      </w:pPr>
      <w:r w:rsidRPr="006B7970">
        <w:rPr>
          <w:lang w:val="en-US"/>
        </w:rPr>
        <w:t xml:space="preserve">During the evening clearing session: </w:t>
      </w:r>
    </w:p>
    <w:p w:rsidR="00C11804" w:rsidRPr="006B7970" w:rsidRDefault="00B65483">
      <w:pPr>
        <w:numPr>
          <w:ilvl w:val="0"/>
          <w:numId w:val="4"/>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1" w:lineRule="auto"/>
        <w:ind w:left="1426" w:right="0"/>
        <w:jc w:val="left"/>
        <w:rPr>
          <w:lang w:val="en-US"/>
        </w:rPr>
      </w:pPr>
      <w:r w:rsidRPr="006B7970">
        <w:rPr>
          <w:b/>
          <w:lang w:val="en-US"/>
        </w:rPr>
        <w:t>VM</w:t>
      </w:r>
      <w:r w:rsidRPr="006B7970">
        <w:rPr>
          <w:b/>
          <w:vertAlign w:val="subscript"/>
          <w:lang w:val="en-US"/>
        </w:rPr>
        <w:t>2</w:t>
      </w:r>
      <w:r w:rsidRPr="006B7970">
        <w:rPr>
          <w:b/>
          <w:lang w:val="en-US"/>
        </w:rPr>
        <w:t xml:space="preserve">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16" w:line="238" w:lineRule="auto"/>
        <w:ind w:left="1416" w:right="3738" w:firstLine="0"/>
        <w:jc w:val="left"/>
        <w:rPr>
          <w:lang w:val="en-US"/>
        </w:rPr>
      </w:pPr>
      <w:r w:rsidRPr="006B7970">
        <w:rPr>
          <w:lang w:val="en-US"/>
        </w:rPr>
        <w:t>SP</w:t>
      </w:r>
      <w:r w:rsidRPr="006B7970">
        <w:rPr>
          <w:vertAlign w:val="subscript"/>
          <w:lang w:val="en-US"/>
        </w:rPr>
        <w:t>2</w:t>
      </w:r>
      <w:r w:rsidRPr="006B7970">
        <w:rPr>
          <w:lang w:val="en-US"/>
        </w:rPr>
        <w:t xml:space="preserve"> – current settlement price of the Contract W</w:t>
      </w:r>
      <w:r w:rsidRPr="006B7970">
        <w:rPr>
          <w:vertAlign w:val="subscript"/>
          <w:lang w:val="en-US"/>
        </w:rPr>
        <w:t>2</w:t>
      </w:r>
      <w:r w:rsidRPr="006B7970">
        <w:rPr>
          <w:lang w:val="en-US"/>
        </w:rPr>
        <w:t xml:space="preserve"> – tick value R – tick size. </w:t>
      </w:r>
    </w:p>
    <w:p w:rsidR="00C11804" w:rsidRPr="006B7970" w:rsidRDefault="00B65483">
      <w:pPr>
        <w:numPr>
          <w:ilvl w:val="0"/>
          <w:numId w:val="4"/>
        </w:numPr>
        <w:ind w:right="71" w:hanging="283"/>
        <w:rPr>
          <w:lang w:val="en-US"/>
        </w:rPr>
      </w:pPr>
      <w:r w:rsidRPr="006B7970">
        <w:rPr>
          <w:lang w:val="en-US"/>
        </w:rPr>
        <w:t xml:space="preserve">If the variation margin has been calculated before: </w:t>
      </w:r>
    </w:p>
    <w:p w:rsidR="00C11804" w:rsidRPr="006B7970" w:rsidRDefault="00B65483">
      <w:pPr>
        <w:spacing w:after="0" w:line="359" w:lineRule="auto"/>
        <w:ind w:left="1426" w:right="3561"/>
        <w:rPr>
          <w:lang w:val="en-US"/>
        </w:rPr>
      </w:pPr>
      <w:r w:rsidRPr="006B7970">
        <w:rPr>
          <w:b/>
          <w:lang w:val="en-US"/>
        </w:rPr>
        <w:t>V</w:t>
      </w:r>
      <w:r>
        <w:rPr>
          <w:b/>
        </w:rPr>
        <w:t>М</w:t>
      </w:r>
      <w:r w:rsidRPr="006B7970">
        <w:rPr>
          <w:b/>
          <w:vertAlign w:val="subscript"/>
          <w:lang w:val="en-US"/>
        </w:rPr>
        <w:t>2</w:t>
      </w:r>
      <w:r w:rsidRPr="006B7970">
        <w:rPr>
          <w:b/>
          <w:lang w:val="en-US"/>
        </w:rPr>
        <w:t xml:space="preserve"> = V</w:t>
      </w:r>
      <w:r>
        <w:rPr>
          <w:b/>
        </w:rPr>
        <w:t>М</w:t>
      </w:r>
      <w:r w:rsidRPr="006B7970">
        <w:rPr>
          <w:b/>
          <w:lang w:val="en-US"/>
        </w:rPr>
        <w:t xml:space="preserve"> </w:t>
      </w:r>
      <w:r w:rsidRPr="006B7970">
        <w:rPr>
          <w:lang w:val="en-US"/>
        </w:rPr>
        <w:t>–</w:t>
      </w:r>
      <w:r w:rsidRPr="006B7970">
        <w:rPr>
          <w:b/>
          <w:lang w:val="en-US"/>
        </w:rPr>
        <w:t xml:space="preserve"> V</w:t>
      </w:r>
      <w:r>
        <w:rPr>
          <w:b/>
        </w:rPr>
        <w:t>М</w:t>
      </w:r>
      <w:r w:rsidRPr="006B7970">
        <w:rPr>
          <w:b/>
          <w:vertAlign w:val="subscript"/>
          <w:lang w:val="en-US"/>
        </w:rPr>
        <w:t>1</w:t>
      </w:r>
      <w:r w:rsidRPr="006B7970">
        <w:rPr>
          <w:lang w:val="en-US"/>
        </w:rPr>
        <w:t xml:space="preserve"> </w:t>
      </w:r>
      <w:r w:rsidRPr="006B7970">
        <w:rPr>
          <w:lang w:val="en-US"/>
        </w:rPr>
        <w:tab/>
        <w:t xml:space="preserve"> </w:t>
      </w:r>
      <w:r w:rsidRPr="006B7970">
        <w:rPr>
          <w:lang w:val="en-US"/>
        </w:rPr>
        <w:tab/>
        <w:t xml:space="preserve"> </w:t>
      </w:r>
      <w:r w:rsidRPr="006B7970">
        <w:rPr>
          <w:lang w:val="en-US"/>
        </w:rPr>
        <w:tab/>
      </w:r>
      <w:r w:rsidRPr="006B7970">
        <w:rPr>
          <w:b/>
          <w:lang w:val="en-US"/>
        </w:rPr>
        <w:t xml:space="preserve"> </w:t>
      </w:r>
      <w:r w:rsidRPr="006B7970">
        <w:rPr>
          <w:lang w:val="en-US"/>
        </w:rPr>
        <w:t xml:space="preserve">where: </w:t>
      </w:r>
    </w:p>
    <w:p w:rsidR="00C11804" w:rsidRPr="006B7970" w:rsidRDefault="00B65483">
      <w:pPr>
        <w:ind w:left="1426" w:right="71"/>
        <w:rPr>
          <w:lang w:val="en-US"/>
        </w:rPr>
      </w:pPr>
      <w:r w:rsidRPr="006B7970">
        <w:rPr>
          <w:lang w:val="en-US"/>
        </w:rPr>
        <w:t>VM</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ind w:left="1426" w:right="71"/>
        <w:rPr>
          <w:lang w:val="en-US"/>
        </w:rPr>
      </w:pPr>
      <w:r w:rsidRPr="006B7970">
        <w:rPr>
          <w:lang w:val="en-US"/>
        </w:rPr>
        <w:t xml:space="preserve">VM – current trading day’s total (intraday and evening trading sessions) variation margin </w:t>
      </w:r>
    </w:p>
    <w:p w:rsidR="00C11804" w:rsidRPr="006B7970" w:rsidRDefault="00B65483">
      <w:pPr>
        <w:ind w:left="1426" w:right="71"/>
        <w:rPr>
          <w:lang w:val="en-US"/>
        </w:rPr>
      </w:pPr>
      <w:r w:rsidRPr="006B7970">
        <w:rPr>
          <w:lang w:val="en-US"/>
        </w:rPr>
        <w:t>VM</w:t>
      </w:r>
      <w:r w:rsidRPr="006B7970">
        <w:rPr>
          <w:vertAlign w:val="subscript"/>
          <w:lang w:val="en-US"/>
        </w:rPr>
        <w:t>1</w:t>
      </w:r>
      <w:r w:rsidRPr="006B7970">
        <w:rPr>
          <w:lang w:val="en-US"/>
        </w:rPr>
        <w:t xml:space="preserve"> – variation margin for the current trading day’s intraday settlement period, calculated during the intraday clearing session, as defined in Clause 2.3.1 of the Specification </w:t>
      </w:r>
    </w:p>
    <w:p w:rsidR="00C11804" w:rsidRPr="006B7970" w:rsidRDefault="00B65483">
      <w:pPr>
        <w:ind w:left="1426" w:right="71"/>
        <w:rPr>
          <w:lang w:val="en-US"/>
        </w:rPr>
      </w:pPr>
      <w:r w:rsidRPr="006B7970">
        <w:rPr>
          <w:lang w:val="en-US"/>
        </w:rPr>
        <w:t xml:space="preserve">Value of VM is determined according to the following formulas: </w:t>
      </w:r>
    </w:p>
    <w:p w:rsidR="00C11804" w:rsidRPr="006B7970" w:rsidRDefault="00B65483">
      <w:pPr>
        <w:ind w:left="1699" w:right="71" w:hanging="283"/>
        <w:rPr>
          <w:lang w:val="en-US"/>
        </w:rPr>
      </w:pPr>
      <w:proofErr w:type="spellStart"/>
      <w:r w:rsidRPr="006B7970">
        <w:rPr>
          <w:lang w:val="en-US"/>
        </w:rPr>
        <w:t>i</w:t>
      </w:r>
      <w:proofErr w:type="spellEnd"/>
      <w:r w:rsidRPr="006B7970">
        <w:rPr>
          <w:lang w:val="en-US"/>
        </w:rPr>
        <w:t>.</w:t>
      </w:r>
      <w:r w:rsidRPr="006B7970">
        <w:rPr>
          <w:rFonts w:ascii="Arial" w:eastAsia="Arial" w:hAnsi="Arial" w:cs="Arial"/>
          <w:lang w:val="en-US"/>
        </w:rPr>
        <w:t xml:space="preserve"> </w:t>
      </w:r>
      <w:r w:rsidRPr="006B7970">
        <w:rPr>
          <w:lang w:val="en-US"/>
        </w:rPr>
        <w:t xml:space="preserve">If the variation margin has not been calculated during the previous trading day’s evening clearing session: </w:t>
      </w:r>
    </w:p>
    <w:p w:rsidR="00C11804" w:rsidRPr="006B7970" w:rsidRDefault="00B65483">
      <w:pPr>
        <w:spacing w:after="3" w:line="351"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w:t>
      </w:r>
      <w:proofErr w:type="gramStart"/>
      <w:r w:rsidRPr="006B7970">
        <w:rPr>
          <w:b/>
          <w:lang w:val="en-US"/>
        </w:rPr>
        <w:t>Round(</w:t>
      </w:r>
      <w:proofErr w:type="gramEnd"/>
      <w:r w:rsidRPr="006B7970">
        <w:rPr>
          <w:b/>
          <w:lang w:val="en-US"/>
        </w:rPr>
        <w:t>W</w:t>
      </w:r>
      <w:r w:rsidRPr="006B7970">
        <w:rPr>
          <w:b/>
          <w:vertAlign w:val="subscript"/>
          <w:lang w:val="en-US"/>
        </w:rPr>
        <w:t>2</w:t>
      </w:r>
      <w:r w:rsidRPr="006B7970">
        <w:rPr>
          <w:b/>
          <w:lang w:val="en-US"/>
        </w:rPr>
        <w:t>/R; 5); 2) – Round(P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 xml:space="preserve">/R; 5); 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10"/>
        <w:ind w:left="1709"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ind w:left="1416" w:right="71" w:firstLine="283"/>
        <w:rPr>
          <w:lang w:val="en-US"/>
        </w:rPr>
      </w:pPr>
      <w:r w:rsidRPr="006B7970">
        <w:rPr>
          <w:lang w:val="en-US"/>
        </w:rPr>
        <w:t>W</w:t>
      </w:r>
      <w:r w:rsidRPr="006B7970">
        <w:rPr>
          <w:vertAlign w:val="subscript"/>
          <w:lang w:val="en-US"/>
        </w:rPr>
        <w:t xml:space="preserve">2 </w:t>
      </w:r>
      <w:r w:rsidRPr="006B7970">
        <w:rPr>
          <w:lang w:val="en-US"/>
        </w:rPr>
        <w:t>– tick value R – tick size ii.</w:t>
      </w:r>
      <w:r w:rsidRPr="006B7970">
        <w:rPr>
          <w:rFonts w:ascii="Arial" w:eastAsia="Arial" w:hAnsi="Arial" w:cs="Arial"/>
          <w:lang w:val="en-US"/>
        </w:rPr>
        <w:t xml:space="preserve"> </w:t>
      </w:r>
      <w:r w:rsidRPr="006B7970">
        <w:rPr>
          <w:lang w:val="en-US"/>
        </w:rPr>
        <w:t xml:space="preserve">If the variation margin has been calculated during the previous trading day’s evening clearing session: </w:t>
      </w:r>
    </w:p>
    <w:p w:rsidR="00C11804" w:rsidRPr="006B7970" w:rsidRDefault="00B65483">
      <w:pPr>
        <w:spacing w:after="3" w:line="265"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 xml:space="preserve">/R; 5); 2) – </w:t>
      </w:r>
      <w:proofErr w:type="gramStart"/>
      <w:r w:rsidRPr="006B7970">
        <w:rPr>
          <w:b/>
          <w:lang w:val="en-US"/>
        </w:rPr>
        <w:t>Round(</w:t>
      </w:r>
      <w:proofErr w:type="gramEnd"/>
      <w:r w:rsidRPr="006B7970">
        <w:rPr>
          <w:b/>
          <w:lang w:val="en-US"/>
        </w:rPr>
        <w:t>SP</w:t>
      </w:r>
      <w:r w:rsidRPr="006B7970">
        <w:rPr>
          <w:b/>
          <w:vertAlign w:val="subscript"/>
          <w:lang w:val="en-US"/>
        </w:rPr>
        <w:t>P</w:t>
      </w:r>
      <w:r w:rsidRPr="006B7970">
        <w:rPr>
          <w:b/>
          <w:lang w:val="en-US"/>
        </w:rPr>
        <w:t>*Round (W</w:t>
      </w:r>
      <w:r w:rsidRPr="006B7970">
        <w:rPr>
          <w:b/>
          <w:vertAlign w:val="subscript"/>
          <w:lang w:val="en-US"/>
        </w:rPr>
        <w:t>2</w:t>
      </w:r>
      <w:r w:rsidRPr="006B7970">
        <w:rPr>
          <w:b/>
          <w:lang w:val="en-US"/>
        </w:rPr>
        <w:t xml:space="preserve">/R; 5); </w:t>
      </w:r>
    </w:p>
    <w:p w:rsidR="00C11804" w:rsidRPr="006B7970" w:rsidRDefault="00B65483">
      <w:pPr>
        <w:spacing w:after="5" w:line="352" w:lineRule="auto"/>
        <w:ind w:left="1709" w:right="6599"/>
        <w:rPr>
          <w:lang w:val="en-US"/>
        </w:rPr>
      </w:pPr>
      <w:r w:rsidRPr="006B7970">
        <w:rPr>
          <w:b/>
          <w:lang w:val="en-US"/>
        </w:rPr>
        <w:t xml:space="preserve">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0"/>
        <w:ind w:left="1709" w:right="71"/>
        <w:rPr>
          <w:lang w:val="en-US"/>
        </w:rPr>
      </w:pPr>
      <w:r w:rsidRPr="006B7970">
        <w:rPr>
          <w:lang w:val="en-US"/>
        </w:rPr>
        <w:t>SP</w:t>
      </w:r>
      <w:r w:rsidRPr="006B7970">
        <w:rPr>
          <w:vertAlign w:val="subscript"/>
          <w:lang w:val="en-US"/>
        </w:rPr>
        <w:t>P</w:t>
      </w:r>
      <w:r w:rsidRPr="006B7970">
        <w:rPr>
          <w:lang w:val="en-US"/>
        </w:rPr>
        <w:t xml:space="preserve"> – settlement price of the Contract, calculated during the previous trading day’s evening clearing session </w:t>
      </w:r>
    </w:p>
    <w:p w:rsidR="00C11804" w:rsidRPr="006B7970" w:rsidRDefault="00B65483">
      <w:pPr>
        <w:ind w:left="1709" w:right="71"/>
        <w:rPr>
          <w:lang w:val="en-US"/>
        </w:rPr>
      </w:pPr>
      <w:r w:rsidRPr="006B7970">
        <w:rPr>
          <w:lang w:val="en-US"/>
        </w:rPr>
        <w:t>W</w:t>
      </w:r>
      <w:r w:rsidRPr="006B7970">
        <w:rPr>
          <w:vertAlign w:val="subscript"/>
          <w:lang w:val="en-US"/>
        </w:rPr>
        <w:t>2</w:t>
      </w:r>
      <w:r w:rsidRPr="006B7970">
        <w:rPr>
          <w:lang w:val="en-US"/>
        </w:rPr>
        <w:t xml:space="preserve"> – tick value </w:t>
      </w:r>
    </w:p>
    <w:p w:rsidR="00C11804" w:rsidRPr="006B7970" w:rsidRDefault="00B65483">
      <w:pPr>
        <w:ind w:left="1709" w:right="71"/>
        <w:rPr>
          <w:lang w:val="en-US"/>
        </w:rPr>
      </w:pPr>
      <w:r w:rsidRPr="006B7970">
        <w:rPr>
          <w:lang w:val="en-US"/>
        </w:rPr>
        <w:t xml:space="preserve">R – tick size </w:t>
      </w:r>
    </w:p>
    <w:p w:rsidR="00C11804" w:rsidRPr="006B7970" w:rsidRDefault="00B65483">
      <w:pPr>
        <w:ind w:left="1426" w:right="71"/>
        <w:rPr>
          <w:lang w:val="en-US"/>
        </w:rPr>
      </w:pPr>
      <w:r w:rsidRPr="006B7970">
        <w:rPr>
          <w:lang w:val="en-US"/>
        </w:rPr>
        <w:t xml:space="preserve">For the purpose of calculating the variation margin during the intraday clearing session, the tick value is determined using the USD/RUB FX rate. The time of the USD/RUB FX rate fixing is set by the Exchange and published on the Exchange’s website. </w:t>
      </w:r>
    </w:p>
    <w:p w:rsidR="00C11804" w:rsidRPr="006B7970" w:rsidRDefault="00B65483">
      <w:pPr>
        <w:tabs>
          <w:tab w:val="center" w:pos="822"/>
          <w:tab w:val="right" w:pos="9188"/>
        </w:tabs>
        <w:spacing w:after="0" w:line="259" w:lineRule="auto"/>
        <w:ind w:left="0" w:right="0" w:firstLine="0"/>
        <w:jc w:val="left"/>
        <w:rPr>
          <w:lang w:val="en-US"/>
        </w:rPr>
      </w:pPr>
      <w:r w:rsidRPr="006B7970">
        <w:rPr>
          <w:rFonts w:ascii="Calibri" w:eastAsia="Calibri" w:hAnsi="Calibri" w:cs="Calibri"/>
          <w:sz w:val="22"/>
          <w:lang w:val="en-US"/>
        </w:rPr>
        <w:tab/>
      </w:r>
      <w:r w:rsidRPr="006B7970">
        <w:rPr>
          <w:lang w:val="en-US"/>
        </w:rPr>
        <w:t>2.1.4.</w:t>
      </w:r>
      <w:r w:rsidRPr="006B7970">
        <w:rPr>
          <w:rFonts w:ascii="Arial" w:eastAsia="Arial" w:hAnsi="Arial" w:cs="Arial"/>
          <w:lang w:val="en-US"/>
        </w:rPr>
        <w:t xml:space="preserve"> </w:t>
      </w:r>
      <w:r w:rsidRPr="006B7970">
        <w:rPr>
          <w:rFonts w:ascii="Arial" w:eastAsia="Arial" w:hAnsi="Arial" w:cs="Arial"/>
          <w:lang w:val="en-US"/>
        </w:rPr>
        <w:tab/>
      </w:r>
      <w:r w:rsidRPr="006B7970">
        <w:rPr>
          <w:lang w:val="en-US"/>
        </w:rPr>
        <w:t xml:space="preserve">The obligation to pay variation margin in the amount calculated as per Section 2.1.3 of </w:t>
      </w:r>
    </w:p>
    <w:p w:rsidR="00C11804" w:rsidRDefault="00B65483">
      <w:pPr>
        <w:spacing w:after="53"/>
        <w:ind w:left="1426" w:right="71"/>
      </w:pPr>
      <w:r w:rsidRPr="006B7970">
        <w:rPr>
          <w:lang w:val="en-US"/>
        </w:rPr>
        <w:t xml:space="preserve">the Specification is to be fulfilled in accordance with the procedure and within the timeframe set forth in the Clearing Rules. </w:t>
      </w:r>
      <w:r w:rsidR="009160F2">
        <w:rPr>
          <w:lang w:val="en-US"/>
        </w:rPr>
        <w:t>In this case</w:t>
      </w:r>
      <w:r>
        <w:t xml:space="preserve">,  </w:t>
      </w:r>
    </w:p>
    <w:p w:rsidR="00C11804" w:rsidRPr="006B7970" w:rsidRDefault="00B65483">
      <w:pPr>
        <w:numPr>
          <w:ilvl w:val="5"/>
          <w:numId w:val="5"/>
        </w:numPr>
        <w:spacing w:after="0" w:line="259" w:lineRule="auto"/>
        <w:ind w:right="178" w:hanging="283"/>
        <w:rPr>
          <w:lang w:val="en-US"/>
        </w:rPr>
      </w:pPr>
      <w:r w:rsidRPr="006B7970">
        <w:rPr>
          <w:lang w:val="en-US"/>
        </w:rPr>
        <w:t xml:space="preserve">if the variation margin is positive, the Seller is obliged to pay the variation margin </w:t>
      </w:r>
    </w:p>
    <w:p w:rsidR="00C11804" w:rsidRPr="006B7970" w:rsidRDefault="00B65483">
      <w:pPr>
        <w:numPr>
          <w:ilvl w:val="5"/>
          <w:numId w:val="5"/>
        </w:numPr>
        <w:spacing w:after="57"/>
        <w:ind w:right="178" w:hanging="283"/>
        <w:rPr>
          <w:lang w:val="en-US"/>
        </w:rPr>
      </w:pPr>
      <w:r w:rsidRPr="006B7970">
        <w:rPr>
          <w:lang w:val="en-US"/>
        </w:rPr>
        <w:t xml:space="preserve">if the variation margin is negative, the Buyer is obliged to pay the absolute value of the variation margin </w:t>
      </w:r>
    </w:p>
    <w:p w:rsidR="00C11804" w:rsidRPr="006B7970" w:rsidRDefault="00B65483">
      <w:pPr>
        <w:ind w:left="1416" w:right="71" w:hanging="850"/>
        <w:rPr>
          <w:lang w:val="en-US"/>
        </w:rPr>
      </w:pPr>
      <w:r w:rsidRPr="006B7970">
        <w:rPr>
          <w:lang w:val="en-US"/>
        </w:rPr>
        <w:t>2.1.5.</w:t>
      </w:r>
      <w:r w:rsidRPr="006B7970">
        <w:rPr>
          <w:rFonts w:ascii="Arial" w:eastAsia="Arial" w:hAnsi="Arial" w:cs="Arial"/>
          <w:lang w:val="en-US"/>
        </w:rPr>
        <w:t xml:space="preserve"> </w:t>
      </w:r>
      <w:r w:rsidRPr="006B7970">
        <w:rPr>
          <w:lang w:val="en-US"/>
        </w:rPr>
        <w:t xml:space="preserve">The Exchange will determine the settlement price of the Contract in accordance with the procedure and within the timeframe set forth in the Trading Rules and the Specification. </w:t>
      </w:r>
    </w:p>
    <w:p w:rsidR="00C11804" w:rsidRDefault="00B65483" w:rsidP="00762F01">
      <w:pPr>
        <w:numPr>
          <w:ilvl w:val="1"/>
          <w:numId w:val="1"/>
        </w:numPr>
        <w:spacing w:after="52"/>
        <w:ind w:left="567" w:right="71" w:hanging="566"/>
      </w:pPr>
      <w:r w:rsidRPr="00762F01">
        <w:rPr>
          <w:lang w:val="en-US"/>
        </w:rPr>
        <w:t>Settlement</w:t>
      </w:r>
      <w:r>
        <w:t xml:space="preserve"> </w:t>
      </w:r>
      <w:proofErr w:type="spellStart"/>
      <w:r>
        <w:t>obligations</w:t>
      </w:r>
      <w:proofErr w:type="spellEnd"/>
      <w:r>
        <w:t xml:space="preserve">  </w:t>
      </w:r>
    </w:p>
    <w:p w:rsidR="00C11804" w:rsidRPr="006B7970" w:rsidRDefault="00B65483">
      <w:pPr>
        <w:numPr>
          <w:ilvl w:val="2"/>
          <w:numId w:val="6"/>
        </w:numPr>
        <w:ind w:left="993" w:right="71" w:hanging="566"/>
        <w:rPr>
          <w:lang w:val="en-US"/>
        </w:rPr>
      </w:pPr>
      <w:r w:rsidRPr="006B7970">
        <w:rPr>
          <w:lang w:val="en-US"/>
        </w:rPr>
        <w:t xml:space="preserve">Transfer of variation margin, determined during the </w:t>
      </w:r>
      <w:r w:rsidR="00D624DC">
        <w:rPr>
          <w:lang w:val="en-US"/>
        </w:rPr>
        <w:t>intraday</w:t>
      </w:r>
      <w:r w:rsidRPr="006B7970">
        <w:rPr>
          <w:lang w:val="en-US"/>
        </w:rPr>
        <w:t xml:space="preserve"> clearing session on the Contract’s final settlement date, will satisfy the settlement obligations under the Contract. </w:t>
      </w:r>
    </w:p>
    <w:p w:rsidR="00D624DC" w:rsidRPr="006C6603" w:rsidRDefault="00B65483" w:rsidP="006C6603">
      <w:pPr>
        <w:numPr>
          <w:ilvl w:val="2"/>
          <w:numId w:val="6"/>
        </w:numPr>
        <w:ind w:left="993" w:right="71" w:hanging="566"/>
        <w:rPr>
          <w:lang w:val="en-US"/>
        </w:rPr>
      </w:pPr>
      <w:r w:rsidRPr="006C6603">
        <w:rPr>
          <w:lang w:val="en-US"/>
        </w:rPr>
        <w:t xml:space="preserve">For the purpose of calculating the settlement obligations, the settlement price will be deemed equal to the value </w:t>
      </w:r>
      <w:r w:rsidR="006C6603" w:rsidRPr="006C6603">
        <w:rPr>
          <w:lang w:val="en-US"/>
        </w:rPr>
        <w:t xml:space="preserve">of the Settlement Price of the related </w:t>
      </w:r>
      <w:r w:rsidR="00D624DC" w:rsidRPr="006C6603">
        <w:rPr>
          <w:lang w:val="en-US"/>
        </w:rPr>
        <w:t>Henry Hub Natural Gas Futures</w:t>
      </w:r>
      <w:r w:rsidR="006C6603">
        <w:rPr>
          <w:lang w:val="en-US"/>
        </w:rPr>
        <w:t xml:space="preserve"> as set by </w:t>
      </w:r>
      <w:r w:rsidR="00D624DC" w:rsidRPr="006C6603">
        <w:rPr>
          <w:lang w:val="en-US"/>
        </w:rPr>
        <w:t>NYMEX</w:t>
      </w:r>
      <w:r w:rsidR="006C6603">
        <w:rPr>
          <w:lang w:val="en-US"/>
        </w:rPr>
        <w:t xml:space="preserve"> and published on </w:t>
      </w:r>
      <w:r w:rsidR="00D624DC" w:rsidRPr="006C6603">
        <w:rPr>
          <w:lang w:val="en-US"/>
        </w:rPr>
        <w:t>CME Group</w:t>
      </w:r>
      <w:r w:rsidR="006C6603">
        <w:rPr>
          <w:lang w:val="en-US"/>
        </w:rPr>
        <w:t xml:space="preserve"> website at </w:t>
      </w:r>
      <w:hyperlink r:id="rId9" w:history="1">
        <w:r w:rsidR="00D624DC" w:rsidRPr="006C6603">
          <w:rPr>
            <w:rStyle w:val="a8"/>
            <w:lang w:val="en-US"/>
          </w:rPr>
          <w:t>www.cmegroup.com</w:t>
        </w:r>
      </w:hyperlink>
      <w:r w:rsidR="00D624DC" w:rsidRPr="001331BB">
        <w:rPr>
          <w:rStyle w:val="a7"/>
          <w:lang w:val="en-US"/>
        </w:rPr>
        <w:footnoteReference w:id="3"/>
      </w:r>
      <w:r w:rsidR="00D624DC" w:rsidRPr="006C6603">
        <w:rPr>
          <w:rStyle w:val="a8"/>
          <w:lang w:val="en-US"/>
        </w:rPr>
        <w:t xml:space="preserve"> </w:t>
      </w:r>
      <w:r w:rsidR="006C6603" w:rsidRPr="00BF5A0A">
        <w:rPr>
          <w:lang w:val="en-US"/>
        </w:rPr>
        <w:t>on the last trade day</w:t>
      </w:r>
      <w:r w:rsidR="00BF5A0A" w:rsidRPr="00BF5A0A">
        <w:rPr>
          <w:lang w:val="en-US"/>
        </w:rPr>
        <w:t xml:space="preserve"> preceding the settlement date of </w:t>
      </w:r>
      <w:r w:rsidR="006C6603" w:rsidRPr="00BF5A0A">
        <w:rPr>
          <w:lang w:val="en-US"/>
        </w:rPr>
        <w:t xml:space="preserve">the related </w:t>
      </w:r>
      <w:r w:rsidR="00D624DC" w:rsidRPr="006C6603">
        <w:rPr>
          <w:lang w:val="en-US"/>
        </w:rPr>
        <w:t xml:space="preserve">Henry Hub Natural Gas Futures. </w:t>
      </w:r>
    </w:p>
    <w:p w:rsidR="00C11804" w:rsidRPr="006B7970" w:rsidRDefault="00B65483" w:rsidP="006C6603">
      <w:pPr>
        <w:numPr>
          <w:ilvl w:val="2"/>
          <w:numId w:val="6"/>
        </w:numPr>
        <w:ind w:left="993" w:right="71" w:hanging="566"/>
        <w:rPr>
          <w:lang w:val="en-US"/>
        </w:rPr>
      </w:pPr>
      <w:r w:rsidRPr="006B7970">
        <w:rPr>
          <w:lang w:val="en-US"/>
        </w:rPr>
        <w:t xml:space="preserve"> The Contract’s Settlement Price is adjusted for the Settlement Price movement tolerance if such movement tolerance has been established by the Exchange and agreed with the Clearing Centre in accordance with the Methodology for Calculation of Derivatives Contracts’ Settlement Prices constituting an appendix to the Trading Rules. </w:t>
      </w:r>
    </w:p>
    <w:p w:rsidR="00C11804" w:rsidRPr="006B7970" w:rsidRDefault="00B65483">
      <w:pPr>
        <w:numPr>
          <w:ilvl w:val="2"/>
          <w:numId w:val="6"/>
        </w:numPr>
        <w:ind w:left="993" w:right="71" w:hanging="566"/>
        <w:rPr>
          <w:lang w:val="en-US"/>
        </w:rPr>
      </w:pPr>
      <w:r w:rsidRPr="006B7970">
        <w:rPr>
          <w:lang w:val="en-US"/>
        </w:rPr>
        <w:t xml:space="preserve">If the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Pr="006B7970">
        <w:rPr>
          <w:lang w:val="en-US"/>
        </w:rPr>
        <w:t xml:space="preserve">has not been published one hour before the end of the </w:t>
      </w:r>
      <w:r w:rsidR="00F5417E">
        <w:rPr>
          <w:lang w:val="en-US"/>
        </w:rPr>
        <w:t>intraday</w:t>
      </w:r>
      <w:r w:rsidRPr="006B7970">
        <w:rPr>
          <w:lang w:val="en-US"/>
        </w:rPr>
        <w:t xml:space="preserve"> settlement period </w:t>
      </w:r>
      <w:r w:rsidR="00F5417E">
        <w:rPr>
          <w:lang w:val="en-US"/>
        </w:rPr>
        <w:t xml:space="preserve">on </w:t>
      </w:r>
      <w:r w:rsidRPr="006B7970">
        <w:rPr>
          <w:lang w:val="en-US"/>
        </w:rPr>
        <w:t xml:space="preserve">the Contract’s final settlement date, the </w:t>
      </w:r>
      <w:r w:rsidR="00F5417E">
        <w:rPr>
          <w:lang w:val="en-US"/>
        </w:rPr>
        <w:t xml:space="preserve">last available settlement price of the related contract </w:t>
      </w:r>
      <w:r w:rsidRPr="006B7970">
        <w:rPr>
          <w:lang w:val="en-US"/>
        </w:rPr>
        <w:t xml:space="preserve">published </w:t>
      </w:r>
      <w:r w:rsidR="00F5417E">
        <w:rPr>
          <w:lang w:val="en-US"/>
        </w:rPr>
        <w:t>by CME Group at www.cmegroup.com</w:t>
      </w:r>
      <w:r w:rsidRPr="006B7970">
        <w:rPr>
          <w:lang w:val="en-US"/>
        </w:rPr>
        <w:t xml:space="preserve"> shall be used, unless the Exchange decides otherwise in accordance with Sections 5.1. – 5.2. of the Specification. </w:t>
      </w:r>
    </w:p>
    <w:p w:rsidR="00C11804" w:rsidRDefault="00B65483" w:rsidP="00762F01">
      <w:pPr>
        <w:numPr>
          <w:ilvl w:val="1"/>
          <w:numId w:val="1"/>
        </w:numPr>
        <w:spacing w:after="52"/>
        <w:ind w:left="567" w:right="71" w:hanging="566"/>
        <w:rPr>
          <w:lang w:val="en-US"/>
        </w:rPr>
      </w:pPr>
      <w:r w:rsidRPr="006B7970">
        <w:rPr>
          <w:lang w:val="en-US"/>
        </w:rPr>
        <w:t xml:space="preserve">For the purpose of calculating the settlement obligations, the tick value shall be computed using the USD/RUB FX rate; the determination time is set by the Exchange and published on the Exchange’s website.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6F6DC2">
        <w:rPr>
          <w:b/>
          <w:lang w:val="en-US"/>
        </w:rPr>
        <w:t>Grounds</w:t>
      </w:r>
      <w:r w:rsidRPr="006B7970">
        <w:rPr>
          <w:b/>
          <w:lang w:val="en-US"/>
        </w:rPr>
        <w:t xml:space="preserve"> and procedure for termination of obligations under the Contract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Obligations under the Contract are terminated in full upon due performance thereof. </w:t>
      </w:r>
    </w:p>
    <w:p w:rsidR="00C11804" w:rsidRPr="006B7970" w:rsidRDefault="00B65483" w:rsidP="00762F01">
      <w:pPr>
        <w:numPr>
          <w:ilvl w:val="1"/>
          <w:numId w:val="1"/>
        </w:numPr>
        <w:spacing w:after="52"/>
        <w:ind w:left="567" w:right="71" w:hanging="566"/>
        <w:rPr>
          <w:lang w:val="en-US"/>
        </w:rPr>
      </w:pPr>
      <w:r w:rsidRPr="006B7970">
        <w:rPr>
          <w:lang w:val="en-US"/>
        </w:rPr>
        <w:t xml:space="preserve">A party’s obligations under the Contract will be terminated prior to the final settlement by entering into an offsetting Contract with the same Contract code (designation), subject to the procedures and time limits set forth in the Clearing Rules. </w:t>
      </w:r>
    </w:p>
    <w:p w:rsidR="00C11804" w:rsidRDefault="00B65483" w:rsidP="00762F01">
      <w:pPr>
        <w:numPr>
          <w:ilvl w:val="1"/>
          <w:numId w:val="1"/>
        </w:numPr>
        <w:spacing w:after="52"/>
        <w:ind w:left="567" w:right="71" w:hanging="566"/>
        <w:rPr>
          <w:lang w:val="en-US"/>
        </w:rPr>
      </w:pPr>
      <w:r w:rsidRPr="006B7970">
        <w:rPr>
          <w:lang w:val="en-US"/>
        </w:rPr>
        <w:t xml:space="preserve">Obligations under the Contract may be terminated on other grounds provided for in the Clearing Rules, in accordance with the procedures set forth thereof.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6F6DC2">
        <w:rPr>
          <w:b/>
          <w:lang w:val="en-US"/>
        </w:rPr>
        <w:t>Liability</w:t>
      </w:r>
      <w:r w:rsidRPr="006B7970">
        <w:rPr>
          <w:b/>
          <w:lang w:val="en-US"/>
        </w:rPr>
        <w:t xml:space="preserve"> of the parties for failure to perform the obligations under the Contract </w:t>
      </w:r>
    </w:p>
    <w:p w:rsidR="009160F2" w:rsidRPr="006B7970" w:rsidRDefault="009160F2" w:rsidP="009160F2">
      <w:pPr>
        <w:spacing w:after="3" w:line="265" w:lineRule="auto"/>
        <w:ind w:left="360" w:right="0" w:firstLine="0"/>
        <w:jc w:val="left"/>
        <w:rPr>
          <w:lang w:val="en-US"/>
        </w:rPr>
      </w:pPr>
    </w:p>
    <w:p w:rsidR="00C11804" w:rsidRDefault="00B65483" w:rsidP="00762F01">
      <w:pPr>
        <w:numPr>
          <w:ilvl w:val="1"/>
          <w:numId w:val="1"/>
        </w:numPr>
        <w:spacing w:after="52"/>
        <w:ind w:left="567" w:right="71" w:hanging="566"/>
        <w:rPr>
          <w:lang w:val="en-US"/>
        </w:rPr>
      </w:pPr>
      <w:r w:rsidRPr="006B7970">
        <w:rPr>
          <w:lang w:val="en-US"/>
        </w:rPr>
        <w:t xml:space="preserve">Parties to the Contract are liable for nonperformance or improper performance of the obligations under the Contract, as provided for in the Trading Rules, Clearing Rules, Admission Rules to Participation in Organized Trading of Moscow Exchange, and the laws of the Russian Federation.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pPr>
      <w:proofErr w:type="spellStart"/>
      <w:r>
        <w:rPr>
          <w:b/>
        </w:rPr>
        <w:t>Special</w:t>
      </w:r>
      <w:proofErr w:type="spellEnd"/>
      <w:r>
        <w:rPr>
          <w:b/>
        </w:rPr>
        <w:t xml:space="preserve"> </w:t>
      </w:r>
      <w:proofErr w:type="spellStart"/>
      <w:r>
        <w:rPr>
          <w:b/>
        </w:rPr>
        <w:t>Provisions</w:t>
      </w:r>
      <w:proofErr w:type="spellEnd"/>
      <w:r>
        <w:rPr>
          <w:b/>
        </w:rPr>
        <w:t xml:space="preserve"> </w:t>
      </w:r>
    </w:p>
    <w:p w:rsidR="009160F2" w:rsidRDefault="009160F2" w:rsidP="009160F2">
      <w:pPr>
        <w:spacing w:after="3" w:line="265" w:lineRule="auto"/>
        <w:ind w:left="360" w:right="0" w:firstLine="0"/>
        <w:jc w:val="left"/>
      </w:pPr>
    </w:p>
    <w:p w:rsidR="00F5417E" w:rsidRDefault="00B65483" w:rsidP="00762F01">
      <w:pPr>
        <w:numPr>
          <w:ilvl w:val="1"/>
          <w:numId w:val="1"/>
        </w:numPr>
        <w:spacing w:after="52"/>
        <w:ind w:left="567" w:right="71" w:hanging="566"/>
        <w:rPr>
          <w:lang w:val="en-US"/>
        </w:rPr>
      </w:pPr>
      <w:r w:rsidRPr="006B7970">
        <w:rPr>
          <w:lang w:val="en-US"/>
        </w:rPr>
        <w:t>If any circumstances</w:t>
      </w:r>
      <w:r w:rsidR="009160F2">
        <w:rPr>
          <w:lang w:val="en-US"/>
        </w:rPr>
        <w:t xml:space="preserve"> occur</w:t>
      </w:r>
      <w:r w:rsidRPr="006B7970">
        <w:rPr>
          <w:lang w:val="en-US"/>
        </w:rPr>
        <w:t xml:space="preserve"> that </w:t>
      </w:r>
      <w:r w:rsidR="009160F2">
        <w:rPr>
          <w:lang w:val="en-US"/>
        </w:rPr>
        <w:t>result in</w:t>
      </w:r>
      <w:r w:rsidRPr="006B7970">
        <w:rPr>
          <w:lang w:val="en-US"/>
        </w:rPr>
        <w:t xml:space="preserve"> </w:t>
      </w:r>
      <w:r w:rsidR="009160F2">
        <w:rPr>
          <w:lang w:val="en-US"/>
        </w:rPr>
        <w:t>material</w:t>
      </w:r>
      <w:r w:rsidRPr="006B7970">
        <w:rPr>
          <w:lang w:val="en-US"/>
        </w:rPr>
        <w:t xml:space="preserve"> changes </w:t>
      </w:r>
      <w:r w:rsidR="009160F2">
        <w:rPr>
          <w:lang w:val="en-US"/>
        </w:rPr>
        <w:t>in</w:t>
      </w:r>
      <w:r w:rsidRPr="006B7970">
        <w:rPr>
          <w:lang w:val="en-US"/>
        </w:rPr>
        <w:t xml:space="preserve"> </w:t>
      </w:r>
      <w:r w:rsidR="009160F2">
        <w:rPr>
          <w:lang w:val="en-US"/>
        </w:rPr>
        <w:t xml:space="preserve">the </w:t>
      </w:r>
      <w:r w:rsidRPr="006B7970">
        <w:rPr>
          <w:lang w:val="en-US"/>
        </w:rPr>
        <w:t xml:space="preserve">Contract terms, including </w:t>
      </w:r>
    </w:p>
    <w:p w:rsidR="00004359" w:rsidRDefault="00004359" w:rsidP="00F5417E">
      <w:pPr>
        <w:pStyle w:val="ab"/>
        <w:numPr>
          <w:ilvl w:val="0"/>
          <w:numId w:val="9"/>
        </w:numPr>
        <w:spacing w:after="52"/>
        <w:ind w:right="71"/>
        <w:rPr>
          <w:lang w:val="en-US"/>
        </w:rPr>
      </w:pPr>
      <w:r w:rsidRPr="00004359">
        <w:rPr>
          <w:lang w:val="en-US"/>
        </w:rPr>
        <w:t>if the legal basis for using the Settle Price information of the applicable Henry Hub Natural Gas Futures ceases to exist</w:t>
      </w:r>
    </w:p>
    <w:p w:rsidR="00F5417E" w:rsidRDefault="009160F2" w:rsidP="00F5417E">
      <w:pPr>
        <w:pStyle w:val="ab"/>
        <w:numPr>
          <w:ilvl w:val="0"/>
          <w:numId w:val="9"/>
        </w:numPr>
        <w:spacing w:after="52"/>
        <w:ind w:right="71"/>
        <w:rPr>
          <w:lang w:val="en-US"/>
        </w:rPr>
      </w:pPr>
      <w:r>
        <w:rPr>
          <w:lang w:val="en-US"/>
        </w:rPr>
        <w:t xml:space="preserve">Suspending/terminating the </w:t>
      </w:r>
      <w:r w:rsidR="00F5417E">
        <w:rPr>
          <w:lang w:val="en-US"/>
        </w:rPr>
        <w:t xml:space="preserve">publication of the </w:t>
      </w:r>
      <w:r>
        <w:rPr>
          <w:lang w:val="en-US"/>
        </w:rPr>
        <w:t>settlement</w:t>
      </w:r>
      <w:r w:rsidR="00F5417E">
        <w:rPr>
          <w:lang w:val="en-US"/>
        </w:rPr>
        <w:t xml:space="preserve">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Pr>
          <w:lang w:val="en-US"/>
        </w:rPr>
        <w:t>;</w:t>
      </w:r>
    </w:p>
    <w:p w:rsidR="00F5417E" w:rsidRDefault="009160F2" w:rsidP="00F5417E">
      <w:pPr>
        <w:pStyle w:val="ab"/>
        <w:numPr>
          <w:ilvl w:val="0"/>
          <w:numId w:val="9"/>
        </w:numPr>
        <w:spacing w:after="52"/>
        <w:ind w:right="71"/>
        <w:rPr>
          <w:lang w:val="en-US"/>
        </w:rPr>
      </w:pPr>
      <w:r>
        <w:rPr>
          <w:lang w:val="en-US"/>
        </w:rPr>
        <w:t>Changing t</w:t>
      </w:r>
      <w:r w:rsidR="00F5417E">
        <w:rPr>
          <w:lang w:val="en-US"/>
        </w:rPr>
        <w:t xml:space="preserve">he </w:t>
      </w:r>
      <w:r w:rsidR="00E35411">
        <w:rPr>
          <w:lang w:val="en-US"/>
        </w:rPr>
        <w:t xml:space="preserve">previously announced </w:t>
      </w:r>
      <w:r w:rsidR="00F5417E">
        <w:rPr>
          <w:lang w:val="en-US"/>
        </w:rPr>
        <w:t xml:space="preserve">settlement price of the related </w:t>
      </w:r>
      <w:r w:rsidR="00F5417E" w:rsidRPr="001331BB">
        <w:rPr>
          <w:lang w:val="en-US"/>
        </w:rPr>
        <w:t>Henry</w:t>
      </w:r>
      <w:r w:rsidR="00F5417E" w:rsidRPr="00F5417E">
        <w:rPr>
          <w:lang w:val="en-US"/>
        </w:rPr>
        <w:t xml:space="preserve"> </w:t>
      </w:r>
      <w:r w:rsidR="00F5417E" w:rsidRPr="001331BB">
        <w:rPr>
          <w:lang w:val="en-US"/>
        </w:rPr>
        <w:t>Hub</w:t>
      </w:r>
      <w:r w:rsidR="00F5417E" w:rsidRPr="00F5417E">
        <w:rPr>
          <w:lang w:val="en-US"/>
        </w:rPr>
        <w:t xml:space="preserve"> </w:t>
      </w:r>
      <w:r w:rsidR="00F5417E" w:rsidRPr="001331BB">
        <w:rPr>
          <w:lang w:val="en-US"/>
        </w:rPr>
        <w:t>Natural</w:t>
      </w:r>
      <w:r w:rsidR="00F5417E" w:rsidRPr="00F5417E">
        <w:rPr>
          <w:lang w:val="en-US"/>
        </w:rPr>
        <w:t xml:space="preserve"> </w:t>
      </w:r>
      <w:r w:rsidR="00F5417E" w:rsidRPr="001331BB">
        <w:rPr>
          <w:lang w:val="en-US"/>
        </w:rPr>
        <w:t>Gas</w:t>
      </w:r>
      <w:r w:rsidR="00F5417E" w:rsidRPr="00F5417E">
        <w:rPr>
          <w:lang w:val="en-US"/>
        </w:rPr>
        <w:t xml:space="preserve"> </w:t>
      </w:r>
      <w:r w:rsidR="00F5417E" w:rsidRPr="001331BB">
        <w:rPr>
          <w:lang w:val="en-US"/>
        </w:rPr>
        <w:t>Futures</w:t>
      </w:r>
      <w:r w:rsidR="00F5417E" w:rsidRPr="00F5417E">
        <w:rPr>
          <w:lang w:val="en-US"/>
        </w:rPr>
        <w:t xml:space="preserve"> </w:t>
      </w:r>
      <w:r w:rsidR="00F5417E">
        <w:rPr>
          <w:lang w:val="en-US"/>
        </w:rPr>
        <w:t xml:space="preserve">used to </w:t>
      </w:r>
      <w:r w:rsidR="00E35411">
        <w:rPr>
          <w:lang w:val="en-US"/>
        </w:rPr>
        <w:t xml:space="preserve">settle the contract by NYMEX; </w:t>
      </w:r>
      <w:r w:rsidR="00F5417E">
        <w:rPr>
          <w:lang w:val="en-US"/>
        </w:rPr>
        <w:t xml:space="preserve"> </w:t>
      </w:r>
    </w:p>
    <w:p w:rsidR="00E35411" w:rsidRPr="009160F2" w:rsidRDefault="009160F2" w:rsidP="00E35411">
      <w:pPr>
        <w:pStyle w:val="a0"/>
        <w:numPr>
          <w:ilvl w:val="0"/>
          <w:numId w:val="9"/>
        </w:numPr>
        <w:spacing w:before="120" w:after="0"/>
        <w:rPr>
          <w:rFonts w:ascii="Tahoma" w:hAnsi="Tahoma" w:cs="Tahoma"/>
          <w:lang w:val="en-US"/>
        </w:rPr>
      </w:pPr>
      <w:r w:rsidRPr="009160F2">
        <w:rPr>
          <w:rFonts w:ascii="Tahoma" w:hAnsi="Tahoma" w:cs="Tahoma"/>
          <w:lang w:val="en-US"/>
        </w:rPr>
        <w:t xml:space="preserve">Changing the last trading day of the related </w:t>
      </w:r>
      <w:r w:rsidR="00E35411" w:rsidRPr="009160F2">
        <w:rPr>
          <w:rFonts w:ascii="Tahoma" w:hAnsi="Tahoma" w:cs="Tahoma"/>
          <w:lang w:val="en-US"/>
        </w:rPr>
        <w:t>Henry Hub Natural Gas Futures</w:t>
      </w:r>
      <w:r>
        <w:rPr>
          <w:rFonts w:ascii="Tahoma" w:hAnsi="Tahoma" w:cs="Tahoma"/>
          <w:lang w:val="en-US"/>
        </w:rPr>
        <w:t xml:space="preserve"> by NYMEX</w:t>
      </w:r>
      <w:r w:rsidR="00E35411" w:rsidRPr="009160F2">
        <w:rPr>
          <w:rFonts w:ascii="Tahoma" w:hAnsi="Tahoma" w:cs="Tahoma"/>
          <w:lang w:val="en-US"/>
        </w:rPr>
        <w:t>,</w:t>
      </w:r>
    </w:p>
    <w:p w:rsidR="00E35411" w:rsidRPr="009160F2" w:rsidRDefault="00E35411" w:rsidP="00E35411">
      <w:pPr>
        <w:pStyle w:val="ab"/>
        <w:spacing w:after="52"/>
        <w:ind w:left="1287" w:right="71" w:firstLine="0"/>
        <w:rPr>
          <w:lang w:val="en-US"/>
        </w:rPr>
      </w:pPr>
    </w:p>
    <w:p w:rsidR="00C11804" w:rsidRPr="00E35411" w:rsidRDefault="00B65483" w:rsidP="00E35411">
      <w:pPr>
        <w:spacing w:after="52"/>
        <w:ind w:right="71" w:firstLine="698"/>
        <w:rPr>
          <w:lang w:val="en-US"/>
        </w:rPr>
      </w:pPr>
      <w:r w:rsidRPr="00E35411">
        <w:rPr>
          <w:lang w:val="en-US"/>
        </w:rPr>
        <w:t xml:space="preserve">the Exchange is entitled to take one or more of the following actions: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last trade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final settlement date </w:t>
      </w:r>
    </w:p>
    <w:p w:rsidR="00C11804" w:rsidRPr="006B7970" w:rsidRDefault="00B65483" w:rsidP="00F5417E">
      <w:pPr>
        <w:numPr>
          <w:ilvl w:val="2"/>
          <w:numId w:val="1"/>
        </w:numPr>
        <w:spacing w:after="52"/>
        <w:ind w:right="71" w:hanging="850"/>
        <w:rPr>
          <w:lang w:val="en-US"/>
        </w:rPr>
      </w:pPr>
      <w:r w:rsidRPr="006B7970">
        <w:rPr>
          <w:lang w:val="en-US"/>
        </w:rPr>
        <w:t xml:space="preserve">change the current (final) settlement price, and/or amend the calculation method for the variation margin and/or rules pertaining to its transfer </w:t>
      </w:r>
    </w:p>
    <w:p w:rsidR="00C11804" w:rsidRPr="006B7970" w:rsidRDefault="00B65483" w:rsidP="00F5417E">
      <w:pPr>
        <w:numPr>
          <w:ilvl w:val="2"/>
          <w:numId w:val="1"/>
        </w:numPr>
        <w:spacing w:after="52"/>
        <w:ind w:right="71" w:hanging="850"/>
        <w:rPr>
          <w:lang w:val="en-US"/>
        </w:rPr>
      </w:pPr>
      <w:r w:rsidRPr="006B7970">
        <w:rPr>
          <w:lang w:val="en-US"/>
        </w:rPr>
        <w:t>undertake other actions</w:t>
      </w: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may alter the Contract’s last trade date and/or the Contract’s final settlement date, or made other(s) decision(s) in accordance with Clauses 5.1., if the Contract’s last trade date is declared a public holiday by order of the </w:t>
      </w:r>
      <w:r w:rsidR="00D624DC">
        <w:rPr>
          <w:lang w:val="en-US"/>
        </w:rPr>
        <w:t xml:space="preserve">competent authority </w:t>
      </w:r>
      <w:r w:rsidRPr="006B7970">
        <w:rPr>
          <w:lang w:val="en-US"/>
        </w:rPr>
        <w:t xml:space="preserve">of the Russian Federation. </w:t>
      </w:r>
    </w:p>
    <w:p w:rsidR="00C11804" w:rsidRPr="006B7970" w:rsidRDefault="00B65483" w:rsidP="00762F01">
      <w:pPr>
        <w:numPr>
          <w:ilvl w:val="1"/>
          <w:numId w:val="1"/>
        </w:numPr>
        <w:spacing w:after="52"/>
        <w:ind w:left="567" w:right="71" w:hanging="566"/>
        <w:rPr>
          <w:lang w:val="en-US"/>
        </w:rPr>
      </w:pPr>
      <w:r w:rsidRPr="006B7970">
        <w:rPr>
          <w:lang w:val="en-US"/>
        </w:rPr>
        <w:t xml:space="preserve">Any changes adopted by the Exchange, pursuant to Sections 5.1-5.2 herein, will be published on the Exchange’s website at least 3 (three) trading days prior to their taking effect, which serves as notice to the Trading Members. </w:t>
      </w:r>
    </w:p>
    <w:p w:rsidR="00C11804" w:rsidRPr="006B7970" w:rsidRDefault="00B65483" w:rsidP="009160F2">
      <w:pPr>
        <w:ind w:left="567" w:right="71"/>
        <w:rPr>
          <w:lang w:val="en-US"/>
        </w:rPr>
      </w:pPr>
      <w:r w:rsidRPr="006B7970">
        <w:rPr>
          <w:lang w:val="en-US"/>
        </w:rPr>
        <w:t xml:space="preserve">In the case that the Contract’s final settlement date falls within 3 (three) trading days of the date of adoption of changes by the Exchange, pursuant to Sections 5.1-5.2 herein, the said changes will be published on the Exchange’s website prior to their taking effect. </w:t>
      </w:r>
    </w:p>
    <w:p w:rsidR="00C11804" w:rsidRPr="006B7970" w:rsidRDefault="00B65483" w:rsidP="00762F01">
      <w:pPr>
        <w:numPr>
          <w:ilvl w:val="1"/>
          <w:numId w:val="1"/>
        </w:numPr>
        <w:spacing w:after="52"/>
        <w:ind w:left="567" w:right="71" w:hanging="566"/>
        <w:rPr>
          <w:lang w:val="en-US"/>
        </w:rPr>
      </w:pPr>
      <w:r w:rsidRPr="006B7970">
        <w:rPr>
          <w:lang w:val="en-US"/>
        </w:rPr>
        <w:t xml:space="preserve">As soon as the change(s) adopted by the Exchange, pursuant to Sections 5.1-5.2 herein, come(s) into effect, the terms of existing Contracts previously entered into will be deemed to have been amended in accordance with the aforementioned change(s). </w:t>
      </w:r>
    </w:p>
    <w:p w:rsidR="009160F2" w:rsidRPr="009160F2" w:rsidRDefault="009160F2" w:rsidP="009160F2">
      <w:pPr>
        <w:spacing w:after="3" w:line="265" w:lineRule="auto"/>
        <w:ind w:left="360" w:right="0" w:firstLine="0"/>
        <w:jc w:val="left"/>
        <w:rPr>
          <w:lang w:val="en-US"/>
        </w:rPr>
      </w:pPr>
    </w:p>
    <w:p w:rsidR="00C11804" w:rsidRPr="009160F2" w:rsidRDefault="00B65483" w:rsidP="00762F01">
      <w:pPr>
        <w:numPr>
          <w:ilvl w:val="0"/>
          <w:numId w:val="1"/>
        </w:numPr>
        <w:spacing w:after="3" w:line="265" w:lineRule="auto"/>
        <w:ind w:right="0" w:hanging="360"/>
        <w:jc w:val="left"/>
        <w:rPr>
          <w:lang w:val="en-US"/>
        </w:rPr>
      </w:pPr>
      <w:r w:rsidRPr="009160F2">
        <w:rPr>
          <w:b/>
          <w:lang w:val="en-US"/>
        </w:rPr>
        <w:t>Amendments</w:t>
      </w:r>
      <w:r w:rsidRPr="006B7970">
        <w:rPr>
          <w:b/>
          <w:lang w:val="en-US"/>
        </w:rPr>
        <w:t xml:space="preserve"> and Supplements to the Specifications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is entitled to introduce Amendments and Supplements to the Specification. </w:t>
      </w:r>
    </w:p>
    <w:p w:rsidR="00C11804" w:rsidRPr="006B7970" w:rsidRDefault="00B65483" w:rsidP="00762F01">
      <w:pPr>
        <w:numPr>
          <w:ilvl w:val="1"/>
          <w:numId w:val="1"/>
        </w:numPr>
        <w:spacing w:after="52"/>
        <w:ind w:left="567" w:right="71" w:hanging="566"/>
        <w:rPr>
          <w:lang w:val="en-US"/>
        </w:rPr>
      </w:pPr>
      <w:r w:rsidRPr="006B7970">
        <w:rPr>
          <w:lang w:val="en-US"/>
        </w:rPr>
        <w:t>Amendments and Supplements hereto go into force at the moment the Exchange puts into effect the updated Specification, containing such Amendments and Supplements</w:t>
      </w:r>
      <w:bookmarkStart w:id="0" w:name="_GoBack"/>
      <w:bookmarkEnd w:id="0"/>
      <w:r w:rsidRPr="006B7970">
        <w:rPr>
          <w:lang w:val="en-US"/>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The updated Specification, containing Amendments and Supplements adopted by the Exchange, will be published on the Exchange’s website at least 3 (three) </w:t>
      </w:r>
      <w:r w:rsidR="00E35411">
        <w:rPr>
          <w:lang w:val="en-US"/>
        </w:rPr>
        <w:t>business</w:t>
      </w:r>
      <w:r w:rsidRPr="006B7970">
        <w:rPr>
          <w:lang w:val="en-US"/>
        </w:rPr>
        <w:t xml:space="preserve"> days prior to their taking effect, which serves as notice to the Trading Members. </w:t>
      </w:r>
    </w:p>
    <w:p w:rsidR="00C11804" w:rsidRPr="009160F2" w:rsidRDefault="00B65483" w:rsidP="009160F2">
      <w:pPr>
        <w:numPr>
          <w:ilvl w:val="1"/>
          <w:numId w:val="1"/>
        </w:numPr>
        <w:spacing w:after="52"/>
        <w:ind w:left="567" w:right="71" w:hanging="566"/>
        <w:rPr>
          <w:lang w:val="en-US"/>
        </w:rPr>
      </w:pPr>
      <w:r w:rsidRPr="009160F2">
        <w:rPr>
          <w:lang w:val="en-US"/>
        </w:rPr>
        <w:t xml:space="preserve">As soon as the Amendments and Supplements to the Specification come into effect, the terms of existing Contracts previously entered into will be deemed to have been amended in accordance with the aforementioned Amendments and Supplements. </w:t>
      </w:r>
    </w:p>
    <w:sectPr w:rsidR="00C11804" w:rsidRPr="009160F2">
      <w:headerReference w:type="even" r:id="rId10"/>
      <w:headerReference w:type="default" r:id="rId11"/>
      <w:footerReference w:type="even" r:id="rId12"/>
      <w:footerReference w:type="default" r:id="rId13"/>
      <w:headerReference w:type="first" r:id="rId14"/>
      <w:footerReference w:type="first" r:id="rId15"/>
      <w:pgSz w:w="11900" w:h="16840"/>
      <w:pgMar w:top="1561" w:right="1013" w:bottom="1138" w:left="1699"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947" w:rsidRDefault="00430947">
      <w:pPr>
        <w:spacing w:after="0" w:line="240" w:lineRule="auto"/>
      </w:pPr>
      <w:r>
        <w:separator/>
      </w:r>
    </w:p>
  </w:endnote>
  <w:endnote w:type="continuationSeparator" w:id="0">
    <w:p w:rsidR="00430947" w:rsidRDefault="0043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947" w:rsidRDefault="00430947">
      <w:pPr>
        <w:spacing w:after="0" w:line="243" w:lineRule="auto"/>
        <w:ind w:left="0" w:right="0" w:firstLine="0"/>
        <w:jc w:val="left"/>
      </w:pPr>
      <w:r>
        <w:separator/>
      </w:r>
    </w:p>
  </w:footnote>
  <w:footnote w:type="continuationSeparator" w:id="0">
    <w:p w:rsidR="00430947" w:rsidRDefault="00430947">
      <w:pPr>
        <w:spacing w:after="0" w:line="243" w:lineRule="auto"/>
        <w:ind w:left="0" w:right="0" w:firstLine="0"/>
        <w:jc w:val="left"/>
      </w:pPr>
      <w:r>
        <w:continuationSeparator/>
      </w:r>
    </w:p>
  </w:footnote>
  <w:footnote w:id="1">
    <w:p w:rsidR="00E35411" w:rsidRPr="00E35411" w:rsidRDefault="00D624DC">
      <w:pPr>
        <w:pStyle w:val="a5"/>
        <w:rPr>
          <w:sz w:val="18"/>
          <w:szCs w:val="18"/>
          <w:lang w:val="en-US"/>
        </w:rPr>
      </w:pPr>
      <w:r>
        <w:rPr>
          <w:rStyle w:val="a7"/>
        </w:rPr>
        <w:footnoteRef/>
      </w:r>
      <w:r w:rsidRPr="006C6603">
        <w:rPr>
          <w:lang w:val="en-US"/>
        </w:rPr>
        <w:t xml:space="preserve"> </w:t>
      </w:r>
      <w:r w:rsidR="006C6603" w:rsidRPr="006C6603">
        <w:rPr>
          <w:color w:val="auto"/>
          <w:sz w:val="18"/>
          <w:szCs w:val="18"/>
          <w:lang w:val="en-US"/>
        </w:rPr>
        <w:t>“</w:t>
      </w:r>
      <w:r w:rsidR="00E35411" w:rsidRPr="006C6603">
        <w:rPr>
          <w:color w:val="auto"/>
          <w:sz w:val="18"/>
          <w:szCs w:val="18"/>
          <w:lang w:val="en-US"/>
        </w:rPr>
        <w:t>Btu</w:t>
      </w:r>
      <w:r w:rsidR="006C6603" w:rsidRPr="006C6603">
        <w:rPr>
          <w:color w:val="auto"/>
          <w:sz w:val="18"/>
          <w:szCs w:val="18"/>
          <w:lang w:val="en-US"/>
        </w:rPr>
        <w:t>”</w:t>
      </w:r>
      <w:r w:rsidR="00E35411" w:rsidRPr="006C6603">
        <w:rPr>
          <w:color w:val="auto"/>
          <w:sz w:val="18"/>
          <w:szCs w:val="18"/>
          <w:lang w:val="en-US"/>
        </w:rPr>
        <w:t xml:space="preserve"> (</w:t>
      </w:r>
      <w:r w:rsidR="006C6603" w:rsidRPr="006C6603">
        <w:rPr>
          <w:color w:val="auto"/>
          <w:sz w:val="18"/>
          <w:szCs w:val="18"/>
          <w:lang w:val="en-US"/>
        </w:rPr>
        <w:t>or “</w:t>
      </w:r>
      <w:r w:rsidR="00E35411" w:rsidRPr="006C6603">
        <w:rPr>
          <w:color w:val="auto"/>
          <w:sz w:val="18"/>
          <w:szCs w:val="18"/>
          <w:shd w:val="clear" w:color="auto" w:fill="FFFFFF"/>
          <w:lang w:val="en-US"/>
        </w:rPr>
        <w:t>British Thermal Unit</w:t>
      </w:r>
      <w:r w:rsidR="006C6603" w:rsidRPr="006C6603">
        <w:rPr>
          <w:color w:val="auto"/>
          <w:sz w:val="18"/>
          <w:szCs w:val="18"/>
          <w:shd w:val="clear" w:color="auto" w:fill="FFFFFF"/>
          <w:lang w:val="en-US"/>
        </w:rPr>
        <w:t>”</w:t>
      </w:r>
      <w:r w:rsidR="00E35411" w:rsidRPr="006C6603">
        <w:rPr>
          <w:color w:val="auto"/>
          <w:sz w:val="18"/>
          <w:szCs w:val="18"/>
          <w:lang w:val="en-US"/>
        </w:rPr>
        <w:t xml:space="preserve">) </w:t>
      </w:r>
      <w:r w:rsidR="006C6603" w:rsidRPr="006C6603">
        <w:rPr>
          <w:color w:val="auto"/>
          <w:sz w:val="18"/>
          <w:szCs w:val="18"/>
          <w:lang w:val="en-US"/>
        </w:rPr>
        <w:t xml:space="preserve">means the quantity of heat required </w:t>
      </w:r>
      <w:r w:rsidR="00E35411" w:rsidRPr="006C6603">
        <w:rPr>
          <w:color w:val="auto"/>
          <w:sz w:val="18"/>
          <w:szCs w:val="18"/>
          <w:lang w:val="en-US"/>
        </w:rPr>
        <w:t xml:space="preserve">to raise the temperature of one pound of </w:t>
      </w:r>
      <w:r w:rsidR="006C6603" w:rsidRPr="006C6603">
        <w:rPr>
          <w:color w:val="auto"/>
          <w:sz w:val="18"/>
          <w:szCs w:val="18"/>
          <w:lang w:val="en-US"/>
        </w:rPr>
        <w:t xml:space="preserve">pure </w:t>
      </w:r>
      <w:r w:rsidR="00E35411" w:rsidRPr="006C6603">
        <w:rPr>
          <w:color w:val="auto"/>
          <w:sz w:val="18"/>
          <w:szCs w:val="18"/>
          <w:lang w:val="en-US"/>
        </w:rPr>
        <w:t xml:space="preserve">water </w:t>
      </w:r>
      <w:r w:rsidR="00E35411" w:rsidRPr="006C6603">
        <w:rPr>
          <w:color w:val="auto"/>
          <w:sz w:val="18"/>
          <w:szCs w:val="18"/>
          <w:shd w:val="clear" w:color="auto" w:fill="FFFFFF"/>
          <w:lang w:val="en-US"/>
        </w:rPr>
        <w:t>from </w:t>
      </w:r>
      <w:r w:rsidR="00E35411" w:rsidRPr="006C6603">
        <w:rPr>
          <w:color w:val="auto"/>
          <w:sz w:val="18"/>
          <w:szCs w:val="18"/>
          <w:lang w:val="en-US"/>
        </w:rPr>
        <w:t>58.5</w:t>
      </w:r>
      <w:r w:rsidR="00E35411" w:rsidRPr="006C6603">
        <w:rPr>
          <w:color w:val="auto"/>
          <w:sz w:val="18"/>
          <w:szCs w:val="18"/>
          <w:shd w:val="clear" w:color="auto" w:fill="FFFFFF"/>
          <w:lang w:val="en-US"/>
        </w:rPr>
        <w:t>°F to 59.5°F at a base pressure of 14.73 pounds per square inch</w:t>
      </w:r>
      <w:r w:rsidR="00E35411" w:rsidRPr="006C6603">
        <w:rPr>
          <w:color w:val="auto"/>
          <w:sz w:val="18"/>
          <w:szCs w:val="18"/>
          <w:lang w:val="en-US"/>
        </w:rPr>
        <w:t xml:space="preserve">. </w:t>
      </w:r>
      <w:r w:rsidR="006C6603" w:rsidRPr="006C6603">
        <w:rPr>
          <w:color w:val="auto"/>
          <w:sz w:val="18"/>
          <w:szCs w:val="18"/>
          <w:lang w:val="en-US"/>
        </w:rPr>
        <w:t xml:space="preserve">“MMBtu” means million British thermal units. </w:t>
      </w:r>
    </w:p>
  </w:footnote>
  <w:footnote w:id="2">
    <w:p w:rsidR="00D624DC" w:rsidRDefault="00D624DC" w:rsidP="00D624DC">
      <w:pPr>
        <w:pStyle w:val="a5"/>
        <w:rPr>
          <w:sz w:val="18"/>
        </w:rPr>
      </w:pPr>
      <w:r>
        <w:rPr>
          <w:rStyle w:val="a7"/>
        </w:rPr>
        <w:footnoteRef/>
      </w:r>
      <w:r w:rsidRPr="00D624DC">
        <w:rPr>
          <w:lang w:val="en-US"/>
        </w:rPr>
        <w:t xml:space="preserve"> </w:t>
      </w:r>
      <w:r w:rsidR="006C6603">
        <w:rPr>
          <w:sz w:val="18"/>
          <w:lang w:val="en-US"/>
        </w:rPr>
        <w:t>Example</w:t>
      </w:r>
      <w:r>
        <w:rPr>
          <w:sz w:val="18"/>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5"/>
        <w:gridCol w:w="1134"/>
        <w:gridCol w:w="1134"/>
        <w:gridCol w:w="1276"/>
        <w:gridCol w:w="1843"/>
        <w:gridCol w:w="1700"/>
      </w:tblGrid>
      <w:tr w:rsidR="00D624DC" w:rsidRPr="00DB5062" w:rsidTr="00D402FB">
        <w:trPr>
          <w:trHeight w:val="721"/>
        </w:trPr>
        <w:tc>
          <w:tcPr>
            <w:tcW w:w="2235" w:type="dxa"/>
            <w:shd w:val="clear" w:color="auto" w:fill="auto"/>
            <w:vAlign w:val="center"/>
          </w:tcPr>
          <w:p w:rsidR="00D624DC" w:rsidRPr="00F04BB2" w:rsidRDefault="00D624DC" w:rsidP="00D624DC">
            <w:pPr>
              <w:rPr>
                <w:rFonts w:eastAsia="Calibri"/>
                <w:b/>
                <w:sz w:val="16"/>
                <w:szCs w:val="18"/>
              </w:rPr>
            </w:pPr>
          </w:p>
        </w:tc>
        <w:tc>
          <w:tcPr>
            <w:tcW w:w="1134" w:type="dxa"/>
            <w:vAlign w:val="center"/>
          </w:tcPr>
          <w:p w:rsidR="00D624DC" w:rsidRPr="006C6603" w:rsidRDefault="006C6603" w:rsidP="00D624DC">
            <w:pPr>
              <w:rPr>
                <w:rFonts w:eastAsia="Calibri"/>
                <w:b/>
                <w:sz w:val="16"/>
                <w:szCs w:val="18"/>
                <w:lang w:val="en-US"/>
              </w:rPr>
            </w:pPr>
            <w:r>
              <w:rPr>
                <w:rFonts w:eastAsia="Calibri"/>
                <w:b/>
                <w:sz w:val="16"/>
                <w:szCs w:val="18"/>
                <w:lang w:val="en-US"/>
              </w:rPr>
              <w:t>Exchange</w:t>
            </w:r>
          </w:p>
        </w:tc>
        <w:tc>
          <w:tcPr>
            <w:tcW w:w="1134" w:type="dxa"/>
            <w:shd w:val="clear" w:color="auto" w:fill="auto"/>
            <w:vAlign w:val="center"/>
          </w:tcPr>
          <w:p w:rsidR="00D624DC" w:rsidRPr="006C6603" w:rsidRDefault="006C6603" w:rsidP="00D624DC">
            <w:pPr>
              <w:rPr>
                <w:rFonts w:eastAsia="Calibri"/>
                <w:b/>
                <w:sz w:val="16"/>
                <w:szCs w:val="18"/>
                <w:lang w:val="en-US"/>
              </w:rPr>
            </w:pPr>
            <w:r>
              <w:rPr>
                <w:rFonts w:eastAsia="Calibri"/>
                <w:b/>
                <w:sz w:val="16"/>
                <w:szCs w:val="18"/>
                <w:lang w:val="en-US"/>
              </w:rPr>
              <w:t>Contract code</w:t>
            </w:r>
          </w:p>
        </w:tc>
        <w:tc>
          <w:tcPr>
            <w:tcW w:w="1276" w:type="dxa"/>
            <w:shd w:val="clear" w:color="auto" w:fill="auto"/>
            <w:vAlign w:val="center"/>
          </w:tcPr>
          <w:p w:rsidR="00D624DC" w:rsidRPr="006C6603" w:rsidRDefault="006C6603" w:rsidP="006C6603">
            <w:pPr>
              <w:spacing w:after="0"/>
              <w:rPr>
                <w:rFonts w:eastAsia="Calibri"/>
                <w:b/>
                <w:sz w:val="16"/>
                <w:szCs w:val="18"/>
                <w:lang w:val="en-US"/>
              </w:rPr>
            </w:pPr>
            <w:r>
              <w:rPr>
                <w:rFonts w:eastAsia="Calibri"/>
                <w:b/>
                <w:sz w:val="16"/>
                <w:szCs w:val="18"/>
                <w:lang w:val="en-US"/>
              </w:rPr>
              <w:t>Settlement month and year</w:t>
            </w:r>
          </w:p>
        </w:tc>
        <w:tc>
          <w:tcPr>
            <w:tcW w:w="1843" w:type="dxa"/>
            <w:shd w:val="clear" w:color="auto" w:fill="auto"/>
            <w:vAlign w:val="center"/>
          </w:tcPr>
          <w:p w:rsidR="00D624DC" w:rsidRPr="00F04BB2" w:rsidRDefault="006C6603" w:rsidP="00D624DC">
            <w:pPr>
              <w:rPr>
                <w:rFonts w:eastAsia="Calibri"/>
                <w:b/>
                <w:sz w:val="16"/>
                <w:szCs w:val="18"/>
              </w:rPr>
            </w:pPr>
            <w:r>
              <w:rPr>
                <w:rFonts w:eastAsia="Calibri"/>
                <w:b/>
                <w:sz w:val="16"/>
                <w:szCs w:val="18"/>
                <w:lang w:val="en-US"/>
              </w:rPr>
              <w:t>Last trade date</w:t>
            </w:r>
          </w:p>
        </w:tc>
        <w:tc>
          <w:tcPr>
            <w:tcW w:w="1700" w:type="dxa"/>
            <w:shd w:val="clear" w:color="auto" w:fill="auto"/>
            <w:vAlign w:val="center"/>
          </w:tcPr>
          <w:p w:rsidR="00D624DC" w:rsidRPr="00F04BB2" w:rsidRDefault="006C6603" w:rsidP="00D624DC">
            <w:pPr>
              <w:rPr>
                <w:rFonts w:eastAsia="Calibri"/>
                <w:b/>
                <w:sz w:val="16"/>
                <w:szCs w:val="18"/>
                <w:lang w:val="en-US"/>
              </w:rPr>
            </w:pPr>
            <w:r>
              <w:rPr>
                <w:rFonts w:eastAsia="Calibri"/>
                <w:b/>
                <w:sz w:val="16"/>
                <w:szCs w:val="18"/>
                <w:lang w:val="en-US"/>
              </w:rPr>
              <w:t xml:space="preserve">Settlement date </w:t>
            </w:r>
          </w:p>
        </w:tc>
      </w:tr>
      <w:tr w:rsidR="00D624DC" w:rsidRPr="007E572C" w:rsidTr="00D402FB">
        <w:trPr>
          <w:trHeight w:val="872"/>
        </w:trPr>
        <w:tc>
          <w:tcPr>
            <w:tcW w:w="2235" w:type="dxa"/>
            <w:shd w:val="clear" w:color="auto" w:fill="auto"/>
            <w:vAlign w:val="center"/>
          </w:tcPr>
          <w:p w:rsidR="00D624DC" w:rsidRPr="00F04BB2" w:rsidRDefault="006C6603" w:rsidP="006C6603">
            <w:pPr>
              <w:rPr>
                <w:rFonts w:eastAsia="Calibri"/>
                <w:b/>
                <w:sz w:val="16"/>
                <w:szCs w:val="18"/>
              </w:rPr>
            </w:pPr>
            <w:r>
              <w:rPr>
                <w:rFonts w:eastAsia="Calibri"/>
                <w:b/>
                <w:sz w:val="16"/>
                <w:szCs w:val="18"/>
                <w:lang w:val="en-US"/>
              </w:rPr>
              <w:t>Natural</w:t>
            </w:r>
            <w:r w:rsidRPr="006C6603">
              <w:rPr>
                <w:rFonts w:eastAsia="Calibri"/>
                <w:b/>
                <w:sz w:val="16"/>
                <w:szCs w:val="18"/>
              </w:rPr>
              <w:t xml:space="preserve"> </w:t>
            </w:r>
            <w:r>
              <w:rPr>
                <w:rFonts w:eastAsia="Calibri"/>
                <w:b/>
                <w:sz w:val="16"/>
                <w:szCs w:val="18"/>
                <w:lang w:val="en-US"/>
              </w:rPr>
              <w:t>Gas</w:t>
            </w:r>
            <w:r w:rsidRPr="006C6603">
              <w:rPr>
                <w:rFonts w:eastAsia="Calibri"/>
                <w:b/>
                <w:sz w:val="16"/>
                <w:szCs w:val="18"/>
              </w:rPr>
              <w:t xml:space="preserve"> </w:t>
            </w:r>
            <w:r>
              <w:rPr>
                <w:rFonts w:eastAsia="Calibri"/>
                <w:b/>
                <w:sz w:val="16"/>
                <w:szCs w:val="18"/>
                <w:lang w:val="en-US"/>
              </w:rPr>
              <w:t>Futures</w:t>
            </w:r>
            <w:r w:rsidRPr="006C6603">
              <w:rPr>
                <w:rFonts w:eastAsia="Calibri"/>
                <w:b/>
                <w:sz w:val="16"/>
                <w:szCs w:val="18"/>
              </w:rPr>
              <w:t xml:space="preserve"> </w:t>
            </w:r>
            <w:r>
              <w:rPr>
                <w:rFonts w:eastAsia="Calibri"/>
                <w:b/>
                <w:sz w:val="16"/>
                <w:szCs w:val="18"/>
                <w:lang w:val="en-US"/>
              </w:rPr>
              <w:t>Contracts</w:t>
            </w:r>
          </w:p>
        </w:tc>
        <w:tc>
          <w:tcPr>
            <w:tcW w:w="1134" w:type="dxa"/>
            <w:vAlign w:val="center"/>
          </w:tcPr>
          <w:p w:rsidR="00D624DC" w:rsidRPr="006C6603" w:rsidRDefault="006C6603" w:rsidP="00D624DC">
            <w:pPr>
              <w:rPr>
                <w:rFonts w:eastAsia="Calibri"/>
                <w:sz w:val="16"/>
                <w:szCs w:val="18"/>
                <w:lang w:val="en-US"/>
              </w:rPr>
            </w:pPr>
            <w:r>
              <w:rPr>
                <w:rFonts w:eastAsia="Calibri"/>
                <w:sz w:val="16"/>
                <w:szCs w:val="18"/>
                <w:lang w:val="en-US"/>
              </w:rPr>
              <w:t>MOEX</w:t>
            </w:r>
          </w:p>
        </w:tc>
        <w:tc>
          <w:tcPr>
            <w:tcW w:w="1134" w:type="dxa"/>
            <w:shd w:val="clear" w:color="auto" w:fill="auto"/>
            <w:vAlign w:val="center"/>
          </w:tcPr>
          <w:p w:rsidR="00D624DC" w:rsidRPr="00BF5A0A" w:rsidRDefault="00D624DC" w:rsidP="00D624DC">
            <w:pPr>
              <w:rPr>
                <w:sz w:val="16"/>
                <w:lang w:val="en-US"/>
              </w:rPr>
            </w:pPr>
            <w:r>
              <w:rPr>
                <w:rFonts w:eastAsia="Calibri"/>
                <w:sz w:val="16"/>
                <w:szCs w:val="18"/>
                <w:lang w:val="en-US"/>
              </w:rPr>
              <w:t>NG</w:t>
            </w:r>
            <w:r w:rsidRPr="00F04BB2">
              <w:rPr>
                <w:rFonts w:eastAsia="Calibri"/>
                <w:sz w:val="16"/>
                <w:szCs w:val="18"/>
              </w:rPr>
              <w:t>-</w:t>
            </w:r>
            <w:r w:rsidR="00BF5A0A">
              <w:rPr>
                <w:rFonts w:eastAsia="Calibri"/>
                <w:sz w:val="16"/>
                <w:szCs w:val="18"/>
                <w:lang w:val="en-US"/>
              </w:rPr>
              <w:t>4</w:t>
            </w:r>
            <w:r>
              <w:rPr>
                <w:rFonts w:eastAsia="Calibri"/>
                <w:sz w:val="16"/>
                <w:szCs w:val="18"/>
              </w:rPr>
              <w:t>.</w:t>
            </w:r>
            <w:r w:rsidR="00BF5A0A">
              <w:rPr>
                <w:rFonts w:eastAsia="Calibri"/>
                <w:sz w:val="16"/>
                <w:szCs w:val="18"/>
                <w:lang w:val="en-US"/>
              </w:rPr>
              <w:t>20</w:t>
            </w:r>
          </w:p>
        </w:tc>
        <w:tc>
          <w:tcPr>
            <w:tcW w:w="1276" w:type="dxa"/>
            <w:shd w:val="clear" w:color="auto" w:fill="auto"/>
            <w:vAlign w:val="center"/>
          </w:tcPr>
          <w:p w:rsidR="00D624DC" w:rsidRPr="00F04BB2" w:rsidRDefault="00BF5A0A" w:rsidP="00D624DC">
            <w:pPr>
              <w:rPr>
                <w:rFonts w:eastAsia="Calibri"/>
                <w:sz w:val="16"/>
                <w:szCs w:val="18"/>
              </w:rPr>
            </w:pPr>
            <w:r>
              <w:rPr>
                <w:rFonts w:eastAsia="Calibri"/>
                <w:sz w:val="16"/>
                <w:szCs w:val="18"/>
                <w:lang w:val="en-US"/>
              </w:rPr>
              <w:t>April 2020</w:t>
            </w:r>
          </w:p>
        </w:tc>
        <w:tc>
          <w:tcPr>
            <w:tcW w:w="1843" w:type="dxa"/>
            <w:shd w:val="clear" w:color="auto" w:fill="auto"/>
            <w:vAlign w:val="center"/>
          </w:tcPr>
          <w:p w:rsidR="00D624DC" w:rsidRPr="009160F2" w:rsidRDefault="00BF5A0A" w:rsidP="00D624DC">
            <w:pPr>
              <w:rPr>
                <w:sz w:val="16"/>
                <w:lang w:val="en-US"/>
              </w:rPr>
            </w:pPr>
            <w:r>
              <w:rPr>
                <w:rFonts w:eastAsia="Calibri"/>
                <w:sz w:val="16"/>
                <w:szCs w:val="18"/>
                <w:lang w:val="en-US"/>
              </w:rPr>
              <w:t>28 April 2020</w:t>
            </w:r>
          </w:p>
        </w:tc>
        <w:tc>
          <w:tcPr>
            <w:tcW w:w="1700" w:type="dxa"/>
            <w:shd w:val="clear" w:color="auto" w:fill="auto"/>
            <w:vAlign w:val="center"/>
          </w:tcPr>
          <w:p w:rsidR="00D624DC" w:rsidRPr="009160F2" w:rsidRDefault="00BF5A0A" w:rsidP="00D624DC">
            <w:pPr>
              <w:rPr>
                <w:sz w:val="16"/>
                <w:lang w:val="en-US"/>
              </w:rPr>
            </w:pPr>
            <w:r>
              <w:rPr>
                <w:rFonts w:eastAsia="Calibri"/>
                <w:sz w:val="16"/>
                <w:szCs w:val="18"/>
                <w:lang w:val="en-US"/>
              </w:rPr>
              <w:t>28 April 2020</w:t>
            </w:r>
          </w:p>
        </w:tc>
      </w:tr>
      <w:tr w:rsidR="00D624DC" w:rsidRPr="007E572C" w:rsidTr="00D402FB">
        <w:trPr>
          <w:trHeight w:val="432"/>
        </w:trPr>
        <w:tc>
          <w:tcPr>
            <w:tcW w:w="2235" w:type="dxa"/>
            <w:shd w:val="clear" w:color="auto" w:fill="auto"/>
            <w:vAlign w:val="center"/>
          </w:tcPr>
          <w:p w:rsidR="00D624DC" w:rsidRPr="009160F2" w:rsidRDefault="006C6603" w:rsidP="00D624DC">
            <w:pPr>
              <w:rPr>
                <w:b/>
                <w:sz w:val="16"/>
                <w:lang w:val="en-US"/>
              </w:rPr>
            </w:pPr>
            <w:r>
              <w:rPr>
                <w:rFonts w:eastAsia="Calibri"/>
                <w:b/>
                <w:sz w:val="16"/>
                <w:szCs w:val="18"/>
                <w:lang w:val="en-US"/>
              </w:rPr>
              <w:t xml:space="preserve">Related </w:t>
            </w:r>
            <w:r w:rsidR="00D624DC">
              <w:rPr>
                <w:rFonts w:eastAsia="Calibri"/>
                <w:b/>
                <w:sz w:val="16"/>
                <w:szCs w:val="18"/>
                <w:lang w:val="en-US"/>
              </w:rPr>
              <w:t>Henry Hub Natural Gas</w:t>
            </w:r>
            <w:r w:rsidR="00D624DC" w:rsidRPr="009160F2">
              <w:rPr>
                <w:b/>
                <w:sz w:val="16"/>
                <w:lang w:val="en-US"/>
              </w:rPr>
              <w:t xml:space="preserve"> </w:t>
            </w:r>
            <w:r w:rsidR="00D624DC">
              <w:rPr>
                <w:rFonts w:eastAsia="Calibri"/>
                <w:b/>
                <w:sz w:val="16"/>
                <w:szCs w:val="18"/>
                <w:lang w:val="en-US"/>
              </w:rPr>
              <w:t>Futures</w:t>
            </w:r>
            <w:r w:rsidR="00D624DC" w:rsidRPr="009160F2">
              <w:rPr>
                <w:b/>
                <w:sz w:val="16"/>
                <w:lang w:val="en-US"/>
              </w:rPr>
              <w:t xml:space="preserve"> </w:t>
            </w:r>
          </w:p>
        </w:tc>
        <w:tc>
          <w:tcPr>
            <w:tcW w:w="1134" w:type="dxa"/>
            <w:vAlign w:val="center"/>
          </w:tcPr>
          <w:p w:rsidR="00D624DC" w:rsidRPr="00F04BB2" w:rsidRDefault="00D624DC" w:rsidP="00D624DC">
            <w:pPr>
              <w:rPr>
                <w:rFonts w:eastAsia="Calibri"/>
                <w:sz w:val="16"/>
                <w:szCs w:val="18"/>
                <w:lang w:val="en-US"/>
              </w:rPr>
            </w:pPr>
            <w:r w:rsidRPr="00F04BB2">
              <w:rPr>
                <w:rFonts w:eastAsia="Calibri"/>
                <w:sz w:val="16"/>
                <w:szCs w:val="18"/>
                <w:lang w:val="en-US"/>
              </w:rPr>
              <w:t>NYMEX</w:t>
            </w:r>
          </w:p>
        </w:tc>
        <w:tc>
          <w:tcPr>
            <w:tcW w:w="1134"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NGK</w:t>
            </w:r>
            <w:r w:rsidR="00D624DC">
              <w:rPr>
                <w:rFonts w:eastAsia="Calibri"/>
                <w:sz w:val="16"/>
                <w:szCs w:val="18"/>
                <w:lang w:val="en-US"/>
              </w:rPr>
              <w:t>20</w:t>
            </w:r>
          </w:p>
        </w:tc>
        <w:tc>
          <w:tcPr>
            <w:tcW w:w="1276" w:type="dxa"/>
            <w:shd w:val="clear" w:color="auto" w:fill="auto"/>
            <w:vAlign w:val="center"/>
          </w:tcPr>
          <w:p w:rsidR="00D624DC" w:rsidRPr="009160F2" w:rsidRDefault="00BF5A0A" w:rsidP="00D624DC">
            <w:pPr>
              <w:rPr>
                <w:sz w:val="16"/>
                <w:lang w:val="en-US"/>
              </w:rPr>
            </w:pPr>
            <w:r>
              <w:rPr>
                <w:rFonts w:eastAsia="Calibri"/>
                <w:sz w:val="16"/>
                <w:szCs w:val="18"/>
                <w:lang w:val="en-US"/>
              </w:rPr>
              <w:t>April 2020</w:t>
            </w:r>
          </w:p>
        </w:tc>
        <w:tc>
          <w:tcPr>
            <w:tcW w:w="1843"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28 April 2020 (Last Trade Date)</w:t>
            </w:r>
          </w:p>
        </w:tc>
        <w:tc>
          <w:tcPr>
            <w:tcW w:w="1700" w:type="dxa"/>
            <w:shd w:val="clear" w:color="auto" w:fill="auto"/>
            <w:vAlign w:val="center"/>
          </w:tcPr>
          <w:p w:rsidR="00D624DC" w:rsidRPr="00F04BB2" w:rsidRDefault="00BF5A0A" w:rsidP="00D624DC">
            <w:pPr>
              <w:rPr>
                <w:rFonts w:eastAsia="Calibri"/>
                <w:sz w:val="16"/>
                <w:szCs w:val="18"/>
                <w:lang w:val="en-US"/>
              </w:rPr>
            </w:pPr>
            <w:r>
              <w:rPr>
                <w:rFonts w:eastAsia="Calibri"/>
                <w:sz w:val="16"/>
                <w:szCs w:val="18"/>
                <w:lang w:val="en-US"/>
              </w:rPr>
              <w:t>28 April 2020</w:t>
            </w:r>
            <w:r w:rsidR="00D624DC" w:rsidRPr="007E572C">
              <w:rPr>
                <w:rFonts w:eastAsia="Calibri"/>
                <w:sz w:val="16"/>
                <w:szCs w:val="18"/>
                <w:lang w:val="en-US"/>
              </w:rPr>
              <w:t xml:space="preserve"> (</w:t>
            </w:r>
            <w:r w:rsidR="00D624DC" w:rsidRPr="00F04BB2">
              <w:rPr>
                <w:rFonts w:eastAsia="Calibri"/>
                <w:sz w:val="16"/>
                <w:szCs w:val="18"/>
                <w:lang w:val="en-US"/>
              </w:rPr>
              <w:t>Settlement Date)</w:t>
            </w:r>
          </w:p>
        </w:tc>
      </w:tr>
    </w:tbl>
    <w:p w:rsidR="00D624DC" w:rsidRPr="00D624DC" w:rsidRDefault="00D624DC">
      <w:pPr>
        <w:pStyle w:val="a5"/>
        <w:rPr>
          <w:lang w:val="en-US"/>
        </w:rPr>
      </w:pPr>
    </w:p>
  </w:footnote>
  <w:footnote w:id="3">
    <w:p w:rsidR="00D624DC" w:rsidRPr="009160F2" w:rsidRDefault="00D624DC" w:rsidP="00D624DC">
      <w:pPr>
        <w:pStyle w:val="a5"/>
        <w:rPr>
          <w:sz w:val="16"/>
          <w:szCs w:val="16"/>
          <w:lang w:val="en-US"/>
        </w:rPr>
      </w:pPr>
      <w:r w:rsidRPr="00DB5062">
        <w:rPr>
          <w:rStyle w:val="a7"/>
        </w:rPr>
        <w:footnoteRef/>
      </w:r>
      <w:r w:rsidRPr="006C6603">
        <w:rPr>
          <w:lang w:val="en-US"/>
        </w:rPr>
        <w:t xml:space="preserve"> </w:t>
      </w:r>
      <w:r w:rsidR="006C6603" w:rsidRPr="009160F2">
        <w:rPr>
          <w:sz w:val="16"/>
          <w:szCs w:val="16"/>
          <w:lang w:val="en-US"/>
        </w:rPr>
        <w:t xml:space="preserve">The Settlement Price of the related </w:t>
      </w:r>
      <w:r w:rsidRPr="009160F2">
        <w:rPr>
          <w:sz w:val="16"/>
          <w:szCs w:val="16"/>
          <w:lang w:val="en-US"/>
        </w:rPr>
        <w:t xml:space="preserve">Henry Hub Natural Gas Futures </w:t>
      </w:r>
      <w:r w:rsidR="006C6603" w:rsidRPr="009160F2">
        <w:rPr>
          <w:sz w:val="16"/>
          <w:szCs w:val="16"/>
          <w:lang w:val="en-US"/>
        </w:rPr>
        <w:t xml:space="preserve">is in the public domain (free) at </w:t>
      </w:r>
      <w:r w:rsidR="00004359">
        <w:fldChar w:fldCharType="begin"/>
      </w:r>
      <w:r w:rsidR="00004359" w:rsidRPr="00004359">
        <w:rPr>
          <w:lang w:val="en-US"/>
        </w:rPr>
        <w:instrText xml:space="preserve"> HYPERLINK "http://www.cmegroup.com" </w:instrText>
      </w:r>
      <w:r w:rsidR="00004359">
        <w:fldChar w:fldCharType="separate"/>
      </w:r>
      <w:r w:rsidRPr="009160F2">
        <w:rPr>
          <w:sz w:val="16"/>
          <w:szCs w:val="16"/>
          <w:lang w:val="en-US"/>
        </w:rPr>
        <w:t>www.cmegroup.com</w:t>
      </w:r>
      <w:r w:rsidR="00004359">
        <w:rPr>
          <w:sz w:val="16"/>
          <w:szCs w:val="16"/>
          <w:lang w:val="en-US"/>
        </w:rPr>
        <w:fldChar w:fldCharType="end"/>
      </w:r>
      <w:r w:rsidR="006C6603" w:rsidRPr="009160F2">
        <w:rPr>
          <w:sz w:val="16"/>
          <w:szCs w:val="16"/>
          <w:lang w:val="en-US"/>
        </w:rPr>
        <w:t>. The</w:t>
      </w:r>
      <w:r w:rsidR="006C6603" w:rsidRPr="006F6DC2">
        <w:rPr>
          <w:sz w:val="16"/>
          <w:szCs w:val="16"/>
          <w:lang w:val="en-US"/>
        </w:rPr>
        <w:t xml:space="preserve"> </w:t>
      </w:r>
      <w:r w:rsidR="006C6603" w:rsidRPr="009160F2">
        <w:rPr>
          <w:sz w:val="16"/>
          <w:szCs w:val="16"/>
          <w:lang w:val="en-US"/>
        </w:rPr>
        <w:t>price</w:t>
      </w:r>
      <w:r w:rsidR="006C6603" w:rsidRPr="006F6DC2">
        <w:rPr>
          <w:sz w:val="16"/>
          <w:szCs w:val="16"/>
          <w:lang w:val="en-US"/>
        </w:rPr>
        <w:t xml:space="preserve"> </w:t>
      </w:r>
      <w:r w:rsidR="006C6603" w:rsidRPr="009160F2">
        <w:rPr>
          <w:sz w:val="16"/>
          <w:szCs w:val="16"/>
          <w:lang w:val="en-US"/>
        </w:rPr>
        <w:t>is</w:t>
      </w:r>
      <w:r w:rsidR="006C6603" w:rsidRPr="006F6DC2">
        <w:rPr>
          <w:sz w:val="16"/>
          <w:szCs w:val="16"/>
          <w:lang w:val="en-US"/>
        </w:rPr>
        <w:t xml:space="preserve"> </w:t>
      </w:r>
      <w:r w:rsidR="006C6603" w:rsidRPr="009160F2">
        <w:rPr>
          <w:sz w:val="16"/>
          <w:szCs w:val="16"/>
          <w:lang w:val="en-US"/>
        </w:rPr>
        <w:t>in</w:t>
      </w:r>
      <w:r w:rsidR="006C6603" w:rsidRPr="006F6DC2">
        <w:rPr>
          <w:sz w:val="16"/>
          <w:szCs w:val="16"/>
          <w:lang w:val="en-US"/>
        </w:rPr>
        <w:t xml:space="preserve"> </w:t>
      </w:r>
      <w:r w:rsidR="006C6603" w:rsidRPr="009160F2">
        <w:rPr>
          <w:sz w:val="16"/>
          <w:szCs w:val="16"/>
          <w:lang w:val="en-US"/>
        </w:rPr>
        <w:t>U</w:t>
      </w:r>
      <w:r w:rsidR="006C6603" w:rsidRPr="006F6DC2">
        <w:rPr>
          <w:sz w:val="16"/>
          <w:szCs w:val="16"/>
          <w:lang w:val="en-US"/>
        </w:rPr>
        <w:t>.</w:t>
      </w:r>
      <w:r w:rsidR="006C6603" w:rsidRPr="009160F2">
        <w:rPr>
          <w:sz w:val="16"/>
          <w:szCs w:val="16"/>
          <w:lang w:val="en-US"/>
        </w:rPr>
        <w:t>S</w:t>
      </w:r>
      <w:r w:rsidR="006C6603" w:rsidRPr="006F6DC2">
        <w:rPr>
          <w:sz w:val="16"/>
          <w:szCs w:val="16"/>
          <w:lang w:val="en-US"/>
        </w:rPr>
        <w:t xml:space="preserve">. </w:t>
      </w:r>
      <w:r w:rsidR="006C6603" w:rsidRPr="009160F2">
        <w:rPr>
          <w:sz w:val="16"/>
          <w:szCs w:val="16"/>
          <w:lang w:val="en-US"/>
        </w:rPr>
        <w:t>dollars</w:t>
      </w:r>
      <w:r w:rsidR="006C6603" w:rsidRPr="006F6DC2">
        <w:rPr>
          <w:sz w:val="16"/>
          <w:szCs w:val="16"/>
          <w:lang w:val="en-US"/>
        </w:rPr>
        <w:t xml:space="preserve"> </w:t>
      </w:r>
      <w:r w:rsidR="006C6603" w:rsidRPr="009160F2">
        <w:rPr>
          <w:sz w:val="16"/>
          <w:szCs w:val="16"/>
          <w:lang w:val="en-US"/>
        </w:rPr>
        <w:t>per</w:t>
      </w:r>
      <w:r w:rsidR="006C6603" w:rsidRPr="006F6DC2">
        <w:rPr>
          <w:sz w:val="16"/>
          <w:szCs w:val="16"/>
          <w:lang w:val="en-US"/>
        </w:rPr>
        <w:t xml:space="preserve"> </w:t>
      </w:r>
      <w:r w:rsidRPr="009160F2">
        <w:rPr>
          <w:sz w:val="16"/>
          <w:szCs w:val="16"/>
          <w:lang w:val="en-US"/>
        </w:rPr>
        <w:t>MMBtu</w:t>
      </w:r>
      <w:r w:rsidRPr="006F6DC2">
        <w:rPr>
          <w:sz w:val="16"/>
          <w:szCs w:val="16"/>
          <w:lang w:val="en-US"/>
        </w:rPr>
        <w:t xml:space="preserve">. </w:t>
      </w:r>
      <w:r w:rsidR="009160F2" w:rsidRPr="009160F2">
        <w:rPr>
          <w:sz w:val="16"/>
          <w:szCs w:val="16"/>
          <w:lang w:val="en-US"/>
        </w:rPr>
        <w:t xml:space="preserve">The Exchange and the Clearing Center do not accept any responsibility for inaccuracy, incompleteness or late publication of the Settlement Price for the related </w:t>
      </w:r>
      <w:r w:rsidRPr="009160F2">
        <w:rPr>
          <w:sz w:val="16"/>
          <w:szCs w:val="16"/>
          <w:lang w:val="en-US"/>
        </w:rPr>
        <w:t>Henry Hub Natural Gas Futures</w:t>
      </w:r>
      <w:r w:rsidR="009160F2" w:rsidRPr="009160F2">
        <w:rPr>
          <w:sz w:val="16"/>
          <w:szCs w:val="16"/>
          <w:lang w:val="en-US"/>
        </w:rPr>
        <w:t xml:space="preserve"> at </w:t>
      </w:r>
      <w:hyperlink r:id="rId1" w:history="1">
        <w:r w:rsidRPr="009160F2">
          <w:rPr>
            <w:rStyle w:val="a8"/>
            <w:sz w:val="16"/>
            <w:szCs w:val="16"/>
            <w:lang w:val="en-US"/>
          </w:rPr>
          <w:t>www.cmegroup.com</w:t>
        </w:r>
      </w:hyperlink>
      <w:r w:rsidRPr="009160F2">
        <w:rPr>
          <w:sz w:val="16"/>
          <w:szCs w:val="16"/>
          <w:lang w:val="en-US"/>
        </w:rPr>
        <w:t>,</w:t>
      </w:r>
      <w:r w:rsidR="009160F2" w:rsidRPr="009160F2">
        <w:rPr>
          <w:sz w:val="16"/>
          <w:szCs w:val="16"/>
          <w:lang w:val="en-US"/>
        </w:rPr>
        <w:t xml:space="preserve"> as well as for the website failures</w:t>
      </w:r>
      <w:r w:rsidRPr="009160F2">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1002" name="Group 11002"/>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5" name="Shape 11245"/>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02" style="width:457.92pt;height:1.44pt;position:absolute;mso-position-horizontal-relative:page;mso-position-horizontal:absolute;margin-left:83.52pt;mso-position-vertical-relative:page;margin-top:60.8pt;" coordsize="58155,182">
              <v:shape id="Shape 11246"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6B7970">
    <w:pPr>
      <w:spacing w:after="0" w:line="259" w:lineRule="auto"/>
      <w:ind w:left="24" w:right="0" w:firstLine="0"/>
      <w:jc w:val="left"/>
      <w:rPr>
        <w:lang w:val="en-US"/>
      </w:rPr>
    </w:pPr>
    <w:r>
      <w:rPr>
        <w:b/>
        <w:lang w:val="en-US"/>
      </w:rPr>
      <w:t>Natural Gas</w:t>
    </w:r>
    <w:r w:rsidR="00B65483" w:rsidRPr="006B7970">
      <w:rPr>
        <w:b/>
        <w:lang w:val="en-US"/>
      </w:rPr>
      <w:t xml:space="preserve">                                                                                                                  </w:t>
    </w:r>
  </w:p>
  <w:p w:rsidR="009160F2" w:rsidRDefault="009160F2" w:rsidP="009160F2">
    <w:pPr>
      <w:spacing w:after="47" w:line="259" w:lineRule="auto"/>
      <w:ind w:left="14" w:right="0" w:firstLine="0"/>
      <w:jc w:val="left"/>
      <w:rPr>
        <w:b/>
        <w:lang w:val="en-U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-40820</wp:posOffset>
              </wp:positionH>
              <wp:positionV relativeFrom="topMargin">
                <wp:posOffset>845687</wp:posOffset>
              </wp:positionV>
              <wp:extent cx="5815584" cy="18288"/>
              <wp:effectExtent l="0" t="0" r="0" b="0"/>
              <wp:wrapSquare wrapText="bothSides"/>
              <wp:docPr id="10965" name="Group 10965"/>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3" name="Shape 11243"/>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11EAF" id="Group 10965" o:spid="_x0000_s1026" style="position:absolute;margin-left:-3.2pt;margin-top:66.6pt;width:457.9pt;height:1.45pt;z-index:251659264;mso-position-horizontal-relative:margin;mso-position-vertical-relative:top-margin-area" coordsize="581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hBegIAAF8GAAAOAAAAZHJzL2Uyb0RvYy54bWykVc1u2zAMvg/YOwi+L7azpvOMJD2sWy7D&#10;VqzdAyiyZBuQJUFS4uTtR9G2YqRbB7Q52DT1kSI//mR9d+okOXLrWq02Sb7IEsIV01Wr6k3y++nb&#10;hyIhzlNVUakV3yRn7pK77ft3696UfKkbLStuCThRruzNJmm8N2WaOtbwjrqFNlzBodC2ox4+bZ1W&#10;lvbgvZPpMstu017byljNuHOgvR8Oky36F4Iz/1MIxz2RmwRi8/i0+NyHZ7pd07K21DQtG8Ogr4ii&#10;o62CS6Ore+opOdj2mauuZVY7LfyC6S7VQrSMYw6QTZ5dZbOz+mAwl7rsaxNpAmqveHq1W/bj+GBJ&#10;W0Htss+3q4Qo2kGZ8GYyqICi3tQlIHfWPJoHOyrq4StkfRK2C2/Ih5yQ3HMkl588YaBcFflqVdwk&#10;hMFZXiyLYiCfNVChZ1as+fqiXTpdmobYYii9gTZyF6bc25h6bKjhWAAX8p+Yypc3HyemEEJyVCEx&#10;iIw0udIBY2/jKOZKS3Zwfsc1kk2P350f+reaJNpMEjupSbQwBS/2v6E+2IUog0j6WbWaqVjhtNNH&#10;/qQR569KBkFeTqWao2Llp6YA7ISY3gb9zZGxRf6Jhnmet9J/cDjrEQNCSHW7HgVMH+Q5wVIFJuAW&#10;RmEzCUk9jnjXelhZsu2AmeWnLLs4Bm+hAYeKo+TPkge6pPrFBYwZDkdQOFvvv0hLjjQsJvyhcypN&#10;Q0dtmA8IaYSijH6CvWiljC5zNP2by8HDCA52HHditMwGSzZGMyxGWC+Q9LQeIYJohDdr5aO9gqWO&#10;Yc6yDeJeV2dcFEgITCRSg1sM8xg3bliT829EXf4Xtn8AAAD//wMAUEsDBBQABgAIAAAAIQD5urtS&#10;3wAAAAoBAAAPAAAAZHJzL2Rvd25yZXYueG1sTI/BSsNAEIbvgu+wjOCt3aTRYGM2pRT1VARbQbxN&#10;s9MkNLsbstskfXunJ3ucb37++SZfTaYVA/W+cVZBPI9AkC2dbmyl4Hv/PnsB4QNaja2zpOBCHlbF&#10;/V2OmXaj/aJhFyrBJdZnqKAOocuk9GVNBv3cdWR5d3S9wcBjX0nd48jlppWLKEqlwcbyhRo72tRU&#10;nnZno+BjxHGdxG/D9nTcXH73z58/25iUenyY1q8gAk3hPwxXfVaHgp0O7my1F62CWfrESeZJsgDB&#10;gWW0ZHK4kjQGWeTy9oXiDwAA//8DAFBLAQItABQABgAIAAAAIQC2gziS/gAAAOEBAAATAAAAAAAA&#10;AAAAAAAAAAAAAABbQ29udGVudF9UeXBlc10ueG1sUEsBAi0AFAAGAAgAAAAhADj9If/WAAAAlAEA&#10;AAsAAAAAAAAAAAAAAAAALwEAAF9yZWxzLy5yZWxzUEsBAi0AFAAGAAgAAAAhALYDWEF6AgAAXwYA&#10;AA4AAAAAAAAAAAAAAAAALgIAAGRycy9lMm9Eb2MueG1sUEsBAi0AFAAGAAgAAAAhAPm6u1LfAAAA&#10;CgEAAA8AAAAAAAAAAAAAAAAA1AQAAGRycy9kb3ducmV2LnhtbFBLBQYAAAAABAAEAPMAAADgBQAA&#10;AAA=&#10;">
              <v:shape id="Shape 11243" o:spid="_x0000_s1027" style="position:absolute;width:58155;height:182;visibility:visible;mso-wrap-style:square;v-text-anchor:top" coordsize="5815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QiwwAAAN4AAAAPAAAAZHJzL2Rvd25yZXYueG1sRE/fa8Iw&#10;EH4X9j+EG+xN0zqR0RllFIQNfFkVn4/m1oQ2l67JNPvvF2Hg2318P2+zS24QF5qC9aygXBQgiFuv&#10;LXcKTsf9/AVEiMgaB8+k4JcC7LYPsw1W2l/5ky5N7EQO4VChAhPjWEkZWkMOw8KPxJn78pPDmOHU&#10;ST3hNYe7QS6LYi0dWs4NBkeqDbV98+MUrNKaDrYpz2bff6S6/rbj0NdKPT2mt1cQkVK8i//d7zrP&#10;L5erZ7i9k2+Q2z8AAAD//wMAUEsBAi0AFAAGAAgAAAAhANvh9svuAAAAhQEAABMAAAAAAAAAAAAA&#10;AAAAAAAAAFtDb250ZW50X1R5cGVzXS54bWxQSwECLQAUAAYACAAAACEAWvQsW78AAAAVAQAACwAA&#10;AAAAAAAAAAAAAAAfAQAAX3JlbHMvLnJlbHNQSwECLQAUAAYACAAAACEAEC50IsMAAADeAAAADwAA&#10;AAAAAAAAAAAAAAAHAgAAZHJzL2Rvd25yZXYueG1sUEsFBgAAAAADAAMAtwAAAPcCAAAAAA==&#10;" path="m,l5815584,r,18288l,18288,,e" fillcolor="black" stroked="f" strokeweight="0">
                <v:stroke miterlimit="83231f" joinstyle="miter"/>
                <v:path arrowok="t" textboxrect="0,0,5815584,18288"/>
              </v:shape>
              <w10:wrap type="square" anchorx="margin" anchory="margin"/>
            </v:group>
          </w:pict>
        </mc:Fallback>
      </mc:AlternateContent>
    </w:r>
    <w:r w:rsidR="00B65483" w:rsidRPr="006B7970">
      <w:rPr>
        <w:b/>
        <w:lang w:val="en-US"/>
      </w:rPr>
      <w:t xml:space="preserve">Futures Contract Specification   </w:t>
    </w:r>
  </w:p>
  <w:p w:rsidR="00C11804" w:rsidRPr="006B7970" w:rsidRDefault="00B65483" w:rsidP="009160F2">
    <w:pPr>
      <w:spacing w:after="47" w:line="259" w:lineRule="auto"/>
      <w:ind w:left="14" w:right="0" w:firstLine="0"/>
      <w:jc w:val="left"/>
      <w:rPr>
        <w:lang w:val="en-US"/>
      </w:rPr>
    </w:pPr>
    <w:r w:rsidRPr="006B7970">
      <w:rPr>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0928" name="Group 10928"/>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1" name="Shape 11241"/>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28" style="width:457.92pt;height:1.44pt;position:absolute;mso-position-horizontal-relative:page;mso-position-horizontal:absolute;margin-left:83.52pt;mso-position-vertical-relative:page;margin-top:60.8pt;" coordsize="58155,182">
              <v:shape id="Shape 11242"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F54DD"/>
    <w:multiLevelType w:val="multilevel"/>
    <w:tmpl w:val="DD3E1BB4"/>
    <w:lvl w:ilvl="0">
      <w:start w:val="3"/>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5130DE"/>
    <w:multiLevelType w:val="hybridMultilevel"/>
    <w:tmpl w:val="D02E3272"/>
    <w:lvl w:ilvl="0" w:tplc="D1564CBC">
      <w:start w:val="1"/>
      <w:numFmt w:val="lowerLetter"/>
      <w:lvlText w:val="%1)"/>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EE80E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28496F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8246E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E7CAEE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D0BC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E6695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296703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96C4D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116BBF"/>
    <w:multiLevelType w:val="multilevel"/>
    <w:tmpl w:val="A0BA986C"/>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2127"/>
        </w:tabs>
        <w:ind w:left="2127"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B155D05"/>
    <w:multiLevelType w:val="hybridMultilevel"/>
    <w:tmpl w:val="2CCA8BAE"/>
    <w:lvl w:ilvl="0" w:tplc="B3CE94B4">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B13511A"/>
    <w:multiLevelType w:val="hybridMultilevel"/>
    <w:tmpl w:val="2472AA96"/>
    <w:lvl w:ilvl="0" w:tplc="BEA074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83E0E">
      <w:start w:val="1"/>
      <w:numFmt w:val="bullet"/>
      <w:lvlText w:val="o"/>
      <w:lvlJc w:val="left"/>
      <w:pPr>
        <w:ind w:left="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34A62C">
      <w:start w:val="1"/>
      <w:numFmt w:val="bullet"/>
      <w:lvlText w:val="▪"/>
      <w:lvlJc w:val="left"/>
      <w:pPr>
        <w:ind w:left="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0DEFC">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0E8A6">
      <w:start w:val="1"/>
      <w:numFmt w:val="bullet"/>
      <w:lvlRestart w:val="0"/>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EA60C">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2082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620BC">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07062">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D4590F"/>
    <w:multiLevelType w:val="hybridMultilevel"/>
    <w:tmpl w:val="CFE4050E"/>
    <w:lvl w:ilvl="0" w:tplc="54CA43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4F1CC">
      <w:start w:val="1"/>
      <w:numFmt w:val="bullet"/>
      <w:lvlText w:val="o"/>
      <w:lvlJc w:val="left"/>
      <w:pPr>
        <w:ind w:left="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C734A">
      <w:start w:val="1"/>
      <w:numFmt w:val="bullet"/>
      <w:lvlText w:val="▪"/>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F0DD80">
      <w:start w:val="1"/>
      <w:numFmt w:val="bullet"/>
      <w:lvlText w:val="•"/>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0E37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2C20C">
      <w:start w:val="1"/>
      <w:numFmt w:val="bullet"/>
      <w:lvlRestart w:val="0"/>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65FE8">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0F906">
      <w:start w:val="1"/>
      <w:numFmt w:val="bullet"/>
      <w:lvlText w:val="o"/>
      <w:lvlJc w:val="left"/>
      <w:pPr>
        <w:ind w:left="3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8666C4">
      <w:start w:val="1"/>
      <w:numFmt w:val="bullet"/>
      <w:lvlText w:val="▪"/>
      <w:lvlJc w:val="left"/>
      <w:pPr>
        <w:ind w:left="3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4AE5555"/>
    <w:multiLevelType w:val="hybridMultilevel"/>
    <w:tmpl w:val="BBF408FC"/>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F323DBB"/>
    <w:multiLevelType w:val="hybridMultilevel"/>
    <w:tmpl w:val="BA0AA510"/>
    <w:lvl w:ilvl="0" w:tplc="CF20B20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2CE578">
      <w:start w:val="1"/>
      <w:numFmt w:val="lowerLetter"/>
      <w:lvlText w:val="%2"/>
      <w:lvlJc w:val="left"/>
      <w:pPr>
        <w:ind w:left="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2EB024">
      <w:start w:val="1"/>
      <w:numFmt w:val="lowerRoman"/>
      <w:lvlText w:val="%3"/>
      <w:lvlJc w:val="left"/>
      <w:pPr>
        <w:ind w:left="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BEEF7A6">
      <w:start w:val="1"/>
      <w:numFmt w:val="decimal"/>
      <w:lvlText w:val="%4"/>
      <w:lvlJc w:val="left"/>
      <w:pPr>
        <w:ind w:left="1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A4AE94">
      <w:start w:val="1"/>
      <w:numFmt w:val="lowerLetter"/>
      <w:lvlText w:val="%5"/>
      <w:lvlJc w:val="left"/>
      <w:pPr>
        <w:ind w:left="1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128BC2">
      <w:start w:val="1"/>
      <w:numFmt w:val="lowerLetter"/>
      <w:lvlRestart w:val="0"/>
      <w:lvlText w:val="%6)"/>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748769A">
      <w:start w:val="1"/>
      <w:numFmt w:val="decimal"/>
      <w:lvlText w:val="%7"/>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3586B2C">
      <w:start w:val="1"/>
      <w:numFmt w:val="lowerLetter"/>
      <w:lvlText w:val="%8"/>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508ED6">
      <w:start w:val="1"/>
      <w:numFmt w:val="lowerRoman"/>
      <w:lvlText w:val="%9"/>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B4C032D"/>
    <w:multiLevelType w:val="multilevel"/>
    <w:tmpl w:val="1B8AD65C"/>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1C47D9"/>
    <w:multiLevelType w:val="multilevel"/>
    <w:tmpl w:val="4C42FF08"/>
    <w:lvl w:ilvl="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2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4"/>
  </w:num>
  <w:num w:numId="3">
    <w:abstractNumId w:val="7"/>
  </w:num>
  <w:num w:numId="4">
    <w:abstractNumId w:val="1"/>
  </w:num>
  <w:num w:numId="5">
    <w:abstractNumId w:val="5"/>
  </w:num>
  <w:num w:numId="6">
    <w:abstractNumId w:val="8"/>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4"/>
    <w:rsid w:val="00004359"/>
    <w:rsid w:val="00186B92"/>
    <w:rsid w:val="00430947"/>
    <w:rsid w:val="006B7970"/>
    <w:rsid w:val="006C6603"/>
    <w:rsid w:val="006F6DC2"/>
    <w:rsid w:val="00762F01"/>
    <w:rsid w:val="009160F2"/>
    <w:rsid w:val="00B65483"/>
    <w:rsid w:val="00BF5A0A"/>
    <w:rsid w:val="00C11804"/>
    <w:rsid w:val="00D624DC"/>
    <w:rsid w:val="00E35411"/>
    <w:rsid w:val="00F5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5630F"/>
  <w15:docId w15:val="{0D857504-C36E-41C7-AA83-D8E7E31B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110" w:line="247" w:lineRule="auto"/>
      <w:ind w:left="10" w:right="3" w:hanging="10"/>
      <w:jc w:val="both"/>
    </w:pPr>
    <w:rPr>
      <w:rFonts w:ascii="Tahoma" w:eastAsia="Tahoma" w:hAnsi="Tahoma" w:cs="Tahoma"/>
      <w:color w:val="00000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otnotedescription">
    <w:name w:val="footnote description"/>
    <w:next w:val="a1"/>
    <w:link w:val="footnotedescriptionChar"/>
    <w:hidden/>
    <w:pPr>
      <w:spacing w:after="0" w:line="243" w:lineRule="auto"/>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footnote text"/>
    <w:basedOn w:val="a1"/>
    <w:link w:val="a6"/>
    <w:semiHidden/>
    <w:unhideWhenUsed/>
    <w:rsid w:val="00762F01"/>
    <w:pPr>
      <w:spacing w:after="0" w:line="240" w:lineRule="auto"/>
    </w:pPr>
    <w:rPr>
      <w:szCs w:val="20"/>
    </w:rPr>
  </w:style>
  <w:style w:type="character" w:customStyle="1" w:styleId="a6">
    <w:name w:val="Текст сноски Знак"/>
    <w:basedOn w:val="a2"/>
    <w:link w:val="a5"/>
    <w:semiHidden/>
    <w:rsid w:val="00762F01"/>
    <w:rPr>
      <w:rFonts w:ascii="Tahoma" w:eastAsia="Tahoma" w:hAnsi="Tahoma" w:cs="Tahoma"/>
      <w:color w:val="000000"/>
      <w:sz w:val="20"/>
      <w:szCs w:val="20"/>
    </w:rPr>
  </w:style>
  <w:style w:type="character" w:styleId="a7">
    <w:name w:val="footnote reference"/>
    <w:basedOn w:val="a2"/>
    <w:semiHidden/>
    <w:unhideWhenUsed/>
    <w:rsid w:val="00762F01"/>
    <w:rPr>
      <w:vertAlign w:val="superscript"/>
    </w:rPr>
  </w:style>
  <w:style w:type="character" w:styleId="a8">
    <w:name w:val="Hyperlink"/>
    <w:rsid w:val="00762F01"/>
    <w:rPr>
      <w:color w:val="0000FF"/>
      <w:u w:val="single"/>
    </w:rPr>
  </w:style>
  <w:style w:type="paragraph" w:customStyle="1" w:styleId="a0">
    <w:name w:val="Подпункт спецификации"/>
    <w:basedOn w:val="a9"/>
    <w:rsid w:val="00D624DC"/>
    <w:pPr>
      <w:numPr>
        <w:ilvl w:val="1"/>
        <w:numId w:val="8"/>
      </w:numPr>
      <w:tabs>
        <w:tab w:val="clear" w:pos="851"/>
      </w:tabs>
      <w:autoSpaceDE w:val="0"/>
      <w:autoSpaceDN w:val="0"/>
      <w:spacing w:after="60" w:line="240" w:lineRule="auto"/>
      <w:ind w:left="1286" w:right="0" w:hanging="10"/>
    </w:pPr>
    <w:rPr>
      <w:rFonts w:ascii="Arial" w:eastAsia="Times New Roman" w:hAnsi="Arial" w:cs="Arial"/>
      <w:szCs w:val="20"/>
    </w:rPr>
  </w:style>
  <w:style w:type="paragraph" w:customStyle="1" w:styleId="a">
    <w:name w:val="Пункт спецификации"/>
    <w:basedOn w:val="a1"/>
    <w:rsid w:val="00D624DC"/>
    <w:pPr>
      <w:numPr>
        <w:numId w:val="8"/>
      </w:numPr>
      <w:autoSpaceDE w:val="0"/>
      <w:autoSpaceDN w:val="0"/>
      <w:spacing w:before="120" w:after="120" w:line="240" w:lineRule="auto"/>
      <w:ind w:right="0"/>
    </w:pPr>
    <w:rPr>
      <w:rFonts w:ascii="Arial" w:eastAsia="Times New Roman" w:hAnsi="Arial" w:cs="Arial"/>
      <w:b/>
      <w:color w:val="auto"/>
      <w:szCs w:val="20"/>
    </w:rPr>
  </w:style>
  <w:style w:type="paragraph" w:customStyle="1" w:styleId="1">
    <w:name w:val="Подпункт спецификации 1"/>
    <w:basedOn w:val="a0"/>
    <w:rsid w:val="00D624DC"/>
    <w:pPr>
      <w:numPr>
        <w:ilvl w:val="2"/>
      </w:numPr>
      <w:tabs>
        <w:tab w:val="clear" w:pos="2127"/>
      </w:tabs>
      <w:ind w:left="2290"/>
    </w:pPr>
  </w:style>
  <w:style w:type="paragraph" w:styleId="a9">
    <w:name w:val="Body Text Indent"/>
    <w:basedOn w:val="a1"/>
    <w:link w:val="aa"/>
    <w:uiPriority w:val="99"/>
    <w:semiHidden/>
    <w:unhideWhenUsed/>
    <w:rsid w:val="00D624DC"/>
    <w:pPr>
      <w:spacing w:after="120"/>
      <w:ind w:left="283"/>
    </w:pPr>
  </w:style>
  <w:style w:type="character" w:customStyle="1" w:styleId="aa">
    <w:name w:val="Основной текст с отступом Знак"/>
    <w:basedOn w:val="a2"/>
    <w:link w:val="a9"/>
    <w:uiPriority w:val="99"/>
    <w:semiHidden/>
    <w:rsid w:val="00D624DC"/>
    <w:rPr>
      <w:rFonts w:ascii="Tahoma" w:eastAsia="Tahoma" w:hAnsi="Tahoma" w:cs="Tahoma"/>
      <w:color w:val="000000"/>
      <w:sz w:val="20"/>
    </w:rPr>
  </w:style>
  <w:style w:type="paragraph" w:styleId="ab">
    <w:name w:val="List Paragraph"/>
    <w:basedOn w:val="a1"/>
    <w:uiPriority w:val="34"/>
    <w:qFormat/>
    <w:rsid w:val="00F5417E"/>
    <w:pPr>
      <w:ind w:left="720"/>
      <w:contextualSpacing/>
    </w:pPr>
  </w:style>
  <w:style w:type="character" w:styleId="ac">
    <w:name w:val="Emphasis"/>
    <w:basedOn w:val="a2"/>
    <w:uiPriority w:val="20"/>
    <w:qFormat/>
    <w:rsid w:val="00E35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e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egroup.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megroup.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0099-7D48-4223-BAF6-27F94D49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cp:lastModifiedBy>Бандакова Екатерина Игоревна</cp:lastModifiedBy>
  <cp:revision>2</cp:revision>
  <dcterms:created xsi:type="dcterms:W3CDTF">2022-04-19T11:48:00Z</dcterms:created>
  <dcterms:modified xsi:type="dcterms:W3CDTF">2022-04-19T11:48:00Z</dcterms:modified>
</cp:coreProperties>
</file>