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85F2E" w:rsidRPr="00885F2E" w:rsidRDefault="00885F2E" w:rsidP="00885F2E">
      <w:pPr>
        <w:jc w:val="center"/>
        <w:rPr>
          <w:rFonts w:cs="Times New Roman"/>
          <w:b/>
          <w:sz w:val="22"/>
          <w:szCs w:val="22"/>
        </w:rPr>
      </w:pPr>
      <w:r w:rsidRPr="00885F2E">
        <w:rPr>
          <w:rFonts w:cs="Times New Roman"/>
          <w:b/>
          <w:sz w:val="22"/>
          <w:szCs w:val="22"/>
        </w:rPr>
        <w:t xml:space="preserve">Перечень основных изменений, внесенных в Правила листинга </w:t>
      </w:r>
      <w:bookmarkStart w:id="0" w:name="_GoBack"/>
      <w:bookmarkEnd w:id="0"/>
      <w:r w:rsidRPr="00885F2E">
        <w:rPr>
          <w:rFonts w:cs="Times New Roman"/>
          <w:b/>
          <w:sz w:val="22"/>
          <w:szCs w:val="22"/>
        </w:rPr>
        <w:t>ПАО Московская</w:t>
      </w:r>
    </w:p>
    <w:p w:rsidR="00BA3E25" w:rsidRPr="00AA2F3B" w:rsidRDefault="00BA3E25" w:rsidP="009104EC">
      <w:pPr>
        <w:jc w:val="center"/>
        <w:rPr>
          <w:rFonts w:cs="Times New Roman"/>
          <w:b/>
          <w:sz w:val="22"/>
          <w:szCs w:val="22"/>
        </w:rPr>
      </w:pPr>
    </w:p>
    <w:p w:rsidR="00683CC7" w:rsidRPr="00AA2F3B" w:rsidRDefault="00F53D0A" w:rsidP="002D2B61">
      <w:pPr>
        <w:ind w:firstLine="540"/>
        <w:jc w:val="both"/>
        <w:rPr>
          <w:rFonts w:cs="Times New Roman"/>
          <w:sz w:val="22"/>
          <w:szCs w:val="22"/>
        </w:rPr>
      </w:pPr>
      <w:r w:rsidRPr="00AA2F3B">
        <w:rPr>
          <w:rFonts w:cs="Times New Roman"/>
          <w:sz w:val="22"/>
          <w:szCs w:val="22"/>
        </w:rPr>
        <w:t>В целях развития листинга ценных бумаг</w:t>
      </w:r>
      <w:r w:rsidR="00C07EC3" w:rsidRPr="00AA2F3B">
        <w:rPr>
          <w:rFonts w:cs="Times New Roman"/>
          <w:sz w:val="22"/>
          <w:szCs w:val="22"/>
        </w:rPr>
        <w:t xml:space="preserve">, а также </w:t>
      </w:r>
      <w:r w:rsidR="002D2B61" w:rsidRPr="00AA2F3B">
        <w:rPr>
          <w:rFonts w:cs="Times New Roman"/>
          <w:sz w:val="22"/>
          <w:szCs w:val="22"/>
        </w:rPr>
        <w:t>в связи с</w:t>
      </w:r>
      <w:r w:rsidR="009B1365">
        <w:rPr>
          <w:rFonts w:cs="Times New Roman"/>
          <w:sz w:val="22"/>
          <w:szCs w:val="22"/>
        </w:rPr>
        <w:t>о</w:t>
      </w:r>
      <w:r w:rsidR="002D2B61" w:rsidRPr="00AA2F3B">
        <w:rPr>
          <w:rFonts w:cs="Times New Roman"/>
          <w:sz w:val="22"/>
          <w:szCs w:val="22"/>
        </w:rPr>
        <w:t xml:space="preserve"> вступлением в силу с 1 января 2020 года изменений в Федеральный закон </w:t>
      </w:r>
      <w:r w:rsidR="00F6271B">
        <w:rPr>
          <w:rFonts w:cs="Times New Roman"/>
          <w:sz w:val="22"/>
          <w:szCs w:val="22"/>
        </w:rPr>
        <w:t>«</w:t>
      </w:r>
      <w:r w:rsidR="002D2B61" w:rsidRPr="00AA2F3B">
        <w:rPr>
          <w:rFonts w:cs="Times New Roman"/>
          <w:sz w:val="22"/>
          <w:szCs w:val="22"/>
        </w:rPr>
        <w:t>О рынке ценных бумаг</w:t>
      </w:r>
      <w:r w:rsidR="00F6271B">
        <w:rPr>
          <w:rFonts w:cs="Times New Roman"/>
          <w:sz w:val="22"/>
          <w:szCs w:val="22"/>
        </w:rPr>
        <w:t>»</w:t>
      </w:r>
      <w:r w:rsidR="002D2B61" w:rsidRPr="00AA2F3B">
        <w:rPr>
          <w:rStyle w:val="af4"/>
          <w:rFonts w:cs="Times New Roman"/>
          <w:sz w:val="22"/>
          <w:szCs w:val="22"/>
        </w:rPr>
        <w:footnoteReference w:id="2"/>
      </w:r>
      <w:r w:rsidR="002D2B61" w:rsidRPr="00AA2F3B">
        <w:rPr>
          <w:rFonts w:cs="Times New Roman"/>
          <w:sz w:val="22"/>
          <w:szCs w:val="22"/>
        </w:rPr>
        <w:t xml:space="preserve"> в части совершенствования правового регулирования осуществления эмиссии ценных бумаг</w:t>
      </w:r>
      <w:r w:rsidR="00F43A2A">
        <w:rPr>
          <w:rFonts w:cs="Times New Roman"/>
          <w:sz w:val="22"/>
          <w:szCs w:val="22"/>
        </w:rPr>
        <w:t>»</w:t>
      </w:r>
      <w:r w:rsidR="002D2B61" w:rsidRPr="00AA2F3B">
        <w:rPr>
          <w:rFonts w:cs="Times New Roman"/>
          <w:sz w:val="22"/>
          <w:szCs w:val="22"/>
        </w:rPr>
        <w:t xml:space="preserve"> </w:t>
      </w:r>
      <w:r w:rsidRPr="00AA2F3B">
        <w:rPr>
          <w:rFonts w:cs="Times New Roman"/>
          <w:sz w:val="22"/>
          <w:szCs w:val="22"/>
        </w:rPr>
        <w:t xml:space="preserve">разработана новая редакция Правил листинга ПАО Московская </w:t>
      </w:r>
      <w:r w:rsidRPr="00513A09">
        <w:rPr>
          <w:rFonts w:cs="Times New Roman"/>
          <w:sz w:val="22"/>
          <w:szCs w:val="22"/>
        </w:rPr>
        <w:t>Биржа</w:t>
      </w:r>
      <w:r w:rsidR="00513A09" w:rsidRPr="00513A09">
        <w:rPr>
          <w:rFonts w:cs="Times New Roman"/>
          <w:sz w:val="22"/>
          <w:szCs w:val="22"/>
        </w:rPr>
        <w:t xml:space="preserve"> (далее – Правила)</w:t>
      </w:r>
      <w:r w:rsidRPr="00513A09">
        <w:rPr>
          <w:rFonts w:cs="Times New Roman"/>
          <w:sz w:val="22"/>
          <w:szCs w:val="22"/>
        </w:rPr>
        <w:t>, содержащая</w:t>
      </w:r>
      <w:r w:rsidRPr="00AA2F3B">
        <w:rPr>
          <w:rFonts w:cs="Times New Roman"/>
          <w:sz w:val="22"/>
          <w:szCs w:val="22"/>
        </w:rPr>
        <w:t xml:space="preserve"> следующие изменения.</w:t>
      </w:r>
    </w:p>
    <w:p w:rsidR="00C07EC3" w:rsidRPr="00AA2F3B" w:rsidRDefault="00C07EC3" w:rsidP="00B975BD">
      <w:pPr>
        <w:pStyle w:val="a6"/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AA2F3B">
        <w:rPr>
          <w:rFonts w:ascii="Times New Roman" w:hAnsi="Times New Roman" w:cs="Times New Roman"/>
        </w:rPr>
        <w:t xml:space="preserve">В соответствии с изменениями законодательства изменяются процедуры и услуги Биржи, а также вводятся новые регистрационные действия Биржи </w:t>
      </w:r>
      <w:r w:rsidRPr="009056E8">
        <w:rPr>
          <w:rFonts w:ascii="Times New Roman" w:hAnsi="Times New Roman" w:cs="Times New Roman"/>
          <w:i/>
        </w:rPr>
        <w:t>(подраздел 2.3. Правил)</w:t>
      </w:r>
      <w:r w:rsidR="00FA4114" w:rsidRPr="00AA2F3B">
        <w:rPr>
          <w:rFonts w:ascii="Times New Roman" w:hAnsi="Times New Roman" w:cs="Times New Roman"/>
        </w:rPr>
        <w:t>, в частности:</w:t>
      </w:r>
      <w:r w:rsidRPr="00AA2F3B">
        <w:rPr>
          <w:rFonts w:ascii="Times New Roman" w:hAnsi="Times New Roman" w:cs="Times New Roman"/>
        </w:rPr>
        <w:t xml:space="preserve"> </w:t>
      </w:r>
    </w:p>
    <w:p w:rsidR="00C07EC3" w:rsidRPr="00AA2F3B" w:rsidRDefault="00C07EC3" w:rsidP="00B975BD">
      <w:pPr>
        <w:pStyle w:val="a6"/>
        <w:numPr>
          <w:ilvl w:val="0"/>
          <w:numId w:val="9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A2F3B">
        <w:rPr>
          <w:rFonts w:ascii="Times New Roman" w:hAnsi="Times New Roman" w:cs="Times New Roman"/>
        </w:rPr>
        <w:t>к регистрационным действиям Биржи относятся следующие процедуры:</w:t>
      </w:r>
    </w:p>
    <w:p w:rsidR="00C07EC3" w:rsidRPr="00AA2F3B" w:rsidRDefault="00C07EC3" w:rsidP="00B975BD">
      <w:pPr>
        <w:pStyle w:val="a6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418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AA2F3B">
        <w:rPr>
          <w:rFonts w:ascii="Times New Roman" w:hAnsi="Times New Roman" w:cs="Times New Roman"/>
        </w:rPr>
        <w:t>регистрация (отказ в регистрации) выпуска (дополнительного выпуска) ценных бумаг и (или) проспекта ценных бумаг, программы биржевых облигаций;</w:t>
      </w:r>
    </w:p>
    <w:p w:rsidR="00C07EC3" w:rsidRPr="00AA2F3B" w:rsidRDefault="00C07EC3" w:rsidP="00B975BD">
      <w:pPr>
        <w:pStyle w:val="a6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418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AA2F3B">
        <w:rPr>
          <w:rFonts w:ascii="Times New Roman" w:hAnsi="Times New Roman" w:cs="Times New Roman"/>
        </w:rPr>
        <w:t>регистрация (отказ в регистрации) изменений в решение о выпуске ценных бумаг, в программу биржевых облигаций либо в проспект ценных бумаг;</w:t>
      </w:r>
    </w:p>
    <w:p w:rsidR="00C07EC3" w:rsidRPr="00AA2F3B" w:rsidRDefault="00C07EC3" w:rsidP="00B975BD">
      <w:pPr>
        <w:pStyle w:val="a6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418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AA2F3B">
        <w:rPr>
          <w:rFonts w:ascii="Times New Roman" w:hAnsi="Times New Roman" w:cs="Times New Roman"/>
        </w:rPr>
        <w:t>приостановление или возобновление эмиссии ценных бумаг;</w:t>
      </w:r>
    </w:p>
    <w:p w:rsidR="00C07EC3" w:rsidRPr="00AA2F3B" w:rsidRDefault="00C07EC3" w:rsidP="00B975BD">
      <w:pPr>
        <w:pStyle w:val="a6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418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AA2F3B">
        <w:rPr>
          <w:rFonts w:ascii="Times New Roman" w:hAnsi="Times New Roman" w:cs="Times New Roman"/>
        </w:rPr>
        <w:t>признание выпуска (дополнительного выпуска) ценных бумаг или программы биржевых облигаций несостоявшимися и аннулирование их регистрации;</w:t>
      </w:r>
    </w:p>
    <w:p w:rsidR="00C07EC3" w:rsidRDefault="00C07EC3" w:rsidP="00B975BD">
      <w:pPr>
        <w:pStyle w:val="a6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before="120" w:after="120"/>
        <w:ind w:left="1418" w:hanging="284"/>
        <w:jc w:val="both"/>
        <w:textAlignment w:val="baseline"/>
        <w:rPr>
          <w:rFonts w:ascii="Times New Roman" w:hAnsi="Times New Roman" w:cs="Times New Roman"/>
        </w:rPr>
      </w:pPr>
      <w:r w:rsidRPr="00AA2F3B">
        <w:rPr>
          <w:rFonts w:ascii="Times New Roman" w:hAnsi="Times New Roman" w:cs="Times New Roman"/>
        </w:rPr>
        <w:t xml:space="preserve">аннулирование регистрации выпуска </w:t>
      </w:r>
      <w:r w:rsidR="00B6177A" w:rsidRPr="00D72FA8">
        <w:rPr>
          <w:rFonts w:ascii="Times New Roman" w:hAnsi="Times New Roman" w:cs="Times New Roman"/>
        </w:rPr>
        <w:t xml:space="preserve">(дополнительного выпуска) </w:t>
      </w:r>
      <w:r w:rsidRPr="00AA2F3B">
        <w:rPr>
          <w:rFonts w:ascii="Times New Roman" w:hAnsi="Times New Roman" w:cs="Times New Roman"/>
        </w:rPr>
        <w:t>ценных бумаг или программы биржевых облигаций в случае признания выпуска (дополнительного выпуска) ценных бумаг или программы биржевых облигаций недействительным</w:t>
      </w:r>
      <w:r w:rsidR="00C41F0D">
        <w:rPr>
          <w:rFonts w:ascii="Times New Roman" w:hAnsi="Times New Roman" w:cs="Times New Roman"/>
        </w:rPr>
        <w:t>и</w:t>
      </w:r>
      <w:r w:rsidRPr="00AA2F3B">
        <w:rPr>
          <w:rFonts w:ascii="Times New Roman" w:hAnsi="Times New Roman" w:cs="Times New Roman"/>
        </w:rPr>
        <w:t>.</w:t>
      </w:r>
    </w:p>
    <w:p w:rsidR="00D450E3" w:rsidRDefault="00D450E3" w:rsidP="00B975BD">
      <w:pPr>
        <w:pStyle w:val="a6"/>
        <w:numPr>
          <w:ilvl w:val="0"/>
          <w:numId w:val="9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предусмотрена возможность допуска к торгам и регистраци</w:t>
      </w:r>
      <w:r w:rsidR="00F43A2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выпуска биржевых облигаций </w:t>
      </w:r>
      <w:r w:rsidRPr="009428DE">
        <w:rPr>
          <w:rFonts w:ascii="Times New Roman" w:eastAsia="Times New Roman" w:hAnsi="Times New Roman" w:cs="Times New Roman"/>
        </w:rPr>
        <w:t>с ипотечным покрытием</w:t>
      </w:r>
      <w:r>
        <w:rPr>
          <w:rFonts w:ascii="Times New Roman" w:eastAsia="Times New Roman" w:hAnsi="Times New Roman" w:cs="Times New Roman"/>
        </w:rPr>
        <w:t>, а также установлен перечень документов</w:t>
      </w:r>
      <w:r w:rsidR="00F43A2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необходимых для представления эмитентом</w:t>
      </w:r>
      <w:r w:rsidR="00F43A2A">
        <w:rPr>
          <w:rFonts w:ascii="Times New Roman" w:eastAsia="Times New Roman" w:hAnsi="Times New Roman" w:cs="Times New Roman"/>
        </w:rPr>
        <w:t xml:space="preserve"> таких биржевых облигаций</w:t>
      </w:r>
      <w:r>
        <w:rPr>
          <w:rFonts w:ascii="Times New Roman" w:eastAsia="Times New Roman" w:hAnsi="Times New Roman" w:cs="Times New Roman"/>
        </w:rPr>
        <w:t xml:space="preserve"> </w:t>
      </w:r>
      <w:r w:rsidRPr="00D450E3">
        <w:rPr>
          <w:rFonts w:ascii="Times New Roman" w:eastAsia="Times New Roman" w:hAnsi="Times New Roman" w:cs="Times New Roman"/>
          <w:i/>
        </w:rPr>
        <w:t>(статья 5 и Приложение 1 к Правилам)</w:t>
      </w:r>
      <w:r>
        <w:rPr>
          <w:rFonts w:ascii="Times New Roman" w:eastAsia="Times New Roman" w:hAnsi="Times New Roman" w:cs="Times New Roman"/>
        </w:rPr>
        <w:t>;</w:t>
      </w:r>
    </w:p>
    <w:p w:rsidR="00FC0715" w:rsidRDefault="00FA4114" w:rsidP="00B975BD">
      <w:pPr>
        <w:pStyle w:val="a6"/>
        <w:numPr>
          <w:ilvl w:val="0"/>
          <w:numId w:val="9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A2F3B">
        <w:rPr>
          <w:rFonts w:ascii="Times New Roman" w:hAnsi="Times New Roman" w:cs="Times New Roman"/>
        </w:rPr>
        <w:t>вводится возможность составить и зарегистрировать проспект биржевых облигаций впоследствии, в случае, если регистрация выпуска или программы таких биржевых облигаций не сопровождалась составлением и регистрацией их проспекта</w:t>
      </w:r>
      <w:r w:rsidR="00AA2F3B">
        <w:rPr>
          <w:rFonts w:ascii="Times New Roman" w:hAnsi="Times New Roman" w:cs="Times New Roman"/>
        </w:rPr>
        <w:t xml:space="preserve">, а также осуществить </w:t>
      </w:r>
      <w:r w:rsidR="00AA2F3B" w:rsidRPr="003F6037">
        <w:rPr>
          <w:rFonts w:ascii="Times New Roman" w:hAnsi="Times New Roman" w:cs="Times New Roman"/>
        </w:rPr>
        <w:t>предварительное рассмотрение документов, необходимых для регистрации проспекта</w:t>
      </w:r>
      <w:r w:rsidR="003F6037" w:rsidRPr="003F6037">
        <w:rPr>
          <w:rFonts w:ascii="Times New Roman" w:hAnsi="Times New Roman" w:cs="Times New Roman"/>
        </w:rPr>
        <w:t xml:space="preserve"> биржевых облигаций</w:t>
      </w:r>
      <w:r w:rsidR="006E2343">
        <w:rPr>
          <w:rFonts w:ascii="Times New Roman" w:hAnsi="Times New Roman" w:cs="Times New Roman"/>
        </w:rPr>
        <w:t xml:space="preserve"> </w:t>
      </w:r>
      <w:r w:rsidR="006E2343" w:rsidRPr="006E2343">
        <w:rPr>
          <w:rFonts w:ascii="Times New Roman" w:hAnsi="Times New Roman" w:cs="Times New Roman"/>
          <w:i/>
        </w:rPr>
        <w:t>(статьи 11.3 и 11.5 Правил)</w:t>
      </w:r>
      <w:r w:rsidR="00FC0715">
        <w:rPr>
          <w:rFonts w:ascii="Times New Roman" w:hAnsi="Times New Roman" w:cs="Times New Roman"/>
        </w:rPr>
        <w:t>.</w:t>
      </w:r>
    </w:p>
    <w:p w:rsidR="00FA4114" w:rsidRPr="00284871" w:rsidRDefault="00FC0715" w:rsidP="00FC0715">
      <w:pPr>
        <w:spacing w:before="120" w:after="120"/>
        <w:ind w:left="1134"/>
        <w:jc w:val="both"/>
        <w:rPr>
          <w:rFonts w:cs="Times New Roman"/>
          <w:sz w:val="22"/>
          <w:szCs w:val="22"/>
        </w:rPr>
      </w:pPr>
      <w:r w:rsidRPr="00284871">
        <w:rPr>
          <w:rFonts w:eastAsia="Times New Roman" w:cs="Times New Roman"/>
          <w:sz w:val="22"/>
          <w:szCs w:val="22"/>
        </w:rPr>
        <w:t>Решение</w:t>
      </w:r>
      <w:r w:rsidRPr="00284871">
        <w:rPr>
          <w:rFonts w:eastAsia="Calibri" w:cs="Times New Roman"/>
          <w:sz w:val="22"/>
          <w:szCs w:val="22"/>
        </w:rPr>
        <w:t xml:space="preserve"> о регистрации или об отказе в регистрации проспекта биржевых облигаций</w:t>
      </w:r>
      <w:r w:rsidRPr="00284871" w:rsidDel="006A6686">
        <w:rPr>
          <w:rFonts w:eastAsia="Calibri" w:cs="Times New Roman"/>
          <w:sz w:val="22"/>
          <w:szCs w:val="22"/>
        </w:rPr>
        <w:t xml:space="preserve"> </w:t>
      </w:r>
      <w:r w:rsidRPr="00284871">
        <w:rPr>
          <w:rFonts w:eastAsia="Calibri" w:cs="Times New Roman"/>
          <w:sz w:val="22"/>
          <w:szCs w:val="22"/>
        </w:rPr>
        <w:t xml:space="preserve">принимается Биржей в течение 15 рабочих дней; а после оказания услуги </w:t>
      </w:r>
      <w:r w:rsidRPr="00284871">
        <w:rPr>
          <w:rFonts w:eastAsia="Calibri" w:cs="Times New Roman"/>
          <w:i/>
          <w:sz w:val="22"/>
          <w:szCs w:val="22"/>
        </w:rPr>
        <w:t xml:space="preserve">Предварительного рассмотрения эмиссионных документов по биржевым облигациям </w:t>
      </w:r>
      <w:r w:rsidRPr="00284871">
        <w:rPr>
          <w:rFonts w:eastAsia="Calibri" w:cs="Times New Roman"/>
          <w:sz w:val="22"/>
          <w:szCs w:val="22"/>
        </w:rPr>
        <w:t>– в течение 5 рабочих дней</w:t>
      </w:r>
      <w:r w:rsidR="00FA4114" w:rsidRPr="00284871">
        <w:rPr>
          <w:rFonts w:cs="Times New Roman"/>
          <w:sz w:val="22"/>
          <w:szCs w:val="22"/>
        </w:rPr>
        <w:t>;</w:t>
      </w:r>
    </w:p>
    <w:p w:rsidR="00C07EC3" w:rsidRPr="00AA2F3B" w:rsidRDefault="00FA4114" w:rsidP="00B975BD">
      <w:pPr>
        <w:pStyle w:val="a6"/>
        <w:numPr>
          <w:ilvl w:val="0"/>
          <w:numId w:val="9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A2F3B">
        <w:rPr>
          <w:rFonts w:ascii="Times New Roman" w:hAnsi="Times New Roman" w:cs="Times New Roman"/>
        </w:rPr>
        <w:t>и</w:t>
      </w:r>
      <w:r w:rsidR="00215713" w:rsidRPr="00AA2F3B">
        <w:rPr>
          <w:rFonts w:ascii="Times New Roman" w:hAnsi="Times New Roman" w:cs="Times New Roman"/>
        </w:rPr>
        <w:t xml:space="preserve">зменяются сроки допуска биржевых облигаций к торгам при регистрации выпуска </w:t>
      </w:r>
      <w:r w:rsidR="00DB788B" w:rsidRPr="00AA2F3B">
        <w:rPr>
          <w:rFonts w:ascii="Times New Roman" w:hAnsi="Times New Roman" w:cs="Times New Roman"/>
        </w:rPr>
        <w:t xml:space="preserve">(дополнительного выпуска) </w:t>
      </w:r>
      <w:r w:rsidR="00215713" w:rsidRPr="00AA2F3B">
        <w:rPr>
          <w:rFonts w:ascii="Times New Roman" w:hAnsi="Times New Roman" w:cs="Times New Roman"/>
        </w:rPr>
        <w:t>биржевых облигаций</w:t>
      </w:r>
      <w:r w:rsidR="009056E8">
        <w:rPr>
          <w:rFonts w:ascii="Times New Roman" w:hAnsi="Times New Roman" w:cs="Times New Roman"/>
        </w:rPr>
        <w:t xml:space="preserve"> </w:t>
      </w:r>
      <w:r w:rsidR="009056E8" w:rsidRPr="009056E8">
        <w:rPr>
          <w:rFonts w:ascii="Times New Roman" w:hAnsi="Times New Roman" w:cs="Times New Roman"/>
          <w:i/>
        </w:rPr>
        <w:t>(статья 11.2 Правил)</w:t>
      </w:r>
      <w:r w:rsidR="00215713" w:rsidRPr="00AA2F3B">
        <w:rPr>
          <w:rFonts w:ascii="Times New Roman" w:hAnsi="Times New Roman" w:cs="Times New Roman"/>
        </w:rPr>
        <w:t>:</w:t>
      </w:r>
    </w:p>
    <w:p w:rsidR="00DB788B" w:rsidRPr="00AA2F3B" w:rsidRDefault="00DB788B" w:rsidP="00B975BD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ind w:left="1418" w:hanging="284"/>
        <w:contextualSpacing/>
        <w:jc w:val="both"/>
        <w:rPr>
          <w:rFonts w:ascii="Times New Roman" w:hAnsi="Times New Roman" w:cs="Times New Roman"/>
        </w:rPr>
      </w:pPr>
      <w:r w:rsidRPr="00AA2F3B">
        <w:rPr>
          <w:rFonts w:ascii="Times New Roman" w:hAnsi="Times New Roman" w:cs="Times New Roman"/>
        </w:rPr>
        <w:t xml:space="preserve">в случае регистрации выпуска биржевых облигаций, </w:t>
      </w:r>
      <w:r w:rsidRPr="00AA2F3B">
        <w:rPr>
          <w:rFonts w:ascii="Times New Roman" w:hAnsi="Times New Roman" w:cs="Times New Roman"/>
          <w:i/>
        </w:rPr>
        <w:t>размещаемых в рамках программы биржевых облигаций</w:t>
      </w:r>
      <w:r w:rsidRPr="00AA2F3B">
        <w:rPr>
          <w:rFonts w:ascii="Times New Roman" w:hAnsi="Times New Roman" w:cs="Times New Roman"/>
        </w:rPr>
        <w:t xml:space="preserve">, которая сопровождается регистрацией проспекта биржевых облигаций (за исключением случая представления уведомления о составлении проспекта биржевых облигаций) – в течение 15 рабочих дней; а после оказания услуги </w:t>
      </w:r>
      <w:proofErr w:type="spellStart"/>
      <w:r w:rsidRPr="00AA2F3B">
        <w:rPr>
          <w:rFonts w:ascii="Times New Roman" w:hAnsi="Times New Roman" w:cs="Times New Roman"/>
          <w:i/>
        </w:rPr>
        <w:t>Прелистинга</w:t>
      </w:r>
      <w:proofErr w:type="spellEnd"/>
      <w:r w:rsidRPr="00AA2F3B">
        <w:rPr>
          <w:rFonts w:ascii="Times New Roman" w:hAnsi="Times New Roman" w:cs="Times New Roman"/>
        </w:rPr>
        <w:t xml:space="preserve"> </w:t>
      </w:r>
      <w:r w:rsidRPr="00AA2F3B">
        <w:rPr>
          <w:rFonts w:ascii="Times New Roman" w:hAnsi="Times New Roman" w:cs="Times New Roman"/>
          <w:i/>
        </w:rPr>
        <w:t>биржевых облигаций</w:t>
      </w:r>
      <w:r w:rsidRPr="00AA2F3B">
        <w:rPr>
          <w:rFonts w:ascii="Times New Roman" w:hAnsi="Times New Roman" w:cs="Times New Roman"/>
        </w:rPr>
        <w:t xml:space="preserve"> или услуги </w:t>
      </w:r>
      <w:r w:rsidRPr="00AA2F3B">
        <w:rPr>
          <w:rFonts w:ascii="Times New Roman" w:hAnsi="Times New Roman" w:cs="Times New Roman"/>
          <w:i/>
        </w:rPr>
        <w:t>Предварительного рассмотрения эмиссионных документов по биржевым облигациям</w:t>
      </w:r>
      <w:r w:rsidRPr="00AA2F3B">
        <w:rPr>
          <w:rFonts w:ascii="Times New Roman" w:hAnsi="Times New Roman" w:cs="Times New Roman"/>
        </w:rPr>
        <w:t xml:space="preserve"> – в течение 5 рабочих дней;</w:t>
      </w:r>
    </w:p>
    <w:p w:rsidR="00DB788B" w:rsidRPr="00AA2F3B" w:rsidRDefault="00DB788B" w:rsidP="00B975BD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ind w:left="1418" w:hanging="284"/>
        <w:contextualSpacing/>
        <w:jc w:val="both"/>
        <w:rPr>
          <w:rFonts w:ascii="Times New Roman" w:hAnsi="Times New Roman" w:cs="Times New Roman"/>
        </w:rPr>
      </w:pPr>
      <w:r w:rsidRPr="00AA2F3B">
        <w:rPr>
          <w:rFonts w:ascii="Times New Roman" w:hAnsi="Times New Roman" w:cs="Times New Roman"/>
        </w:rPr>
        <w:t xml:space="preserve">в случае </w:t>
      </w:r>
      <w:r w:rsidRPr="00AA2F3B">
        <w:rPr>
          <w:rFonts w:ascii="Times New Roman" w:eastAsia="Times New Roman" w:hAnsi="Times New Roman" w:cs="Times New Roman"/>
        </w:rPr>
        <w:t>регистрации выпуска биржевых облигаций</w:t>
      </w:r>
      <w:r w:rsidRPr="00AA2F3B">
        <w:rPr>
          <w:rFonts w:ascii="Times New Roman" w:hAnsi="Times New Roman" w:cs="Times New Roman"/>
        </w:rPr>
        <w:t xml:space="preserve">, </w:t>
      </w:r>
      <w:r w:rsidRPr="00AA2F3B">
        <w:rPr>
          <w:rFonts w:ascii="Times New Roman" w:hAnsi="Times New Roman" w:cs="Times New Roman"/>
          <w:i/>
        </w:rPr>
        <w:t>размещаемых</w:t>
      </w:r>
      <w:r w:rsidRPr="00AA2F3B">
        <w:rPr>
          <w:rFonts w:ascii="Times New Roman" w:eastAsia="Times New Roman" w:hAnsi="Times New Roman" w:cs="Times New Roman"/>
          <w:i/>
        </w:rPr>
        <w:t xml:space="preserve"> </w:t>
      </w:r>
      <w:r w:rsidRPr="00AA2F3B">
        <w:rPr>
          <w:rFonts w:ascii="Times New Roman" w:hAnsi="Times New Roman" w:cs="Times New Roman"/>
          <w:i/>
        </w:rPr>
        <w:t>в рамках программы биржевых облигаций</w:t>
      </w:r>
      <w:r w:rsidRPr="00AA2F3B">
        <w:rPr>
          <w:rFonts w:ascii="Times New Roman" w:hAnsi="Times New Roman" w:cs="Times New Roman"/>
        </w:rPr>
        <w:t xml:space="preserve">, которая не сопровождается составлением и регистрацией проспекта ценных бумаг (в том числе в случае представления уведомления о составлении проспекта биржевых облигаций) – в течение 7 рабочих дней; а после оказания услуги </w:t>
      </w:r>
      <w:proofErr w:type="spellStart"/>
      <w:r w:rsidRPr="00AA2F3B">
        <w:rPr>
          <w:rFonts w:ascii="Times New Roman" w:hAnsi="Times New Roman" w:cs="Times New Roman"/>
          <w:i/>
        </w:rPr>
        <w:t>Прелистинга</w:t>
      </w:r>
      <w:proofErr w:type="spellEnd"/>
      <w:r w:rsidRPr="00AA2F3B">
        <w:rPr>
          <w:rFonts w:ascii="Times New Roman" w:hAnsi="Times New Roman" w:cs="Times New Roman"/>
        </w:rPr>
        <w:t xml:space="preserve"> </w:t>
      </w:r>
      <w:r w:rsidRPr="00AA2F3B">
        <w:rPr>
          <w:rFonts w:ascii="Times New Roman" w:hAnsi="Times New Roman" w:cs="Times New Roman"/>
          <w:i/>
        </w:rPr>
        <w:t>биржевых облигаций</w:t>
      </w:r>
      <w:r w:rsidRPr="00AA2F3B">
        <w:rPr>
          <w:rFonts w:ascii="Times New Roman" w:hAnsi="Times New Roman" w:cs="Times New Roman"/>
        </w:rPr>
        <w:t xml:space="preserve"> или услуги </w:t>
      </w:r>
      <w:r w:rsidRPr="00AA2F3B">
        <w:rPr>
          <w:rFonts w:ascii="Times New Roman" w:hAnsi="Times New Roman" w:cs="Times New Roman"/>
          <w:i/>
        </w:rPr>
        <w:t>Предварительного рассмотрения эмиссионных документов по биржевым облигациям</w:t>
      </w:r>
      <w:r w:rsidRPr="00AA2F3B">
        <w:rPr>
          <w:rFonts w:ascii="Times New Roman" w:hAnsi="Times New Roman" w:cs="Times New Roman"/>
        </w:rPr>
        <w:t>– в течение 3 рабочих дней;</w:t>
      </w:r>
    </w:p>
    <w:p w:rsidR="00DB788B" w:rsidRPr="00AA2F3B" w:rsidRDefault="00DB788B" w:rsidP="00B975BD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</w:rPr>
      </w:pPr>
      <w:r w:rsidRPr="00AA2F3B">
        <w:rPr>
          <w:rFonts w:ascii="Times New Roman" w:hAnsi="Times New Roman" w:cs="Times New Roman"/>
        </w:rPr>
        <w:t xml:space="preserve">в случае </w:t>
      </w:r>
      <w:r w:rsidRPr="00AA2F3B">
        <w:rPr>
          <w:rFonts w:ascii="Times New Roman" w:eastAsia="Times New Roman" w:hAnsi="Times New Roman" w:cs="Times New Roman"/>
        </w:rPr>
        <w:t xml:space="preserve">регистрации выпуска биржевых облигаций, </w:t>
      </w:r>
      <w:r w:rsidRPr="00AA2F3B">
        <w:rPr>
          <w:rFonts w:ascii="Times New Roman" w:hAnsi="Times New Roman" w:cs="Times New Roman"/>
          <w:i/>
        </w:rPr>
        <w:t>размещаемых не в рамках программы биржевых облигаций</w:t>
      </w:r>
      <w:r w:rsidRPr="00AA2F3B">
        <w:rPr>
          <w:rFonts w:ascii="Times New Roman" w:hAnsi="Times New Roman" w:cs="Times New Roman"/>
        </w:rPr>
        <w:t xml:space="preserve">, </w:t>
      </w:r>
      <w:r w:rsidRPr="00AA2F3B">
        <w:rPr>
          <w:rFonts w:ascii="Times New Roman" w:eastAsia="Times New Roman" w:hAnsi="Times New Roman" w:cs="Times New Roman"/>
        </w:rPr>
        <w:t xml:space="preserve">вне зависимости от того, сопровождается регистрация такого выпуска регистрацией проспекта </w:t>
      </w:r>
      <w:r w:rsidRPr="00AA2F3B">
        <w:rPr>
          <w:rFonts w:ascii="Times New Roman" w:hAnsi="Times New Roman" w:cs="Times New Roman"/>
        </w:rPr>
        <w:t xml:space="preserve">биржевых облигаций или нет </w:t>
      </w:r>
      <w:r w:rsidRPr="00AA2F3B">
        <w:rPr>
          <w:rFonts w:ascii="Times New Roman" w:eastAsia="Times New Roman" w:hAnsi="Times New Roman" w:cs="Times New Roman"/>
        </w:rPr>
        <w:t xml:space="preserve">(в том числе в случае представления уведомления о составлении проспекта биржевых облигаций) – </w:t>
      </w:r>
      <w:r w:rsidRPr="00AA2F3B">
        <w:rPr>
          <w:rFonts w:ascii="Times New Roman" w:hAnsi="Times New Roman" w:cs="Times New Roman"/>
        </w:rPr>
        <w:t xml:space="preserve">в течение 15 рабочих дней; а после оказания услуги </w:t>
      </w:r>
      <w:proofErr w:type="spellStart"/>
      <w:r w:rsidRPr="00AA2F3B">
        <w:rPr>
          <w:rFonts w:ascii="Times New Roman" w:hAnsi="Times New Roman" w:cs="Times New Roman"/>
          <w:i/>
        </w:rPr>
        <w:t>Прелистинга</w:t>
      </w:r>
      <w:proofErr w:type="spellEnd"/>
      <w:r w:rsidRPr="00AA2F3B">
        <w:rPr>
          <w:rFonts w:ascii="Times New Roman" w:hAnsi="Times New Roman" w:cs="Times New Roman"/>
        </w:rPr>
        <w:t xml:space="preserve"> </w:t>
      </w:r>
      <w:r w:rsidRPr="00AA2F3B">
        <w:rPr>
          <w:rFonts w:ascii="Times New Roman" w:hAnsi="Times New Roman" w:cs="Times New Roman"/>
          <w:i/>
        </w:rPr>
        <w:t>биржевых облигаций</w:t>
      </w:r>
      <w:r w:rsidRPr="00AA2F3B">
        <w:rPr>
          <w:rFonts w:ascii="Times New Roman" w:hAnsi="Times New Roman" w:cs="Times New Roman"/>
        </w:rPr>
        <w:t xml:space="preserve"> или услуги </w:t>
      </w:r>
      <w:r w:rsidRPr="00AA2F3B">
        <w:rPr>
          <w:rFonts w:ascii="Times New Roman" w:hAnsi="Times New Roman" w:cs="Times New Roman"/>
          <w:i/>
        </w:rPr>
        <w:t xml:space="preserve">Предварительного </w:t>
      </w:r>
      <w:r w:rsidRPr="00AA2F3B">
        <w:rPr>
          <w:rFonts w:ascii="Times New Roman" w:hAnsi="Times New Roman" w:cs="Times New Roman"/>
          <w:i/>
        </w:rPr>
        <w:lastRenderedPageBreak/>
        <w:t>рассмотрения эмиссионных документов по биржевым облигациям</w:t>
      </w:r>
      <w:r w:rsidRPr="00AA2F3B">
        <w:rPr>
          <w:rFonts w:ascii="Times New Roman" w:hAnsi="Times New Roman" w:cs="Times New Roman"/>
        </w:rPr>
        <w:t xml:space="preserve"> – в течение 5 рабочих дней</w:t>
      </w:r>
      <w:r w:rsidRPr="00AA2F3B">
        <w:rPr>
          <w:rFonts w:ascii="Times New Roman" w:eastAsia="Times New Roman" w:hAnsi="Times New Roman" w:cs="Times New Roman"/>
        </w:rPr>
        <w:t>.</w:t>
      </w:r>
    </w:p>
    <w:p w:rsidR="00DB788B" w:rsidRPr="00AA2F3B" w:rsidRDefault="00DB788B" w:rsidP="00B975BD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ind w:left="1418" w:hanging="284"/>
        <w:contextualSpacing/>
        <w:jc w:val="both"/>
        <w:rPr>
          <w:rFonts w:ascii="Times New Roman" w:hAnsi="Times New Roman" w:cs="Times New Roman"/>
        </w:rPr>
      </w:pPr>
      <w:r w:rsidRPr="00AA2F3B">
        <w:rPr>
          <w:rFonts w:ascii="Times New Roman" w:hAnsi="Times New Roman" w:cs="Times New Roman"/>
        </w:rPr>
        <w:t xml:space="preserve">в случае регистрации </w:t>
      </w:r>
      <w:r w:rsidRPr="00AA2F3B">
        <w:rPr>
          <w:rFonts w:ascii="Times New Roman" w:hAnsi="Times New Roman" w:cs="Times New Roman"/>
          <w:i/>
        </w:rPr>
        <w:t>дополнительного</w:t>
      </w:r>
      <w:r w:rsidRPr="00AA2F3B">
        <w:rPr>
          <w:rFonts w:ascii="Times New Roman" w:hAnsi="Times New Roman" w:cs="Times New Roman"/>
        </w:rPr>
        <w:t xml:space="preserve"> выпуска биржевых облигаций, которая сопровождается регистрацией проспекта биржевых облигаций (за исключением случая представления уведомления о составлении проспекта биржевых облигаций) – в течение 15 рабочих дней; а после оказания услуги </w:t>
      </w:r>
      <w:r w:rsidRPr="00AA2F3B">
        <w:rPr>
          <w:rFonts w:ascii="Times New Roman" w:hAnsi="Times New Roman" w:cs="Times New Roman"/>
          <w:i/>
        </w:rPr>
        <w:t>Предварительного рассмотрения эмиссионных документов по биржевым облигациям</w:t>
      </w:r>
      <w:r w:rsidRPr="00AA2F3B">
        <w:rPr>
          <w:rFonts w:ascii="Times New Roman" w:hAnsi="Times New Roman" w:cs="Times New Roman"/>
        </w:rPr>
        <w:t>– в течение 5 рабочих дней;</w:t>
      </w:r>
    </w:p>
    <w:p w:rsidR="00DB788B" w:rsidRPr="00AA2F3B" w:rsidRDefault="00DB788B" w:rsidP="00B975BD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ind w:left="1418" w:hanging="284"/>
        <w:jc w:val="both"/>
        <w:rPr>
          <w:rFonts w:ascii="Times New Roman" w:hAnsi="Times New Roman" w:cs="Times New Roman"/>
        </w:rPr>
      </w:pPr>
      <w:r w:rsidRPr="00AA2F3B">
        <w:rPr>
          <w:rFonts w:ascii="Times New Roman" w:hAnsi="Times New Roman" w:cs="Times New Roman"/>
        </w:rPr>
        <w:t xml:space="preserve">в случае </w:t>
      </w:r>
      <w:r w:rsidRPr="00AA2F3B">
        <w:rPr>
          <w:rFonts w:ascii="Times New Roman" w:eastAsia="Times New Roman" w:hAnsi="Times New Roman" w:cs="Times New Roman"/>
        </w:rPr>
        <w:t xml:space="preserve">регистрации </w:t>
      </w:r>
      <w:r w:rsidRPr="00AA2F3B">
        <w:rPr>
          <w:rFonts w:ascii="Times New Roman" w:eastAsia="Times New Roman" w:hAnsi="Times New Roman" w:cs="Times New Roman"/>
          <w:i/>
        </w:rPr>
        <w:t>дополнительного</w:t>
      </w:r>
      <w:r w:rsidRPr="00AA2F3B">
        <w:rPr>
          <w:rFonts w:ascii="Times New Roman" w:eastAsia="Times New Roman" w:hAnsi="Times New Roman" w:cs="Times New Roman"/>
        </w:rPr>
        <w:t xml:space="preserve"> выпуска биржевых облигаций</w:t>
      </w:r>
      <w:r w:rsidRPr="00AA2F3B">
        <w:rPr>
          <w:rFonts w:ascii="Times New Roman" w:hAnsi="Times New Roman" w:cs="Times New Roman"/>
        </w:rPr>
        <w:t>, которая не сопровождается составлением и регистрацией проспекта биржевых облигаций (в том числе в случае представления уведомления о составлении проспекта биржевых облигаций) – в течение 7 рабочих дней.</w:t>
      </w:r>
    </w:p>
    <w:p w:rsidR="00215713" w:rsidRDefault="002D6222" w:rsidP="00B975BD">
      <w:pPr>
        <w:pStyle w:val="a6"/>
        <w:numPr>
          <w:ilvl w:val="0"/>
          <w:numId w:val="9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C71F88">
        <w:rPr>
          <w:rFonts w:ascii="Times New Roman" w:hAnsi="Times New Roman" w:cs="Times New Roman"/>
        </w:rPr>
        <w:t>изменяется</w:t>
      </w:r>
      <w:r w:rsidR="009056E8" w:rsidRPr="00C71F88">
        <w:rPr>
          <w:rFonts w:ascii="Times New Roman" w:hAnsi="Times New Roman" w:cs="Times New Roman"/>
        </w:rPr>
        <w:t xml:space="preserve"> процедура</w:t>
      </w:r>
      <w:r w:rsidRPr="00C71F88">
        <w:rPr>
          <w:rFonts w:ascii="Times New Roman" w:hAnsi="Times New Roman" w:cs="Times New Roman"/>
        </w:rPr>
        <w:t xml:space="preserve"> </w:t>
      </w:r>
      <w:r w:rsidR="00C71F88" w:rsidRPr="00C71F88">
        <w:rPr>
          <w:rFonts w:ascii="Times New Roman" w:hAnsi="Times New Roman" w:cs="Times New Roman"/>
        </w:rPr>
        <w:t>внесения изменений в решение о выпуске биржевых облигаций в части сведений о представителе владельцев биржевых облигаций, вносимых посредством направления уведомления</w:t>
      </w:r>
      <w:r w:rsidR="00C71F88" w:rsidRPr="00C71F88">
        <w:rPr>
          <w:rFonts w:ascii="Times New Roman" w:eastAsia="Times New Roman" w:hAnsi="Times New Roman" w:cs="Times New Roman"/>
        </w:rPr>
        <w:t>. Указанные и</w:t>
      </w:r>
      <w:r w:rsidRPr="00C71F88">
        <w:rPr>
          <w:rFonts w:ascii="Times New Roman" w:eastAsia="Times New Roman" w:hAnsi="Times New Roman" w:cs="Times New Roman"/>
        </w:rPr>
        <w:t>зменения</w:t>
      </w:r>
      <w:r w:rsidR="00C71F88" w:rsidRPr="00C71F88">
        <w:rPr>
          <w:rFonts w:ascii="Times New Roman" w:eastAsia="Times New Roman" w:hAnsi="Times New Roman" w:cs="Times New Roman"/>
        </w:rPr>
        <w:t xml:space="preserve"> </w:t>
      </w:r>
      <w:r w:rsidRPr="00C71F88">
        <w:rPr>
          <w:rFonts w:ascii="Times New Roman" w:eastAsia="Times New Roman" w:hAnsi="Times New Roman" w:cs="Times New Roman"/>
        </w:rPr>
        <w:t>считаются зарегистрированными по истечении 7 рабочих дней с даты получения Биржей уведомления о представителе владельцев биржевых облигаций, если в течение указанного срока Биржей не принимается решение об отказе в их регистрации</w:t>
      </w:r>
      <w:r w:rsidR="009056E8" w:rsidRPr="00C71F88">
        <w:rPr>
          <w:rFonts w:ascii="Times New Roman" w:hAnsi="Times New Roman" w:cs="Times New Roman"/>
        </w:rPr>
        <w:t xml:space="preserve"> </w:t>
      </w:r>
      <w:r w:rsidR="00C71F88" w:rsidRPr="00C71F88">
        <w:rPr>
          <w:rFonts w:ascii="Times New Roman" w:hAnsi="Times New Roman" w:cs="Times New Roman"/>
          <w:i/>
        </w:rPr>
        <w:t>(статья 12.2 Правил)</w:t>
      </w:r>
      <w:r w:rsidR="00C71F88">
        <w:rPr>
          <w:rFonts w:ascii="Times New Roman" w:hAnsi="Times New Roman" w:cs="Times New Roman"/>
        </w:rPr>
        <w:t>;</w:t>
      </w:r>
    </w:p>
    <w:p w:rsidR="00C71F88" w:rsidRDefault="00C71F88" w:rsidP="00B975BD">
      <w:pPr>
        <w:pStyle w:val="a6"/>
        <w:numPr>
          <w:ilvl w:val="0"/>
          <w:numId w:val="9"/>
        </w:num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указываются способы </w:t>
      </w:r>
      <w:r w:rsidR="00CE2C18">
        <w:rPr>
          <w:rFonts w:ascii="Times New Roman" w:hAnsi="Times New Roman" w:cs="Times New Roman"/>
        </w:rPr>
        <w:t>подтверждения п</w:t>
      </w:r>
      <w:r w:rsidRPr="008B12F0">
        <w:rPr>
          <w:rFonts w:ascii="Times New Roman" w:eastAsia="Times New Roman" w:hAnsi="Times New Roman" w:cs="Times New Roman"/>
        </w:rPr>
        <w:t>риняти</w:t>
      </w:r>
      <w:r w:rsidR="000A25E6">
        <w:rPr>
          <w:rFonts w:ascii="Times New Roman" w:eastAsia="Times New Roman" w:hAnsi="Times New Roman" w:cs="Times New Roman"/>
        </w:rPr>
        <w:t>я</w:t>
      </w:r>
      <w:r w:rsidRPr="008B12F0">
        <w:rPr>
          <w:rFonts w:ascii="Times New Roman" w:eastAsia="Times New Roman" w:hAnsi="Times New Roman" w:cs="Times New Roman"/>
        </w:rPr>
        <w:t xml:space="preserve"> Биржей решения о регистрации выпуска (дополнительного выпуска) ценных бумаг, регистрации проспекта ценных бумаг, регистрации программы биржевых облигаций, регистрации изменений, внесенных в решение о выпуске ценных бумаг, в программу биржевых облигаций, в проспект ценных бумаг </w:t>
      </w:r>
      <w:r w:rsidR="00CE2C18">
        <w:rPr>
          <w:rFonts w:ascii="Times New Roman" w:eastAsia="Times New Roman" w:hAnsi="Times New Roman" w:cs="Times New Roman"/>
        </w:rPr>
        <w:t xml:space="preserve">для случаев </w:t>
      </w:r>
      <w:r w:rsidR="00CE2C18" w:rsidRPr="009428DE">
        <w:rPr>
          <w:rFonts w:ascii="Times New Roman" w:eastAsia="Times New Roman" w:hAnsi="Times New Roman" w:cs="Times New Roman"/>
        </w:rPr>
        <w:t xml:space="preserve">представления на Биржу документов </w:t>
      </w:r>
      <w:r w:rsidR="00CE2C18" w:rsidRPr="00CE2C18">
        <w:rPr>
          <w:rFonts w:ascii="Times New Roman" w:eastAsia="Times New Roman" w:hAnsi="Times New Roman" w:cs="Times New Roman"/>
        </w:rPr>
        <w:t xml:space="preserve">на бумажном носителе или в форме электронных документов, подписанных электронной подписью </w:t>
      </w:r>
      <w:r w:rsidR="00CE2C18" w:rsidRPr="00CE2C18">
        <w:rPr>
          <w:rFonts w:ascii="Times New Roman" w:eastAsia="Times New Roman" w:hAnsi="Times New Roman" w:cs="Times New Roman"/>
          <w:i/>
        </w:rPr>
        <w:t>(статья 14.3 Правил)</w:t>
      </w:r>
      <w:r w:rsidR="00CE2C18" w:rsidRPr="00CE2C18">
        <w:rPr>
          <w:rFonts w:ascii="Times New Roman" w:eastAsia="Times New Roman" w:hAnsi="Times New Roman" w:cs="Times New Roman"/>
        </w:rPr>
        <w:t>;</w:t>
      </w:r>
    </w:p>
    <w:p w:rsidR="00D450E3" w:rsidRDefault="00D450E3" w:rsidP="00B975BD">
      <w:pPr>
        <w:pStyle w:val="a6"/>
        <w:numPr>
          <w:ilvl w:val="0"/>
          <w:numId w:val="9"/>
        </w:num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изменяется перечень документов, необходимых для регистрации выпусков (дополнительных выпусков) ценных бумаг, программ биржевых облигаций и проспектов ценных бумаг</w:t>
      </w:r>
      <w:r w:rsidR="00B357CD">
        <w:rPr>
          <w:rFonts w:ascii="Times New Roman" w:eastAsia="Times New Roman" w:hAnsi="Times New Roman" w:cs="Times New Roman"/>
        </w:rPr>
        <w:t xml:space="preserve">, в том числе в зависимости от </w:t>
      </w:r>
      <w:r w:rsidR="00B357CD" w:rsidRPr="001D5821">
        <w:rPr>
          <w:rFonts w:asciiTheme="majorHAnsi" w:hAnsiTheme="majorHAnsi" w:cstheme="majorHAnsi"/>
          <w:color w:val="000000" w:themeColor="text1"/>
        </w:rPr>
        <w:t xml:space="preserve">вида размещаемых ценных бумаг, способа их размещения и (или) иных обстоятельств, которые в соответствии с </w:t>
      </w:r>
      <w:r w:rsidR="00B357CD">
        <w:rPr>
          <w:rFonts w:asciiTheme="majorHAnsi" w:hAnsiTheme="majorHAnsi" w:cstheme="majorHAnsi"/>
          <w:color w:val="000000" w:themeColor="text1"/>
        </w:rPr>
        <w:t xml:space="preserve">регулированием </w:t>
      </w:r>
      <w:r w:rsidR="00B357CD" w:rsidRPr="001D5821">
        <w:rPr>
          <w:rFonts w:asciiTheme="majorHAnsi" w:hAnsiTheme="majorHAnsi" w:cstheme="majorHAnsi"/>
          <w:color w:val="000000" w:themeColor="text1"/>
        </w:rPr>
        <w:t>являются основаниями для представления для регистрации выпуска (дополнительного выпуска) ценных бумаг дополнительных документов</w:t>
      </w:r>
      <w:r w:rsidR="00B357CD" w:rsidRPr="00D450E3">
        <w:rPr>
          <w:rFonts w:ascii="Times New Roman" w:eastAsia="Times New Roman" w:hAnsi="Times New Roman" w:cs="Times New Roman"/>
          <w:i/>
        </w:rPr>
        <w:t xml:space="preserve"> </w:t>
      </w:r>
      <w:r w:rsidRPr="00D450E3">
        <w:rPr>
          <w:rFonts w:ascii="Times New Roman" w:eastAsia="Times New Roman" w:hAnsi="Times New Roman" w:cs="Times New Roman"/>
          <w:i/>
        </w:rPr>
        <w:t>(Приложение 1 к Правилам)</w:t>
      </w:r>
      <w:r w:rsidR="00D702FF">
        <w:rPr>
          <w:rFonts w:ascii="Times New Roman" w:eastAsia="Times New Roman" w:hAnsi="Times New Roman" w:cs="Times New Roman"/>
        </w:rPr>
        <w:t>.</w:t>
      </w:r>
    </w:p>
    <w:p w:rsidR="00090E4F" w:rsidRPr="00D3142D" w:rsidRDefault="00090E4F" w:rsidP="00B975BD">
      <w:pPr>
        <w:pStyle w:val="a6"/>
        <w:numPr>
          <w:ilvl w:val="0"/>
          <w:numId w:val="6"/>
        </w:numPr>
        <w:spacing w:before="240" w:after="12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AA2F3B">
        <w:rPr>
          <w:rFonts w:ascii="Times New Roman" w:hAnsi="Times New Roman" w:cs="Times New Roman"/>
        </w:rPr>
        <w:t xml:space="preserve">В соответствии с </w:t>
      </w:r>
      <w:r w:rsidRPr="00D3142D">
        <w:rPr>
          <w:rFonts w:ascii="Times New Roman" w:hAnsi="Times New Roman" w:cs="Times New Roman"/>
        </w:rPr>
        <w:t>изменениями в Федеральный закон «О рынке ценных бумаг» в Правила внесены следующие изменения, регулирующие допуск к торгам облигаций международных финансовых организаций</w:t>
      </w:r>
      <w:r w:rsidR="00D3142D" w:rsidRPr="00D3142D">
        <w:rPr>
          <w:rFonts w:ascii="Times New Roman" w:hAnsi="Times New Roman" w:cs="Times New Roman"/>
        </w:rPr>
        <w:t>, ценных бумаг иностранных эмитентов</w:t>
      </w:r>
      <w:r w:rsidR="000A25E6">
        <w:rPr>
          <w:rFonts w:ascii="Times New Roman" w:hAnsi="Times New Roman" w:cs="Times New Roman"/>
        </w:rPr>
        <w:t>,</w:t>
      </w:r>
      <w:r w:rsidR="00D3142D" w:rsidRPr="00D3142D">
        <w:rPr>
          <w:rFonts w:ascii="Times New Roman" w:hAnsi="Times New Roman" w:cs="Times New Roman"/>
        </w:rPr>
        <w:t xml:space="preserve"> допущенных </w:t>
      </w:r>
      <w:r w:rsidR="00F43A2A">
        <w:rPr>
          <w:rFonts w:ascii="Times New Roman" w:hAnsi="Times New Roman" w:cs="Times New Roman"/>
        </w:rPr>
        <w:t>Биржей</w:t>
      </w:r>
      <w:r w:rsidR="00F43A2A" w:rsidRPr="00D3142D">
        <w:rPr>
          <w:rFonts w:ascii="Times New Roman" w:hAnsi="Times New Roman" w:cs="Times New Roman"/>
        </w:rPr>
        <w:t xml:space="preserve"> </w:t>
      </w:r>
      <w:r w:rsidR="00D3142D" w:rsidRPr="00D3142D">
        <w:rPr>
          <w:rFonts w:ascii="Times New Roman" w:hAnsi="Times New Roman" w:cs="Times New Roman"/>
        </w:rPr>
        <w:t>к торгам в процессе их размещения среди квалифицированных инвесторов, российских депозитарных расписок</w:t>
      </w:r>
      <w:r w:rsidR="000A25E6">
        <w:rPr>
          <w:rFonts w:ascii="Times New Roman" w:hAnsi="Times New Roman" w:cs="Times New Roman"/>
        </w:rPr>
        <w:t xml:space="preserve"> (биржевые РДР)</w:t>
      </w:r>
      <w:r w:rsidR="00D3142D" w:rsidRPr="00D3142D">
        <w:rPr>
          <w:rFonts w:ascii="Times New Roman" w:hAnsi="Times New Roman" w:cs="Times New Roman"/>
        </w:rPr>
        <w:t>, регистрация выпуска которых осуществляется Биржей</w:t>
      </w:r>
      <w:r w:rsidRPr="00D3142D">
        <w:rPr>
          <w:rFonts w:ascii="Times New Roman" w:hAnsi="Times New Roman" w:cs="Times New Roman"/>
        </w:rPr>
        <w:t xml:space="preserve">: </w:t>
      </w:r>
    </w:p>
    <w:p w:rsidR="00090E4F" w:rsidRDefault="00D3142D" w:rsidP="00B975BD">
      <w:pPr>
        <w:pStyle w:val="a6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введена возможность </w:t>
      </w:r>
      <w:r w:rsidRPr="00D3142D">
        <w:rPr>
          <w:rFonts w:ascii="Times New Roman" w:hAnsi="Times New Roman" w:cs="Times New Roman"/>
        </w:rPr>
        <w:t xml:space="preserve">допуска </w:t>
      </w:r>
      <w:r>
        <w:rPr>
          <w:rFonts w:ascii="Times New Roman" w:hAnsi="Times New Roman" w:cs="Times New Roman"/>
        </w:rPr>
        <w:t>облигаций международных финансовых организаций</w:t>
      </w:r>
      <w:r w:rsidRPr="00D3142D">
        <w:rPr>
          <w:rFonts w:ascii="Times New Roman" w:hAnsi="Times New Roman" w:cs="Times New Roman"/>
        </w:rPr>
        <w:t xml:space="preserve"> к размещению по решению </w:t>
      </w:r>
      <w:r>
        <w:rPr>
          <w:rFonts w:ascii="Times New Roman" w:hAnsi="Times New Roman" w:cs="Times New Roman"/>
        </w:rPr>
        <w:t>Б</w:t>
      </w:r>
      <w:r w:rsidRPr="00D3142D">
        <w:rPr>
          <w:rFonts w:ascii="Times New Roman" w:hAnsi="Times New Roman" w:cs="Times New Roman"/>
        </w:rPr>
        <w:t>иржи</w:t>
      </w:r>
      <w:r>
        <w:rPr>
          <w:rFonts w:ascii="Times New Roman" w:hAnsi="Times New Roman" w:cs="Times New Roman"/>
        </w:rPr>
        <w:t xml:space="preserve">, а также разработаны </w:t>
      </w:r>
      <w:r w:rsidRPr="00804D4C">
        <w:rPr>
          <w:rFonts w:ascii="Times New Roman" w:eastAsia="Times New Roman" w:hAnsi="Times New Roman" w:cs="Times New Roman"/>
        </w:rPr>
        <w:t>Требования по раскрытию информации в случае допуска к организованным торгам по решению Биржи облигаций международных финансовых организаций</w:t>
      </w:r>
      <w:r>
        <w:rPr>
          <w:rFonts w:ascii="Times New Roman" w:eastAsia="Times New Roman" w:hAnsi="Times New Roman" w:cs="Times New Roman"/>
        </w:rPr>
        <w:t xml:space="preserve"> </w:t>
      </w:r>
      <w:r w:rsidRPr="00632B8F">
        <w:rPr>
          <w:rFonts w:ascii="Times New Roman" w:hAnsi="Times New Roman" w:cs="Times New Roman"/>
          <w:i/>
        </w:rPr>
        <w:t>(статья 5 Правил и Приложение 10 к Правилам)</w:t>
      </w:r>
      <w:r>
        <w:rPr>
          <w:rFonts w:ascii="Times New Roman" w:hAnsi="Times New Roman" w:cs="Times New Roman"/>
        </w:rPr>
        <w:t>;</w:t>
      </w:r>
    </w:p>
    <w:p w:rsidR="00D3142D" w:rsidRDefault="00D3142D" w:rsidP="00B975BD">
      <w:pPr>
        <w:pStyle w:val="a6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введена возможность </w:t>
      </w:r>
      <w:r w:rsidRPr="00D3142D">
        <w:rPr>
          <w:rFonts w:ascii="Times New Roman" w:hAnsi="Times New Roman" w:cs="Times New Roman"/>
        </w:rPr>
        <w:t>допуска иностранных эмитентов</w:t>
      </w:r>
      <w:r w:rsidR="000A25E6">
        <w:rPr>
          <w:rFonts w:ascii="Times New Roman" w:hAnsi="Times New Roman" w:cs="Times New Roman"/>
        </w:rPr>
        <w:t>,</w:t>
      </w:r>
      <w:r w:rsidRPr="00D3142D">
        <w:rPr>
          <w:rFonts w:ascii="Times New Roman" w:hAnsi="Times New Roman" w:cs="Times New Roman"/>
        </w:rPr>
        <w:t xml:space="preserve"> допущенных </w:t>
      </w:r>
      <w:r w:rsidR="009E4338" w:rsidRPr="00D3142D">
        <w:rPr>
          <w:rFonts w:ascii="Times New Roman" w:hAnsi="Times New Roman" w:cs="Times New Roman"/>
        </w:rPr>
        <w:t>Бирж</w:t>
      </w:r>
      <w:r w:rsidR="009E4338">
        <w:rPr>
          <w:rFonts w:ascii="Times New Roman" w:hAnsi="Times New Roman" w:cs="Times New Roman"/>
        </w:rPr>
        <w:t>ей</w:t>
      </w:r>
      <w:r w:rsidR="009E4338" w:rsidRPr="00D3142D">
        <w:rPr>
          <w:rFonts w:ascii="Times New Roman" w:hAnsi="Times New Roman" w:cs="Times New Roman"/>
        </w:rPr>
        <w:t xml:space="preserve"> </w:t>
      </w:r>
      <w:r w:rsidRPr="00D3142D">
        <w:rPr>
          <w:rFonts w:ascii="Times New Roman" w:hAnsi="Times New Roman" w:cs="Times New Roman"/>
        </w:rPr>
        <w:t>к торгам в процессе их размещения среди квалифицированных инвесторов</w:t>
      </w:r>
      <w:r>
        <w:rPr>
          <w:rFonts w:ascii="Times New Roman" w:hAnsi="Times New Roman" w:cs="Times New Roman"/>
        </w:rPr>
        <w:t xml:space="preserve">, а также </w:t>
      </w:r>
      <w:r w:rsidR="001C71AE">
        <w:rPr>
          <w:rFonts w:ascii="Times New Roman" w:hAnsi="Times New Roman" w:cs="Times New Roman"/>
        </w:rPr>
        <w:t xml:space="preserve">скорректированы </w:t>
      </w:r>
      <w:bookmarkStart w:id="1" w:name="_Toc450831723"/>
      <w:bookmarkStart w:id="2" w:name="_Toc26257948"/>
      <w:r w:rsidR="001C71AE" w:rsidRPr="001C71AE">
        <w:rPr>
          <w:rFonts w:ascii="Times New Roman" w:hAnsi="Times New Roman" w:cs="Times New Roman"/>
        </w:rPr>
        <w:t>Требования по раскрытию информации в случае допуска к организованным торгам ценных бумаг иностранных эмитентов, предназначенных для квалифицированных инвесторов</w:t>
      </w:r>
      <w:bookmarkEnd w:id="1"/>
      <w:bookmarkEnd w:id="2"/>
      <w:r w:rsidR="001C71AE">
        <w:rPr>
          <w:rFonts w:ascii="Times New Roman" w:hAnsi="Times New Roman" w:cs="Times New Roman"/>
        </w:rPr>
        <w:t xml:space="preserve"> </w:t>
      </w:r>
      <w:r w:rsidRPr="00632B8F">
        <w:rPr>
          <w:rFonts w:ascii="Times New Roman" w:hAnsi="Times New Roman" w:cs="Times New Roman"/>
          <w:i/>
        </w:rPr>
        <w:t xml:space="preserve">(статья 5 </w:t>
      </w:r>
      <w:r w:rsidR="001C71AE" w:rsidRPr="00632B8F">
        <w:rPr>
          <w:rFonts w:ascii="Times New Roman" w:hAnsi="Times New Roman" w:cs="Times New Roman"/>
          <w:i/>
        </w:rPr>
        <w:t>Правил и Приложение 9</w:t>
      </w:r>
      <w:r w:rsidRPr="00632B8F">
        <w:rPr>
          <w:rFonts w:ascii="Times New Roman" w:hAnsi="Times New Roman" w:cs="Times New Roman"/>
          <w:i/>
        </w:rPr>
        <w:t xml:space="preserve"> к Правилам)</w:t>
      </w:r>
      <w:r>
        <w:rPr>
          <w:rFonts w:ascii="Times New Roman" w:hAnsi="Times New Roman" w:cs="Times New Roman"/>
        </w:rPr>
        <w:t>;</w:t>
      </w:r>
    </w:p>
    <w:p w:rsidR="00632B8F" w:rsidRPr="00632B8F" w:rsidRDefault="001C71AE" w:rsidP="00B975BD">
      <w:pPr>
        <w:pStyle w:val="a6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632B8F">
        <w:rPr>
          <w:rFonts w:ascii="Times New Roman" w:hAnsi="Times New Roman" w:cs="Times New Roman"/>
        </w:rPr>
        <w:t>установлен</w:t>
      </w:r>
      <w:r w:rsidR="00632B8F">
        <w:rPr>
          <w:rFonts w:ascii="Times New Roman" w:hAnsi="Times New Roman" w:cs="Times New Roman"/>
        </w:rPr>
        <w:t>ы</w:t>
      </w:r>
      <w:r w:rsidRPr="00632B8F">
        <w:rPr>
          <w:rFonts w:ascii="Times New Roman" w:hAnsi="Times New Roman" w:cs="Times New Roman"/>
        </w:rPr>
        <w:t xml:space="preserve"> процедур</w:t>
      </w:r>
      <w:r w:rsidR="00632B8F">
        <w:rPr>
          <w:rFonts w:ascii="Times New Roman" w:hAnsi="Times New Roman" w:cs="Times New Roman"/>
        </w:rPr>
        <w:t>ы</w:t>
      </w:r>
      <w:r w:rsidRPr="00632B8F">
        <w:rPr>
          <w:rFonts w:ascii="Times New Roman" w:hAnsi="Times New Roman" w:cs="Times New Roman"/>
        </w:rPr>
        <w:t xml:space="preserve"> </w:t>
      </w:r>
      <w:r w:rsidR="00632B8F" w:rsidRPr="00632B8F">
        <w:rPr>
          <w:rFonts w:ascii="Times New Roman" w:hAnsi="Times New Roman" w:cs="Times New Roman"/>
        </w:rPr>
        <w:t>регистраци</w:t>
      </w:r>
      <w:r w:rsidR="000A25E6">
        <w:rPr>
          <w:rFonts w:ascii="Times New Roman" w:hAnsi="Times New Roman" w:cs="Times New Roman"/>
        </w:rPr>
        <w:t>и</w:t>
      </w:r>
      <w:r w:rsidR="00632B8F" w:rsidRPr="00632B8F">
        <w:rPr>
          <w:rFonts w:ascii="Times New Roman" w:hAnsi="Times New Roman" w:cs="Times New Roman"/>
        </w:rPr>
        <w:t xml:space="preserve"> выпуска и проспекта биржевых РДР</w:t>
      </w:r>
      <w:r w:rsidR="00632B8F">
        <w:rPr>
          <w:rFonts w:ascii="Times New Roman" w:hAnsi="Times New Roman" w:cs="Times New Roman"/>
        </w:rPr>
        <w:t xml:space="preserve">, </w:t>
      </w:r>
      <w:r w:rsidR="00632B8F" w:rsidRPr="00632B8F">
        <w:rPr>
          <w:rFonts w:ascii="Times New Roman" w:hAnsi="Times New Roman" w:cs="Times New Roman"/>
        </w:rPr>
        <w:t xml:space="preserve">регистрация изменений в решение о выпуске </w:t>
      </w:r>
      <w:r w:rsidR="00632B8F">
        <w:rPr>
          <w:rFonts w:ascii="Times New Roman" w:hAnsi="Times New Roman" w:cs="Times New Roman"/>
        </w:rPr>
        <w:t>и</w:t>
      </w:r>
      <w:r w:rsidR="00632B8F" w:rsidRPr="00632B8F">
        <w:rPr>
          <w:rFonts w:ascii="Times New Roman" w:hAnsi="Times New Roman" w:cs="Times New Roman"/>
        </w:rPr>
        <w:t xml:space="preserve"> в проспект </w:t>
      </w:r>
      <w:r w:rsidR="00632B8F">
        <w:rPr>
          <w:rFonts w:ascii="Times New Roman" w:hAnsi="Times New Roman" w:cs="Times New Roman"/>
        </w:rPr>
        <w:t xml:space="preserve">биржевых РДР </w:t>
      </w:r>
      <w:r w:rsidR="00632B8F" w:rsidRPr="00632B8F">
        <w:rPr>
          <w:rFonts w:ascii="Times New Roman" w:hAnsi="Times New Roman" w:cs="Times New Roman"/>
          <w:i/>
        </w:rPr>
        <w:t>(статьи 13.1 и 13.2 Правил)</w:t>
      </w:r>
      <w:r w:rsidR="008A69D0">
        <w:rPr>
          <w:rFonts w:ascii="Times New Roman" w:hAnsi="Times New Roman" w:cs="Times New Roman"/>
        </w:rPr>
        <w:t>.</w:t>
      </w:r>
    </w:p>
    <w:p w:rsidR="00FD75F0" w:rsidRPr="00D702FF" w:rsidRDefault="00090E4F" w:rsidP="00B975BD">
      <w:pPr>
        <w:pStyle w:val="a6"/>
        <w:numPr>
          <w:ilvl w:val="0"/>
          <w:numId w:val="6"/>
        </w:numPr>
        <w:spacing w:before="240" w:after="12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FD75F0" w:rsidRPr="00D702FF">
        <w:rPr>
          <w:rFonts w:ascii="Times New Roman" w:hAnsi="Times New Roman" w:cs="Times New Roman"/>
        </w:rPr>
        <w:t>оложения Правил скорректированы в соответствии с нормами Положения Банка России (редакция от 27.06.2019)</w:t>
      </w:r>
      <w:r w:rsidR="00FD75F0" w:rsidRPr="00D702FF">
        <w:rPr>
          <w:rFonts w:ascii="Times New Roman" w:eastAsia="Times New Roman" w:hAnsi="Times New Roman" w:cs="Times New Roman"/>
          <w:vertAlign w:val="superscript"/>
        </w:rPr>
        <w:footnoteReference w:id="3"/>
      </w:r>
      <w:r w:rsidR="00774A22">
        <w:rPr>
          <w:rFonts w:ascii="Times New Roman" w:hAnsi="Times New Roman" w:cs="Times New Roman"/>
        </w:rPr>
        <w:t xml:space="preserve">, </w:t>
      </w:r>
      <w:r w:rsidR="00774A22" w:rsidRPr="009E4338">
        <w:rPr>
          <w:rFonts w:ascii="Times New Roman" w:hAnsi="Times New Roman" w:cs="Times New Roman"/>
          <w:i/>
        </w:rPr>
        <w:t>(</w:t>
      </w:r>
      <w:r w:rsidR="00FD75F0" w:rsidRPr="009E4338">
        <w:rPr>
          <w:rFonts w:ascii="Times New Roman" w:hAnsi="Times New Roman" w:cs="Times New Roman"/>
          <w:i/>
        </w:rPr>
        <w:t>Приложение 2 к Правилам)</w:t>
      </w:r>
      <w:r w:rsidR="00774A22">
        <w:rPr>
          <w:rFonts w:ascii="Times New Roman" w:hAnsi="Times New Roman" w:cs="Times New Roman"/>
        </w:rPr>
        <w:t>, в т.ч.</w:t>
      </w:r>
      <w:r w:rsidR="00FD75F0" w:rsidRPr="00D702FF">
        <w:rPr>
          <w:rFonts w:ascii="Times New Roman" w:hAnsi="Times New Roman" w:cs="Times New Roman"/>
        </w:rPr>
        <w:t>:</w:t>
      </w:r>
    </w:p>
    <w:p w:rsidR="00774A22" w:rsidRDefault="00FD75F0" w:rsidP="00B975BD">
      <w:pPr>
        <w:pStyle w:val="a6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774A22">
        <w:rPr>
          <w:rFonts w:ascii="Times New Roman" w:hAnsi="Times New Roman" w:cs="Times New Roman"/>
        </w:rPr>
        <w:t xml:space="preserve">исключены требования </w:t>
      </w:r>
      <w:r w:rsidR="00774A22">
        <w:rPr>
          <w:rFonts w:ascii="Times New Roman" w:hAnsi="Times New Roman" w:cs="Times New Roman"/>
        </w:rPr>
        <w:t>к отсутствию убытков/финансовому результату и наличию обеспечения для выпуска облигаций;</w:t>
      </w:r>
    </w:p>
    <w:p w:rsidR="00FD75F0" w:rsidRPr="00774A22" w:rsidRDefault="00774A22" w:rsidP="00B975BD">
      <w:pPr>
        <w:pStyle w:val="a6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внесены иные корректировки согласно изменениям в Положение Банка России</w:t>
      </w:r>
      <w:r w:rsidR="009E4338">
        <w:rPr>
          <w:rFonts w:ascii="Times New Roman" w:hAnsi="Times New Roman" w:cs="Times New Roman"/>
        </w:rPr>
        <w:t>.</w:t>
      </w:r>
    </w:p>
    <w:p w:rsidR="00D702FF" w:rsidRDefault="00D702FF" w:rsidP="00B975BD">
      <w:pPr>
        <w:pStyle w:val="a6"/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2D7E71">
        <w:rPr>
          <w:rFonts w:ascii="Times New Roman" w:hAnsi="Times New Roman" w:cs="Times New Roman"/>
        </w:rPr>
        <w:lastRenderedPageBreak/>
        <w:t>Скорректированы требования для включения и поддержания ценных бумаг в Секторе Роста</w:t>
      </w:r>
      <w:r w:rsidR="0072425B" w:rsidRPr="002D7E71">
        <w:rPr>
          <w:rFonts w:ascii="Times New Roman" w:hAnsi="Times New Roman" w:cs="Times New Roman"/>
        </w:rPr>
        <w:t xml:space="preserve"> и Секторе РИИ</w:t>
      </w:r>
      <w:r w:rsidR="0065001A" w:rsidRPr="002D7E71">
        <w:rPr>
          <w:rFonts w:ascii="Times New Roman" w:hAnsi="Times New Roman" w:cs="Times New Roman"/>
        </w:rPr>
        <w:t>/Сегменте РИИ-Прайм</w:t>
      </w:r>
      <w:r w:rsidRPr="002D7E71">
        <w:rPr>
          <w:rFonts w:ascii="Times New Roman" w:hAnsi="Times New Roman" w:cs="Times New Roman"/>
        </w:rPr>
        <w:t xml:space="preserve"> </w:t>
      </w:r>
      <w:r w:rsidRPr="009E4338">
        <w:rPr>
          <w:rFonts w:ascii="Times New Roman" w:hAnsi="Times New Roman" w:cs="Times New Roman"/>
          <w:i/>
        </w:rPr>
        <w:t>(</w:t>
      </w:r>
      <w:r w:rsidR="0065001A" w:rsidRPr="009E4338">
        <w:rPr>
          <w:rFonts w:ascii="Times New Roman" w:hAnsi="Times New Roman" w:cs="Times New Roman"/>
          <w:i/>
        </w:rPr>
        <w:t>статья 15.2</w:t>
      </w:r>
      <w:r w:rsidR="002833ED" w:rsidRPr="009E4338">
        <w:rPr>
          <w:rFonts w:ascii="Times New Roman" w:hAnsi="Times New Roman" w:cs="Times New Roman"/>
          <w:i/>
        </w:rPr>
        <w:t xml:space="preserve"> Правил</w:t>
      </w:r>
      <w:r w:rsidR="0065001A" w:rsidRPr="009E4338">
        <w:rPr>
          <w:rFonts w:ascii="Times New Roman" w:hAnsi="Times New Roman" w:cs="Times New Roman"/>
          <w:i/>
        </w:rPr>
        <w:t xml:space="preserve">, </w:t>
      </w:r>
      <w:r w:rsidRPr="009E4338">
        <w:rPr>
          <w:rFonts w:ascii="Times New Roman" w:hAnsi="Times New Roman" w:cs="Times New Roman"/>
          <w:i/>
        </w:rPr>
        <w:t xml:space="preserve">п. </w:t>
      </w:r>
      <w:r w:rsidR="002833ED" w:rsidRPr="009E4338">
        <w:rPr>
          <w:rFonts w:ascii="Times New Roman" w:hAnsi="Times New Roman" w:cs="Times New Roman"/>
          <w:i/>
        </w:rPr>
        <w:t>3.1</w:t>
      </w:r>
      <w:r w:rsidR="00D63468" w:rsidRPr="009E4338">
        <w:rPr>
          <w:rFonts w:ascii="Times New Roman" w:hAnsi="Times New Roman" w:cs="Times New Roman"/>
          <w:i/>
        </w:rPr>
        <w:t xml:space="preserve"> и</w:t>
      </w:r>
      <w:r w:rsidR="002833ED" w:rsidRPr="009E4338">
        <w:rPr>
          <w:rFonts w:ascii="Times New Roman" w:hAnsi="Times New Roman" w:cs="Times New Roman"/>
          <w:i/>
        </w:rPr>
        <w:t xml:space="preserve"> п. </w:t>
      </w:r>
      <w:r w:rsidRPr="009E4338">
        <w:rPr>
          <w:rFonts w:ascii="Times New Roman" w:hAnsi="Times New Roman" w:cs="Times New Roman"/>
          <w:i/>
        </w:rPr>
        <w:t>3.4. Приложения 3 к Правилам)</w:t>
      </w:r>
      <w:r w:rsidRPr="002D7E71">
        <w:rPr>
          <w:rFonts w:ascii="Times New Roman" w:hAnsi="Times New Roman" w:cs="Times New Roman"/>
        </w:rPr>
        <w:t>:</w:t>
      </w:r>
    </w:p>
    <w:p w:rsidR="00B357CD" w:rsidRPr="000252C9" w:rsidRDefault="00B357CD" w:rsidP="00033B3F">
      <w:pPr>
        <w:spacing w:before="120" w:after="120"/>
        <w:ind w:left="426" w:firstLine="283"/>
        <w:jc w:val="both"/>
        <w:rPr>
          <w:rFonts w:cs="Times New Roman"/>
          <w:i/>
          <w:sz w:val="22"/>
          <w:szCs w:val="22"/>
          <w:u w:val="single"/>
        </w:rPr>
      </w:pPr>
      <w:r w:rsidRPr="000252C9">
        <w:rPr>
          <w:rFonts w:cs="Times New Roman"/>
          <w:i/>
          <w:sz w:val="22"/>
          <w:szCs w:val="22"/>
          <w:u w:val="single"/>
        </w:rPr>
        <w:t>для Сектора РИИ</w:t>
      </w:r>
      <w:r w:rsidRPr="000252C9">
        <w:rPr>
          <w:rFonts w:eastAsia="Calibri" w:cs="Times New Roman"/>
          <w:i/>
          <w:sz w:val="22"/>
          <w:szCs w:val="22"/>
          <w:u w:val="single"/>
        </w:rPr>
        <w:t>/Сегмент</w:t>
      </w:r>
      <w:r w:rsidR="00033B3F" w:rsidRPr="000252C9">
        <w:rPr>
          <w:rFonts w:eastAsia="Calibri" w:cs="Times New Roman"/>
          <w:i/>
          <w:sz w:val="22"/>
          <w:szCs w:val="22"/>
          <w:u w:val="single"/>
        </w:rPr>
        <w:t>а</w:t>
      </w:r>
      <w:r w:rsidRPr="000252C9">
        <w:rPr>
          <w:rFonts w:eastAsia="Calibri" w:cs="Times New Roman"/>
          <w:i/>
          <w:sz w:val="22"/>
          <w:szCs w:val="22"/>
          <w:u w:val="single"/>
        </w:rPr>
        <w:t xml:space="preserve"> РИИ-Прайм</w:t>
      </w:r>
    </w:p>
    <w:p w:rsidR="0065001A" w:rsidRPr="00A212E0" w:rsidRDefault="002D7E71" w:rsidP="00B975BD">
      <w:pPr>
        <w:pStyle w:val="a6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</w:rPr>
      </w:pPr>
      <w:r w:rsidRPr="00A212E0">
        <w:rPr>
          <w:rFonts w:ascii="Times New Roman" w:hAnsi="Times New Roman" w:cs="Times New Roman"/>
        </w:rPr>
        <w:t xml:space="preserve">в Сектор РИИ/Сегмент РИИ-Прайм не могут быть включены </w:t>
      </w:r>
      <w:r w:rsidRPr="00A212E0">
        <w:rPr>
          <w:rFonts w:ascii="Times New Roman" w:eastAsia="Times New Roman" w:hAnsi="Times New Roman" w:cs="Times New Roman"/>
        </w:rPr>
        <w:t>эмиссионные ценные бумаг</w:t>
      </w:r>
      <w:r w:rsidR="000A25E6">
        <w:rPr>
          <w:rFonts w:ascii="Times New Roman" w:eastAsia="Times New Roman" w:hAnsi="Times New Roman" w:cs="Times New Roman"/>
        </w:rPr>
        <w:t>и</w:t>
      </w:r>
      <w:r w:rsidRPr="00A212E0">
        <w:rPr>
          <w:rFonts w:ascii="Times New Roman" w:eastAsia="Times New Roman" w:hAnsi="Times New Roman" w:cs="Times New Roman"/>
        </w:rPr>
        <w:t xml:space="preserve"> эмитентов, входящих в единый реестр субъектов малого и среднего предпринимательства</w:t>
      </w:r>
      <w:r w:rsidR="00FF6A42" w:rsidRPr="00A212E0">
        <w:rPr>
          <w:rFonts w:ascii="Times New Roman" w:eastAsia="Times New Roman" w:hAnsi="Times New Roman" w:cs="Times New Roman"/>
        </w:rPr>
        <w:t>;</w:t>
      </w:r>
    </w:p>
    <w:p w:rsidR="00033B3F" w:rsidRPr="005B119E" w:rsidRDefault="00B357CD" w:rsidP="00B975BD">
      <w:pPr>
        <w:pStyle w:val="a6"/>
        <w:numPr>
          <w:ilvl w:val="0"/>
          <w:numId w:val="11"/>
        </w:numPr>
        <w:spacing w:before="120" w:after="0" w:line="240" w:lineRule="auto"/>
        <w:ind w:left="1066" w:hanging="357"/>
        <w:jc w:val="both"/>
        <w:rPr>
          <w:rFonts w:ascii="Times New Roman" w:hAnsi="Times New Roman" w:cs="Times New Roman"/>
        </w:rPr>
      </w:pPr>
      <w:r w:rsidRPr="00A212E0">
        <w:rPr>
          <w:rFonts w:ascii="Times New Roman" w:eastAsia="Times New Roman" w:hAnsi="Times New Roman" w:cs="Times New Roman"/>
        </w:rPr>
        <w:t xml:space="preserve">для включения </w:t>
      </w:r>
      <w:r w:rsidR="00EE1B82">
        <w:rPr>
          <w:rFonts w:ascii="Times New Roman" w:eastAsia="Times New Roman" w:hAnsi="Times New Roman" w:cs="Times New Roman"/>
        </w:rPr>
        <w:t xml:space="preserve">и </w:t>
      </w:r>
      <w:r w:rsidRPr="00A212E0">
        <w:rPr>
          <w:rFonts w:ascii="Times New Roman" w:eastAsia="Times New Roman" w:hAnsi="Times New Roman" w:cs="Times New Roman"/>
        </w:rPr>
        <w:t xml:space="preserve">поддержания </w:t>
      </w:r>
      <w:r w:rsidR="00033B3F" w:rsidRPr="00A212E0">
        <w:rPr>
          <w:rFonts w:ascii="Times New Roman" w:eastAsia="Times New Roman" w:hAnsi="Times New Roman" w:cs="Times New Roman"/>
        </w:rPr>
        <w:t>облигаций</w:t>
      </w:r>
      <w:r w:rsidR="000A25E6">
        <w:rPr>
          <w:rFonts w:ascii="Times New Roman" w:eastAsia="Times New Roman" w:hAnsi="Times New Roman" w:cs="Times New Roman"/>
        </w:rPr>
        <w:t xml:space="preserve"> в </w:t>
      </w:r>
      <w:r w:rsidR="000A25E6" w:rsidRPr="002D7E71">
        <w:rPr>
          <w:rFonts w:ascii="Times New Roman" w:hAnsi="Times New Roman" w:cs="Times New Roman"/>
        </w:rPr>
        <w:t>Секторе РИИ</w:t>
      </w:r>
      <w:r w:rsidR="00033B3F" w:rsidRPr="00A212E0">
        <w:rPr>
          <w:rFonts w:ascii="Times New Roman" w:eastAsia="Times New Roman" w:hAnsi="Times New Roman" w:cs="Times New Roman"/>
        </w:rPr>
        <w:t xml:space="preserve"> </w:t>
      </w:r>
      <w:r w:rsidR="002833ED" w:rsidRPr="00A212E0">
        <w:rPr>
          <w:rFonts w:ascii="Times New Roman" w:eastAsia="Times New Roman" w:hAnsi="Times New Roman" w:cs="Times New Roman"/>
        </w:rPr>
        <w:t xml:space="preserve">требование </w:t>
      </w:r>
      <w:r w:rsidR="009E4338">
        <w:rPr>
          <w:rFonts w:ascii="Times New Roman" w:eastAsia="Times New Roman" w:hAnsi="Times New Roman" w:cs="Times New Roman"/>
        </w:rPr>
        <w:t xml:space="preserve">по </w:t>
      </w:r>
      <w:r w:rsidRPr="00A212E0">
        <w:rPr>
          <w:rFonts w:ascii="Times New Roman" w:eastAsia="Times New Roman" w:hAnsi="Times New Roman" w:cs="Times New Roman"/>
        </w:rPr>
        <w:t>наличи</w:t>
      </w:r>
      <w:r w:rsidR="009E4338">
        <w:rPr>
          <w:rFonts w:ascii="Times New Roman" w:eastAsia="Times New Roman" w:hAnsi="Times New Roman" w:cs="Times New Roman"/>
        </w:rPr>
        <w:t>ю</w:t>
      </w:r>
      <w:r w:rsidRPr="00A212E0">
        <w:rPr>
          <w:rFonts w:ascii="Times New Roman" w:eastAsia="Times New Roman" w:hAnsi="Times New Roman" w:cs="Times New Roman"/>
        </w:rPr>
        <w:t xml:space="preserve"> кредитного рейтинга одного из рейтинговых агентств </w:t>
      </w:r>
      <w:r w:rsidR="002833ED" w:rsidRPr="00A212E0">
        <w:rPr>
          <w:rFonts w:ascii="Times New Roman" w:eastAsia="Times New Roman" w:hAnsi="Times New Roman" w:cs="Times New Roman"/>
        </w:rPr>
        <w:t xml:space="preserve">применяется </w:t>
      </w:r>
      <w:r w:rsidR="00033B3F" w:rsidRPr="00A212E0">
        <w:rPr>
          <w:rFonts w:ascii="Times New Roman" w:eastAsia="Times New Roman" w:hAnsi="Times New Roman" w:cs="Times New Roman"/>
        </w:rPr>
        <w:t>без учета уровня присвоенного рейтинга</w:t>
      </w:r>
      <w:r w:rsidR="009E4338">
        <w:rPr>
          <w:rFonts w:ascii="Times New Roman" w:eastAsia="Times New Roman" w:hAnsi="Times New Roman" w:cs="Times New Roman"/>
        </w:rPr>
        <w:t>, перечень рейтинговых агентств устанавливается Биржей</w:t>
      </w:r>
      <w:r w:rsidR="00033B3F" w:rsidRPr="00A212E0">
        <w:rPr>
          <w:rFonts w:ascii="Times New Roman" w:eastAsia="Times New Roman" w:hAnsi="Times New Roman" w:cs="Times New Roman"/>
        </w:rPr>
        <w:t>;</w:t>
      </w:r>
    </w:p>
    <w:p w:rsidR="005B119E" w:rsidRPr="00A212E0" w:rsidRDefault="005B119E" w:rsidP="00B975BD">
      <w:pPr>
        <w:pStyle w:val="a6"/>
        <w:numPr>
          <w:ilvl w:val="0"/>
          <w:numId w:val="11"/>
        </w:numPr>
        <w:spacing w:before="120" w:after="0" w:line="240" w:lineRule="auto"/>
        <w:ind w:left="1066" w:hanging="3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Pr="009428DE">
        <w:rPr>
          <w:rFonts w:ascii="Times New Roman" w:eastAsia="Times New Roman" w:hAnsi="Times New Roman" w:cs="Times New Roman"/>
        </w:rPr>
        <w:t>бъем выпуска облигаций</w:t>
      </w:r>
      <w:r w:rsidR="000A25E6">
        <w:rPr>
          <w:rFonts w:ascii="Times New Roman" w:eastAsia="Times New Roman" w:hAnsi="Times New Roman" w:cs="Times New Roman"/>
        </w:rPr>
        <w:t xml:space="preserve"> в </w:t>
      </w:r>
      <w:r w:rsidR="000A25E6" w:rsidRPr="002D7E71">
        <w:rPr>
          <w:rFonts w:ascii="Times New Roman" w:hAnsi="Times New Roman" w:cs="Times New Roman"/>
        </w:rPr>
        <w:t>Секторе РИИ</w:t>
      </w:r>
      <w:r w:rsidRPr="009428DE">
        <w:rPr>
          <w:rFonts w:ascii="Times New Roman" w:eastAsia="Times New Roman" w:hAnsi="Times New Roman" w:cs="Times New Roman"/>
        </w:rPr>
        <w:t>, включая биржевые облигации, должен составлять не менее 500 млн.</w:t>
      </w:r>
      <w:r>
        <w:rPr>
          <w:rFonts w:ascii="Times New Roman" w:eastAsia="Times New Roman" w:hAnsi="Times New Roman" w:cs="Times New Roman"/>
        </w:rPr>
        <w:t>;</w:t>
      </w:r>
    </w:p>
    <w:p w:rsidR="00FF6A42" w:rsidRPr="000252C9" w:rsidRDefault="00A212E0" w:rsidP="00A212E0">
      <w:pPr>
        <w:pStyle w:val="a6"/>
        <w:spacing w:before="120" w:line="240" w:lineRule="auto"/>
        <w:ind w:left="1134" w:hanging="425"/>
        <w:jc w:val="both"/>
        <w:rPr>
          <w:rFonts w:ascii="Times New Roman" w:hAnsi="Times New Roman" w:cs="Times New Roman"/>
          <w:i/>
          <w:u w:val="single"/>
        </w:rPr>
      </w:pPr>
      <w:r w:rsidRPr="000252C9">
        <w:rPr>
          <w:rFonts w:ascii="Times New Roman" w:eastAsia="Times New Roman" w:hAnsi="Times New Roman" w:cs="Times New Roman"/>
          <w:i/>
          <w:u w:val="single"/>
        </w:rPr>
        <w:t xml:space="preserve">для </w:t>
      </w:r>
      <w:r w:rsidRPr="000252C9">
        <w:rPr>
          <w:rFonts w:ascii="Times New Roman" w:hAnsi="Times New Roman" w:cs="Times New Roman"/>
          <w:i/>
          <w:u w:val="single"/>
        </w:rPr>
        <w:t>Сектор</w:t>
      </w:r>
      <w:r w:rsidR="002F2130" w:rsidRPr="000252C9">
        <w:rPr>
          <w:rFonts w:ascii="Times New Roman" w:hAnsi="Times New Roman" w:cs="Times New Roman"/>
          <w:i/>
          <w:u w:val="single"/>
        </w:rPr>
        <w:t>а</w:t>
      </w:r>
      <w:r w:rsidRPr="000252C9">
        <w:rPr>
          <w:rFonts w:ascii="Times New Roman" w:hAnsi="Times New Roman" w:cs="Times New Roman"/>
          <w:i/>
          <w:u w:val="single"/>
        </w:rPr>
        <w:t xml:space="preserve"> Роста</w:t>
      </w:r>
    </w:p>
    <w:p w:rsidR="00D702FF" w:rsidRDefault="00D702FF" w:rsidP="00B975BD">
      <w:pPr>
        <w:pStyle w:val="a6"/>
        <w:numPr>
          <w:ilvl w:val="0"/>
          <w:numId w:val="7"/>
        </w:numPr>
        <w:spacing w:after="0" w:line="240" w:lineRule="auto"/>
        <w:ind w:left="1145" w:hanging="357"/>
        <w:jc w:val="both"/>
        <w:rPr>
          <w:rFonts w:ascii="Times New Roman" w:hAnsi="Times New Roman" w:cs="Times New Roman"/>
        </w:rPr>
      </w:pPr>
      <w:r w:rsidRPr="00D702FF">
        <w:rPr>
          <w:rFonts w:ascii="Times New Roman" w:hAnsi="Times New Roman" w:cs="Times New Roman"/>
        </w:rPr>
        <w:t xml:space="preserve">для облигаций </w:t>
      </w:r>
      <w:r w:rsidR="00A212E0">
        <w:rPr>
          <w:rFonts w:ascii="Times New Roman" w:hAnsi="Times New Roman" w:cs="Times New Roman"/>
        </w:rPr>
        <w:t xml:space="preserve">отменено </w:t>
      </w:r>
      <w:r w:rsidRPr="00D702FF">
        <w:rPr>
          <w:rFonts w:ascii="Times New Roman" w:hAnsi="Times New Roman" w:cs="Times New Roman"/>
        </w:rPr>
        <w:t>требование к объему выпуска - не менее 30 млн. руб. при наличии гарантии/поручительства от одного из институтов развития;</w:t>
      </w:r>
    </w:p>
    <w:p w:rsidR="004E115C" w:rsidRPr="004E115C" w:rsidRDefault="00A212E0" w:rsidP="00B975BD">
      <w:pPr>
        <w:pStyle w:val="a6"/>
        <w:numPr>
          <w:ilvl w:val="0"/>
          <w:numId w:val="7"/>
        </w:numPr>
        <w:spacing w:after="0" w:line="240" w:lineRule="auto"/>
        <w:ind w:left="1145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облигаций вводится требование </w:t>
      </w:r>
      <w:r w:rsidR="00EE1B82" w:rsidRPr="00A212E0">
        <w:rPr>
          <w:rFonts w:ascii="Times New Roman" w:eastAsia="Times New Roman" w:hAnsi="Times New Roman" w:cs="Times New Roman"/>
        </w:rPr>
        <w:t xml:space="preserve">для включения </w:t>
      </w:r>
      <w:r w:rsidR="00EE1B82">
        <w:rPr>
          <w:rFonts w:ascii="Times New Roman" w:eastAsia="Times New Roman" w:hAnsi="Times New Roman" w:cs="Times New Roman"/>
        </w:rPr>
        <w:t xml:space="preserve">и </w:t>
      </w:r>
      <w:r w:rsidR="00EE1B82" w:rsidRPr="00A212E0">
        <w:rPr>
          <w:rFonts w:ascii="Times New Roman" w:eastAsia="Times New Roman" w:hAnsi="Times New Roman" w:cs="Times New Roman"/>
        </w:rPr>
        <w:t>поддержания</w:t>
      </w:r>
      <w:r w:rsidR="000258FF">
        <w:rPr>
          <w:rFonts w:ascii="Times New Roman" w:eastAsia="Times New Roman" w:hAnsi="Times New Roman" w:cs="Times New Roman"/>
        </w:rPr>
        <w:t>:</w:t>
      </w:r>
      <w:r w:rsidR="00EE1B82" w:rsidRPr="00A212E0">
        <w:rPr>
          <w:rFonts w:ascii="Times New Roman" w:eastAsia="Times New Roman" w:hAnsi="Times New Roman" w:cs="Times New Roman"/>
        </w:rPr>
        <w:t xml:space="preserve"> </w:t>
      </w:r>
      <w:r w:rsidR="000258FF">
        <w:rPr>
          <w:rFonts w:ascii="Times New Roman" w:eastAsia="Times New Roman" w:hAnsi="Times New Roman" w:cs="Times New Roman"/>
        </w:rPr>
        <w:t>наличие</w:t>
      </w:r>
      <w:r w:rsidR="009E4338">
        <w:rPr>
          <w:rFonts w:ascii="Times New Roman" w:eastAsia="Times New Roman" w:hAnsi="Times New Roman" w:cs="Times New Roman"/>
        </w:rPr>
        <w:t xml:space="preserve"> </w:t>
      </w:r>
      <w:r w:rsidR="00EE1B82" w:rsidRPr="00A212E0">
        <w:rPr>
          <w:rFonts w:ascii="Times New Roman" w:eastAsia="Times New Roman" w:hAnsi="Times New Roman" w:cs="Times New Roman"/>
        </w:rPr>
        <w:t>кредитного рейтинга одного из рейтинговых агентств</w:t>
      </w:r>
      <w:r w:rsidR="009E4338">
        <w:rPr>
          <w:rFonts w:ascii="Times New Roman" w:eastAsia="Times New Roman" w:hAnsi="Times New Roman" w:cs="Times New Roman"/>
        </w:rPr>
        <w:t>,</w:t>
      </w:r>
      <w:r w:rsidR="00EE1B82" w:rsidRPr="00A212E0">
        <w:rPr>
          <w:rFonts w:ascii="Times New Roman" w:eastAsia="Times New Roman" w:hAnsi="Times New Roman" w:cs="Times New Roman"/>
        </w:rPr>
        <w:t xml:space="preserve"> применяе</w:t>
      </w:r>
      <w:r w:rsidR="004E115C">
        <w:rPr>
          <w:rFonts w:ascii="Times New Roman" w:eastAsia="Times New Roman" w:hAnsi="Times New Roman" w:cs="Times New Roman"/>
        </w:rPr>
        <w:t>мого</w:t>
      </w:r>
      <w:r w:rsidR="00EE1B82" w:rsidRPr="00A212E0">
        <w:rPr>
          <w:rFonts w:ascii="Times New Roman" w:eastAsia="Times New Roman" w:hAnsi="Times New Roman" w:cs="Times New Roman"/>
        </w:rPr>
        <w:t xml:space="preserve"> без учета уровня присвоенного рейтинга</w:t>
      </w:r>
      <w:r w:rsidR="004E115C">
        <w:rPr>
          <w:rFonts w:ascii="Times New Roman" w:eastAsia="Times New Roman" w:hAnsi="Times New Roman" w:cs="Times New Roman"/>
        </w:rPr>
        <w:t>.</w:t>
      </w:r>
      <w:r w:rsidR="009E4338">
        <w:rPr>
          <w:rFonts w:ascii="Times New Roman" w:eastAsia="Times New Roman" w:hAnsi="Times New Roman" w:cs="Times New Roman"/>
        </w:rPr>
        <w:t xml:space="preserve"> Перечень рейтинговых агентств устанавливается Биржей.</w:t>
      </w:r>
    </w:p>
    <w:p w:rsidR="00A212E0" w:rsidRPr="004E115C" w:rsidRDefault="004E115C" w:rsidP="004E115C">
      <w:pPr>
        <w:ind w:left="788"/>
        <w:jc w:val="both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Указанное т</w:t>
      </w:r>
      <w:r w:rsidRPr="004E115C">
        <w:rPr>
          <w:rFonts w:eastAsia="Calibri" w:cs="Times New Roman"/>
          <w:sz w:val="22"/>
          <w:szCs w:val="22"/>
        </w:rPr>
        <w:t xml:space="preserve">ребование о наличии кредитного рейтинга в качестве основания исключения не применяется в отношении облигаций, включенных в Сектор </w:t>
      </w:r>
      <w:r w:rsidR="000258FF">
        <w:rPr>
          <w:rFonts w:eastAsia="Calibri" w:cs="Times New Roman"/>
          <w:sz w:val="22"/>
          <w:szCs w:val="22"/>
        </w:rPr>
        <w:t xml:space="preserve">Роста </w:t>
      </w:r>
      <w:r w:rsidRPr="004E115C">
        <w:rPr>
          <w:rFonts w:eastAsia="Calibri" w:cs="Times New Roman"/>
          <w:sz w:val="22"/>
          <w:szCs w:val="22"/>
        </w:rPr>
        <w:t xml:space="preserve">до вступления в силу </w:t>
      </w:r>
      <w:r>
        <w:rPr>
          <w:rFonts w:eastAsia="Calibri" w:cs="Times New Roman"/>
          <w:sz w:val="22"/>
          <w:szCs w:val="22"/>
        </w:rPr>
        <w:t>новой редакции</w:t>
      </w:r>
      <w:r w:rsidRPr="004E115C">
        <w:rPr>
          <w:rFonts w:eastAsia="Calibri" w:cs="Times New Roman"/>
          <w:sz w:val="22"/>
          <w:szCs w:val="22"/>
        </w:rPr>
        <w:t xml:space="preserve"> Правил;</w:t>
      </w:r>
    </w:p>
    <w:p w:rsidR="00AF3694" w:rsidRDefault="00AF3694" w:rsidP="00B975BD">
      <w:pPr>
        <w:pStyle w:val="a6"/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2D7E71">
        <w:rPr>
          <w:rFonts w:ascii="Times New Roman" w:hAnsi="Times New Roman" w:cs="Times New Roman"/>
        </w:rPr>
        <w:t>Скорректирован</w:t>
      </w:r>
      <w:r w:rsidR="00090E4F">
        <w:rPr>
          <w:rFonts w:ascii="Times New Roman" w:hAnsi="Times New Roman" w:cs="Times New Roman"/>
        </w:rPr>
        <w:t xml:space="preserve"> </w:t>
      </w:r>
      <w:r w:rsidR="00090E4F" w:rsidRPr="009428DE">
        <w:rPr>
          <w:rFonts w:ascii="Times New Roman" w:eastAsia="Times New Roman" w:hAnsi="Times New Roman" w:cs="Times New Roman"/>
        </w:rPr>
        <w:t xml:space="preserve">расчет дневного медианного объема сделок </w:t>
      </w:r>
      <w:r w:rsidR="00090E4F">
        <w:rPr>
          <w:rFonts w:ascii="Times New Roman" w:eastAsia="Times New Roman" w:hAnsi="Times New Roman" w:cs="Times New Roman"/>
        </w:rPr>
        <w:t>с акциями, включенными в Первый или Второй уровень</w:t>
      </w:r>
      <w:r w:rsidR="000258FF">
        <w:rPr>
          <w:rFonts w:ascii="Times New Roman" w:eastAsia="Times New Roman" w:hAnsi="Times New Roman" w:cs="Times New Roman"/>
        </w:rPr>
        <w:t>:</w:t>
      </w:r>
      <w:r w:rsidR="00090E4F">
        <w:rPr>
          <w:rFonts w:ascii="Times New Roman" w:eastAsia="Times New Roman" w:hAnsi="Times New Roman" w:cs="Times New Roman"/>
        </w:rPr>
        <w:t xml:space="preserve"> д</w:t>
      </w:r>
      <w:r w:rsidR="00090E4F" w:rsidRPr="00090E4F">
        <w:rPr>
          <w:rFonts w:ascii="Times New Roman" w:eastAsia="Times New Roman" w:hAnsi="Times New Roman" w:cs="Times New Roman"/>
        </w:rPr>
        <w:t>ни, в которые была приостановка торгов в течение всей основной торговой сессии, не учитываются при расчете дневного медианного объема и не входят в учет торговых дней квартала</w:t>
      </w:r>
      <w:r>
        <w:rPr>
          <w:rFonts w:ascii="Times New Roman" w:hAnsi="Times New Roman" w:cs="Times New Roman"/>
        </w:rPr>
        <w:t xml:space="preserve"> </w:t>
      </w:r>
      <w:r w:rsidRPr="00AF3694">
        <w:rPr>
          <w:rFonts w:ascii="Times New Roman" w:hAnsi="Times New Roman" w:cs="Times New Roman"/>
          <w:i/>
        </w:rPr>
        <w:t>(</w:t>
      </w:r>
      <w:r w:rsidR="00090E4F">
        <w:rPr>
          <w:rFonts w:ascii="Times New Roman" w:hAnsi="Times New Roman" w:cs="Times New Roman"/>
          <w:i/>
        </w:rPr>
        <w:t xml:space="preserve">п. 2.1.1 </w:t>
      </w:r>
      <w:r w:rsidRPr="00AF3694">
        <w:rPr>
          <w:rFonts w:ascii="Times New Roman" w:hAnsi="Times New Roman" w:cs="Times New Roman"/>
          <w:i/>
        </w:rPr>
        <w:t>Приложение 2 к Правилам)</w:t>
      </w:r>
      <w:r w:rsidRPr="002D7E71">
        <w:rPr>
          <w:rFonts w:ascii="Times New Roman" w:hAnsi="Times New Roman" w:cs="Times New Roman"/>
        </w:rPr>
        <w:t>:</w:t>
      </w:r>
    </w:p>
    <w:p w:rsidR="00D702FF" w:rsidRPr="005B6CC4" w:rsidRDefault="005B6CC4" w:rsidP="00B975BD">
      <w:pPr>
        <w:pStyle w:val="a6"/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B6CC4">
        <w:rPr>
          <w:rFonts w:ascii="Times New Roman" w:hAnsi="Times New Roman" w:cs="Times New Roman"/>
        </w:rPr>
        <w:t>Предусмотрено основание исключени</w:t>
      </w:r>
      <w:r w:rsidR="000258FF">
        <w:rPr>
          <w:rFonts w:ascii="Times New Roman" w:hAnsi="Times New Roman" w:cs="Times New Roman"/>
        </w:rPr>
        <w:t>я</w:t>
      </w:r>
      <w:r w:rsidRPr="005B6CC4">
        <w:rPr>
          <w:rFonts w:ascii="Times New Roman" w:hAnsi="Times New Roman" w:cs="Times New Roman"/>
        </w:rPr>
        <w:t xml:space="preserve"> ценных бумаг из Первого или Второго уровня</w:t>
      </w:r>
      <w:r w:rsidR="000258FF">
        <w:rPr>
          <w:rFonts w:ascii="Times New Roman" w:hAnsi="Times New Roman" w:cs="Times New Roman"/>
        </w:rPr>
        <w:t>:</w:t>
      </w:r>
      <w:r w:rsidRPr="005B6CC4">
        <w:rPr>
          <w:rFonts w:ascii="Times New Roman" w:hAnsi="Times New Roman" w:cs="Times New Roman"/>
        </w:rPr>
        <w:t xml:space="preserve"> </w:t>
      </w:r>
      <w:r w:rsidR="001046CC" w:rsidRPr="009428DE">
        <w:rPr>
          <w:rFonts w:ascii="Times New Roman" w:eastAsia="Times New Roman" w:hAnsi="Times New Roman" w:cs="Times New Roman"/>
        </w:rPr>
        <w:t>соответствие ценных бумаг/Организации критериям для включения ценных бумаг в Сектор компаний повышенного инвестиционного риска</w:t>
      </w:r>
      <w:r w:rsidR="001046CC" w:rsidRPr="001046CC">
        <w:rPr>
          <w:rFonts w:ascii="Times New Roman" w:hAnsi="Times New Roman" w:cs="Times New Roman"/>
          <w:i/>
        </w:rPr>
        <w:t xml:space="preserve"> (статья </w:t>
      </w:r>
      <w:r w:rsidR="001046CC">
        <w:rPr>
          <w:rFonts w:ascii="Times New Roman" w:hAnsi="Times New Roman" w:cs="Times New Roman"/>
          <w:i/>
        </w:rPr>
        <w:t>22</w:t>
      </w:r>
      <w:r w:rsidR="001046CC" w:rsidRPr="001046CC">
        <w:rPr>
          <w:rFonts w:ascii="Times New Roman" w:hAnsi="Times New Roman" w:cs="Times New Roman"/>
          <w:i/>
        </w:rPr>
        <w:t xml:space="preserve"> Правил)</w:t>
      </w:r>
      <w:r w:rsidR="001046CC">
        <w:rPr>
          <w:rFonts w:ascii="Times New Roman" w:hAnsi="Times New Roman" w:cs="Times New Roman"/>
          <w:i/>
        </w:rPr>
        <w:t>.</w:t>
      </w:r>
    </w:p>
    <w:p w:rsidR="005B6CC4" w:rsidRPr="005B6CC4" w:rsidRDefault="005B6CC4" w:rsidP="00B975BD">
      <w:pPr>
        <w:pStyle w:val="a6"/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B6CC4">
        <w:rPr>
          <w:rFonts w:ascii="Times New Roman" w:hAnsi="Times New Roman" w:cs="Times New Roman"/>
        </w:rPr>
        <w:t xml:space="preserve">Добавлены обязательства </w:t>
      </w:r>
      <w:r w:rsidR="0066593C">
        <w:rPr>
          <w:rFonts w:ascii="Times New Roman" w:hAnsi="Times New Roman" w:cs="Times New Roman"/>
        </w:rPr>
        <w:t>Организаций</w:t>
      </w:r>
      <w:r w:rsidRPr="005B6CC4">
        <w:rPr>
          <w:rFonts w:ascii="Times New Roman" w:hAnsi="Times New Roman" w:cs="Times New Roman"/>
        </w:rPr>
        <w:t xml:space="preserve"> по представлению </w:t>
      </w:r>
      <w:r w:rsidR="0066593C" w:rsidRPr="005B6CC4">
        <w:rPr>
          <w:rFonts w:ascii="Times New Roman" w:hAnsi="Times New Roman" w:cs="Times New Roman"/>
        </w:rPr>
        <w:t xml:space="preserve">Бирже </w:t>
      </w:r>
      <w:r w:rsidRPr="005B6CC4">
        <w:rPr>
          <w:rFonts w:ascii="Times New Roman" w:hAnsi="Times New Roman" w:cs="Times New Roman"/>
        </w:rPr>
        <w:t xml:space="preserve">информации </w:t>
      </w:r>
      <w:r w:rsidRPr="001046CC">
        <w:rPr>
          <w:rFonts w:ascii="Times New Roman" w:hAnsi="Times New Roman" w:cs="Times New Roman"/>
          <w:i/>
        </w:rPr>
        <w:t>(статья 17 Правил)</w:t>
      </w:r>
      <w:r w:rsidRPr="005B6CC4">
        <w:rPr>
          <w:rFonts w:ascii="Times New Roman" w:hAnsi="Times New Roman" w:cs="Times New Roman"/>
        </w:rPr>
        <w:t>:</w:t>
      </w:r>
    </w:p>
    <w:p w:rsidR="005B6CC4" w:rsidRPr="005B6CC4" w:rsidRDefault="005B6CC4" w:rsidP="00B975BD">
      <w:pPr>
        <w:pStyle w:val="a6"/>
        <w:numPr>
          <w:ilvl w:val="0"/>
          <w:numId w:val="7"/>
        </w:numPr>
        <w:spacing w:after="0" w:line="240" w:lineRule="auto"/>
        <w:ind w:left="1145" w:hanging="357"/>
        <w:jc w:val="both"/>
        <w:rPr>
          <w:rFonts w:ascii="Times New Roman" w:eastAsia="Times New Roman" w:hAnsi="Times New Roman" w:cs="Times New Roman"/>
        </w:rPr>
      </w:pPr>
      <w:r w:rsidRPr="005B6CC4">
        <w:rPr>
          <w:rFonts w:ascii="Times New Roman" w:eastAsia="Times New Roman" w:hAnsi="Times New Roman" w:cs="Times New Roman"/>
        </w:rPr>
        <w:t xml:space="preserve">о ценных бумагах иностранных эмитентов в объеме, в котором такая информация раскрывается в соответствии с иностранным правом и личным законом иностранной биржи, на которой ценные бумаги прошли процедуру листинга </w:t>
      </w:r>
      <w:r w:rsidR="000258FF">
        <w:rPr>
          <w:rFonts w:ascii="Times New Roman" w:eastAsia="Times New Roman" w:hAnsi="Times New Roman" w:cs="Times New Roman"/>
        </w:rPr>
        <w:t>(</w:t>
      </w:r>
      <w:r w:rsidR="008A4A99">
        <w:rPr>
          <w:rFonts w:ascii="Times New Roman" w:eastAsia="Times New Roman" w:hAnsi="Times New Roman" w:cs="Times New Roman"/>
        </w:rPr>
        <w:t xml:space="preserve">представляется </w:t>
      </w:r>
      <w:r w:rsidRPr="005B6CC4">
        <w:rPr>
          <w:rFonts w:ascii="Times New Roman" w:eastAsia="Times New Roman" w:hAnsi="Times New Roman" w:cs="Times New Roman"/>
        </w:rPr>
        <w:t>в полном объеме по запросу Биржи на языке раскрытия</w:t>
      </w:r>
      <w:r w:rsidR="000258FF">
        <w:rPr>
          <w:rFonts w:ascii="Times New Roman" w:eastAsia="Times New Roman" w:hAnsi="Times New Roman" w:cs="Times New Roman"/>
        </w:rPr>
        <w:t>)</w:t>
      </w:r>
      <w:r w:rsidRPr="005B6CC4">
        <w:rPr>
          <w:rFonts w:ascii="Times New Roman" w:eastAsia="Times New Roman" w:hAnsi="Times New Roman" w:cs="Times New Roman"/>
        </w:rPr>
        <w:t>. В случае</w:t>
      </w:r>
      <w:r w:rsidR="000258FF">
        <w:rPr>
          <w:rFonts w:ascii="Times New Roman" w:eastAsia="Times New Roman" w:hAnsi="Times New Roman" w:cs="Times New Roman"/>
        </w:rPr>
        <w:t>,</w:t>
      </w:r>
      <w:r w:rsidRPr="005B6CC4">
        <w:rPr>
          <w:rFonts w:ascii="Times New Roman" w:eastAsia="Times New Roman" w:hAnsi="Times New Roman" w:cs="Times New Roman"/>
        </w:rPr>
        <w:t xml:space="preserve"> если информация раскрывается на языке, отличном от русского или английского, она представляется на Биржу на русском или английском языке</w:t>
      </w:r>
      <w:r>
        <w:rPr>
          <w:rFonts w:ascii="Times New Roman" w:eastAsia="Times New Roman" w:hAnsi="Times New Roman" w:cs="Times New Roman"/>
        </w:rPr>
        <w:t>;</w:t>
      </w:r>
    </w:p>
    <w:p w:rsidR="005B6CC4" w:rsidRPr="005B6CC4" w:rsidRDefault="005B6CC4" w:rsidP="00B975BD">
      <w:pPr>
        <w:pStyle w:val="a6"/>
        <w:numPr>
          <w:ilvl w:val="0"/>
          <w:numId w:val="7"/>
        </w:numPr>
        <w:spacing w:after="0" w:line="240" w:lineRule="auto"/>
        <w:ind w:left="1145" w:hanging="357"/>
        <w:jc w:val="both"/>
        <w:rPr>
          <w:rFonts w:ascii="Times New Roman" w:hAnsi="Times New Roman" w:cs="Times New Roman"/>
        </w:rPr>
      </w:pPr>
      <w:r w:rsidRPr="009428DE">
        <w:rPr>
          <w:rFonts w:ascii="Times New Roman" w:eastAsia="Times New Roman" w:hAnsi="Times New Roman" w:cs="Times New Roman"/>
        </w:rPr>
        <w:t>о состоявшейся реорганизации эмитента облигаций и его замене на правопреемника – не позднее 30 дней после завершения реорганизации эмитента облигаций (представляется правопреемником эмитента) в виде уведомления, составленного в соответствии с требованиями нормативного акта Банка России</w:t>
      </w:r>
      <w:r>
        <w:rPr>
          <w:rFonts w:ascii="Times New Roman" w:eastAsia="Times New Roman" w:hAnsi="Times New Roman" w:cs="Times New Roman"/>
        </w:rPr>
        <w:t>;</w:t>
      </w:r>
    </w:p>
    <w:p w:rsidR="005B6CC4" w:rsidRPr="00911175" w:rsidRDefault="005B6CC4" w:rsidP="00B975BD">
      <w:pPr>
        <w:pStyle w:val="a6"/>
        <w:numPr>
          <w:ilvl w:val="0"/>
          <w:numId w:val="7"/>
        </w:numPr>
        <w:spacing w:after="0" w:line="240" w:lineRule="auto"/>
        <w:ind w:left="1145" w:hanging="357"/>
        <w:jc w:val="both"/>
        <w:rPr>
          <w:rFonts w:ascii="Times New Roman" w:eastAsia="Times New Roman" w:hAnsi="Times New Roman" w:cs="Times New Roman"/>
        </w:rPr>
      </w:pPr>
      <w:r w:rsidRPr="005B6CC4">
        <w:rPr>
          <w:rFonts w:ascii="Times New Roman" w:eastAsia="Times New Roman" w:hAnsi="Times New Roman" w:cs="Times New Roman"/>
        </w:rPr>
        <w:t>о включении в единый реестр субъектов малого и среднего предпринимательства - не позднее 5 дней с момента наступления такого события;</w:t>
      </w:r>
    </w:p>
    <w:p w:rsidR="005B6CC4" w:rsidRPr="001046CC" w:rsidRDefault="005B6CC4" w:rsidP="00B975BD">
      <w:pPr>
        <w:pStyle w:val="a6"/>
        <w:numPr>
          <w:ilvl w:val="0"/>
          <w:numId w:val="7"/>
        </w:numPr>
        <w:spacing w:after="0" w:line="240" w:lineRule="auto"/>
        <w:ind w:left="1145" w:hanging="357"/>
        <w:jc w:val="both"/>
        <w:rPr>
          <w:rFonts w:ascii="Times New Roman" w:hAnsi="Times New Roman" w:cs="Times New Roman"/>
        </w:rPr>
      </w:pPr>
      <w:r w:rsidRPr="001046CC">
        <w:rPr>
          <w:rFonts w:ascii="Times New Roman" w:eastAsia="Times New Roman" w:hAnsi="Times New Roman" w:cs="Times New Roman"/>
        </w:rPr>
        <w:t>о полной выплате номинальной стоимости и погашении облигаций специализированным обществом или ипотечным агентом – не позднее, чем за 3 торговых дня до наступления даты выплаты номинальной стоимости (даты составления списка владельцев облигаций для выплаты номинальной стоимости)</w:t>
      </w:r>
      <w:r w:rsidR="001046CC" w:rsidRPr="001046CC">
        <w:rPr>
          <w:rFonts w:ascii="Times New Roman" w:eastAsia="Times New Roman" w:hAnsi="Times New Roman" w:cs="Times New Roman"/>
        </w:rPr>
        <w:t>.</w:t>
      </w:r>
    </w:p>
    <w:p w:rsidR="007F4F9D" w:rsidRPr="00AB5F89" w:rsidRDefault="00F53D0A" w:rsidP="00B975BD">
      <w:pPr>
        <w:pStyle w:val="a6"/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AB5F89">
        <w:rPr>
          <w:rFonts w:ascii="Times New Roman" w:hAnsi="Times New Roman" w:cs="Times New Roman"/>
        </w:rPr>
        <w:t>По тексту Правил внесены изменения, уточняющие проведение установленных процедур листинга и имеющие редакционный характер</w:t>
      </w:r>
      <w:r w:rsidR="007F4F9D" w:rsidRPr="00AB5F89">
        <w:rPr>
          <w:rFonts w:ascii="Times New Roman" w:hAnsi="Times New Roman" w:cs="Times New Roman"/>
        </w:rPr>
        <w:t>.</w:t>
      </w:r>
    </w:p>
    <w:sectPr w:rsidR="007F4F9D" w:rsidRPr="00AB5F89" w:rsidSect="009C1688">
      <w:footerReference w:type="default" r:id="rId8"/>
      <w:pgSz w:w="11900" w:h="16840"/>
      <w:pgMar w:top="737" w:right="851" w:bottom="284" w:left="851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BB7" w:rsidRDefault="00F27BB7">
      <w:r>
        <w:separator/>
      </w:r>
    </w:p>
  </w:endnote>
  <w:endnote w:type="continuationSeparator" w:id="0">
    <w:p w:rsidR="00F27BB7" w:rsidRDefault="00F2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CC7" w:rsidRDefault="002572AA">
    <w:pPr>
      <w:pStyle w:val="a5"/>
      <w:jc w:val="center"/>
    </w:pPr>
    <w:r>
      <w:fldChar w:fldCharType="begin"/>
    </w:r>
    <w:r w:rsidR="00F53D0A">
      <w:instrText xml:space="preserve"> PAGE </w:instrText>
    </w:r>
    <w:r>
      <w:fldChar w:fldCharType="separate"/>
    </w:r>
    <w:r w:rsidR="000252C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BB7" w:rsidRDefault="00F27BB7">
      <w:r>
        <w:separator/>
      </w:r>
    </w:p>
  </w:footnote>
  <w:footnote w:type="continuationSeparator" w:id="0">
    <w:p w:rsidR="00F27BB7" w:rsidRDefault="00F27BB7">
      <w:r>
        <w:continuationSeparator/>
      </w:r>
    </w:p>
  </w:footnote>
  <w:footnote w:type="continuationNotice" w:id="1">
    <w:p w:rsidR="00F27BB7" w:rsidRDefault="00F27BB7"/>
  </w:footnote>
  <w:footnote w:id="2">
    <w:p w:rsidR="002D2B61" w:rsidRPr="002D2B61" w:rsidRDefault="002D2B61">
      <w:pPr>
        <w:pStyle w:val="a8"/>
        <w:rPr>
          <w:rFonts w:ascii="Times New Roman" w:hAnsi="Times New Roman" w:cs="Times New Roman"/>
        </w:rPr>
      </w:pPr>
      <w:r w:rsidRPr="002D2B61">
        <w:rPr>
          <w:rStyle w:val="af4"/>
          <w:rFonts w:ascii="Times New Roman" w:hAnsi="Times New Roman" w:cs="Times New Roman"/>
        </w:rPr>
        <w:footnoteRef/>
      </w:r>
      <w:r w:rsidRPr="002D2B61">
        <w:rPr>
          <w:rFonts w:ascii="Times New Roman" w:hAnsi="Times New Roman" w:cs="Times New Roman"/>
        </w:rPr>
        <w:t xml:space="preserve"> Федеральный закон от 27.12.2018 N 514-ФЗ "О внесении изменений в Федеральный закон "О рынке ценных бумаг" и отдельные законодательные акты Российской Федерации в части совершенствования правового регулирования осуществления эмиссии ценных бумаг"</w:t>
      </w:r>
    </w:p>
  </w:footnote>
  <w:footnote w:id="3">
    <w:p w:rsidR="00FD75F0" w:rsidRPr="00764842" w:rsidRDefault="00FD75F0" w:rsidP="00FD75F0">
      <w:pPr>
        <w:jc w:val="both"/>
        <w:rPr>
          <w:rFonts w:ascii="Tahoma" w:hAnsi="Tahoma" w:cs="Tahoma"/>
        </w:rPr>
      </w:pPr>
      <w:r w:rsidRPr="002D2B61">
        <w:rPr>
          <w:rFonts w:cs="Times New Roman"/>
          <w:vertAlign w:val="superscript"/>
        </w:rPr>
        <w:footnoteRef/>
      </w:r>
      <w:r w:rsidRPr="002D2B61">
        <w:rPr>
          <w:rFonts w:cs="Times New Roman"/>
        </w:rPr>
        <w:t xml:space="preserve"> Указание Банка России от 27.06.2029 № 5181-У "О внесении изменений в Положение Банка России от 24 февраля 2016 года № 534-П "О допуске ценных бумаг к организованным торгам"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9CC"/>
    <w:multiLevelType w:val="hybridMultilevel"/>
    <w:tmpl w:val="4BB838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757B07"/>
    <w:multiLevelType w:val="hybridMultilevel"/>
    <w:tmpl w:val="12FA72C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DE5D03"/>
    <w:multiLevelType w:val="hybridMultilevel"/>
    <w:tmpl w:val="15BC2992"/>
    <w:styleLink w:val="4"/>
    <w:lvl w:ilvl="0" w:tplc="0F429DEC">
      <w:start w:val="1"/>
      <w:numFmt w:val="bullet"/>
      <w:lvlText w:val="·"/>
      <w:lvlJc w:val="left"/>
      <w:pPr>
        <w:tabs>
          <w:tab w:val="left" w:pos="851"/>
        </w:tabs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7421EE">
      <w:start w:val="1"/>
      <w:numFmt w:val="bullet"/>
      <w:lvlText w:val="o"/>
      <w:lvlJc w:val="left"/>
      <w:pPr>
        <w:tabs>
          <w:tab w:val="left" w:pos="851"/>
        </w:tabs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2941D9A">
      <w:start w:val="1"/>
      <w:numFmt w:val="bullet"/>
      <w:lvlText w:val="▪"/>
      <w:lvlJc w:val="left"/>
      <w:pPr>
        <w:tabs>
          <w:tab w:val="left" w:pos="851"/>
        </w:tabs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ACE9CF4">
      <w:start w:val="1"/>
      <w:numFmt w:val="bullet"/>
      <w:lvlText w:val="·"/>
      <w:lvlJc w:val="left"/>
      <w:pPr>
        <w:tabs>
          <w:tab w:val="left" w:pos="851"/>
        </w:tabs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D40E69C">
      <w:start w:val="1"/>
      <w:numFmt w:val="bullet"/>
      <w:lvlText w:val="o"/>
      <w:lvlJc w:val="left"/>
      <w:pPr>
        <w:tabs>
          <w:tab w:val="left" w:pos="851"/>
        </w:tabs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3089B74">
      <w:start w:val="1"/>
      <w:numFmt w:val="bullet"/>
      <w:lvlText w:val="▪"/>
      <w:lvlJc w:val="left"/>
      <w:pPr>
        <w:tabs>
          <w:tab w:val="left" w:pos="851"/>
        </w:tabs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2B8BF8C">
      <w:start w:val="1"/>
      <w:numFmt w:val="bullet"/>
      <w:lvlText w:val="·"/>
      <w:lvlJc w:val="left"/>
      <w:pPr>
        <w:tabs>
          <w:tab w:val="left" w:pos="851"/>
        </w:tabs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7AC8CB8">
      <w:start w:val="1"/>
      <w:numFmt w:val="bullet"/>
      <w:lvlText w:val="o"/>
      <w:lvlJc w:val="left"/>
      <w:pPr>
        <w:tabs>
          <w:tab w:val="left" w:pos="851"/>
        </w:tabs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3E25042">
      <w:start w:val="1"/>
      <w:numFmt w:val="bullet"/>
      <w:lvlText w:val="▪"/>
      <w:lvlJc w:val="left"/>
      <w:pPr>
        <w:tabs>
          <w:tab w:val="left" w:pos="851"/>
        </w:tabs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60D2142"/>
    <w:multiLevelType w:val="multilevel"/>
    <w:tmpl w:val="238C091A"/>
    <w:styleLink w:val="1"/>
    <w:lvl w:ilvl="0">
      <w:start w:val="1"/>
      <w:numFmt w:val="decimal"/>
      <w:lvlText w:val="%1."/>
      <w:lvlJc w:val="left"/>
      <w:pPr>
        <w:tabs>
          <w:tab w:val="num" w:pos="709"/>
        </w:tabs>
        <w:ind w:left="283" w:firstLine="14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E9581C"/>
    <w:multiLevelType w:val="hybridMultilevel"/>
    <w:tmpl w:val="D2C67CFE"/>
    <w:styleLink w:val="2"/>
    <w:lvl w:ilvl="0" w:tplc="BDEA72D8">
      <w:start w:val="1"/>
      <w:numFmt w:val="bullet"/>
      <w:lvlText w:val="•"/>
      <w:lvlJc w:val="left"/>
      <w:pPr>
        <w:tabs>
          <w:tab w:val="left" w:pos="993"/>
        </w:tabs>
        <w:ind w:left="396" w:hanging="3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49164AAC">
      <w:start w:val="1"/>
      <w:numFmt w:val="bullet"/>
      <w:lvlText w:val="·"/>
      <w:lvlJc w:val="left"/>
      <w:pPr>
        <w:tabs>
          <w:tab w:val="left" w:pos="993"/>
        </w:tabs>
        <w:ind w:left="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57EBB5E">
      <w:start w:val="1"/>
      <w:numFmt w:val="bullet"/>
      <w:lvlText w:val="·"/>
      <w:lvlJc w:val="left"/>
      <w:pPr>
        <w:tabs>
          <w:tab w:val="left" w:pos="993"/>
        </w:tabs>
        <w:ind w:left="14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BE62A54">
      <w:start w:val="1"/>
      <w:numFmt w:val="bullet"/>
      <w:lvlText w:val="·"/>
      <w:lvlJc w:val="left"/>
      <w:pPr>
        <w:tabs>
          <w:tab w:val="left" w:pos="993"/>
        </w:tabs>
        <w:ind w:left="206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21E349E">
      <w:start w:val="1"/>
      <w:numFmt w:val="bullet"/>
      <w:lvlText w:val="·"/>
      <w:lvlJc w:val="left"/>
      <w:pPr>
        <w:tabs>
          <w:tab w:val="left" w:pos="993"/>
        </w:tabs>
        <w:ind w:left="26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F124506">
      <w:start w:val="1"/>
      <w:numFmt w:val="bullet"/>
      <w:lvlText w:val="·"/>
      <w:lvlJc w:val="left"/>
      <w:pPr>
        <w:tabs>
          <w:tab w:val="left" w:pos="993"/>
        </w:tabs>
        <w:ind w:left="31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F1648A0">
      <w:start w:val="1"/>
      <w:numFmt w:val="bullet"/>
      <w:lvlText w:val="·"/>
      <w:lvlJc w:val="left"/>
      <w:pPr>
        <w:tabs>
          <w:tab w:val="left" w:pos="993"/>
        </w:tabs>
        <w:ind w:left="37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B3CE104">
      <w:start w:val="1"/>
      <w:numFmt w:val="bullet"/>
      <w:lvlText w:val="·"/>
      <w:lvlJc w:val="left"/>
      <w:pPr>
        <w:tabs>
          <w:tab w:val="left" w:pos="993"/>
        </w:tabs>
        <w:ind w:left="43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6B40334">
      <w:start w:val="1"/>
      <w:numFmt w:val="bullet"/>
      <w:lvlText w:val="·"/>
      <w:lvlJc w:val="left"/>
      <w:pPr>
        <w:tabs>
          <w:tab w:val="left" w:pos="993"/>
        </w:tabs>
        <w:ind w:left="48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DA0934"/>
    <w:multiLevelType w:val="hybridMultilevel"/>
    <w:tmpl w:val="6AF0DF0A"/>
    <w:lvl w:ilvl="0" w:tplc="04190011">
      <w:start w:val="1"/>
      <w:numFmt w:val="decimal"/>
      <w:lvlText w:val="%1)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6" w15:restartNumberingAfterBreak="0">
    <w:nsid w:val="3B8D5F8C"/>
    <w:multiLevelType w:val="multilevel"/>
    <w:tmpl w:val="BA12F5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7" w15:restartNumberingAfterBreak="0">
    <w:nsid w:val="4A86353B"/>
    <w:multiLevelType w:val="hybridMultilevel"/>
    <w:tmpl w:val="9CE68D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FBF0A4C"/>
    <w:multiLevelType w:val="hybridMultilevel"/>
    <w:tmpl w:val="D2C67CFE"/>
    <w:numStyleLink w:val="2"/>
  </w:abstractNum>
  <w:abstractNum w:abstractNumId="9" w15:restartNumberingAfterBreak="0">
    <w:nsid w:val="6B9D4124"/>
    <w:multiLevelType w:val="hybridMultilevel"/>
    <w:tmpl w:val="A24CC27A"/>
    <w:styleLink w:val="3"/>
    <w:lvl w:ilvl="0" w:tplc="592EC262">
      <w:start w:val="1"/>
      <w:numFmt w:val="bullet"/>
      <w:lvlText w:val="·"/>
      <w:lvlJc w:val="left"/>
      <w:pPr>
        <w:tabs>
          <w:tab w:val="left" w:pos="851"/>
        </w:tabs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6DC7342">
      <w:start w:val="1"/>
      <w:numFmt w:val="bullet"/>
      <w:lvlText w:val="o"/>
      <w:lvlJc w:val="left"/>
      <w:pPr>
        <w:tabs>
          <w:tab w:val="left" w:pos="851"/>
        </w:tabs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6041F88">
      <w:start w:val="1"/>
      <w:numFmt w:val="bullet"/>
      <w:lvlText w:val="▪"/>
      <w:lvlJc w:val="left"/>
      <w:pPr>
        <w:tabs>
          <w:tab w:val="left" w:pos="851"/>
        </w:tabs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16EC40C">
      <w:start w:val="1"/>
      <w:numFmt w:val="bullet"/>
      <w:lvlText w:val="·"/>
      <w:lvlJc w:val="left"/>
      <w:pPr>
        <w:tabs>
          <w:tab w:val="left" w:pos="851"/>
        </w:tabs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43CAA58">
      <w:start w:val="1"/>
      <w:numFmt w:val="bullet"/>
      <w:lvlText w:val="o"/>
      <w:lvlJc w:val="left"/>
      <w:pPr>
        <w:tabs>
          <w:tab w:val="left" w:pos="851"/>
        </w:tabs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CE6752">
      <w:start w:val="1"/>
      <w:numFmt w:val="bullet"/>
      <w:lvlText w:val="▪"/>
      <w:lvlJc w:val="left"/>
      <w:pPr>
        <w:tabs>
          <w:tab w:val="left" w:pos="851"/>
        </w:tabs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1D43144">
      <w:start w:val="1"/>
      <w:numFmt w:val="bullet"/>
      <w:lvlText w:val="·"/>
      <w:lvlJc w:val="left"/>
      <w:pPr>
        <w:tabs>
          <w:tab w:val="left" w:pos="851"/>
        </w:tabs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3FE89F0">
      <w:start w:val="1"/>
      <w:numFmt w:val="bullet"/>
      <w:lvlText w:val="o"/>
      <w:lvlJc w:val="left"/>
      <w:pPr>
        <w:tabs>
          <w:tab w:val="left" w:pos="851"/>
        </w:tabs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E7420E8">
      <w:start w:val="1"/>
      <w:numFmt w:val="bullet"/>
      <w:lvlText w:val="▪"/>
      <w:lvlJc w:val="left"/>
      <w:pPr>
        <w:tabs>
          <w:tab w:val="left" w:pos="851"/>
        </w:tabs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FF43BD7"/>
    <w:multiLevelType w:val="hybridMultilevel"/>
    <w:tmpl w:val="15BC2992"/>
    <w:numStyleLink w:val="4"/>
  </w:abstractNum>
  <w:abstractNum w:abstractNumId="11" w15:restartNumberingAfterBreak="0">
    <w:nsid w:val="7A833378"/>
    <w:multiLevelType w:val="hybridMultilevel"/>
    <w:tmpl w:val="C0DEB1FC"/>
    <w:lvl w:ilvl="0" w:tplc="892A7E0E">
      <w:start w:val="1"/>
      <w:numFmt w:val="decimal"/>
      <w:lvlText w:val="1.%1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10"/>
    <w:lvlOverride w:ilvl="0">
      <w:lvl w:ilvl="0" w:tplc="5DEEE73C">
        <w:start w:val="1"/>
        <w:numFmt w:val="bullet"/>
        <w:lvlText w:val="·"/>
        <w:lvlJc w:val="left"/>
        <w:pPr>
          <w:tabs>
            <w:tab w:val="left" w:pos="709"/>
          </w:tabs>
          <w:ind w:left="127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20AC46">
        <w:start w:val="1"/>
        <w:numFmt w:val="bullet"/>
        <w:lvlText w:val="o"/>
        <w:lvlJc w:val="left"/>
        <w:pPr>
          <w:tabs>
            <w:tab w:val="left" w:pos="709"/>
          </w:tabs>
          <w:ind w:left="199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5E83680">
        <w:start w:val="1"/>
        <w:numFmt w:val="bullet"/>
        <w:lvlText w:val="▪"/>
        <w:lvlJc w:val="left"/>
        <w:pPr>
          <w:tabs>
            <w:tab w:val="left" w:pos="709"/>
          </w:tabs>
          <w:ind w:left="271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D707BBC">
        <w:start w:val="1"/>
        <w:numFmt w:val="bullet"/>
        <w:lvlText w:val="·"/>
        <w:lvlJc w:val="left"/>
        <w:pPr>
          <w:tabs>
            <w:tab w:val="left" w:pos="709"/>
          </w:tabs>
          <w:ind w:left="343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FCA57E">
        <w:start w:val="1"/>
        <w:numFmt w:val="bullet"/>
        <w:lvlText w:val="o"/>
        <w:lvlJc w:val="left"/>
        <w:pPr>
          <w:tabs>
            <w:tab w:val="left" w:pos="709"/>
          </w:tabs>
          <w:ind w:left="415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8C5204">
        <w:start w:val="1"/>
        <w:numFmt w:val="bullet"/>
        <w:lvlText w:val="▪"/>
        <w:lvlJc w:val="left"/>
        <w:pPr>
          <w:tabs>
            <w:tab w:val="left" w:pos="709"/>
          </w:tabs>
          <w:ind w:left="487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1CC37D0">
        <w:start w:val="1"/>
        <w:numFmt w:val="bullet"/>
        <w:lvlText w:val="·"/>
        <w:lvlJc w:val="left"/>
        <w:pPr>
          <w:tabs>
            <w:tab w:val="left" w:pos="709"/>
          </w:tabs>
          <w:ind w:left="559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40A114">
        <w:start w:val="1"/>
        <w:numFmt w:val="bullet"/>
        <w:lvlText w:val="o"/>
        <w:lvlJc w:val="left"/>
        <w:pPr>
          <w:tabs>
            <w:tab w:val="left" w:pos="709"/>
          </w:tabs>
          <w:ind w:left="631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98311E">
        <w:start w:val="1"/>
        <w:numFmt w:val="bullet"/>
        <w:lvlText w:val="▪"/>
        <w:lvlJc w:val="left"/>
        <w:pPr>
          <w:tabs>
            <w:tab w:val="left" w:pos="709"/>
          </w:tabs>
          <w:ind w:left="703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8"/>
    <w:lvlOverride w:ilvl="0">
      <w:lvl w:ilvl="0" w:tplc="871E0C44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7AC3D4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644E49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F045DA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0F261E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E08326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AE16304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84D45E1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CF4012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7"/>
  </w:num>
  <w:num w:numId="8">
    <w:abstractNumId w:val="1"/>
  </w:num>
  <w:num w:numId="9">
    <w:abstractNumId w:val="11"/>
  </w:num>
  <w:num w:numId="10">
    <w:abstractNumId w:val="5"/>
  </w:num>
  <w:num w:numId="11">
    <w:abstractNumId w:val="0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C7"/>
    <w:rsid w:val="000252C9"/>
    <w:rsid w:val="000258FF"/>
    <w:rsid w:val="00033B3F"/>
    <w:rsid w:val="000404E7"/>
    <w:rsid w:val="0005745F"/>
    <w:rsid w:val="000715B3"/>
    <w:rsid w:val="00090E4F"/>
    <w:rsid w:val="00097883"/>
    <w:rsid w:val="000A25E6"/>
    <w:rsid w:val="000C147E"/>
    <w:rsid w:val="000D1D26"/>
    <w:rsid w:val="000D4129"/>
    <w:rsid w:val="000E3EED"/>
    <w:rsid w:val="000E4D97"/>
    <w:rsid w:val="000F4D1D"/>
    <w:rsid w:val="001046CC"/>
    <w:rsid w:val="0010763C"/>
    <w:rsid w:val="001128E8"/>
    <w:rsid w:val="001162D6"/>
    <w:rsid w:val="0012729C"/>
    <w:rsid w:val="00132ED5"/>
    <w:rsid w:val="001609ED"/>
    <w:rsid w:val="001854FD"/>
    <w:rsid w:val="001B472D"/>
    <w:rsid w:val="001C47AF"/>
    <w:rsid w:val="001C5A98"/>
    <w:rsid w:val="001C71AE"/>
    <w:rsid w:val="001D183C"/>
    <w:rsid w:val="001E481B"/>
    <w:rsid w:val="002019BE"/>
    <w:rsid w:val="00215713"/>
    <w:rsid w:val="0021671B"/>
    <w:rsid w:val="00221780"/>
    <w:rsid w:val="002428A2"/>
    <w:rsid w:val="00244CBA"/>
    <w:rsid w:val="00250B2F"/>
    <w:rsid w:val="002572AA"/>
    <w:rsid w:val="002833ED"/>
    <w:rsid w:val="00284871"/>
    <w:rsid w:val="002A2BD1"/>
    <w:rsid w:val="002C0DBE"/>
    <w:rsid w:val="002D0C50"/>
    <w:rsid w:val="002D2B61"/>
    <w:rsid w:val="002D6222"/>
    <w:rsid w:val="002D7E71"/>
    <w:rsid w:val="002E0966"/>
    <w:rsid w:val="002E5056"/>
    <w:rsid w:val="002E72C6"/>
    <w:rsid w:val="002F2130"/>
    <w:rsid w:val="00304E39"/>
    <w:rsid w:val="00341E5D"/>
    <w:rsid w:val="00346708"/>
    <w:rsid w:val="00352DEC"/>
    <w:rsid w:val="0036456A"/>
    <w:rsid w:val="00375AFA"/>
    <w:rsid w:val="003B7670"/>
    <w:rsid w:val="003F6037"/>
    <w:rsid w:val="003F632E"/>
    <w:rsid w:val="00445357"/>
    <w:rsid w:val="00447495"/>
    <w:rsid w:val="004536DC"/>
    <w:rsid w:val="0046700F"/>
    <w:rsid w:val="00467389"/>
    <w:rsid w:val="004B3995"/>
    <w:rsid w:val="004D7D4B"/>
    <w:rsid w:val="004E115C"/>
    <w:rsid w:val="004F292D"/>
    <w:rsid w:val="00501E49"/>
    <w:rsid w:val="00505F99"/>
    <w:rsid w:val="00507284"/>
    <w:rsid w:val="00512E1C"/>
    <w:rsid w:val="00512F32"/>
    <w:rsid w:val="00513666"/>
    <w:rsid w:val="00513A09"/>
    <w:rsid w:val="00517E82"/>
    <w:rsid w:val="00541DE7"/>
    <w:rsid w:val="00545D45"/>
    <w:rsid w:val="00565945"/>
    <w:rsid w:val="00567242"/>
    <w:rsid w:val="005778C7"/>
    <w:rsid w:val="005824FD"/>
    <w:rsid w:val="0058291A"/>
    <w:rsid w:val="00587F03"/>
    <w:rsid w:val="00596B90"/>
    <w:rsid w:val="005A7275"/>
    <w:rsid w:val="005B119E"/>
    <w:rsid w:val="005B6CC4"/>
    <w:rsid w:val="005C2CBA"/>
    <w:rsid w:val="005F42B6"/>
    <w:rsid w:val="00603273"/>
    <w:rsid w:val="00620AA7"/>
    <w:rsid w:val="00632B8F"/>
    <w:rsid w:val="00633597"/>
    <w:rsid w:val="00637F26"/>
    <w:rsid w:val="0065001A"/>
    <w:rsid w:val="0066593C"/>
    <w:rsid w:val="00680966"/>
    <w:rsid w:val="00683CC7"/>
    <w:rsid w:val="006A24E0"/>
    <w:rsid w:val="006A2D20"/>
    <w:rsid w:val="006B0A31"/>
    <w:rsid w:val="006B11B1"/>
    <w:rsid w:val="006D2E58"/>
    <w:rsid w:val="006E0D2E"/>
    <w:rsid w:val="006E2343"/>
    <w:rsid w:val="006F59E4"/>
    <w:rsid w:val="0071496C"/>
    <w:rsid w:val="00721F7A"/>
    <w:rsid w:val="0072425B"/>
    <w:rsid w:val="00731B45"/>
    <w:rsid w:val="0074208D"/>
    <w:rsid w:val="00754EA8"/>
    <w:rsid w:val="00764842"/>
    <w:rsid w:val="00774A22"/>
    <w:rsid w:val="00791308"/>
    <w:rsid w:val="00794CD0"/>
    <w:rsid w:val="007A2A78"/>
    <w:rsid w:val="007A6D35"/>
    <w:rsid w:val="007B303E"/>
    <w:rsid w:val="007C0333"/>
    <w:rsid w:val="007C48DA"/>
    <w:rsid w:val="007E4B7C"/>
    <w:rsid w:val="007F4F9D"/>
    <w:rsid w:val="00803C5A"/>
    <w:rsid w:val="00843162"/>
    <w:rsid w:val="00857FF2"/>
    <w:rsid w:val="008818DB"/>
    <w:rsid w:val="00883EA9"/>
    <w:rsid w:val="00885F2E"/>
    <w:rsid w:val="008A4A51"/>
    <w:rsid w:val="008A4A99"/>
    <w:rsid w:val="008A69D0"/>
    <w:rsid w:val="008E271D"/>
    <w:rsid w:val="00904D8F"/>
    <w:rsid w:val="009056E8"/>
    <w:rsid w:val="009104EC"/>
    <w:rsid w:val="009140E6"/>
    <w:rsid w:val="009321A1"/>
    <w:rsid w:val="00965CCC"/>
    <w:rsid w:val="00972406"/>
    <w:rsid w:val="00972786"/>
    <w:rsid w:val="00974EF9"/>
    <w:rsid w:val="00976112"/>
    <w:rsid w:val="009918C8"/>
    <w:rsid w:val="00991FF3"/>
    <w:rsid w:val="00997E78"/>
    <w:rsid w:val="009A1BA9"/>
    <w:rsid w:val="009A54B1"/>
    <w:rsid w:val="009B1365"/>
    <w:rsid w:val="009C1688"/>
    <w:rsid w:val="009D26B8"/>
    <w:rsid w:val="009E4338"/>
    <w:rsid w:val="009F5CE1"/>
    <w:rsid w:val="009F71A2"/>
    <w:rsid w:val="00A00893"/>
    <w:rsid w:val="00A10B15"/>
    <w:rsid w:val="00A212E0"/>
    <w:rsid w:val="00A22A20"/>
    <w:rsid w:val="00A50685"/>
    <w:rsid w:val="00A70CAA"/>
    <w:rsid w:val="00A82390"/>
    <w:rsid w:val="00A86BC9"/>
    <w:rsid w:val="00AA2033"/>
    <w:rsid w:val="00AA2F3B"/>
    <w:rsid w:val="00AA3AEA"/>
    <w:rsid w:val="00AB12D4"/>
    <w:rsid w:val="00AB401B"/>
    <w:rsid w:val="00AB5F89"/>
    <w:rsid w:val="00AC2F26"/>
    <w:rsid w:val="00AC3C64"/>
    <w:rsid w:val="00AC513B"/>
    <w:rsid w:val="00AC5BDD"/>
    <w:rsid w:val="00AC5C41"/>
    <w:rsid w:val="00AC75FE"/>
    <w:rsid w:val="00AF3694"/>
    <w:rsid w:val="00B2438B"/>
    <w:rsid w:val="00B261ED"/>
    <w:rsid w:val="00B3031D"/>
    <w:rsid w:val="00B357CD"/>
    <w:rsid w:val="00B4007D"/>
    <w:rsid w:val="00B4279E"/>
    <w:rsid w:val="00B53B47"/>
    <w:rsid w:val="00B6177A"/>
    <w:rsid w:val="00B726C0"/>
    <w:rsid w:val="00B728E5"/>
    <w:rsid w:val="00B86103"/>
    <w:rsid w:val="00B949A8"/>
    <w:rsid w:val="00B975BD"/>
    <w:rsid w:val="00BA3E25"/>
    <w:rsid w:val="00BD00CA"/>
    <w:rsid w:val="00BD67C6"/>
    <w:rsid w:val="00BE37F2"/>
    <w:rsid w:val="00BF6DBA"/>
    <w:rsid w:val="00C018D7"/>
    <w:rsid w:val="00C0739F"/>
    <w:rsid w:val="00C07EC3"/>
    <w:rsid w:val="00C37FB9"/>
    <w:rsid w:val="00C41F0D"/>
    <w:rsid w:val="00C440D3"/>
    <w:rsid w:val="00C45152"/>
    <w:rsid w:val="00C46363"/>
    <w:rsid w:val="00C6416F"/>
    <w:rsid w:val="00C65683"/>
    <w:rsid w:val="00C71F88"/>
    <w:rsid w:val="00C87947"/>
    <w:rsid w:val="00CD3756"/>
    <w:rsid w:val="00CE2C18"/>
    <w:rsid w:val="00CF561B"/>
    <w:rsid w:val="00D3142D"/>
    <w:rsid w:val="00D31599"/>
    <w:rsid w:val="00D450E3"/>
    <w:rsid w:val="00D63468"/>
    <w:rsid w:val="00D702FF"/>
    <w:rsid w:val="00D77F13"/>
    <w:rsid w:val="00D82330"/>
    <w:rsid w:val="00D85AF2"/>
    <w:rsid w:val="00DA130B"/>
    <w:rsid w:val="00DB788B"/>
    <w:rsid w:val="00DC1AFD"/>
    <w:rsid w:val="00DC4A2B"/>
    <w:rsid w:val="00DE2D3D"/>
    <w:rsid w:val="00E015C9"/>
    <w:rsid w:val="00E14802"/>
    <w:rsid w:val="00E2006E"/>
    <w:rsid w:val="00E73DBF"/>
    <w:rsid w:val="00E85F82"/>
    <w:rsid w:val="00E9408F"/>
    <w:rsid w:val="00EC5990"/>
    <w:rsid w:val="00EE1B82"/>
    <w:rsid w:val="00EE738A"/>
    <w:rsid w:val="00EF428C"/>
    <w:rsid w:val="00F03C83"/>
    <w:rsid w:val="00F177F0"/>
    <w:rsid w:val="00F22AAB"/>
    <w:rsid w:val="00F27BB7"/>
    <w:rsid w:val="00F43A2A"/>
    <w:rsid w:val="00F53D0A"/>
    <w:rsid w:val="00F6271B"/>
    <w:rsid w:val="00F63632"/>
    <w:rsid w:val="00F76B3F"/>
    <w:rsid w:val="00F814AE"/>
    <w:rsid w:val="00F86209"/>
    <w:rsid w:val="00FA0286"/>
    <w:rsid w:val="00FA2479"/>
    <w:rsid w:val="00FA4114"/>
    <w:rsid w:val="00FC0715"/>
    <w:rsid w:val="00FD2B93"/>
    <w:rsid w:val="00FD75F0"/>
    <w:rsid w:val="00FD7D30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C611C-82D2-4A60-BD89-6A1EDD6E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C1688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1688"/>
    <w:rPr>
      <w:u w:val="single"/>
    </w:rPr>
  </w:style>
  <w:style w:type="table" w:customStyle="1" w:styleId="TableNormal">
    <w:name w:val="Table Normal"/>
    <w:rsid w:val="009C16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9C168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rsid w:val="009C1688"/>
    <w:pPr>
      <w:tabs>
        <w:tab w:val="center" w:pos="4153"/>
        <w:tab w:val="right" w:pos="8306"/>
      </w:tabs>
    </w:pPr>
    <w:rPr>
      <w:rFonts w:cs="Arial Unicode MS"/>
      <w:color w:val="000000"/>
      <w:u w:color="000000"/>
    </w:rPr>
  </w:style>
  <w:style w:type="paragraph" w:styleId="a6">
    <w:name w:val="List Paragraph"/>
    <w:aliases w:val="Table-Normal,RSHB_Table-Normal,List Paragraph,DBN: Обычный. Перечень. Уровень 1,Мой стиль!,Абзац списка◄"/>
    <w:link w:val="a7"/>
    <w:uiPriority w:val="34"/>
    <w:qFormat/>
    <w:rsid w:val="009C1688"/>
    <w:pP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8">
    <w:name w:val="footnote text"/>
    <w:rsid w:val="009C1688"/>
    <w:rPr>
      <w:rFonts w:ascii="Calibri" w:eastAsia="Calibri" w:hAnsi="Calibri" w:cs="Calibri"/>
      <w:color w:val="000000"/>
      <w:u w:color="000000"/>
    </w:rPr>
  </w:style>
  <w:style w:type="numbering" w:customStyle="1" w:styleId="1">
    <w:name w:val="Импортированный стиль 1"/>
    <w:rsid w:val="009C1688"/>
    <w:pPr>
      <w:numPr>
        <w:numId w:val="1"/>
      </w:numPr>
    </w:pPr>
  </w:style>
  <w:style w:type="numbering" w:customStyle="1" w:styleId="2">
    <w:name w:val="Импортированный стиль 2"/>
    <w:rsid w:val="009C1688"/>
    <w:pPr>
      <w:numPr>
        <w:numId w:val="2"/>
      </w:numPr>
    </w:pPr>
  </w:style>
  <w:style w:type="numbering" w:customStyle="1" w:styleId="3">
    <w:name w:val="Импортированный стиль 3"/>
    <w:rsid w:val="009C1688"/>
    <w:pPr>
      <w:numPr>
        <w:numId w:val="3"/>
      </w:numPr>
    </w:pPr>
  </w:style>
  <w:style w:type="numbering" w:customStyle="1" w:styleId="4">
    <w:name w:val="Импортированный стиль 4"/>
    <w:rsid w:val="009C1688"/>
    <w:pPr>
      <w:numPr>
        <w:numId w:val="4"/>
      </w:numPr>
    </w:pPr>
  </w:style>
  <w:style w:type="paragraph" w:customStyle="1" w:styleId="ConsPlusNormal">
    <w:name w:val="ConsPlusNormal"/>
    <w:rsid w:val="009C1688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9">
    <w:name w:val="По умолчанию"/>
    <w:rsid w:val="009C1688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a">
    <w:name w:val="annotation text"/>
    <w:basedOn w:val="a"/>
    <w:link w:val="ab"/>
    <w:uiPriority w:val="99"/>
    <w:unhideWhenUsed/>
    <w:rsid w:val="009C1688"/>
  </w:style>
  <w:style w:type="character" w:customStyle="1" w:styleId="ab">
    <w:name w:val="Текст примечания Знак"/>
    <w:basedOn w:val="a0"/>
    <w:link w:val="aa"/>
    <w:uiPriority w:val="99"/>
    <w:rsid w:val="009C1688"/>
    <w:rPr>
      <w:rFonts w:cs="Arial Unicode MS"/>
      <w:color w:val="000000"/>
      <w:u w:color="000000"/>
    </w:rPr>
  </w:style>
  <w:style w:type="character" w:styleId="ac">
    <w:name w:val="annotation reference"/>
    <w:basedOn w:val="a0"/>
    <w:uiPriority w:val="99"/>
    <w:semiHidden/>
    <w:unhideWhenUsed/>
    <w:rsid w:val="009C1688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A86B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6BC9"/>
    <w:rPr>
      <w:rFonts w:ascii="Segoe UI" w:hAnsi="Segoe UI" w:cs="Segoe UI"/>
      <w:color w:val="000000"/>
      <w:sz w:val="18"/>
      <w:szCs w:val="18"/>
      <w:u w:color="000000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A86BC9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A86BC9"/>
    <w:rPr>
      <w:rFonts w:cs="Arial Unicode MS"/>
      <w:b/>
      <w:bCs/>
      <w:color w:val="000000"/>
      <w:u w:color="000000"/>
    </w:rPr>
  </w:style>
  <w:style w:type="character" w:customStyle="1" w:styleId="af1">
    <w:name w:val="Гипертекстовая ссылка"/>
    <w:uiPriority w:val="99"/>
    <w:rsid w:val="001C5A98"/>
    <w:rPr>
      <w:color w:val="008000"/>
      <w:sz w:val="20"/>
      <w:szCs w:val="20"/>
      <w:u w:val="single"/>
    </w:rPr>
  </w:style>
  <w:style w:type="paragraph" w:styleId="af2">
    <w:name w:val="Document Map"/>
    <w:basedOn w:val="a"/>
    <w:link w:val="af3"/>
    <w:uiPriority w:val="99"/>
    <w:semiHidden/>
    <w:unhideWhenUsed/>
    <w:rsid w:val="00A50685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50685"/>
    <w:rPr>
      <w:rFonts w:ascii="Tahoma" w:hAnsi="Tahoma" w:cs="Tahoma"/>
      <w:color w:val="000000"/>
      <w:sz w:val="16"/>
      <w:szCs w:val="16"/>
      <w:u w:color="000000"/>
    </w:rPr>
  </w:style>
  <w:style w:type="character" w:styleId="af4">
    <w:name w:val="footnote reference"/>
    <w:basedOn w:val="a0"/>
    <w:uiPriority w:val="99"/>
    <w:semiHidden/>
    <w:unhideWhenUsed/>
    <w:rsid w:val="002D2B61"/>
    <w:rPr>
      <w:vertAlign w:val="superscript"/>
    </w:rPr>
  </w:style>
  <w:style w:type="character" w:customStyle="1" w:styleId="a7">
    <w:name w:val="Абзац списка Знак"/>
    <w:aliases w:val="Table-Normal Знак,RSHB_Table-Normal Знак,List Paragraph Знак,DBN: Обычный. Перечень. Уровень 1 Знак,Мой стиль! Знак,Абзац списка◄ Знак"/>
    <w:link w:val="a6"/>
    <w:uiPriority w:val="34"/>
    <w:locked/>
    <w:rsid w:val="00DB788B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f5">
    <w:name w:val="Unresolved Mention"/>
    <w:basedOn w:val="a0"/>
    <w:uiPriority w:val="99"/>
    <w:semiHidden/>
    <w:unhideWhenUsed/>
    <w:rsid w:val="00AB1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741D6-BC0F-4A00-A97F-3971B240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Минакова Евгения Николаевна</cp:lastModifiedBy>
  <cp:revision>4</cp:revision>
  <cp:lastPrinted>2019-12-17T08:47:00Z</cp:lastPrinted>
  <dcterms:created xsi:type="dcterms:W3CDTF">2020-01-29T07:36:00Z</dcterms:created>
  <dcterms:modified xsi:type="dcterms:W3CDTF">2020-01-29T07:39:00Z</dcterms:modified>
</cp:coreProperties>
</file>