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67" w:type="dxa"/>
        <w:jc w:val="center"/>
        <w:tblLook w:val="01E0" w:firstRow="1" w:lastRow="1" w:firstColumn="1" w:lastColumn="1" w:noHBand="0" w:noVBand="0"/>
      </w:tblPr>
      <w:tblGrid>
        <w:gridCol w:w="3653"/>
        <w:gridCol w:w="5114"/>
      </w:tblGrid>
      <w:tr w:rsidR="00A42E81" w:rsidRPr="00A42E81" w:rsidTr="00372594">
        <w:trPr>
          <w:jc w:val="center"/>
        </w:trPr>
        <w:tc>
          <w:tcPr>
            <w:tcW w:w="3653" w:type="dxa"/>
          </w:tcPr>
          <w:p w:rsidR="00A42E81" w:rsidRPr="00A42E81" w:rsidRDefault="00A42E81" w:rsidP="00A42E81">
            <w:pPr>
              <w:pStyle w:val="Iauiue"/>
              <w:tabs>
                <w:tab w:val="left" w:pos="4253"/>
              </w:tabs>
              <w:spacing w:before="120" w:after="120"/>
              <w:rPr>
                <w:rFonts w:ascii="Tahoma" w:hAnsi="Tahoma" w:cs="Tahoma"/>
                <w:sz w:val="22"/>
                <w:szCs w:val="22"/>
                <w:lang w:val="ru-RU"/>
              </w:rPr>
            </w:pPr>
          </w:p>
        </w:tc>
        <w:tc>
          <w:tcPr>
            <w:tcW w:w="5114" w:type="dxa"/>
          </w:tcPr>
          <w:p w:rsidR="00A42E81" w:rsidRPr="00A42E81" w:rsidRDefault="00A42E81" w:rsidP="00A42E81">
            <w:pPr>
              <w:widowControl w:val="0"/>
              <w:spacing w:before="120" w:after="120"/>
              <w:ind w:left="708"/>
              <w:rPr>
                <w:rFonts w:ascii="Tahoma" w:hAnsi="Tahoma" w:cs="Tahoma"/>
                <w:b/>
                <w:sz w:val="22"/>
                <w:szCs w:val="22"/>
              </w:rPr>
            </w:pPr>
            <w:r w:rsidRPr="00A42E81">
              <w:rPr>
                <w:rFonts w:ascii="Tahoma" w:hAnsi="Tahoma" w:cs="Tahoma"/>
                <w:b/>
                <w:sz w:val="22"/>
              </w:rPr>
              <w:t>APPROVED</w:t>
            </w:r>
          </w:p>
          <w:p w:rsidR="00A42E81" w:rsidRPr="00A42E81" w:rsidRDefault="00A42E81" w:rsidP="00A42E81">
            <w:pPr>
              <w:widowControl w:val="0"/>
              <w:spacing w:before="120" w:after="120"/>
              <w:ind w:left="708"/>
              <w:rPr>
                <w:rFonts w:ascii="Tahoma" w:hAnsi="Tahoma" w:cs="Tahoma"/>
                <w:sz w:val="22"/>
                <w:szCs w:val="22"/>
              </w:rPr>
            </w:pPr>
          </w:p>
          <w:p w:rsidR="00A42E81" w:rsidRPr="00A42E81" w:rsidRDefault="00A42E81" w:rsidP="00A42E81">
            <w:pPr>
              <w:widowControl w:val="0"/>
              <w:spacing w:before="120" w:after="120"/>
              <w:ind w:left="708"/>
              <w:rPr>
                <w:rFonts w:ascii="Tahoma" w:hAnsi="Tahoma" w:cs="Tahoma"/>
                <w:sz w:val="22"/>
                <w:szCs w:val="22"/>
              </w:rPr>
            </w:pPr>
            <w:r w:rsidRPr="00A42E81">
              <w:rPr>
                <w:rFonts w:ascii="Tahoma" w:hAnsi="Tahoma" w:cs="Tahoma"/>
                <w:sz w:val="22"/>
              </w:rPr>
              <w:t>By the Moscow Exchange Executive Board</w:t>
            </w:r>
          </w:p>
          <w:p w:rsidR="00A42E81" w:rsidRPr="00A42E81" w:rsidRDefault="00A42E81" w:rsidP="00A42E81">
            <w:pPr>
              <w:widowControl w:val="0"/>
              <w:spacing w:before="120" w:after="120"/>
              <w:ind w:left="708"/>
              <w:rPr>
                <w:rFonts w:ascii="Tahoma" w:hAnsi="Tahoma" w:cs="Tahoma"/>
                <w:sz w:val="22"/>
                <w:szCs w:val="22"/>
              </w:rPr>
            </w:pPr>
            <w:r w:rsidRPr="00A42E81">
              <w:rPr>
                <w:rFonts w:ascii="Tahoma" w:hAnsi="Tahoma" w:cs="Tahoma"/>
                <w:sz w:val="22"/>
              </w:rPr>
              <w:t>23 January 2025, Minutes No. 4</w:t>
            </w:r>
          </w:p>
          <w:p w:rsidR="00A42E81" w:rsidRPr="00A42E81" w:rsidRDefault="00A42E81" w:rsidP="00A42E81">
            <w:pPr>
              <w:widowControl w:val="0"/>
              <w:spacing w:before="120" w:after="120"/>
              <w:ind w:left="708"/>
              <w:rPr>
                <w:rFonts w:ascii="Tahoma" w:hAnsi="Tahoma" w:cs="Tahoma"/>
                <w:sz w:val="22"/>
                <w:szCs w:val="22"/>
              </w:rPr>
            </w:pPr>
          </w:p>
          <w:p w:rsidR="00A42E81" w:rsidRPr="00A42E81" w:rsidRDefault="00A42E81" w:rsidP="00A42E81">
            <w:pPr>
              <w:widowControl w:val="0"/>
              <w:spacing w:before="120" w:after="120"/>
              <w:ind w:left="708"/>
              <w:rPr>
                <w:rFonts w:ascii="Tahoma" w:hAnsi="Tahoma" w:cs="Tahoma"/>
                <w:sz w:val="22"/>
              </w:rPr>
            </w:pPr>
            <w:r w:rsidRPr="00A42E81">
              <w:rPr>
                <w:rFonts w:ascii="Tahoma" w:hAnsi="Tahoma" w:cs="Tahoma"/>
                <w:sz w:val="22"/>
              </w:rPr>
              <w:t xml:space="preserve">___________________ V. </w:t>
            </w:r>
            <w:proofErr w:type="spellStart"/>
            <w:r w:rsidRPr="00A42E81">
              <w:rPr>
                <w:rFonts w:ascii="Tahoma" w:hAnsi="Tahoma" w:cs="Tahoma"/>
                <w:sz w:val="22"/>
              </w:rPr>
              <w:t>Zhidkov</w:t>
            </w:r>
            <w:proofErr w:type="spellEnd"/>
            <w:r w:rsidRPr="00A42E81">
              <w:rPr>
                <w:rFonts w:ascii="Tahoma" w:hAnsi="Tahoma" w:cs="Tahoma"/>
                <w:sz w:val="22"/>
              </w:rPr>
              <w:t xml:space="preserve"> </w:t>
            </w:r>
          </w:p>
          <w:p w:rsidR="00A42E81" w:rsidRPr="00A42E81" w:rsidRDefault="00A42E81" w:rsidP="00A42E81">
            <w:pPr>
              <w:widowControl w:val="0"/>
              <w:spacing w:before="120" w:after="120"/>
              <w:ind w:left="708"/>
              <w:rPr>
                <w:rFonts w:ascii="Tahoma" w:hAnsi="Tahoma" w:cs="Tahoma"/>
                <w:sz w:val="22"/>
                <w:szCs w:val="22"/>
              </w:rPr>
            </w:pPr>
            <w:r w:rsidRPr="00A42E81">
              <w:rPr>
                <w:rFonts w:ascii="Tahoma" w:hAnsi="Tahoma" w:cs="Tahoma"/>
                <w:sz w:val="22"/>
              </w:rPr>
              <w:t>CEO of Moscow Exchange</w:t>
            </w:r>
          </w:p>
          <w:p w:rsidR="00A42E81" w:rsidRPr="00A42E81" w:rsidRDefault="00A42E81" w:rsidP="00A42E81">
            <w:pPr>
              <w:widowControl w:val="0"/>
              <w:spacing w:before="120" w:after="120"/>
              <w:ind w:left="708"/>
              <w:rPr>
                <w:rFonts w:ascii="Tahoma" w:hAnsi="Tahoma" w:cs="Tahoma"/>
                <w:sz w:val="22"/>
                <w:szCs w:val="22"/>
              </w:rPr>
            </w:pPr>
          </w:p>
          <w:p w:rsidR="00A42E81" w:rsidRPr="00A42E81" w:rsidRDefault="00A42E81" w:rsidP="00A42E81">
            <w:pPr>
              <w:pStyle w:val="Iauiue"/>
              <w:spacing w:before="120" w:after="120"/>
              <w:rPr>
                <w:rFonts w:ascii="Tahoma" w:hAnsi="Tahoma" w:cs="Tahoma"/>
                <w:b/>
                <w:sz w:val="22"/>
                <w:szCs w:val="22"/>
                <w:lang w:val="en-US"/>
              </w:rPr>
            </w:pPr>
          </w:p>
        </w:tc>
      </w:tr>
    </w:tbl>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Default="00A42E81" w:rsidP="00A42E81">
      <w:pPr>
        <w:spacing w:before="120" w:after="120"/>
        <w:jc w:val="center"/>
        <w:rPr>
          <w:rFonts w:ascii="Tahoma" w:hAnsi="Tahoma" w:cs="Tahoma"/>
          <w:b/>
        </w:rPr>
      </w:pPr>
      <w:r w:rsidRPr="00A42E81">
        <w:rPr>
          <w:rFonts w:ascii="Tahoma" w:hAnsi="Tahoma" w:cs="Tahoma"/>
          <w:b/>
        </w:rPr>
        <w:t xml:space="preserve">MOEX RUSFAR </w:t>
      </w:r>
      <w:r w:rsidR="00972A42" w:rsidRPr="00972A42">
        <w:rPr>
          <w:rFonts w:ascii="Tahoma" w:hAnsi="Tahoma" w:cs="Tahoma"/>
          <w:b/>
        </w:rPr>
        <w:t xml:space="preserve">Accrued </w:t>
      </w:r>
      <w:r w:rsidR="00972A42">
        <w:rPr>
          <w:rFonts w:ascii="Tahoma" w:hAnsi="Tahoma" w:cs="Tahoma"/>
          <w:b/>
          <w:lang w:val="en-US"/>
        </w:rPr>
        <w:t>Y</w:t>
      </w:r>
      <w:proofErr w:type="spellStart"/>
      <w:r w:rsidR="00972A42" w:rsidRPr="00972A42">
        <w:rPr>
          <w:rFonts w:ascii="Tahoma" w:hAnsi="Tahoma" w:cs="Tahoma"/>
          <w:b/>
        </w:rPr>
        <w:t>ield</w:t>
      </w:r>
      <w:proofErr w:type="spellEnd"/>
      <w:r w:rsidR="00972A42" w:rsidRPr="00972A42">
        <w:rPr>
          <w:rFonts w:ascii="Tahoma" w:hAnsi="Tahoma" w:cs="Tahoma"/>
          <w:b/>
        </w:rPr>
        <w:t xml:space="preserve"> </w:t>
      </w:r>
      <w:r w:rsidRPr="00A42E81">
        <w:rPr>
          <w:rFonts w:ascii="Tahoma" w:hAnsi="Tahoma" w:cs="Tahoma"/>
          <w:b/>
        </w:rPr>
        <w:t xml:space="preserve">Indices </w:t>
      </w:r>
    </w:p>
    <w:p w:rsidR="00A42E81" w:rsidRPr="00A42E81" w:rsidRDefault="00A42E81" w:rsidP="00A42E81">
      <w:pPr>
        <w:spacing w:before="120" w:after="120"/>
        <w:jc w:val="center"/>
        <w:rPr>
          <w:rFonts w:ascii="Tahoma" w:hAnsi="Tahoma" w:cs="Tahoma"/>
          <w:b/>
        </w:rPr>
      </w:pPr>
      <w:r w:rsidRPr="00A42E81">
        <w:rPr>
          <w:rFonts w:ascii="Tahoma" w:hAnsi="Tahoma" w:cs="Tahoma"/>
          <w:b/>
        </w:rPr>
        <w:t>Calculation Methodology</w:t>
      </w: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spacing w:before="120" w:after="120"/>
        <w:rPr>
          <w:rFonts w:ascii="Tahoma" w:hAnsi="Tahoma" w:cs="Tahoma"/>
          <w:sz w:val="22"/>
          <w:szCs w:val="22"/>
        </w:rPr>
      </w:pPr>
    </w:p>
    <w:p w:rsidR="00A42E81" w:rsidRPr="00A42E81" w:rsidRDefault="00A42E81" w:rsidP="00A42E81">
      <w:pPr>
        <w:pStyle w:val="a3"/>
        <w:spacing w:before="120"/>
        <w:jc w:val="center"/>
        <w:rPr>
          <w:rFonts w:ascii="Tahoma" w:hAnsi="Tahoma" w:cs="Tahoma"/>
        </w:rPr>
      </w:pPr>
      <w:r w:rsidRPr="00A42E81">
        <w:rPr>
          <w:rFonts w:ascii="Tahoma" w:hAnsi="Tahoma" w:cs="Tahoma"/>
          <w:sz w:val="22"/>
        </w:rPr>
        <w:t>MOSCOW EXCHANGE 2025</w:t>
      </w:r>
      <w:r w:rsidRPr="00A42E81">
        <w:rPr>
          <w:rFonts w:ascii="Tahoma" w:hAnsi="Tahoma" w:cs="Tahoma"/>
        </w:rPr>
        <w:br w:type="page"/>
      </w:r>
    </w:p>
    <w:p w:rsidR="00A42E81" w:rsidRPr="00A42E81" w:rsidRDefault="00A42E81" w:rsidP="00A42E81">
      <w:pPr>
        <w:pStyle w:val="3"/>
        <w:spacing w:beforeLines="50" w:after="120"/>
        <w:ind w:left="360"/>
        <w:rPr>
          <w:rFonts w:ascii="Tahoma" w:hAnsi="Tahoma" w:cs="Tahoma"/>
          <w:sz w:val="22"/>
          <w:szCs w:val="22"/>
        </w:rPr>
      </w:pPr>
      <w:bookmarkStart w:id="0" w:name="_Toc2697175"/>
      <w:bookmarkStart w:id="1" w:name="_Toc2697838"/>
      <w:bookmarkEnd w:id="0"/>
      <w:bookmarkEnd w:id="1"/>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 xml:space="preserve">This Methodology defines the procedure for calculation by Public Joint Stock Company Moscow Exchange MICEX-RTS (the "Exchange" or "MOEX") of the RUSFAR </w:t>
      </w:r>
      <w:r w:rsidR="00972A42" w:rsidRPr="00972A42">
        <w:rPr>
          <w:rFonts w:ascii="Tahoma" w:hAnsi="Tahoma" w:cs="Tahoma"/>
          <w:sz w:val="22"/>
        </w:rPr>
        <w:t xml:space="preserve">Accrued Yield </w:t>
      </w:r>
      <w:r w:rsidRPr="00A42E81">
        <w:rPr>
          <w:rFonts w:ascii="Tahoma" w:hAnsi="Tahoma" w:cs="Tahoma"/>
          <w:sz w:val="22"/>
        </w:rPr>
        <w:t>Indices (the "Indices") based on information about the values of RUSFAR, the benchmarks of the market for repo with central counterparty, calculated by MOEX.</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This Methodology, as well as all amendments and additions thereto, shall be approved by the Exchange and shall come into effect on a date determined by the Exchange.</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The names of the Indices, the RUSFAR benchmarks used to calculate the Indices (the "RUSFAR Benchmarks") and the currency in which the Indices are calculated are given in Appendix 1 to the Methodology.</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 xml:space="preserve">This Methodology as amended from time to time is subject to recommendations of the Repo and Securities Lending Committee of the Exchange. </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Activities related to the construction and calculation of Indices and changes in this methodology are based on a set of administrative principles and rules described in the Moscow Exchange's Index Management Policy.</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The text of the approved Methodology is published by the Exchange no later than three business days before its effective date, unless otherwise determined by a decision of the authorised body of the Exchange.</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rsidR="00A42E81" w:rsidRPr="00A42E81" w:rsidRDefault="00A42E81" w:rsidP="00A42E81">
      <w:pPr>
        <w:pStyle w:val="3"/>
        <w:numPr>
          <w:ilvl w:val="0"/>
          <w:numId w:val="1"/>
        </w:numPr>
        <w:spacing w:beforeLines="50" w:after="120"/>
        <w:rPr>
          <w:rFonts w:ascii="Tahoma" w:hAnsi="Tahoma" w:cs="Tahoma"/>
          <w:sz w:val="22"/>
          <w:szCs w:val="22"/>
        </w:rPr>
      </w:pPr>
      <w:bookmarkStart w:id="2" w:name="_Toc182505892"/>
      <w:bookmarkStart w:id="3" w:name="_Toc182505893"/>
      <w:bookmarkStart w:id="4" w:name="_Toc182505894"/>
      <w:bookmarkStart w:id="5" w:name="_Toc182505895"/>
      <w:bookmarkStart w:id="6" w:name="_Toc182505896"/>
      <w:bookmarkStart w:id="7" w:name="_Toc182505897"/>
      <w:bookmarkStart w:id="8" w:name="_Toc182505898"/>
      <w:bookmarkStart w:id="9" w:name="_Toc182505899"/>
      <w:bookmarkStart w:id="10" w:name="_Toc182505900"/>
      <w:bookmarkStart w:id="11" w:name="_Toc182505901"/>
      <w:bookmarkStart w:id="12" w:name="_Toc182505902"/>
      <w:bookmarkStart w:id="13" w:name="_Toc182505903"/>
      <w:bookmarkStart w:id="14" w:name="_Toc182505904"/>
      <w:bookmarkStart w:id="15" w:name="_Toc182505905"/>
      <w:bookmarkStart w:id="16" w:name="_Toc2697791"/>
      <w:bookmarkStart w:id="17" w:name="_Toc2697841"/>
      <w:bookmarkStart w:id="18" w:name="_Toc403741514"/>
      <w:bookmarkStart w:id="19" w:name="_Toc403742084"/>
      <w:bookmarkStart w:id="20" w:name="_Toc403742357"/>
      <w:bookmarkStart w:id="21" w:name="_Toc403743417"/>
      <w:bookmarkStart w:id="22" w:name="п_2_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A42E81">
        <w:rPr>
          <w:rFonts w:ascii="Tahoma" w:hAnsi="Tahoma" w:cs="Tahoma"/>
          <w:sz w:val="22"/>
        </w:rPr>
        <w:t>The Indices are calculated using the following formula:</w:t>
      </w:r>
    </w:p>
    <w:p w:rsidR="00A42E81" w:rsidRPr="00A42E81" w:rsidRDefault="00A42E81" w:rsidP="00A42E81">
      <w:pPr>
        <w:spacing w:before="120" w:after="120"/>
        <w:jc w:val="both"/>
        <w:rPr>
          <w:rStyle w:val="ac"/>
          <w:rFonts w:ascii="Tahoma" w:hAnsi="Tahoma" w:cs="Tahoma"/>
          <w:sz w:val="22"/>
          <w:szCs w:val="22"/>
        </w:rPr>
      </w:pPr>
    </w:p>
    <w:p w:rsidR="00A42E81" w:rsidRPr="00A42E81" w:rsidRDefault="00972A42" w:rsidP="00A42E81">
      <w:pPr>
        <w:spacing w:before="120" w:after="120"/>
        <w:ind w:left="972"/>
        <w:jc w:val="center"/>
        <w:rPr>
          <w:rFonts w:ascii="Tahoma" w:hAnsi="Tahoma" w:cs="Tahoma"/>
          <w:sz w:val="22"/>
          <w:szCs w:val="22"/>
        </w:rPr>
      </w:pPr>
      <m:oMathPara>
        <m:oMath>
          <m:sSub>
            <m:sSubPr>
              <m:ctrlPr>
                <w:rPr>
                  <w:rFonts w:ascii="Cambria Math" w:hAnsi="Cambria Math" w:cs="Tahoma"/>
                  <w:i/>
                  <w:sz w:val="22"/>
                  <w:szCs w:val="22"/>
                  <w:lang w:val="en-US"/>
                </w:rPr>
              </m:ctrlPr>
            </m:sSubPr>
            <m:e>
              <m:r>
                <w:rPr>
                  <w:rFonts w:ascii="Cambria Math" w:hAnsi="Cambria Math" w:cs="Tahoma"/>
                  <w:sz w:val="22"/>
                  <w:szCs w:val="22"/>
                  <w:lang w:val="en-US"/>
                </w:rPr>
                <m:t>PI</m:t>
              </m:r>
            </m:e>
            <m:sub>
              <m:r>
                <w:rPr>
                  <w:rFonts w:ascii="Cambria Math" w:hAnsi="Cambria Math" w:cs="Tahoma"/>
                  <w:sz w:val="22"/>
                  <w:szCs w:val="22"/>
                  <w:lang w:val="en-US"/>
                </w:rPr>
                <m:t>n</m:t>
              </m:r>
            </m:sub>
          </m:sSub>
          <m:r>
            <w:rPr>
              <w:rFonts w:ascii="Cambria Math" w:hAnsi="Cambria Math" w:cs="Tahoma"/>
              <w:sz w:val="22"/>
              <w:szCs w:val="22"/>
            </w:rPr>
            <m:t>=</m:t>
          </m:r>
          <m:sSub>
            <m:sSubPr>
              <m:ctrlPr>
                <w:rPr>
                  <w:rFonts w:ascii="Cambria Math" w:hAnsi="Cambria Math" w:cs="Tahoma"/>
                  <w:i/>
                  <w:sz w:val="22"/>
                  <w:szCs w:val="22"/>
                  <w:lang w:val="en-US"/>
                </w:rPr>
              </m:ctrlPr>
            </m:sSubPr>
            <m:e>
              <m:r>
                <w:rPr>
                  <w:rFonts w:ascii="Cambria Math" w:hAnsi="Cambria Math" w:cs="Tahoma"/>
                  <w:sz w:val="22"/>
                  <w:szCs w:val="22"/>
                </w:rPr>
                <m:t>P</m:t>
              </m:r>
              <m:r>
                <w:rPr>
                  <w:rFonts w:ascii="Cambria Math" w:hAnsi="Cambria Math" w:cs="Tahoma"/>
                  <w:sz w:val="22"/>
                  <w:szCs w:val="22"/>
                  <w:lang w:val="en-US"/>
                </w:rPr>
                <m:t>I</m:t>
              </m:r>
            </m:e>
            <m:sub>
              <m:r>
                <w:rPr>
                  <w:rFonts w:ascii="Cambria Math" w:hAnsi="Cambria Math" w:cs="Tahoma"/>
                  <w:sz w:val="22"/>
                  <w:szCs w:val="22"/>
                  <w:lang w:val="en-US"/>
                </w:rPr>
                <m:t>n-1</m:t>
              </m:r>
            </m:sub>
          </m:sSub>
          <m:r>
            <w:rPr>
              <w:rFonts w:ascii="Cambria Math" w:hAnsi="Cambria Math" w:cs="Tahoma"/>
              <w:sz w:val="22"/>
              <w:szCs w:val="22"/>
            </w:rPr>
            <m:t xml:space="preserve"> ∙(1+</m:t>
          </m:r>
          <m:sSub>
            <m:sSubPr>
              <m:ctrlPr>
                <w:rPr>
                  <w:rFonts w:ascii="Cambria Math" w:hAnsi="Cambria Math" w:cs="Tahoma"/>
                  <w:i/>
                  <w:sz w:val="22"/>
                  <w:szCs w:val="22"/>
                  <w:lang w:val="en-US"/>
                </w:rPr>
              </m:ctrlPr>
            </m:sSubPr>
            <m:e>
              <m:r>
                <w:rPr>
                  <w:rFonts w:ascii="Cambria Math" w:hAnsi="Cambria Math" w:cs="Tahoma"/>
                  <w:sz w:val="22"/>
                  <w:szCs w:val="22"/>
                  <w:lang w:val="en-US"/>
                </w:rPr>
                <m:t>RUSFAR</m:t>
              </m:r>
            </m:e>
            <m:sub>
              <m:r>
                <w:rPr>
                  <w:rFonts w:ascii="Cambria Math" w:hAnsi="Cambria Math" w:cs="Tahoma"/>
                  <w:sz w:val="22"/>
                  <w:szCs w:val="22"/>
                  <w:lang w:val="en-US"/>
                </w:rPr>
                <m:t>n-1</m:t>
              </m:r>
            </m:sub>
          </m:sSub>
          <m:r>
            <w:rPr>
              <w:rFonts w:ascii="Cambria Math" w:hAnsi="Cambria Math" w:cs="Tahoma"/>
              <w:sz w:val="22"/>
              <w:szCs w:val="22"/>
            </w:rPr>
            <m:t>∙</m:t>
          </m:r>
          <m:d>
            <m:dPr>
              <m:ctrlPr>
                <w:rPr>
                  <w:rFonts w:ascii="Cambria Math" w:hAnsi="Cambria Math" w:cs="Tahoma"/>
                  <w:i/>
                  <w:sz w:val="22"/>
                  <w:szCs w:val="22"/>
                </w:rPr>
              </m:ctrlPr>
            </m:dPr>
            <m:e>
              <w:bookmarkStart w:id="23" w:name="_Hlk182544466"/>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D</m:t>
                      </m:r>
                    </m:e>
                    <m:sub>
                      <m:r>
                        <w:rPr>
                          <w:rFonts w:ascii="Cambria Math" w:hAnsi="Cambria Math" w:cs="Tahoma"/>
                          <w:sz w:val="22"/>
                          <w:szCs w:val="22"/>
                        </w:rPr>
                        <m:t>norm</m:t>
                      </m:r>
                    </m:sub>
                  </m:sSub>
                </m:num>
                <m:den>
                  <m:r>
                    <w:rPr>
                      <w:rFonts w:ascii="Cambria Math" w:hAnsi="Cambria Math" w:cs="Tahoma"/>
                      <w:sz w:val="22"/>
                      <w:szCs w:val="22"/>
                    </w:rPr>
                    <m:t>365</m:t>
                  </m:r>
                </m:den>
              </m:f>
              <w:bookmarkEnd w:id="23"/>
              <m:r>
                <w:rPr>
                  <w:rFonts w:ascii="Cambria Math" w:hAnsi="Cambria Math" w:cs="Tahoma"/>
                  <w:sz w:val="22"/>
                  <w:szCs w:val="22"/>
                </w:rPr>
                <m:t>+</m:t>
              </m:r>
              <m:f>
                <m:fPr>
                  <m:ctrlPr>
                    <w:rPr>
                      <w:rFonts w:ascii="Cambria Math" w:hAnsi="Cambria Math" w:cs="Tahoma"/>
                      <w:i/>
                      <w:sz w:val="22"/>
                      <w:szCs w:val="22"/>
                    </w:rPr>
                  </m:ctrlPr>
                </m:fPr>
                <m:num>
                  <m:sSub>
                    <m:sSubPr>
                      <m:ctrlPr>
                        <w:rPr>
                          <w:rFonts w:ascii="Cambria Math" w:hAnsi="Cambria Math" w:cs="Tahoma"/>
                          <w:i/>
                          <w:sz w:val="22"/>
                          <w:szCs w:val="22"/>
                        </w:rPr>
                      </m:ctrlPr>
                    </m:sSubPr>
                    <m:e>
                      <m:r>
                        <w:rPr>
                          <w:rFonts w:ascii="Cambria Math" w:hAnsi="Cambria Math" w:cs="Tahoma"/>
                          <w:sz w:val="22"/>
                          <w:szCs w:val="22"/>
                        </w:rPr>
                        <m:t>D</m:t>
                      </m:r>
                    </m:e>
                    <m:sub>
                      <m:r>
                        <w:rPr>
                          <w:rFonts w:ascii="Cambria Math" w:hAnsi="Cambria Math" w:cs="Tahoma"/>
                          <w:sz w:val="22"/>
                          <w:szCs w:val="22"/>
                          <w:lang w:val="en-US"/>
                        </w:rPr>
                        <m:t>leap</m:t>
                      </m:r>
                    </m:sub>
                  </m:sSub>
                </m:num>
                <m:den>
                  <m:r>
                    <w:rPr>
                      <w:rFonts w:ascii="Cambria Math" w:hAnsi="Cambria Math" w:cs="Tahoma"/>
                      <w:sz w:val="22"/>
                      <w:szCs w:val="22"/>
                    </w:rPr>
                    <m:t>366</m:t>
                  </m:r>
                </m:den>
              </m:f>
              <m:r>
                <w:rPr>
                  <w:rFonts w:ascii="Cambria Math" w:hAnsi="Cambria Math" w:cs="Tahoma"/>
                  <w:sz w:val="22"/>
                  <w:szCs w:val="22"/>
                </w:rPr>
                <m:t xml:space="preserve"> </m:t>
              </m:r>
            </m:e>
          </m:d>
          <m:r>
            <w:rPr>
              <w:rFonts w:ascii="Cambria Math" w:hAnsi="Cambria Math" w:cs="Tahoma"/>
              <w:sz w:val="22"/>
              <w:szCs w:val="22"/>
            </w:rPr>
            <m:t>)</m:t>
          </m:r>
        </m:oMath>
      </m:oMathPara>
    </w:p>
    <w:p w:rsidR="00A42E81" w:rsidRPr="00A42E81" w:rsidRDefault="00A42E81" w:rsidP="00A42E81">
      <w:pPr>
        <w:pStyle w:val="aa"/>
        <w:spacing w:before="120"/>
        <w:rPr>
          <w:rFonts w:cs="Tahoma"/>
          <w:sz w:val="22"/>
          <w:szCs w:val="22"/>
        </w:rPr>
      </w:pPr>
      <w:r w:rsidRPr="00A42E81">
        <w:rPr>
          <w:rFonts w:cs="Tahoma"/>
          <w:sz w:val="22"/>
        </w:rPr>
        <w:t>where:</w:t>
      </w:r>
    </w:p>
    <w:p w:rsidR="00A42E81" w:rsidRPr="00A42E81" w:rsidRDefault="00A42E81" w:rsidP="00A42E81">
      <w:pPr>
        <w:pStyle w:val="aa"/>
        <w:spacing w:before="120"/>
        <w:rPr>
          <w:rFonts w:cs="Tahoma"/>
          <w:sz w:val="22"/>
          <w:szCs w:val="22"/>
        </w:rPr>
      </w:pPr>
      <w:proofErr w:type="spellStart"/>
      <w:r w:rsidRPr="00A42E81">
        <w:rPr>
          <w:rFonts w:cs="Tahoma"/>
          <w:sz w:val="22"/>
        </w:rPr>
        <w:t>PI</w:t>
      </w:r>
      <w:r w:rsidRPr="00A42E81">
        <w:rPr>
          <w:rFonts w:cs="Tahoma"/>
          <w:sz w:val="22"/>
          <w:vertAlign w:val="subscript"/>
        </w:rPr>
        <w:t>n</w:t>
      </w:r>
      <w:proofErr w:type="spellEnd"/>
      <w:r w:rsidRPr="00A42E81">
        <w:rPr>
          <w:rFonts w:cs="Tahoma"/>
          <w:sz w:val="22"/>
        </w:rPr>
        <w:t xml:space="preserve"> is the Index value on Day n, expressed in the Index currency;</w:t>
      </w:r>
    </w:p>
    <w:p w:rsidR="00A42E81" w:rsidRPr="00A42E81" w:rsidRDefault="00A42E81" w:rsidP="00A42E81">
      <w:pPr>
        <w:pStyle w:val="aa"/>
        <w:spacing w:before="120"/>
        <w:rPr>
          <w:rFonts w:cs="Tahoma"/>
          <w:sz w:val="22"/>
          <w:szCs w:val="22"/>
        </w:rPr>
      </w:pPr>
      <w:r w:rsidRPr="00A42E81">
        <w:rPr>
          <w:rFonts w:cs="Tahoma"/>
          <w:sz w:val="22"/>
        </w:rPr>
        <w:t>P</w:t>
      </w:r>
      <w:r w:rsidRPr="00A42E81">
        <w:rPr>
          <w:rFonts w:cs="Tahoma"/>
          <w:sz w:val="22"/>
          <w:vertAlign w:val="subscript"/>
        </w:rPr>
        <w:t>n-1</w:t>
      </w:r>
      <w:r w:rsidRPr="00A42E81">
        <w:rPr>
          <w:rFonts w:cs="Tahoma"/>
          <w:sz w:val="22"/>
        </w:rPr>
        <w:t xml:space="preserve"> he Index value on Day n-1, expressed in the Index currency;</w:t>
      </w:r>
    </w:p>
    <w:p w:rsidR="00A42E81" w:rsidRPr="00A42E81" w:rsidRDefault="00A42E81" w:rsidP="00A42E81">
      <w:pPr>
        <w:pStyle w:val="aa"/>
        <w:spacing w:before="120"/>
        <w:rPr>
          <w:rFonts w:cs="Tahoma"/>
          <w:sz w:val="22"/>
          <w:szCs w:val="22"/>
        </w:rPr>
      </w:pPr>
      <w:r w:rsidRPr="00A42E81">
        <w:rPr>
          <w:rFonts w:cs="Tahoma"/>
          <w:sz w:val="22"/>
        </w:rPr>
        <w:t>RUSFAR</w:t>
      </w:r>
      <w:r w:rsidRPr="00A42E81">
        <w:rPr>
          <w:rFonts w:cs="Tahoma"/>
          <w:sz w:val="22"/>
          <w:vertAlign w:val="subscript"/>
        </w:rPr>
        <w:t>n-1</w:t>
      </w:r>
      <w:r w:rsidRPr="00A42E81">
        <w:rPr>
          <w:rFonts w:cs="Tahoma"/>
          <w:sz w:val="22"/>
        </w:rPr>
        <w:t xml:space="preserve"> is the value of the RUSFAR Benchmark on Day n-1, expressed in hundredths;</w:t>
      </w:r>
    </w:p>
    <w:p w:rsidR="00A42E81" w:rsidRPr="00A42E81" w:rsidRDefault="00A42E81" w:rsidP="00A42E81">
      <w:pPr>
        <w:pStyle w:val="aa"/>
        <w:spacing w:before="120"/>
        <w:rPr>
          <w:rFonts w:cs="Tahoma"/>
          <w:sz w:val="22"/>
          <w:szCs w:val="22"/>
        </w:rPr>
      </w:pPr>
      <w:proofErr w:type="spellStart"/>
      <w:r w:rsidRPr="00A42E81">
        <w:rPr>
          <w:rFonts w:cs="Tahoma"/>
          <w:sz w:val="22"/>
        </w:rPr>
        <w:t>D</w:t>
      </w:r>
      <w:r w:rsidRPr="00A42E81">
        <w:rPr>
          <w:rFonts w:cs="Tahoma"/>
          <w:sz w:val="22"/>
          <w:vertAlign w:val="subscript"/>
        </w:rPr>
        <w:t>norm</w:t>
      </w:r>
      <w:proofErr w:type="spellEnd"/>
      <w:r w:rsidRPr="00A42E81">
        <w:rPr>
          <w:rFonts w:cs="Tahoma"/>
          <w:sz w:val="22"/>
        </w:rPr>
        <w:t xml:space="preserve"> is the number of calendar days from Day n-1 (excluding Day n-1) to Day n (including Day n), referring to a non-leap year;</w:t>
      </w:r>
    </w:p>
    <w:p w:rsidR="00A42E81" w:rsidRPr="00A42E81" w:rsidRDefault="00A42E81" w:rsidP="00A42E81">
      <w:pPr>
        <w:pStyle w:val="aa"/>
        <w:spacing w:before="120"/>
        <w:rPr>
          <w:rFonts w:cs="Tahoma"/>
          <w:sz w:val="22"/>
          <w:szCs w:val="22"/>
        </w:rPr>
      </w:pPr>
      <w:proofErr w:type="spellStart"/>
      <w:r w:rsidRPr="00A42E81">
        <w:rPr>
          <w:rFonts w:cs="Tahoma"/>
          <w:sz w:val="22"/>
        </w:rPr>
        <w:t>D</w:t>
      </w:r>
      <w:r w:rsidRPr="00A42E81">
        <w:rPr>
          <w:rFonts w:cs="Tahoma"/>
          <w:sz w:val="22"/>
          <w:vertAlign w:val="subscript"/>
        </w:rPr>
        <w:t>leap</w:t>
      </w:r>
      <w:proofErr w:type="spellEnd"/>
      <w:r w:rsidRPr="00A42E81">
        <w:rPr>
          <w:rFonts w:cs="Tahoma"/>
          <w:sz w:val="22"/>
        </w:rPr>
        <w:t xml:space="preserve"> is the number of calendar days from Day n-1 (excluding Day n-1) to Day n (including Day n), referring to a leap year;</w:t>
      </w:r>
    </w:p>
    <w:p w:rsidR="00A42E81" w:rsidRPr="00A42E81" w:rsidRDefault="00A42E81" w:rsidP="00A42E81">
      <w:pPr>
        <w:pStyle w:val="aa"/>
        <w:spacing w:before="120"/>
        <w:rPr>
          <w:rFonts w:cs="Tahoma"/>
          <w:sz w:val="22"/>
          <w:szCs w:val="22"/>
        </w:rPr>
      </w:pPr>
    </w:p>
    <w:bookmarkEnd w:id="22"/>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The index values are accurate to two decimal places.</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 xml:space="preserve">Indices are calculated every day that is a calculation day for RUSFAR Benchmarks. </w:t>
      </w:r>
      <w:bookmarkStart w:id="24" w:name="_Toc2697181"/>
      <w:bookmarkStart w:id="25" w:name="_Toc2697348"/>
      <w:bookmarkStart w:id="26" w:name="_Toc2697794"/>
      <w:bookmarkStart w:id="27" w:name="_Toc2697844"/>
      <w:bookmarkStart w:id="28" w:name="_Toc2697182"/>
      <w:bookmarkStart w:id="29" w:name="_Toc2697349"/>
      <w:bookmarkStart w:id="30" w:name="_Toc2697795"/>
      <w:bookmarkStart w:id="31" w:name="_Toc2697845"/>
      <w:bookmarkStart w:id="32" w:name="_Toc2697184"/>
      <w:bookmarkStart w:id="33" w:name="_Toc2697351"/>
      <w:bookmarkStart w:id="34" w:name="_Toc2697797"/>
      <w:bookmarkStart w:id="35" w:name="_Toc2697847"/>
      <w:bookmarkStart w:id="36" w:name="_Toc2697186"/>
      <w:bookmarkStart w:id="37" w:name="_Toc2697353"/>
      <w:bookmarkStart w:id="38" w:name="_Toc2697799"/>
      <w:bookmarkStart w:id="39" w:name="_Toc2697849"/>
      <w:bookmarkStart w:id="40" w:name="_Toc2697192"/>
      <w:bookmarkStart w:id="41" w:name="_Toc2697359"/>
      <w:bookmarkStart w:id="42" w:name="_Toc2697805"/>
      <w:bookmarkStart w:id="43" w:name="_Toc2697855"/>
      <w:bookmarkStart w:id="44" w:name="_Toc2697193"/>
      <w:bookmarkStart w:id="45" w:name="_Toc2697360"/>
      <w:bookmarkStart w:id="46" w:name="_Toc2697806"/>
      <w:bookmarkStart w:id="47" w:name="_Toc2697856"/>
      <w:bookmarkStart w:id="48" w:name="_Toc2697194"/>
      <w:bookmarkStart w:id="49" w:name="_Toc2697361"/>
      <w:bookmarkStart w:id="50" w:name="_Toc2697807"/>
      <w:bookmarkStart w:id="51" w:name="_Toc2697857"/>
      <w:bookmarkStart w:id="52" w:name="_Toc2697195"/>
      <w:bookmarkStart w:id="53" w:name="_Toc2697362"/>
      <w:bookmarkStart w:id="54" w:name="_Toc2697808"/>
      <w:bookmarkStart w:id="55" w:name="_Toc2697858"/>
      <w:bookmarkStart w:id="56" w:name="п_4_7"/>
      <w:bookmarkStart w:id="57" w:name="_Ref1817743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A42E81">
        <w:rPr>
          <w:rFonts w:ascii="Tahoma" w:hAnsi="Tahoma" w:cs="Tahoma"/>
          <w:sz w:val="22"/>
        </w:rPr>
        <w:t>If there are no RUSFAR Benchmarks values or reserve RUSFAR Benchmarks values available on the calculation day, the Index values are not calculated.</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In the event of a technical malfunction in the calculation of the Indices or the RUSFAR Benchmarks used to calculate the Indices, resulting in a distortion of the data used to calculate the Indices or the RUSFAR Benchmarks, the previously calculated values of the Indices may be recalculated. This recalculation is carried out as soon as possible after the technical failure has been detected. In the event of a recalculation, a notice is published on the official website of the Exchange.</w:t>
      </w:r>
    </w:p>
    <w:p w:rsidR="00A42E81" w:rsidRPr="00A42E81" w:rsidRDefault="00A42E81" w:rsidP="00A42E81">
      <w:pPr>
        <w:pStyle w:val="3"/>
        <w:numPr>
          <w:ilvl w:val="0"/>
          <w:numId w:val="1"/>
        </w:numPr>
        <w:spacing w:beforeLines="50" w:after="120"/>
        <w:rPr>
          <w:rFonts w:ascii="Tahoma" w:hAnsi="Tahoma" w:cs="Tahoma"/>
          <w:sz w:val="22"/>
          <w:szCs w:val="22"/>
        </w:rPr>
      </w:pPr>
      <w:bookmarkStart w:id="58" w:name="_Toc372540155"/>
      <w:bookmarkStart w:id="59" w:name="_Toc372540156"/>
      <w:bookmarkEnd w:id="56"/>
      <w:bookmarkEnd w:id="57"/>
      <w:bookmarkEnd w:id="58"/>
      <w:bookmarkEnd w:id="59"/>
      <w:r w:rsidRPr="00A42E81">
        <w:rPr>
          <w:rFonts w:ascii="Tahoma" w:hAnsi="Tahoma" w:cs="Tahoma"/>
          <w:sz w:val="22"/>
        </w:rPr>
        <w:t>Information on the Index values for the previous calculation day is published on each calculation day of the RUSFAR Indicators no later than 12:00 Moscow time.</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lastRenderedPageBreak/>
        <w:t>Archived information on Index values for the whole calculation period is published on the official website of the Exchange.</w:t>
      </w:r>
    </w:p>
    <w:p w:rsidR="00A42E81" w:rsidRPr="00A42E81" w:rsidRDefault="00A42E81" w:rsidP="00A42E81">
      <w:pPr>
        <w:pStyle w:val="3"/>
        <w:numPr>
          <w:ilvl w:val="0"/>
          <w:numId w:val="1"/>
        </w:numPr>
        <w:spacing w:beforeLines="50" w:after="120"/>
        <w:rPr>
          <w:rFonts w:ascii="Tahoma" w:hAnsi="Tahoma" w:cs="Tahoma"/>
          <w:sz w:val="22"/>
          <w:szCs w:val="22"/>
        </w:rPr>
      </w:pPr>
      <w:r w:rsidRPr="00A42E81">
        <w:rPr>
          <w:rFonts w:ascii="Tahoma" w:hAnsi="Tahoma" w:cs="Tahoma"/>
          <w:sz w:val="22"/>
        </w:rPr>
        <w:t>The information that must be published on the official website of the Exchange in accordance with this Methodology may also be disseminated through other means, including information agencies that disseminate MOEX market data.</w:t>
      </w:r>
    </w:p>
    <w:p w:rsidR="00A42E81" w:rsidRPr="00A42E81" w:rsidRDefault="00A42E81" w:rsidP="00A42E81">
      <w:pPr>
        <w:spacing w:before="120" w:after="120"/>
        <w:rPr>
          <w:rFonts w:ascii="Tahoma" w:hAnsi="Tahoma" w:cs="Tahoma"/>
          <w:b/>
          <w:sz w:val="22"/>
          <w:szCs w:val="22"/>
        </w:rPr>
      </w:pPr>
    </w:p>
    <w:p w:rsidR="00A42E81" w:rsidRPr="00A42E81" w:rsidRDefault="00A42E81" w:rsidP="00A42E81">
      <w:pPr>
        <w:spacing w:before="120" w:after="120"/>
        <w:rPr>
          <w:rFonts w:ascii="Tahoma" w:hAnsi="Tahoma" w:cs="Tahoma"/>
          <w:b/>
          <w:sz w:val="22"/>
          <w:szCs w:val="22"/>
        </w:rPr>
        <w:sectPr w:rsidR="00A42E81" w:rsidRPr="00A42E81" w:rsidSect="004D5F12">
          <w:footerReference w:type="even" r:id="rId7"/>
          <w:footerReference w:type="default" r:id="rId8"/>
          <w:pgSz w:w="11906" w:h="16838"/>
          <w:pgMar w:top="1077" w:right="1134" w:bottom="1077" w:left="1418" w:header="709" w:footer="709" w:gutter="0"/>
          <w:cols w:space="708"/>
          <w:titlePg/>
          <w:docGrid w:linePitch="360"/>
        </w:sectPr>
      </w:pPr>
    </w:p>
    <w:p w:rsidR="00A42E81" w:rsidRPr="00A42E81" w:rsidRDefault="00A42E81" w:rsidP="00A42E81">
      <w:pPr>
        <w:spacing w:before="120" w:after="120"/>
        <w:jc w:val="right"/>
        <w:rPr>
          <w:rFonts w:ascii="Tahoma" w:hAnsi="Tahoma" w:cs="Tahoma"/>
        </w:rPr>
      </w:pPr>
      <w:r w:rsidRPr="00A42E81">
        <w:rPr>
          <w:rFonts w:ascii="Tahoma" w:hAnsi="Tahoma" w:cs="Tahoma"/>
        </w:rPr>
        <w:lastRenderedPageBreak/>
        <w:t xml:space="preserve">Appendix 1 to the MOEX RUSFAR </w:t>
      </w:r>
      <w:r w:rsidR="00972A42" w:rsidRPr="00972A42">
        <w:rPr>
          <w:rFonts w:ascii="Tahoma" w:hAnsi="Tahoma" w:cs="Tahoma"/>
        </w:rPr>
        <w:t xml:space="preserve">Accrued Yield </w:t>
      </w:r>
      <w:r w:rsidRPr="00A42E81">
        <w:rPr>
          <w:rFonts w:ascii="Tahoma" w:hAnsi="Tahoma" w:cs="Tahoma"/>
        </w:rPr>
        <w:t>Indices Calculation Methodology</w:t>
      </w:r>
    </w:p>
    <w:p w:rsidR="00A42E81" w:rsidRPr="00A42E81" w:rsidRDefault="00A42E81" w:rsidP="00A42E81">
      <w:pPr>
        <w:spacing w:before="120" w:after="120"/>
        <w:jc w:val="right"/>
        <w:rPr>
          <w:rFonts w:ascii="Tahoma" w:hAnsi="Tahoma" w:cs="Tahoma"/>
        </w:rPr>
      </w:pPr>
    </w:p>
    <w:tbl>
      <w:tblPr>
        <w:tblStyle w:val="a5"/>
        <w:tblW w:w="0" w:type="auto"/>
        <w:tblInd w:w="-289" w:type="dxa"/>
        <w:tblLook w:val="04A0" w:firstRow="1" w:lastRow="0" w:firstColumn="1" w:lastColumn="0" w:noHBand="0" w:noVBand="1"/>
      </w:tblPr>
      <w:tblGrid>
        <w:gridCol w:w="1924"/>
        <w:gridCol w:w="2625"/>
        <w:gridCol w:w="2237"/>
        <w:gridCol w:w="2807"/>
        <w:gridCol w:w="1554"/>
        <w:gridCol w:w="1838"/>
        <w:gridCol w:w="1978"/>
      </w:tblGrid>
      <w:tr w:rsidR="00A42E81" w:rsidRPr="00A42E81" w:rsidTr="00372594">
        <w:tc>
          <w:tcPr>
            <w:tcW w:w="1924" w:type="dxa"/>
          </w:tcPr>
          <w:p w:rsidR="00A42E81" w:rsidRPr="00A42E81" w:rsidRDefault="00A42E81" w:rsidP="00A42E81">
            <w:pPr>
              <w:spacing w:beforeLines="50" w:before="120" w:after="120"/>
              <w:jc w:val="both"/>
              <w:rPr>
                <w:rFonts w:ascii="Tahoma" w:hAnsi="Tahoma" w:cs="Tahoma"/>
                <w:b/>
                <w:sz w:val="20"/>
                <w:szCs w:val="20"/>
              </w:rPr>
            </w:pPr>
            <w:r w:rsidRPr="00A42E81">
              <w:rPr>
                <w:rFonts w:ascii="Tahoma" w:hAnsi="Tahoma" w:cs="Tahoma"/>
                <w:b/>
                <w:sz w:val="20"/>
              </w:rPr>
              <w:t>Index code</w:t>
            </w:r>
          </w:p>
        </w:tc>
        <w:tc>
          <w:tcPr>
            <w:tcW w:w="2625" w:type="dxa"/>
          </w:tcPr>
          <w:p w:rsidR="00A42E81" w:rsidRPr="00A42E81" w:rsidRDefault="00A42E81" w:rsidP="00A42E81">
            <w:pPr>
              <w:spacing w:beforeLines="50" w:before="120" w:after="120"/>
              <w:jc w:val="both"/>
              <w:rPr>
                <w:rFonts w:ascii="Tahoma" w:hAnsi="Tahoma" w:cs="Tahoma"/>
                <w:b/>
                <w:sz w:val="20"/>
                <w:szCs w:val="20"/>
              </w:rPr>
            </w:pPr>
            <w:r w:rsidRPr="00A42E81">
              <w:rPr>
                <w:rFonts w:ascii="Tahoma" w:hAnsi="Tahoma" w:cs="Tahoma"/>
                <w:b/>
                <w:sz w:val="20"/>
              </w:rPr>
              <w:t>Name in Russian</w:t>
            </w:r>
          </w:p>
        </w:tc>
        <w:tc>
          <w:tcPr>
            <w:tcW w:w="2237" w:type="dxa"/>
          </w:tcPr>
          <w:p w:rsidR="00A42E81" w:rsidRPr="00A42E81" w:rsidRDefault="00A42E81" w:rsidP="00A42E81">
            <w:pPr>
              <w:spacing w:beforeLines="50" w:before="120" w:after="120"/>
              <w:jc w:val="both"/>
              <w:rPr>
                <w:rFonts w:ascii="Tahoma" w:hAnsi="Tahoma" w:cs="Tahoma"/>
                <w:b/>
                <w:sz w:val="20"/>
                <w:szCs w:val="20"/>
              </w:rPr>
            </w:pPr>
            <w:r w:rsidRPr="00A42E81">
              <w:rPr>
                <w:rFonts w:ascii="Tahoma" w:hAnsi="Tahoma" w:cs="Tahoma"/>
                <w:b/>
                <w:sz w:val="20"/>
              </w:rPr>
              <w:t>Name in English</w:t>
            </w:r>
          </w:p>
        </w:tc>
        <w:tc>
          <w:tcPr>
            <w:tcW w:w="2807" w:type="dxa"/>
          </w:tcPr>
          <w:p w:rsidR="00A42E81" w:rsidRPr="00A42E81" w:rsidRDefault="00A42E81" w:rsidP="00A42E81">
            <w:pPr>
              <w:spacing w:beforeLines="50" w:before="120" w:after="120"/>
              <w:jc w:val="both"/>
              <w:rPr>
                <w:rFonts w:ascii="Tahoma" w:hAnsi="Tahoma" w:cs="Tahoma"/>
                <w:b/>
                <w:sz w:val="20"/>
                <w:szCs w:val="20"/>
              </w:rPr>
            </w:pPr>
            <w:r w:rsidRPr="00A42E81">
              <w:rPr>
                <w:rFonts w:ascii="Tahoma" w:hAnsi="Tahoma" w:cs="Tahoma"/>
                <w:b/>
                <w:sz w:val="20"/>
              </w:rPr>
              <w:t>RUSFAR Benchmark used for calculation</w:t>
            </w:r>
          </w:p>
        </w:tc>
        <w:tc>
          <w:tcPr>
            <w:tcW w:w="1554" w:type="dxa"/>
          </w:tcPr>
          <w:p w:rsidR="00A42E81" w:rsidRPr="00A42E81" w:rsidRDefault="00A42E81" w:rsidP="00A42E81">
            <w:pPr>
              <w:spacing w:beforeLines="50" w:before="120" w:after="120"/>
              <w:jc w:val="both"/>
              <w:rPr>
                <w:rFonts w:ascii="Tahoma" w:hAnsi="Tahoma" w:cs="Tahoma"/>
                <w:b/>
                <w:sz w:val="20"/>
                <w:szCs w:val="20"/>
              </w:rPr>
            </w:pPr>
            <w:r w:rsidRPr="00A42E81">
              <w:rPr>
                <w:rFonts w:ascii="Tahoma" w:hAnsi="Tahoma" w:cs="Tahoma"/>
                <w:b/>
                <w:sz w:val="20"/>
              </w:rPr>
              <w:t>Currency of calculation</w:t>
            </w:r>
          </w:p>
        </w:tc>
        <w:tc>
          <w:tcPr>
            <w:tcW w:w="1838" w:type="dxa"/>
          </w:tcPr>
          <w:p w:rsidR="00A42E81" w:rsidRPr="00A42E81" w:rsidRDefault="00A42E81" w:rsidP="00A42E81">
            <w:pPr>
              <w:spacing w:beforeLines="50" w:before="120" w:after="120"/>
              <w:jc w:val="both"/>
              <w:rPr>
                <w:rFonts w:ascii="Tahoma" w:hAnsi="Tahoma" w:cs="Tahoma"/>
                <w:b/>
                <w:sz w:val="20"/>
                <w:szCs w:val="20"/>
              </w:rPr>
            </w:pPr>
            <w:r w:rsidRPr="00A42E81">
              <w:rPr>
                <w:rFonts w:ascii="Tahoma" w:hAnsi="Tahoma" w:cs="Tahoma"/>
                <w:b/>
                <w:sz w:val="20"/>
              </w:rPr>
              <w:t>Inception</w:t>
            </w:r>
          </w:p>
        </w:tc>
        <w:tc>
          <w:tcPr>
            <w:tcW w:w="1978" w:type="dxa"/>
          </w:tcPr>
          <w:p w:rsidR="00A42E81" w:rsidRPr="00A42E81" w:rsidRDefault="00A42E81" w:rsidP="00A42E81">
            <w:pPr>
              <w:spacing w:beforeLines="50" w:before="120" w:after="120"/>
              <w:jc w:val="both"/>
              <w:rPr>
                <w:rFonts w:ascii="Tahoma" w:hAnsi="Tahoma" w:cs="Tahoma"/>
                <w:b/>
                <w:sz w:val="20"/>
                <w:szCs w:val="20"/>
              </w:rPr>
            </w:pPr>
            <w:r w:rsidRPr="00A42E81">
              <w:rPr>
                <w:rFonts w:ascii="Tahoma" w:hAnsi="Tahoma" w:cs="Tahoma"/>
                <w:b/>
                <w:sz w:val="20"/>
              </w:rPr>
              <w:t>Inception date</w:t>
            </w:r>
          </w:p>
        </w:tc>
      </w:tr>
      <w:tr w:rsidR="00A42E81" w:rsidRPr="00A42E81" w:rsidTr="00372594">
        <w:tc>
          <w:tcPr>
            <w:tcW w:w="1924" w:type="dxa"/>
          </w:tcPr>
          <w:p w:rsidR="00A42E81" w:rsidRPr="00A42E81" w:rsidRDefault="00A42E81" w:rsidP="00A42E81">
            <w:pPr>
              <w:spacing w:beforeLines="50" w:before="120" w:after="120"/>
              <w:jc w:val="both"/>
              <w:rPr>
                <w:rFonts w:ascii="Tahoma" w:hAnsi="Tahoma" w:cs="Tahoma"/>
                <w:sz w:val="20"/>
                <w:szCs w:val="20"/>
              </w:rPr>
            </w:pPr>
            <w:r w:rsidRPr="00A42E81">
              <w:rPr>
                <w:rFonts w:ascii="Tahoma" w:hAnsi="Tahoma" w:cs="Tahoma"/>
                <w:sz w:val="20"/>
              </w:rPr>
              <w:t>RUSFARIND</w:t>
            </w:r>
          </w:p>
        </w:tc>
        <w:tc>
          <w:tcPr>
            <w:tcW w:w="2625" w:type="dxa"/>
          </w:tcPr>
          <w:p w:rsidR="00A42E81" w:rsidRPr="00A42E81" w:rsidRDefault="00A42E81" w:rsidP="00A42E81">
            <w:pPr>
              <w:spacing w:beforeLines="50" w:before="120" w:after="120"/>
              <w:jc w:val="both"/>
              <w:rPr>
                <w:rFonts w:ascii="Tahoma" w:hAnsi="Tahoma" w:cs="Tahoma"/>
                <w:sz w:val="20"/>
                <w:szCs w:val="20"/>
              </w:rPr>
            </w:pPr>
            <w:proofErr w:type="spellStart"/>
            <w:r w:rsidRPr="00A42E81">
              <w:rPr>
                <w:rFonts w:ascii="Tahoma" w:hAnsi="Tahoma" w:cs="Tahoma"/>
                <w:sz w:val="20"/>
              </w:rPr>
              <w:t>Индекс</w:t>
            </w:r>
            <w:proofErr w:type="spellEnd"/>
            <w:r w:rsidRPr="00A42E81">
              <w:rPr>
                <w:rFonts w:ascii="Tahoma" w:hAnsi="Tahoma" w:cs="Tahoma"/>
                <w:sz w:val="20"/>
              </w:rPr>
              <w:t xml:space="preserve"> </w:t>
            </w:r>
            <w:proofErr w:type="spellStart"/>
            <w:r w:rsidRPr="00A42E81">
              <w:rPr>
                <w:rFonts w:ascii="Tahoma" w:hAnsi="Tahoma" w:cs="Tahoma"/>
                <w:sz w:val="20"/>
              </w:rPr>
              <w:t>накопленной</w:t>
            </w:r>
            <w:proofErr w:type="spellEnd"/>
            <w:r w:rsidRPr="00A42E81">
              <w:rPr>
                <w:rFonts w:ascii="Tahoma" w:hAnsi="Tahoma" w:cs="Tahoma"/>
                <w:sz w:val="20"/>
              </w:rPr>
              <w:t xml:space="preserve"> </w:t>
            </w:r>
            <w:proofErr w:type="spellStart"/>
            <w:r w:rsidRPr="00A42E81">
              <w:rPr>
                <w:rFonts w:ascii="Tahoma" w:hAnsi="Tahoma" w:cs="Tahoma"/>
                <w:sz w:val="20"/>
              </w:rPr>
              <w:t>доходности</w:t>
            </w:r>
            <w:proofErr w:type="spellEnd"/>
            <w:r w:rsidRPr="00A42E81">
              <w:rPr>
                <w:rFonts w:ascii="Tahoma" w:hAnsi="Tahoma" w:cs="Tahoma"/>
                <w:sz w:val="20"/>
              </w:rPr>
              <w:t xml:space="preserve"> RUSFAR</w:t>
            </w:r>
          </w:p>
        </w:tc>
        <w:tc>
          <w:tcPr>
            <w:tcW w:w="2237" w:type="dxa"/>
          </w:tcPr>
          <w:p w:rsidR="00A42E81" w:rsidRPr="00A42E81" w:rsidRDefault="00A42E81" w:rsidP="00A42E81">
            <w:pPr>
              <w:spacing w:beforeLines="50" w:before="120" w:after="120"/>
              <w:jc w:val="both"/>
              <w:rPr>
                <w:rFonts w:ascii="Tahoma" w:hAnsi="Tahoma" w:cs="Tahoma"/>
                <w:sz w:val="20"/>
                <w:szCs w:val="20"/>
              </w:rPr>
            </w:pPr>
            <w:r w:rsidRPr="00A42E81">
              <w:rPr>
                <w:rFonts w:ascii="Tahoma" w:hAnsi="Tahoma" w:cs="Tahoma"/>
                <w:sz w:val="20"/>
              </w:rPr>
              <w:t xml:space="preserve">MOEX RUSFAR </w:t>
            </w:r>
            <w:r w:rsidR="00972A42" w:rsidRPr="00972A42">
              <w:rPr>
                <w:rFonts w:ascii="Tahoma" w:hAnsi="Tahoma" w:cs="Tahoma"/>
                <w:sz w:val="20"/>
              </w:rPr>
              <w:t xml:space="preserve">Accrued Yield </w:t>
            </w:r>
            <w:r w:rsidRPr="00A42E81">
              <w:rPr>
                <w:rFonts w:ascii="Tahoma" w:hAnsi="Tahoma" w:cs="Tahoma"/>
                <w:sz w:val="20"/>
              </w:rPr>
              <w:t>Index</w:t>
            </w:r>
          </w:p>
        </w:tc>
        <w:tc>
          <w:tcPr>
            <w:tcW w:w="2807" w:type="dxa"/>
          </w:tcPr>
          <w:p w:rsidR="00A42E81" w:rsidRPr="00A42E81" w:rsidRDefault="00A42E81" w:rsidP="00A42E81">
            <w:pPr>
              <w:spacing w:beforeLines="50" w:before="120" w:after="120"/>
              <w:jc w:val="both"/>
              <w:rPr>
                <w:rFonts w:ascii="Tahoma" w:hAnsi="Tahoma" w:cs="Tahoma"/>
                <w:sz w:val="20"/>
                <w:szCs w:val="20"/>
              </w:rPr>
            </w:pPr>
            <w:r w:rsidRPr="00A42E81">
              <w:rPr>
                <w:rFonts w:ascii="Tahoma" w:hAnsi="Tahoma" w:cs="Tahoma"/>
                <w:sz w:val="20"/>
              </w:rPr>
              <w:t>RUSFAR</w:t>
            </w:r>
          </w:p>
        </w:tc>
        <w:tc>
          <w:tcPr>
            <w:tcW w:w="1554" w:type="dxa"/>
          </w:tcPr>
          <w:p w:rsidR="00A42E81" w:rsidRPr="00A42E81" w:rsidRDefault="00A42E81" w:rsidP="00A42E81">
            <w:pPr>
              <w:spacing w:beforeLines="50" w:before="120" w:after="120"/>
              <w:jc w:val="both"/>
              <w:rPr>
                <w:rFonts w:ascii="Tahoma" w:hAnsi="Tahoma" w:cs="Tahoma"/>
                <w:sz w:val="20"/>
                <w:szCs w:val="20"/>
              </w:rPr>
            </w:pPr>
            <w:r w:rsidRPr="00A42E81">
              <w:rPr>
                <w:rFonts w:ascii="Tahoma" w:hAnsi="Tahoma" w:cs="Tahoma"/>
                <w:sz w:val="20"/>
              </w:rPr>
              <w:t>RUB</w:t>
            </w:r>
          </w:p>
        </w:tc>
        <w:tc>
          <w:tcPr>
            <w:tcW w:w="1838" w:type="dxa"/>
          </w:tcPr>
          <w:p w:rsidR="00A42E81" w:rsidRPr="00A42E81" w:rsidRDefault="00A42E81" w:rsidP="00A42E81">
            <w:pPr>
              <w:spacing w:beforeLines="50" w:before="120" w:after="120"/>
              <w:jc w:val="both"/>
              <w:rPr>
                <w:rFonts w:ascii="Tahoma" w:hAnsi="Tahoma" w:cs="Tahoma"/>
                <w:sz w:val="20"/>
                <w:szCs w:val="20"/>
              </w:rPr>
            </w:pPr>
            <w:r w:rsidRPr="00A42E81">
              <w:rPr>
                <w:rFonts w:ascii="Tahoma" w:hAnsi="Tahoma" w:cs="Tahoma"/>
                <w:sz w:val="20"/>
              </w:rPr>
              <w:t>1,000</w:t>
            </w:r>
          </w:p>
        </w:tc>
        <w:tc>
          <w:tcPr>
            <w:tcW w:w="1978" w:type="dxa"/>
          </w:tcPr>
          <w:p w:rsidR="00A42E81" w:rsidRPr="00A42E81" w:rsidRDefault="00A42E81" w:rsidP="00A42E81">
            <w:pPr>
              <w:spacing w:beforeLines="50" w:before="120" w:after="120"/>
              <w:jc w:val="both"/>
              <w:rPr>
                <w:rFonts w:ascii="Tahoma" w:hAnsi="Tahoma" w:cs="Tahoma"/>
                <w:sz w:val="20"/>
                <w:szCs w:val="20"/>
              </w:rPr>
            </w:pPr>
            <w:r w:rsidRPr="00A42E81">
              <w:rPr>
                <w:rFonts w:ascii="Tahoma" w:hAnsi="Tahoma" w:cs="Tahoma"/>
                <w:sz w:val="20"/>
              </w:rPr>
              <w:t>9 January 2018</w:t>
            </w:r>
          </w:p>
        </w:tc>
      </w:tr>
    </w:tbl>
    <w:p w:rsidR="00A42E81" w:rsidRPr="00A42E81" w:rsidRDefault="00A42E81" w:rsidP="00A42E81">
      <w:pPr>
        <w:spacing w:beforeLines="50" w:before="120" w:after="120"/>
        <w:ind w:left="5664"/>
        <w:jc w:val="both"/>
        <w:rPr>
          <w:rFonts w:ascii="Tahoma" w:hAnsi="Tahoma" w:cs="Tahoma"/>
          <w:sz w:val="20"/>
          <w:szCs w:val="20"/>
          <w:lang w:val="en-US"/>
        </w:rPr>
      </w:pPr>
    </w:p>
    <w:p w:rsidR="00A42E81" w:rsidRPr="00A42E81" w:rsidRDefault="00A42E81" w:rsidP="00A42E81">
      <w:pPr>
        <w:spacing w:before="120" w:after="120"/>
        <w:jc w:val="both"/>
        <w:rPr>
          <w:rFonts w:ascii="Tahoma" w:hAnsi="Tahoma" w:cs="Tahoma"/>
          <w:sz w:val="20"/>
          <w:szCs w:val="20"/>
        </w:rPr>
      </w:pPr>
      <w:r w:rsidRPr="00A42E81">
        <w:rPr>
          <w:rFonts w:ascii="Tahoma" w:hAnsi="Tahoma" w:cs="Tahoma"/>
          <w:sz w:val="20"/>
        </w:rPr>
        <w:t>The word mark "MOEX" is a trademark of Moscow Exchange registered by the Federal Service for Intellectual Property in the State Register of Trademarks and Service Marks of the Russian Federation on 29 August 2014 (Trademark Certificate No. 521450).</w:t>
      </w:r>
    </w:p>
    <w:p w:rsidR="00A42E81" w:rsidRPr="00A42E81" w:rsidRDefault="00A42E81" w:rsidP="00A42E81">
      <w:pPr>
        <w:spacing w:before="120" w:after="120"/>
        <w:jc w:val="both"/>
        <w:rPr>
          <w:rFonts w:ascii="Tahoma" w:hAnsi="Tahoma" w:cs="Tahoma"/>
          <w:sz w:val="20"/>
          <w:szCs w:val="20"/>
        </w:rPr>
      </w:pPr>
    </w:p>
    <w:p w:rsidR="00A42E81" w:rsidRPr="00A42E81" w:rsidRDefault="00A42E81" w:rsidP="00A42E81">
      <w:pPr>
        <w:spacing w:before="120" w:after="120"/>
        <w:jc w:val="both"/>
        <w:rPr>
          <w:rFonts w:ascii="Tahoma" w:hAnsi="Tahoma" w:cs="Tahoma"/>
          <w:sz w:val="20"/>
          <w:szCs w:val="20"/>
        </w:rPr>
      </w:pPr>
      <w:r w:rsidRPr="00A42E81">
        <w:rPr>
          <w:rFonts w:ascii="Tahoma" w:hAnsi="Tahoma" w:cs="Tahoma"/>
          <w:sz w:val="20"/>
        </w:rPr>
        <w:t>The word mark "RUSFAR" is a trademark of Moscow Exchange registered by the Federal Service for Intellectua</w:t>
      </w:r>
      <w:bookmarkStart w:id="60" w:name="_GoBack"/>
      <w:bookmarkEnd w:id="60"/>
      <w:r w:rsidRPr="00A42E81">
        <w:rPr>
          <w:rFonts w:ascii="Tahoma" w:hAnsi="Tahoma" w:cs="Tahoma"/>
          <w:sz w:val="20"/>
        </w:rPr>
        <w:t>l Property in the State Register of Trademarks and Service Marks of the Russian Federation on 11 April 2019 (Trademark Certificate No. 0707709).</w:t>
      </w:r>
    </w:p>
    <w:p w:rsidR="00A42E81" w:rsidRPr="00A42E81" w:rsidRDefault="00A42E81" w:rsidP="00A42E81">
      <w:pPr>
        <w:pStyle w:val="a3"/>
        <w:spacing w:before="120"/>
        <w:jc w:val="both"/>
        <w:rPr>
          <w:rFonts w:ascii="Tahoma" w:hAnsi="Tahoma" w:cs="Tahoma"/>
          <w:sz w:val="26"/>
          <w:szCs w:val="26"/>
          <w:lang w:val="en-US"/>
        </w:rPr>
      </w:pPr>
    </w:p>
    <w:p w:rsidR="001B2E7A" w:rsidRPr="00A42E81" w:rsidRDefault="001B2E7A" w:rsidP="00A42E81">
      <w:pPr>
        <w:spacing w:before="120" w:after="120"/>
        <w:rPr>
          <w:rFonts w:ascii="Tahoma" w:hAnsi="Tahoma" w:cs="Tahoma"/>
          <w:lang w:val="en-US"/>
        </w:rPr>
      </w:pPr>
    </w:p>
    <w:sectPr w:rsidR="001B2E7A" w:rsidRPr="00A42E81" w:rsidSect="004D5F12">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72A42">
      <w:r>
        <w:separator/>
      </w:r>
    </w:p>
  </w:endnote>
  <w:endnote w:type="continuationSeparator" w:id="0">
    <w:p w:rsidR="00000000" w:rsidRDefault="0097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B2F" w:rsidRDefault="00A42E81" w:rsidP="002606A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A6B2F" w:rsidRDefault="00972A42" w:rsidP="005258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B2F" w:rsidRPr="006D19CD" w:rsidRDefault="00A42E81" w:rsidP="002606AA">
    <w:pPr>
      <w:pStyle w:val="a6"/>
      <w:framePr w:wrap="around" w:vAnchor="text" w:hAnchor="margin" w:xAlign="right" w:y="1"/>
      <w:rPr>
        <w:rStyle w:val="a8"/>
        <w:rFonts w:ascii="Arial" w:hAnsi="Arial" w:cs="Arial"/>
        <w:sz w:val="20"/>
        <w:szCs w:val="20"/>
      </w:rPr>
    </w:pPr>
    <w:r w:rsidRPr="006D19CD">
      <w:rPr>
        <w:rStyle w:val="a8"/>
        <w:rFonts w:ascii="Arial" w:hAnsi="Arial" w:cs="Arial"/>
        <w:sz w:val="20"/>
      </w:rPr>
      <w:fldChar w:fldCharType="begin"/>
    </w:r>
    <w:r w:rsidRPr="006D19CD">
      <w:rPr>
        <w:rStyle w:val="a8"/>
        <w:rFonts w:ascii="Arial" w:hAnsi="Arial" w:cs="Arial"/>
        <w:sz w:val="20"/>
      </w:rPr>
      <w:instrText xml:space="preserve">PAGE  </w:instrText>
    </w:r>
    <w:r w:rsidRPr="006D19CD">
      <w:rPr>
        <w:rStyle w:val="a8"/>
        <w:rFonts w:ascii="Arial" w:hAnsi="Arial" w:cs="Arial"/>
        <w:sz w:val="20"/>
      </w:rPr>
      <w:fldChar w:fldCharType="separate"/>
    </w:r>
    <w:r>
      <w:rPr>
        <w:rStyle w:val="a8"/>
        <w:rFonts w:ascii="Arial" w:hAnsi="Arial" w:cs="Arial"/>
        <w:sz w:val="20"/>
      </w:rPr>
      <w:t>12</w:t>
    </w:r>
    <w:r w:rsidRPr="006D19CD">
      <w:rPr>
        <w:rStyle w:val="a8"/>
        <w:rFonts w:ascii="Arial" w:hAnsi="Arial" w:cs="Arial"/>
        <w:sz w:val="20"/>
      </w:rPr>
      <w:fldChar w:fldCharType="end"/>
    </w:r>
  </w:p>
  <w:p w:rsidR="000A6B2F" w:rsidRDefault="00972A42" w:rsidP="0052580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72A42">
      <w:r>
        <w:separator/>
      </w:r>
    </w:p>
  </w:footnote>
  <w:footnote w:type="continuationSeparator" w:id="0">
    <w:p w:rsidR="00000000" w:rsidRDefault="00972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289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E81"/>
    <w:rsid w:val="00105E8F"/>
    <w:rsid w:val="001B2E7A"/>
    <w:rsid w:val="001C7C7B"/>
    <w:rsid w:val="00541D2C"/>
    <w:rsid w:val="005A17FD"/>
    <w:rsid w:val="0071052F"/>
    <w:rsid w:val="009500B1"/>
    <w:rsid w:val="00972A42"/>
    <w:rsid w:val="00A42E81"/>
    <w:rsid w:val="00EB38EB"/>
    <w:rsid w:val="00FC1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A6193"/>
  <w15:chartTrackingRefBased/>
  <w15:docId w15:val="{6CB44CBA-F87A-49E5-A8E5-25DE6641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2E81"/>
    <w:pPr>
      <w:spacing w:after="0" w:line="240" w:lineRule="auto"/>
    </w:pPr>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A42E81"/>
    <w:pPr>
      <w:spacing w:before="120"/>
      <w:jc w:val="both"/>
    </w:pPr>
    <w:rPr>
      <w:rFonts w:ascii="Arial" w:hAnsi="Arial" w:cs="Arial"/>
      <w:sz w:val="20"/>
      <w:szCs w:val="20"/>
    </w:rPr>
  </w:style>
  <w:style w:type="character" w:customStyle="1" w:styleId="30">
    <w:name w:val="Основной текст 3 Знак"/>
    <w:basedOn w:val="a0"/>
    <w:link w:val="3"/>
    <w:rsid w:val="00A42E81"/>
    <w:rPr>
      <w:rFonts w:ascii="Arial" w:eastAsia="Times New Roman" w:hAnsi="Arial" w:cs="Arial"/>
      <w:sz w:val="20"/>
      <w:szCs w:val="20"/>
      <w:lang w:val="en-GB" w:eastAsia="ru-RU"/>
    </w:rPr>
  </w:style>
  <w:style w:type="paragraph" w:styleId="a3">
    <w:name w:val="Body Text"/>
    <w:basedOn w:val="a"/>
    <w:link w:val="a4"/>
    <w:rsid w:val="00A42E81"/>
    <w:pPr>
      <w:spacing w:after="120"/>
    </w:pPr>
    <w:rPr>
      <w:szCs w:val="20"/>
      <w:lang w:eastAsia="x-none"/>
    </w:rPr>
  </w:style>
  <w:style w:type="character" w:customStyle="1" w:styleId="a4">
    <w:name w:val="Основной текст Знак"/>
    <w:basedOn w:val="a0"/>
    <w:link w:val="a3"/>
    <w:rsid w:val="00A42E81"/>
    <w:rPr>
      <w:rFonts w:ascii="Times New Roman" w:eastAsia="Times New Roman" w:hAnsi="Times New Roman" w:cs="Times New Roman"/>
      <w:sz w:val="24"/>
      <w:szCs w:val="20"/>
      <w:lang w:val="en-GB" w:eastAsia="x-none"/>
    </w:rPr>
  </w:style>
  <w:style w:type="table" w:styleId="a5">
    <w:name w:val="Table Grid"/>
    <w:basedOn w:val="a1"/>
    <w:uiPriority w:val="59"/>
    <w:rsid w:val="00A42E81"/>
    <w:pPr>
      <w:spacing w:after="0" w:line="240" w:lineRule="auto"/>
    </w:pPr>
    <w:rPr>
      <w:rFonts w:ascii="Times New Roman" w:eastAsia="Times New Roman" w:hAnsi="Times New Roman"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A42E81"/>
    <w:pPr>
      <w:tabs>
        <w:tab w:val="center" w:pos="4677"/>
        <w:tab w:val="right" w:pos="9355"/>
      </w:tabs>
    </w:pPr>
  </w:style>
  <w:style w:type="character" w:customStyle="1" w:styleId="a7">
    <w:name w:val="Нижний колонтитул Знак"/>
    <w:basedOn w:val="a0"/>
    <w:link w:val="a6"/>
    <w:uiPriority w:val="99"/>
    <w:rsid w:val="00A42E81"/>
    <w:rPr>
      <w:rFonts w:ascii="Times New Roman" w:eastAsia="Times New Roman" w:hAnsi="Times New Roman" w:cs="Times New Roman"/>
      <w:sz w:val="24"/>
      <w:szCs w:val="24"/>
      <w:lang w:val="en-GB" w:eastAsia="ru-RU"/>
    </w:rPr>
  </w:style>
  <w:style w:type="character" w:styleId="a8">
    <w:name w:val="page number"/>
    <w:rsid w:val="00A42E81"/>
    <w:rPr>
      <w:rFonts w:cs="Times New Roman"/>
    </w:rPr>
  </w:style>
  <w:style w:type="paragraph" w:customStyle="1" w:styleId="Iauiue">
    <w:name w:val="Iau?iue"/>
    <w:rsid w:val="00A42E81"/>
    <w:pPr>
      <w:spacing w:after="0" w:line="240" w:lineRule="auto"/>
    </w:pPr>
    <w:rPr>
      <w:rFonts w:ascii="Times New Roman" w:eastAsia="Times New Roman" w:hAnsi="Times New Roman" w:cs="Times New Roman"/>
      <w:sz w:val="20"/>
      <w:szCs w:val="20"/>
      <w:lang w:val="en-GB" w:eastAsia="ru-RU"/>
    </w:rPr>
  </w:style>
  <w:style w:type="paragraph" w:styleId="1">
    <w:name w:val="toc 1"/>
    <w:basedOn w:val="a"/>
    <w:next w:val="a"/>
    <w:autoRedefine/>
    <w:uiPriority w:val="39"/>
    <w:rsid w:val="00A42E81"/>
    <w:pPr>
      <w:widowControl w:val="0"/>
      <w:tabs>
        <w:tab w:val="left" w:pos="480"/>
        <w:tab w:val="right" w:leader="dot" w:pos="9344"/>
      </w:tabs>
      <w:spacing w:before="120" w:after="120"/>
      <w:ind w:left="68"/>
    </w:pPr>
    <w:rPr>
      <w:rFonts w:ascii="Arial" w:hAnsi="Arial" w:cs="Arial"/>
      <w:b/>
      <w:bCs/>
      <w:caps/>
    </w:rPr>
  </w:style>
  <w:style w:type="paragraph" w:styleId="a9">
    <w:name w:val="List Paragraph"/>
    <w:basedOn w:val="a"/>
    <w:uiPriority w:val="34"/>
    <w:qFormat/>
    <w:rsid w:val="00A42E81"/>
    <w:pPr>
      <w:ind w:left="708"/>
    </w:pPr>
  </w:style>
  <w:style w:type="paragraph" w:customStyle="1" w:styleId="aa">
    <w:name w:val="Уровень Формул текст"/>
    <w:basedOn w:val="a"/>
    <w:link w:val="ab"/>
    <w:qFormat/>
    <w:rsid w:val="00A42E81"/>
    <w:pPr>
      <w:spacing w:after="120"/>
      <w:ind w:left="1559"/>
      <w:contextualSpacing/>
      <w:jc w:val="both"/>
    </w:pPr>
    <w:rPr>
      <w:rFonts w:ascii="Tahoma" w:hAnsi="Tahoma"/>
      <w:sz w:val="20"/>
      <w:szCs w:val="20"/>
      <w:lang w:eastAsia="x-none"/>
    </w:rPr>
  </w:style>
  <w:style w:type="character" w:customStyle="1" w:styleId="ab">
    <w:name w:val="Уровень Формул текст Знак"/>
    <w:link w:val="aa"/>
    <w:rsid w:val="00A42E81"/>
    <w:rPr>
      <w:rFonts w:ascii="Tahoma" w:eastAsia="Times New Roman" w:hAnsi="Tahoma" w:cs="Times New Roman"/>
      <w:sz w:val="20"/>
      <w:szCs w:val="20"/>
      <w:lang w:val="en-GB" w:eastAsia="x-none"/>
    </w:rPr>
  </w:style>
  <w:style w:type="character" w:styleId="ac">
    <w:name w:val="Emphasis"/>
    <w:aliases w:val="Глава 3"/>
    <w:qFormat/>
    <w:rsid w:val="00A42E8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Ибрагимова Анна Владимировна</cp:lastModifiedBy>
  <cp:revision>2</cp:revision>
  <dcterms:created xsi:type="dcterms:W3CDTF">2025-06-01T15:05:00Z</dcterms:created>
  <dcterms:modified xsi:type="dcterms:W3CDTF">2025-06-01T15:05:00Z</dcterms:modified>
</cp:coreProperties>
</file>