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2D" w:rsidRPr="00DE583B" w:rsidRDefault="008C1D2D" w:rsidP="006F75B1">
      <w:pPr>
        <w:ind w:left="4111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GoBack"/>
      <w:bookmarkEnd w:id="0"/>
      <w:r w:rsidRPr="00DE583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8C1D2D" w:rsidRPr="00DE583B" w:rsidRDefault="008C1D2D" w:rsidP="006F75B1">
      <w:pPr>
        <w:pStyle w:val="ae"/>
        <w:tabs>
          <w:tab w:val="left" w:pos="5387"/>
          <w:tab w:val="left" w:pos="5812"/>
        </w:tabs>
        <w:spacing w:after="0"/>
        <w:ind w:left="4111" w:right="-79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:rsidR="008C1D2D" w:rsidRPr="00DE583B" w:rsidRDefault="008C1D2D" w:rsidP="006F75B1">
      <w:pPr>
        <w:pStyle w:val="ae"/>
        <w:tabs>
          <w:tab w:val="left" w:pos="4962"/>
          <w:tab w:val="left" w:pos="5812"/>
        </w:tabs>
        <w:spacing w:after="0"/>
        <w:ind w:left="4111" w:right="27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(Приказ №</w:t>
      </w:r>
      <w:r>
        <w:rPr>
          <w:rFonts w:ascii="Tahoma" w:hAnsi="Tahoma" w:cs="Tahoma"/>
          <w:sz w:val="20"/>
          <w:szCs w:val="20"/>
        </w:rPr>
        <w:t xml:space="preserve"> МБ-П-</w:t>
      </w:r>
      <w:r w:rsidR="003E1459">
        <w:rPr>
          <w:rFonts w:ascii="Tahoma" w:hAnsi="Tahoma" w:cs="Tahoma"/>
          <w:sz w:val="20"/>
          <w:szCs w:val="20"/>
        </w:rPr>
        <w:t>2026-</w:t>
      </w:r>
      <w:r w:rsidR="002821EB">
        <w:rPr>
          <w:rFonts w:ascii="Tahoma" w:hAnsi="Tahoma" w:cs="Tahoma"/>
          <w:sz w:val="20"/>
          <w:szCs w:val="20"/>
        </w:rPr>
        <w:t>2182</w:t>
      </w:r>
      <w:r w:rsidR="000377F2">
        <w:rPr>
          <w:rFonts w:ascii="Tahoma" w:hAnsi="Tahoma" w:cs="Tahoma"/>
          <w:sz w:val="20"/>
          <w:szCs w:val="20"/>
        </w:rPr>
        <w:t xml:space="preserve"> </w:t>
      </w:r>
      <w:r w:rsidRPr="00DE583B">
        <w:rPr>
          <w:rFonts w:ascii="Tahoma" w:hAnsi="Tahoma" w:cs="Tahoma"/>
          <w:sz w:val="20"/>
          <w:szCs w:val="20"/>
        </w:rPr>
        <w:t>от</w:t>
      </w:r>
      <w:r w:rsidR="00094CBF">
        <w:rPr>
          <w:rFonts w:ascii="Tahoma" w:hAnsi="Tahoma" w:cs="Tahoma"/>
          <w:sz w:val="20"/>
          <w:szCs w:val="20"/>
        </w:rPr>
        <w:t xml:space="preserve"> 28 мая </w:t>
      </w:r>
      <w:r w:rsidR="003E0B13">
        <w:rPr>
          <w:rFonts w:ascii="Tahoma" w:hAnsi="Tahoma" w:cs="Tahoma"/>
          <w:sz w:val="20"/>
          <w:szCs w:val="20"/>
        </w:rPr>
        <w:t>2026</w:t>
      </w:r>
      <w:r w:rsidR="00601973">
        <w:rPr>
          <w:rFonts w:ascii="Tahoma" w:hAnsi="Tahoma" w:cs="Tahoma"/>
          <w:sz w:val="20"/>
          <w:szCs w:val="20"/>
        </w:rPr>
        <w:t xml:space="preserve"> </w:t>
      </w:r>
      <w:r w:rsidR="000377F2" w:rsidRPr="00DE583B">
        <w:rPr>
          <w:rFonts w:ascii="Tahoma" w:hAnsi="Tahoma" w:cs="Tahoma"/>
          <w:sz w:val="20"/>
          <w:szCs w:val="20"/>
        </w:rPr>
        <w:t>г</w:t>
      </w:r>
      <w:r w:rsidRPr="00DE583B">
        <w:rPr>
          <w:rFonts w:ascii="Tahoma" w:hAnsi="Tahoma" w:cs="Tahoma"/>
          <w:sz w:val="20"/>
          <w:szCs w:val="20"/>
        </w:rPr>
        <w:t>.)</w:t>
      </w:r>
    </w:p>
    <w:p w:rsidR="00B5419F" w:rsidRDefault="00B5419F" w:rsidP="00B5419F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:rsidR="005E0EE0" w:rsidRPr="002428CB" w:rsidRDefault="005E0EE0" w:rsidP="00F32CF7">
      <w:pPr>
        <w:pStyle w:val="ae"/>
        <w:tabs>
          <w:tab w:val="left" w:pos="4962"/>
        </w:tabs>
        <w:spacing w:after="0"/>
        <w:ind w:left="5940" w:right="96"/>
        <w:rPr>
          <w:rFonts w:ascii="Tahoma" w:hAnsi="Tahoma" w:cs="Tahoma"/>
          <w:sz w:val="20"/>
          <w:szCs w:val="20"/>
        </w:rPr>
      </w:pPr>
    </w:p>
    <w:p w:rsidR="00F32CF7" w:rsidRPr="002428CB" w:rsidRDefault="00E85C75" w:rsidP="00E85C75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2428CB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:rsidR="00F32CF7" w:rsidRPr="002428CB" w:rsidRDefault="00F32CF7" w:rsidP="00E85C75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2428CB">
        <w:rPr>
          <w:rFonts w:ascii="Tahoma" w:eastAsia="Arial Unicode MS" w:hAnsi="Tahoma" w:cs="Tahoma"/>
          <w:b/>
          <w:bCs/>
          <w:color w:val="auto"/>
        </w:rPr>
        <w:t>ФЬЮЧЕРСН</w:t>
      </w:r>
      <w:r w:rsidR="003A422B">
        <w:rPr>
          <w:rFonts w:ascii="Tahoma" w:eastAsia="Arial Unicode MS" w:hAnsi="Tahoma" w:cs="Tahoma"/>
          <w:b/>
          <w:bCs/>
          <w:color w:val="auto"/>
        </w:rPr>
        <w:t>ЫХ</w:t>
      </w:r>
      <w:r w:rsidRPr="002428CB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3A422B">
        <w:rPr>
          <w:rFonts w:ascii="Tahoma" w:eastAsia="Arial Unicode MS" w:hAnsi="Tahoma" w:cs="Tahoma"/>
          <w:b/>
          <w:bCs/>
          <w:color w:val="auto"/>
        </w:rPr>
        <w:t>ОВ</w:t>
      </w:r>
    </w:p>
    <w:p w:rsidR="00A22A3A" w:rsidRPr="002428CB" w:rsidRDefault="002A6D4C" w:rsidP="00E85C75">
      <w:pPr>
        <w:pStyle w:val="a5"/>
        <w:spacing w:before="0" w:after="120"/>
        <w:ind w:right="-5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</w:t>
      </w:r>
      <w:r w:rsidR="00A22A3A" w:rsidRPr="002428CB">
        <w:rPr>
          <w:rFonts w:ascii="Tahoma" w:hAnsi="Tahoma" w:cs="Tahoma"/>
          <w:b/>
          <w:bCs/>
        </w:rPr>
        <w:t xml:space="preserve">а </w:t>
      </w:r>
      <w:r w:rsidR="00601973">
        <w:rPr>
          <w:rFonts w:ascii="Tahoma" w:hAnsi="Tahoma" w:cs="Tahoma"/>
          <w:b/>
          <w:bCs/>
        </w:rPr>
        <w:t>нефтепродукты</w:t>
      </w:r>
      <w:r w:rsidR="0025415E" w:rsidRPr="002428CB">
        <w:rPr>
          <w:rFonts w:ascii="Tahoma" w:hAnsi="Tahoma" w:cs="Tahoma"/>
          <w:b/>
          <w:bCs/>
        </w:rPr>
        <w:t xml:space="preserve"> </w:t>
      </w:r>
    </w:p>
    <w:p w:rsidR="00F32CF7" w:rsidRPr="002428CB" w:rsidRDefault="0032426C" w:rsidP="00F32CF7">
      <w:pPr>
        <w:pStyle w:val="ab"/>
        <w:spacing w:before="240" w:after="0"/>
        <w:ind w:right="57"/>
        <w:rPr>
          <w:rFonts w:ascii="Tahoma" w:hAnsi="Tahoma" w:cs="Tahoma"/>
          <w:lang w:val="ru-RU"/>
        </w:rPr>
      </w:pPr>
      <w:r w:rsidRPr="002428CB">
        <w:rPr>
          <w:rFonts w:ascii="Tahoma" w:hAnsi="Tahoma" w:cs="Tahoma"/>
          <w:lang w:val="ru-RU"/>
        </w:rPr>
        <w:t xml:space="preserve">Настоящая </w:t>
      </w:r>
      <w:r w:rsidR="008C1D2D">
        <w:rPr>
          <w:rFonts w:ascii="Tahoma" w:hAnsi="Tahoma" w:cs="Tahoma"/>
          <w:lang w:val="ru-RU"/>
        </w:rPr>
        <w:t>С</w:t>
      </w:r>
      <w:r w:rsidRPr="002428CB">
        <w:rPr>
          <w:rFonts w:ascii="Tahoma" w:hAnsi="Tahoma" w:cs="Tahoma"/>
          <w:lang w:val="ru-RU"/>
        </w:rPr>
        <w:t>пецификация</w:t>
      </w:r>
      <w:r w:rsidR="00404E52" w:rsidRPr="002428CB">
        <w:rPr>
          <w:rFonts w:ascii="Tahoma" w:hAnsi="Tahoma" w:cs="Tahoma"/>
          <w:lang w:val="ru-RU"/>
        </w:rPr>
        <w:t xml:space="preserve"> </w:t>
      </w:r>
      <w:r w:rsidRPr="002428CB">
        <w:rPr>
          <w:rFonts w:ascii="Tahoma" w:hAnsi="Tahoma" w:cs="Tahoma"/>
          <w:lang w:val="ru-RU"/>
        </w:rPr>
        <w:t>определяет стандартные условия расчетн</w:t>
      </w:r>
      <w:r w:rsidR="00F84664">
        <w:rPr>
          <w:rFonts w:ascii="Tahoma" w:hAnsi="Tahoma" w:cs="Tahoma"/>
          <w:lang w:val="ru-RU"/>
        </w:rPr>
        <w:t>ых</w:t>
      </w:r>
      <w:r w:rsidRPr="002428CB">
        <w:rPr>
          <w:rFonts w:ascii="Tahoma" w:hAnsi="Tahoma" w:cs="Tahoma"/>
          <w:lang w:val="ru-RU"/>
        </w:rPr>
        <w:t xml:space="preserve"> фьючерсн</w:t>
      </w:r>
      <w:r w:rsidR="00F84664">
        <w:rPr>
          <w:rFonts w:ascii="Tahoma" w:hAnsi="Tahoma" w:cs="Tahoma"/>
          <w:lang w:val="ru-RU"/>
        </w:rPr>
        <w:t>ых</w:t>
      </w:r>
      <w:r w:rsidRPr="002428CB">
        <w:rPr>
          <w:rFonts w:ascii="Tahoma" w:hAnsi="Tahoma" w:cs="Tahoma"/>
          <w:lang w:val="ru-RU"/>
        </w:rPr>
        <w:t xml:space="preserve"> контракт</w:t>
      </w:r>
      <w:r w:rsidR="00F84664">
        <w:rPr>
          <w:rFonts w:ascii="Tahoma" w:hAnsi="Tahoma" w:cs="Tahoma"/>
          <w:lang w:val="ru-RU"/>
        </w:rPr>
        <w:t>ов</w:t>
      </w:r>
      <w:r w:rsidRPr="002428CB">
        <w:rPr>
          <w:rFonts w:ascii="Tahoma" w:hAnsi="Tahoma" w:cs="Tahoma"/>
          <w:lang w:val="ru-RU"/>
        </w:rPr>
        <w:t xml:space="preserve"> </w:t>
      </w:r>
      <w:r w:rsidR="00DA632C" w:rsidRPr="002428CB">
        <w:rPr>
          <w:rFonts w:ascii="Tahoma" w:hAnsi="Tahoma" w:cs="Tahoma"/>
          <w:lang w:val="ru-RU"/>
        </w:rPr>
        <w:t>на</w:t>
      </w:r>
      <w:r w:rsidR="00F32CF7" w:rsidRPr="002428CB">
        <w:rPr>
          <w:rFonts w:ascii="Tahoma" w:hAnsi="Tahoma" w:cs="Tahoma"/>
          <w:lang w:val="ru-RU"/>
        </w:rPr>
        <w:t xml:space="preserve"> </w:t>
      </w:r>
      <w:r w:rsidR="00192A34">
        <w:rPr>
          <w:rFonts w:ascii="Tahoma" w:hAnsi="Tahoma" w:cs="Tahoma"/>
          <w:lang w:val="ru-RU"/>
        </w:rPr>
        <w:t>нефтепродукты</w:t>
      </w:r>
      <w:r w:rsidR="001D56E0" w:rsidRPr="00532D83">
        <w:rPr>
          <w:rFonts w:ascii="Tahoma" w:hAnsi="Tahoma" w:cs="Tahoma"/>
          <w:lang w:val="ru-RU"/>
        </w:rPr>
        <w:t xml:space="preserve"> </w:t>
      </w:r>
      <w:r w:rsidRPr="002428CB">
        <w:rPr>
          <w:rFonts w:ascii="Tahoma" w:hAnsi="Tahoma" w:cs="Tahoma"/>
          <w:lang w:val="ru-RU"/>
        </w:rPr>
        <w:t xml:space="preserve">(далее </w:t>
      </w:r>
      <w:r w:rsidRPr="002428CB">
        <w:rPr>
          <w:rFonts w:ascii="Tahoma" w:hAnsi="Tahoma" w:cs="Tahoma"/>
          <w:sz w:val="22"/>
          <w:szCs w:val="22"/>
          <w:lang w:val="ru-RU"/>
        </w:rPr>
        <w:t xml:space="preserve">– </w:t>
      </w:r>
      <w:r w:rsidRPr="002428CB">
        <w:rPr>
          <w:rFonts w:ascii="Tahoma" w:hAnsi="Tahoma" w:cs="Tahoma"/>
          <w:lang w:val="ru-RU"/>
        </w:rPr>
        <w:t>Спецификация).</w:t>
      </w:r>
    </w:p>
    <w:p w:rsidR="00F84664" w:rsidRDefault="0032426C" w:rsidP="0032426C">
      <w:pPr>
        <w:pStyle w:val="a"/>
        <w:numPr>
          <w:ilvl w:val="0"/>
          <w:numId w:val="0"/>
        </w:numPr>
        <w:rPr>
          <w:rFonts w:ascii="Tahoma" w:hAnsi="Tahoma" w:cs="Tahoma"/>
          <w:b w:val="0"/>
        </w:rPr>
      </w:pPr>
      <w:r w:rsidRPr="002428CB">
        <w:rPr>
          <w:rFonts w:ascii="Tahoma" w:hAnsi="Tahoma" w:cs="Tahoma"/>
          <w:b w:val="0"/>
        </w:rPr>
        <w:t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фьючерсн</w:t>
      </w:r>
      <w:r w:rsidR="0078369D">
        <w:rPr>
          <w:rFonts w:ascii="Tahoma" w:hAnsi="Tahoma" w:cs="Tahoma"/>
          <w:b w:val="0"/>
        </w:rPr>
        <w:t>ым</w:t>
      </w:r>
      <w:r w:rsidRPr="002428CB">
        <w:rPr>
          <w:rFonts w:ascii="Tahoma" w:hAnsi="Tahoma" w:cs="Tahoma"/>
          <w:b w:val="0"/>
        </w:rPr>
        <w:t xml:space="preserve"> контракт</w:t>
      </w:r>
      <w:r w:rsidR="0078369D">
        <w:rPr>
          <w:rFonts w:ascii="Tahoma" w:hAnsi="Tahoma" w:cs="Tahoma"/>
          <w:b w:val="0"/>
        </w:rPr>
        <w:t>ам</w:t>
      </w:r>
      <w:r w:rsidRPr="002428CB">
        <w:rPr>
          <w:rFonts w:ascii="Tahoma" w:hAnsi="Tahoma" w:cs="Tahoma"/>
          <w:b w:val="0"/>
        </w:rPr>
        <w:t xml:space="preserve"> на</w:t>
      </w:r>
      <w:r w:rsidR="00F84664">
        <w:rPr>
          <w:rFonts w:ascii="Tahoma" w:hAnsi="Tahoma" w:cs="Tahoma"/>
          <w:b w:val="0"/>
        </w:rPr>
        <w:t xml:space="preserve"> </w:t>
      </w:r>
      <w:r w:rsidR="00192A34">
        <w:rPr>
          <w:rFonts w:ascii="Tahoma" w:hAnsi="Tahoma" w:cs="Tahoma"/>
          <w:b w:val="0"/>
        </w:rPr>
        <w:t>нефтепродукты</w:t>
      </w:r>
      <w:r w:rsidRPr="002428CB">
        <w:rPr>
          <w:rFonts w:ascii="Tahoma" w:hAnsi="Tahoma" w:cs="Tahoma"/>
        </w:rPr>
        <w:t xml:space="preserve"> </w:t>
      </w:r>
      <w:r w:rsidRPr="002428CB">
        <w:rPr>
          <w:rFonts w:ascii="Tahoma" w:hAnsi="Tahoma" w:cs="Tahoma"/>
          <w:b w:val="0"/>
        </w:rPr>
        <w:t>(далее – Контракт</w:t>
      </w:r>
      <w:r w:rsidR="00F84664">
        <w:rPr>
          <w:rFonts w:ascii="Tahoma" w:hAnsi="Tahoma" w:cs="Tahoma"/>
          <w:b w:val="0"/>
        </w:rPr>
        <w:t>, Контракты</w:t>
      </w:r>
      <w:r w:rsidRPr="002428CB">
        <w:rPr>
          <w:rFonts w:ascii="Tahoma" w:hAnsi="Tahoma" w:cs="Tahoma"/>
          <w:b w:val="0"/>
        </w:rPr>
        <w:t xml:space="preserve">). </w:t>
      </w:r>
    </w:p>
    <w:p w:rsidR="00F84664" w:rsidRPr="003042DA" w:rsidRDefault="00F84664" w:rsidP="00F84664">
      <w:pPr>
        <w:pStyle w:val="ab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фьючерсных контрактов на </w:t>
      </w:r>
      <w:r w:rsidR="00192A34">
        <w:rPr>
          <w:rFonts w:ascii="Tahoma" w:hAnsi="Tahoma" w:cs="Tahoma"/>
          <w:lang w:val="ru-RU"/>
        </w:rPr>
        <w:t>нефтепродукты</w:t>
      </w:r>
      <w:r>
        <w:rPr>
          <w:rFonts w:ascii="Tahoma" w:hAnsi="Tahoma" w:cs="Tahoma"/>
          <w:lang w:val="ru-RU"/>
        </w:rPr>
        <w:t xml:space="preserve"> (далее – Список параметров)</w:t>
      </w:r>
      <w:r w:rsidRPr="003042DA">
        <w:rPr>
          <w:rFonts w:ascii="Tahoma" w:hAnsi="Tahoma" w:cs="Tahoma"/>
          <w:lang w:val="ru-RU"/>
        </w:rPr>
        <w:t>, который содержит:</w:t>
      </w:r>
    </w:p>
    <w:p w:rsidR="00F84664" w:rsidRPr="003042DA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before="120"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наименование Контракта;</w:t>
      </w:r>
    </w:p>
    <w:p w:rsidR="00F84664" w:rsidRPr="003042DA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код</w:t>
      </w:r>
      <w:r w:rsidR="00EC4BFA">
        <w:rPr>
          <w:rFonts w:ascii="Tahoma" w:hAnsi="Tahoma" w:cs="Tahoma"/>
          <w:lang w:val="ru-RU"/>
        </w:rPr>
        <w:t xml:space="preserve"> базисного актива</w:t>
      </w:r>
      <w:r>
        <w:rPr>
          <w:rFonts w:ascii="Tahoma" w:hAnsi="Tahoma" w:cs="Tahoma"/>
          <w:lang w:val="ru-RU"/>
        </w:rPr>
        <w:t xml:space="preserve"> Контракта</w:t>
      </w:r>
      <w:r w:rsidRPr="003042DA">
        <w:rPr>
          <w:rFonts w:ascii="Tahoma" w:hAnsi="Tahoma" w:cs="Tahoma"/>
          <w:lang w:val="ru-RU"/>
        </w:rPr>
        <w:t>;</w:t>
      </w:r>
    </w:p>
    <w:p w:rsidR="00F84664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цена исполнения</w:t>
      </w:r>
      <w:r w:rsidRPr="003042DA">
        <w:rPr>
          <w:rFonts w:ascii="Tahoma" w:hAnsi="Tahoma" w:cs="Tahoma"/>
          <w:lang w:val="ru-RU"/>
        </w:rPr>
        <w:t xml:space="preserve"> Контракта;</w:t>
      </w:r>
    </w:p>
    <w:p w:rsidR="00F84664" w:rsidRPr="003042DA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единица изменения цены Контракта;</w:t>
      </w:r>
    </w:p>
    <w:p w:rsidR="00F84664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>
        <w:rPr>
          <w:rFonts w:ascii="Tahoma" w:hAnsi="Tahoma" w:cs="Tahoma"/>
          <w:lang w:val="ru-RU"/>
        </w:rPr>
        <w:t>;</w:t>
      </w:r>
    </w:p>
    <w:p w:rsidR="00F84664" w:rsidRDefault="00F84664" w:rsidP="00F84664">
      <w:pPr>
        <w:numPr>
          <w:ilvl w:val="0"/>
          <w:numId w:val="14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F84664" w:rsidRPr="00FB501E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>
        <w:rPr>
          <w:rFonts w:ascii="Tahoma" w:hAnsi="Tahoma" w:cs="Tahoma"/>
          <w:lang w:val="ru-RU"/>
        </w:rPr>
        <w:t>;</w:t>
      </w:r>
    </w:p>
    <w:p w:rsidR="00F84664" w:rsidRDefault="00F84664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время </w:t>
      </w:r>
      <w:r w:rsidR="0078369D">
        <w:rPr>
          <w:rFonts w:ascii="Tahoma" w:hAnsi="Tahoma" w:cs="Tahoma"/>
          <w:lang w:val="ru-RU"/>
        </w:rPr>
        <w:t xml:space="preserve">прекращения торгов </w:t>
      </w:r>
      <w:r>
        <w:rPr>
          <w:rFonts w:ascii="Tahoma" w:hAnsi="Tahoma" w:cs="Tahoma"/>
          <w:lang w:val="ru-RU"/>
        </w:rPr>
        <w:t>Контракт</w:t>
      </w:r>
      <w:r w:rsidR="0078369D">
        <w:rPr>
          <w:rFonts w:ascii="Tahoma" w:hAnsi="Tahoma" w:cs="Tahoma"/>
          <w:lang w:val="ru-RU"/>
        </w:rPr>
        <w:t>ом</w:t>
      </w:r>
      <w:r w:rsidR="00E66DAF">
        <w:rPr>
          <w:rFonts w:ascii="Tahoma" w:hAnsi="Tahoma" w:cs="Tahoma"/>
        </w:rPr>
        <w:t>;</w:t>
      </w:r>
    </w:p>
    <w:p w:rsidR="00DD01CF" w:rsidRPr="00106747" w:rsidRDefault="00DD01CF" w:rsidP="00F84664">
      <w:pPr>
        <w:pStyle w:val="ab"/>
        <w:numPr>
          <w:ilvl w:val="0"/>
          <w:numId w:val="14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 w:rsidRPr="00106747">
        <w:rPr>
          <w:rFonts w:ascii="Tahoma" w:hAnsi="Tahoma" w:cs="Tahoma"/>
          <w:lang w:val="ru-RU"/>
        </w:rPr>
        <w:t>порядок опреде</w:t>
      </w:r>
      <w:r w:rsidR="0000464F" w:rsidRPr="00106747">
        <w:rPr>
          <w:rFonts w:ascii="Tahoma" w:hAnsi="Tahoma" w:cs="Tahoma"/>
          <w:lang w:val="ru-RU"/>
        </w:rPr>
        <w:t>ле</w:t>
      </w:r>
      <w:r w:rsidRPr="00106747">
        <w:rPr>
          <w:rFonts w:ascii="Tahoma" w:hAnsi="Tahoma" w:cs="Tahoma"/>
          <w:lang w:val="ru-RU"/>
        </w:rPr>
        <w:t>н</w:t>
      </w:r>
      <w:r w:rsidR="0000464F" w:rsidRPr="00106747">
        <w:rPr>
          <w:rFonts w:ascii="Tahoma" w:hAnsi="Tahoma" w:cs="Tahoma"/>
          <w:lang w:val="ru-RU"/>
        </w:rPr>
        <w:t>ия последнего дня заключения Контракта</w:t>
      </w:r>
      <w:r w:rsidR="00E66DAF">
        <w:rPr>
          <w:rFonts w:ascii="Tahoma" w:hAnsi="Tahoma" w:cs="Tahoma"/>
          <w:lang w:val="ru-RU"/>
        </w:rPr>
        <w:t>.</w:t>
      </w:r>
    </w:p>
    <w:p w:rsidR="0032426C" w:rsidRPr="002428CB" w:rsidRDefault="0032426C" w:rsidP="0032426C">
      <w:pPr>
        <w:pStyle w:val="a"/>
        <w:numPr>
          <w:ilvl w:val="0"/>
          <w:numId w:val="0"/>
        </w:numPr>
        <w:rPr>
          <w:rFonts w:ascii="Tahoma" w:hAnsi="Tahoma" w:cs="Tahoma"/>
          <w:b w:val="0"/>
        </w:rPr>
      </w:pPr>
      <w:r w:rsidRPr="002428CB">
        <w:rPr>
          <w:rFonts w:ascii="Tahoma" w:hAnsi="Tahoma" w:cs="Tahoma"/>
          <w:b w:val="0"/>
        </w:rPr>
        <w:t>Баз</w:t>
      </w:r>
      <w:r w:rsidR="008C1D2D">
        <w:rPr>
          <w:rFonts w:ascii="Tahoma" w:hAnsi="Tahoma" w:cs="Tahoma"/>
          <w:b w:val="0"/>
        </w:rPr>
        <w:t xml:space="preserve">исным </w:t>
      </w:r>
      <w:r w:rsidRPr="002428CB">
        <w:rPr>
          <w:rFonts w:ascii="Tahoma" w:hAnsi="Tahoma" w:cs="Tahoma"/>
          <w:b w:val="0"/>
        </w:rPr>
        <w:t>активом Контракт</w:t>
      </w:r>
      <w:r w:rsidR="00F84664">
        <w:rPr>
          <w:rFonts w:ascii="Tahoma" w:hAnsi="Tahoma" w:cs="Tahoma"/>
          <w:b w:val="0"/>
        </w:rPr>
        <w:t>ов, условия которых определяются в настоящей Спецификации и в Списке параметров, явля</w:t>
      </w:r>
      <w:r w:rsidR="007C0C81">
        <w:rPr>
          <w:rFonts w:ascii="Tahoma" w:hAnsi="Tahoma" w:cs="Tahoma"/>
          <w:b w:val="0"/>
        </w:rPr>
        <w:t>е</w:t>
      </w:r>
      <w:r w:rsidR="00F84664">
        <w:rPr>
          <w:rFonts w:ascii="Tahoma" w:hAnsi="Tahoma" w:cs="Tahoma"/>
          <w:b w:val="0"/>
        </w:rPr>
        <w:t xml:space="preserve">тся </w:t>
      </w:r>
      <w:r w:rsidR="00192A34">
        <w:rPr>
          <w:rFonts w:ascii="Tahoma" w:hAnsi="Tahoma" w:cs="Tahoma"/>
          <w:b w:val="0"/>
        </w:rPr>
        <w:t>нефтепродукт</w:t>
      </w:r>
      <w:r w:rsidR="0037291E">
        <w:rPr>
          <w:rFonts w:ascii="Tahoma" w:hAnsi="Tahoma" w:cs="Tahoma"/>
          <w:b w:val="0"/>
        </w:rPr>
        <w:t>.</w:t>
      </w:r>
    </w:p>
    <w:p w:rsidR="0032426C" w:rsidRPr="002428CB" w:rsidRDefault="0032426C" w:rsidP="0032426C">
      <w:pPr>
        <w:pStyle w:val="a"/>
        <w:numPr>
          <w:ilvl w:val="0"/>
          <w:numId w:val="0"/>
        </w:numPr>
        <w:rPr>
          <w:rFonts w:ascii="Tahoma" w:hAnsi="Tahoma" w:cs="Tahoma"/>
          <w:b w:val="0"/>
        </w:rPr>
      </w:pPr>
      <w:r w:rsidRPr="002428CB">
        <w:rPr>
          <w:rFonts w:ascii="Tahoma" w:hAnsi="Tahoma" w:cs="Tahoma"/>
          <w:b w:val="0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F32CF7" w:rsidRPr="002428CB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Заключение Контракта</w:t>
      </w:r>
    </w:p>
    <w:p w:rsidR="0032426C" w:rsidRPr="002428CB" w:rsidRDefault="0032426C" w:rsidP="0032426C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2428CB">
        <w:rPr>
          <w:rFonts w:ascii="Tahoma" w:hAnsi="Tahoma" w:cs="Tahoma"/>
        </w:rPr>
        <w:t>Возможность заключения Контракта на Торгах устанавливается решением ПАО Московская Биржа (далее - Биржа), которое должно содержать:</w:t>
      </w:r>
      <w:bookmarkEnd w:id="1"/>
    </w:p>
    <w:p w:rsidR="0032426C" w:rsidRPr="002428CB" w:rsidRDefault="0032426C" w:rsidP="00A909B6">
      <w:pPr>
        <w:pStyle w:val="Pointmark"/>
        <w:tabs>
          <w:tab w:val="clear" w:pos="360"/>
        </w:tabs>
        <w:spacing w:before="120" w:after="0"/>
        <w:ind w:left="1134" w:hanging="283"/>
        <w:rPr>
          <w:rFonts w:ascii="Tahoma" w:hAnsi="Tahoma" w:cs="Tahoma"/>
        </w:rPr>
      </w:pPr>
      <w:r w:rsidRPr="002428CB">
        <w:rPr>
          <w:rFonts w:ascii="Tahoma" w:hAnsi="Tahoma" w:cs="Tahoma"/>
        </w:rPr>
        <w:t>код (обозначение) Контракта;</w:t>
      </w:r>
    </w:p>
    <w:p w:rsidR="0032426C" w:rsidRPr="002428CB" w:rsidRDefault="0032426C" w:rsidP="00A909B6">
      <w:pPr>
        <w:pStyle w:val="Pointmark"/>
        <w:tabs>
          <w:tab w:val="clear" w:pos="360"/>
        </w:tabs>
        <w:spacing w:after="0"/>
        <w:ind w:left="1134" w:hanging="283"/>
        <w:rPr>
          <w:rFonts w:ascii="Tahoma" w:hAnsi="Tahoma" w:cs="Tahoma"/>
        </w:rPr>
      </w:pPr>
      <w:r w:rsidRPr="002428CB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7C0C81" w:rsidRDefault="0032426C" w:rsidP="00A909B6">
      <w:pPr>
        <w:pStyle w:val="Pointmark"/>
        <w:tabs>
          <w:tab w:val="clear" w:pos="360"/>
          <w:tab w:val="num" w:pos="1134"/>
        </w:tabs>
        <w:spacing w:after="0"/>
        <w:ind w:left="1134" w:hanging="283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время, начиная с которого может быть заключен Контракт (момент начала Торгов Контрактом); </w:t>
      </w:r>
    </w:p>
    <w:p w:rsidR="007C0C81" w:rsidRPr="00376E2A" w:rsidRDefault="007C0C81" w:rsidP="00A909B6">
      <w:pPr>
        <w:pStyle w:val="Pointmark"/>
        <w:tabs>
          <w:tab w:val="clear" w:pos="360"/>
          <w:tab w:val="num" w:pos="1134"/>
        </w:tabs>
        <w:spacing w:after="0"/>
        <w:ind w:left="1134" w:hanging="283"/>
        <w:rPr>
          <w:rFonts w:ascii="Tahoma" w:hAnsi="Tahoma" w:cs="Tahoma"/>
        </w:rPr>
      </w:pPr>
      <w: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:rsidR="007C0C81" w:rsidRPr="002428CB" w:rsidRDefault="0032426C" w:rsidP="0032426C">
      <w:pPr>
        <w:pStyle w:val="a0"/>
        <w:spacing w:before="240"/>
      </w:pPr>
      <w:r w:rsidRPr="002428CB">
        <w:t>Код (обозначение) Контракта</w:t>
      </w:r>
      <w:r w:rsidR="00316644">
        <w:t xml:space="preserve"> определяется Списком параметров и</w:t>
      </w:r>
      <w:r w:rsidRPr="002428CB">
        <w:t xml:space="preserve"> формируется по </w:t>
      </w:r>
      <w:r w:rsidR="00DD01CF">
        <w:t>одному из следующих</w:t>
      </w:r>
      <w:r w:rsidRPr="002428CB">
        <w:t xml:space="preserve"> правил:</w:t>
      </w:r>
    </w:p>
    <w:p w:rsidR="007C0C81" w:rsidRPr="00376E2A" w:rsidRDefault="007C0C81" w:rsidP="00376E2A">
      <w:pPr>
        <w:pStyle w:val="a0"/>
        <w:numPr>
          <w:ilvl w:val="0"/>
          <w:numId w:val="0"/>
        </w:numPr>
        <w:spacing w:before="240"/>
        <w:ind w:left="851"/>
      </w:pPr>
      <w:r w:rsidRPr="00ED1D8A">
        <w:t>XXXX</w:t>
      </w:r>
      <w:r>
        <w:t xml:space="preserve"> </w:t>
      </w:r>
      <w:r w:rsidRPr="00ED1D8A">
        <w:t>(</w:t>
      </w:r>
      <w:r>
        <w:t xml:space="preserve">основной </w:t>
      </w:r>
      <w:r w:rsidRPr="00ED1D8A">
        <w:t xml:space="preserve">код </w:t>
      </w:r>
      <w:r>
        <w:t>базисного</w:t>
      </w:r>
      <w:r w:rsidRPr="00ED1D8A">
        <w:t xml:space="preserve"> актива</w:t>
      </w:r>
      <w:r>
        <w:t xml:space="preserve"> от одного до девяти знаков</w:t>
      </w:r>
      <w:r w:rsidRPr="00ED1D8A">
        <w:t>)-&lt;месяц исполнения&gt;.&lt;год исполнения&gt;.</w:t>
      </w:r>
    </w:p>
    <w:p w:rsidR="009207C0" w:rsidRPr="00532D83" w:rsidRDefault="009207C0" w:rsidP="00532D83">
      <w:pPr>
        <w:pStyle w:val="aa"/>
        <w:spacing w:before="120" w:after="0"/>
        <w:ind w:firstLine="284"/>
        <w:rPr>
          <w:rFonts w:ascii="Tahoma" w:hAnsi="Tahoma" w:cs="Tahoma"/>
          <w:lang w:val="ru-RU"/>
        </w:rPr>
      </w:pPr>
      <w:r w:rsidRPr="005C36E4">
        <w:rPr>
          <w:rFonts w:ascii="Tahoma" w:hAnsi="Tahoma" w:cs="Tahoma"/>
          <w:lang w:val="ru-RU"/>
        </w:rPr>
        <w:t>Код баз</w:t>
      </w:r>
      <w:r w:rsidR="00454412">
        <w:rPr>
          <w:rFonts w:ascii="Tahoma" w:hAnsi="Tahoma" w:cs="Tahoma"/>
          <w:lang w:val="ru-RU"/>
        </w:rPr>
        <w:t>исного</w:t>
      </w:r>
      <w:r w:rsidRPr="005C36E4">
        <w:rPr>
          <w:rFonts w:ascii="Tahoma" w:hAnsi="Tahoma" w:cs="Tahoma"/>
          <w:lang w:val="ru-RU"/>
        </w:rPr>
        <w:t xml:space="preserve"> актива определяется согласно Списку параметров.</w:t>
      </w:r>
    </w:p>
    <w:p w:rsidR="008E2C28" w:rsidRDefault="0032426C" w:rsidP="008E3053">
      <w:pPr>
        <w:pStyle w:val="aa"/>
        <w:spacing w:before="120" w:after="0"/>
        <w:ind w:left="851"/>
        <w:rPr>
          <w:rFonts w:ascii="Tahoma" w:hAnsi="Tahoma" w:cs="Tahoma"/>
          <w:lang w:val="ru-RU"/>
        </w:rPr>
      </w:pPr>
      <w:r w:rsidRPr="002428CB">
        <w:rPr>
          <w:rFonts w:ascii="Tahoma" w:hAnsi="Tahoma" w:cs="Tahoma"/>
          <w:lang w:val="ru-RU"/>
        </w:rPr>
        <w:t xml:space="preserve"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</w:t>
      </w:r>
      <w:r w:rsidRPr="002428CB">
        <w:rPr>
          <w:rFonts w:ascii="Tahoma" w:hAnsi="Tahoma" w:cs="Tahoma"/>
          <w:lang w:val="ru-RU"/>
        </w:rPr>
        <w:lastRenderedPageBreak/>
        <w:t>заключен Контракт (далее – последний день заключения Контракта) и дня исполнения Контракта.</w:t>
      </w:r>
    </w:p>
    <w:p w:rsidR="007C0C81" w:rsidRPr="002428CB" w:rsidRDefault="007C0C81" w:rsidP="00376E2A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B757A6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то, в целях формирования кода Контракта, указывается месяц и год последнего дня заключения Контракта.</w:t>
      </w:r>
    </w:p>
    <w:p w:rsidR="00F32CF7" w:rsidRPr="003B4AEE" w:rsidRDefault="008E2C28" w:rsidP="003B4AEE">
      <w:pPr>
        <w:pStyle w:val="a0"/>
        <w:spacing w:before="120" w:after="0"/>
        <w:rPr>
          <w:rFonts w:ascii="Tahoma" w:hAnsi="Tahoma" w:cs="Tahoma"/>
        </w:rPr>
      </w:pPr>
      <w:r w:rsidRPr="0084571E">
        <w:rPr>
          <w:rFonts w:ascii="Tahoma" w:hAnsi="Tahoma" w:cs="Tahoma"/>
        </w:rPr>
        <w:t>Единица измерения цены Контракта в ходе Торгов при подаче заявки и заключении Контракта, минимальное изменение цены Контракта в ходе Торгов (далее – минимальный шаг цены), Лот Контракта определяются в Списке параметров.</w:t>
      </w:r>
    </w:p>
    <w:p w:rsidR="00C51A1E" w:rsidRDefault="004B34FB" w:rsidP="00C51A1E">
      <w:pPr>
        <w:pStyle w:val="a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Стоимость минимального шага цены </w:t>
      </w:r>
      <w:r>
        <w:rPr>
          <w:rFonts w:ascii="Tahoma" w:hAnsi="Tahoma" w:cs="Tahoma"/>
        </w:rPr>
        <w:t>рассчитывается в российских рублях и определяется в Списке параметров.</w:t>
      </w:r>
      <w:r w:rsidRPr="00532D83">
        <w:rPr>
          <w:rFonts w:ascii="Tahoma" w:hAnsi="Tahoma" w:cs="Tahoma"/>
        </w:rPr>
        <w:t xml:space="preserve"> </w:t>
      </w:r>
    </w:p>
    <w:p w:rsidR="00173C1E" w:rsidRDefault="00AB0282" w:rsidP="00106747">
      <w:pPr>
        <w:pStyle w:val="a0"/>
        <w:numPr>
          <w:ilvl w:val="1"/>
          <w:numId w:val="16"/>
        </w:numPr>
        <w:ind w:left="851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  Последний день</w:t>
      </w:r>
      <w:r w:rsidR="00C51A1E">
        <w:rPr>
          <w:rFonts w:ascii="Tahoma" w:hAnsi="Tahoma" w:cs="Tahoma"/>
        </w:rPr>
        <w:t xml:space="preserve"> заключения Контракта </w:t>
      </w:r>
      <w:r w:rsidR="00C51A1E" w:rsidRPr="00106747">
        <w:rPr>
          <w:rFonts w:ascii="Tahoma" w:hAnsi="Tahoma" w:cs="Tahoma"/>
        </w:rPr>
        <w:t>определяется</w:t>
      </w:r>
      <w:r w:rsidRPr="00106747">
        <w:rPr>
          <w:rFonts w:ascii="Tahoma" w:hAnsi="Tahoma" w:cs="Tahoma"/>
        </w:rPr>
        <w:t xml:space="preserve"> </w:t>
      </w:r>
      <w:r w:rsidR="00DD01CF" w:rsidRPr="00106747">
        <w:rPr>
          <w:rFonts w:ascii="Tahoma" w:hAnsi="Tahoma" w:cs="Tahoma"/>
        </w:rPr>
        <w:t xml:space="preserve">в </w:t>
      </w:r>
      <w:r w:rsidRPr="00106747">
        <w:rPr>
          <w:rFonts w:ascii="Tahoma" w:hAnsi="Tahoma" w:cs="Tahoma"/>
        </w:rPr>
        <w:t>Списк</w:t>
      </w:r>
      <w:r w:rsidR="00DD01CF" w:rsidRPr="00106747">
        <w:rPr>
          <w:rFonts w:ascii="Tahoma" w:hAnsi="Tahoma" w:cs="Tahoma"/>
        </w:rPr>
        <w:t>е</w:t>
      </w:r>
      <w:r w:rsidRPr="00106747">
        <w:rPr>
          <w:rFonts w:ascii="Tahoma" w:hAnsi="Tahoma" w:cs="Tahoma"/>
        </w:rPr>
        <w:t xml:space="preserve"> параметров</w:t>
      </w:r>
      <w:r w:rsidR="00E31A25" w:rsidRPr="00106747">
        <w:rPr>
          <w:rFonts w:ascii="Tahoma" w:hAnsi="Tahoma" w:cs="Tahoma"/>
        </w:rPr>
        <w:t>.</w:t>
      </w:r>
      <w:r w:rsidR="00C51A1E">
        <w:rPr>
          <w:rFonts w:ascii="Tahoma" w:hAnsi="Tahoma" w:cs="Tahoma"/>
        </w:rPr>
        <w:t xml:space="preserve"> </w:t>
      </w:r>
    </w:p>
    <w:p w:rsidR="00C51A1E" w:rsidRPr="00106747" w:rsidRDefault="00173C1E" w:rsidP="00106747">
      <w:pPr>
        <w:pStyle w:val="a0"/>
        <w:numPr>
          <w:ilvl w:val="0"/>
          <w:numId w:val="15"/>
        </w:numPr>
        <w:ind w:left="851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106747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="00D24043" w:rsidRPr="00106747">
        <w:rPr>
          <w:rFonts w:ascii="Tahoma" w:hAnsi="Tahoma" w:cs="Tahoma"/>
        </w:rPr>
        <w:t>о</w:t>
      </w:r>
      <w:r w:rsidRPr="00106747">
        <w:rPr>
          <w:rFonts w:ascii="Tahoma" w:hAnsi="Tahoma" w:cs="Tahoma"/>
        </w:rPr>
        <w:t xml:space="preserve"> </w:t>
      </w:r>
      <w:r w:rsidR="00D24043" w:rsidRPr="00106747">
        <w:rPr>
          <w:rFonts w:ascii="Tahoma" w:hAnsi="Tahoma" w:cs="Tahoma"/>
        </w:rPr>
        <w:t>Списком параметров</w:t>
      </w:r>
      <w:r w:rsidRPr="00106747">
        <w:rPr>
          <w:rFonts w:ascii="Tahoma" w:hAnsi="Tahoma" w:cs="Tahoma"/>
        </w:rPr>
        <w:t>.</w:t>
      </w:r>
    </w:p>
    <w:p w:rsidR="00AB0282" w:rsidRPr="00AB0282" w:rsidRDefault="00AB0282" w:rsidP="00AB0282">
      <w:pPr>
        <w:pStyle w:val="afb"/>
        <w:numPr>
          <w:ilvl w:val="1"/>
          <w:numId w:val="1"/>
        </w:numPr>
        <w:autoSpaceDE w:val="0"/>
        <w:autoSpaceDN w:val="0"/>
        <w:spacing w:after="6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="00AB0282" w:rsidRPr="00AB0282" w:rsidRDefault="00AB0282" w:rsidP="00AB0282">
      <w:pPr>
        <w:pStyle w:val="afb"/>
        <w:numPr>
          <w:ilvl w:val="1"/>
          <w:numId w:val="1"/>
        </w:numPr>
        <w:autoSpaceDE w:val="0"/>
        <w:autoSpaceDN w:val="0"/>
        <w:spacing w:after="6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:rsidR="00D104C3" w:rsidRPr="00376E2A" w:rsidRDefault="00F10DEB" w:rsidP="00AB0282">
      <w:pPr>
        <w:pStyle w:val="a0"/>
      </w:pPr>
      <w:r w:rsidRPr="003C5AC8">
        <w:rPr>
          <w:rFonts w:ascii="Tahoma" w:hAnsi="Tahoma" w:cs="Tahoma"/>
        </w:rPr>
        <w:t xml:space="preserve">В целях Спецификации, </w:t>
      </w:r>
      <w:r w:rsidRPr="00376E2A">
        <w:rPr>
          <w:rFonts w:ascii="Tahoma" w:hAnsi="Tahoma" w:cs="Tahoma"/>
        </w:rPr>
        <w:t>д</w:t>
      </w:r>
      <w:r w:rsidR="00436752" w:rsidRPr="00376E2A">
        <w:rPr>
          <w:rFonts w:ascii="Tahoma" w:hAnsi="Tahoma" w:cs="Tahoma"/>
        </w:rPr>
        <w:t xml:space="preserve">нем </w:t>
      </w:r>
      <w:r w:rsidRPr="00376E2A">
        <w:rPr>
          <w:rFonts w:ascii="Tahoma" w:hAnsi="Tahoma" w:cs="Tahoma"/>
        </w:rPr>
        <w:t xml:space="preserve">экспирации </w:t>
      </w:r>
      <w:r w:rsidR="00436752" w:rsidRPr="00376E2A">
        <w:rPr>
          <w:rFonts w:ascii="Tahoma" w:hAnsi="Tahoma" w:cs="Tahoma"/>
        </w:rPr>
        <w:t xml:space="preserve">Контракта </w:t>
      </w:r>
      <w:r w:rsidRPr="003C5AC8">
        <w:rPr>
          <w:rFonts w:ascii="Tahoma" w:hAnsi="Tahoma" w:cs="Tahoma"/>
        </w:rPr>
        <w:t xml:space="preserve">считается день определения Обязательства по расчетам, согласно </w:t>
      </w:r>
      <w:r>
        <w:rPr>
          <w:rFonts w:ascii="Tahoma" w:hAnsi="Tahoma" w:cs="Tahoma"/>
        </w:rPr>
        <w:t>под</w:t>
      </w:r>
      <w:r w:rsidRPr="003C5AC8">
        <w:rPr>
          <w:rFonts w:ascii="Tahoma" w:hAnsi="Tahoma" w:cs="Tahoma"/>
        </w:rPr>
        <w:t xml:space="preserve">пункту </w:t>
      </w:r>
      <w:r w:rsidRPr="00376E2A">
        <w:rPr>
          <w:rFonts w:ascii="Tahoma" w:hAnsi="Tahoma" w:cs="Tahoma"/>
        </w:rPr>
        <w:t>2.2.1 Спецификации</w:t>
      </w:r>
      <w:r w:rsidRPr="003C5AC8">
        <w:rPr>
          <w:rFonts w:ascii="Tahoma" w:hAnsi="Tahoma" w:cs="Tahoma"/>
        </w:rPr>
        <w:t>.</w:t>
      </w:r>
    </w:p>
    <w:p w:rsidR="00F10DEB" w:rsidRPr="00376E2A" w:rsidRDefault="00F10DEB" w:rsidP="00376E2A">
      <w:pPr>
        <w:pStyle w:val="a0"/>
        <w:spacing w:before="120" w:after="0"/>
        <w:rPr>
          <w:rFonts w:ascii="Tahoma" w:hAnsi="Tahoma" w:cs="Tahoma"/>
        </w:rPr>
      </w:pPr>
      <w:r w:rsidRPr="00474E2C">
        <w:rPr>
          <w:rFonts w:ascii="Tahoma" w:hAnsi="Tahoma" w:cs="Tahoma"/>
        </w:rPr>
        <w:t xml:space="preserve">В целях Спецификации, </w:t>
      </w:r>
      <w:r>
        <w:rPr>
          <w:rFonts w:ascii="Tahoma" w:hAnsi="Tahoma" w:cs="Tahoma"/>
        </w:rPr>
        <w:t>д</w:t>
      </w:r>
      <w:r w:rsidRPr="00A83789">
        <w:rPr>
          <w:rFonts w:ascii="Tahoma" w:hAnsi="Tahoma" w:cs="Tahoma"/>
        </w:rPr>
        <w:t>нем исполнения Контракта считается</w:t>
      </w:r>
      <w:r w:rsidRPr="003C5AC8">
        <w:rPr>
          <w:rFonts w:ascii="Tahoma" w:hAnsi="Tahoma" w:cs="Tahoma"/>
        </w:rPr>
        <w:t xml:space="preserve"> </w:t>
      </w:r>
      <w:bookmarkStart w:id="2" w:name="_Hlk220941774"/>
      <w:r>
        <w:rPr>
          <w:rFonts w:ascii="Tahoma" w:hAnsi="Tahoma" w:cs="Tahoma"/>
        </w:rPr>
        <w:t>первый Расчетный день, следующий за</w:t>
      </w:r>
      <w:r w:rsidRPr="00A83789">
        <w:rPr>
          <w:rFonts w:ascii="Tahoma" w:hAnsi="Tahoma" w:cs="Tahoma"/>
        </w:rPr>
        <w:t xml:space="preserve"> </w:t>
      </w:r>
      <w:bookmarkEnd w:id="2"/>
      <w:r w:rsidRPr="00A83789">
        <w:rPr>
          <w:rFonts w:ascii="Tahoma" w:hAnsi="Tahoma" w:cs="Tahoma"/>
        </w:rPr>
        <w:t>последни</w:t>
      </w:r>
      <w:r>
        <w:rPr>
          <w:rFonts w:ascii="Tahoma" w:hAnsi="Tahoma" w:cs="Tahoma"/>
        </w:rPr>
        <w:t>м</w:t>
      </w:r>
      <w:r w:rsidRPr="00A83789">
        <w:rPr>
          <w:rFonts w:ascii="Tahoma" w:hAnsi="Tahoma" w:cs="Tahoma"/>
        </w:rPr>
        <w:t xml:space="preserve"> д</w:t>
      </w:r>
      <w:r>
        <w:rPr>
          <w:rFonts w:ascii="Tahoma" w:hAnsi="Tahoma" w:cs="Tahoma"/>
        </w:rPr>
        <w:t>нем</w:t>
      </w:r>
      <w:r w:rsidRPr="00A83789">
        <w:rPr>
          <w:rFonts w:ascii="Tahoma" w:hAnsi="Tahoma" w:cs="Tahoma"/>
        </w:rPr>
        <w:t xml:space="preserve"> заключения Контракта, за исключением случаев, предусмотренных пунктами 5.1-5.2 Спецификации.</w:t>
      </w:r>
    </w:p>
    <w:p w:rsidR="00B5419F" w:rsidRPr="002428CB" w:rsidRDefault="00B5419F" w:rsidP="00BE45A5">
      <w:pPr>
        <w:pStyle w:val="a0"/>
        <w:rPr>
          <w:rFonts w:ascii="Tahoma" w:hAnsi="Tahoma" w:cs="Tahoma"/>
        </w:rPr>
      </w:pPr>
      <w:r w:rsidRPr="002428CB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</w:t>
      </w:r>
      <w:r w:rsidR="008D172E">
        <w:rPr>
          <w:rFonts w:ascii="Tahoma" w:hAnsi="Tahoma" w:cs="Tahoma"/>
        </w:rPr>
        <w:t>.</w:t>
      </w:r>
    </w:p>
    <w:p w:rsidR="00436752" w:rsidRPr="00C505A3" w:rsidRDefault="00436752" w:rsidP="00532D83">
      <w:pPr>
        <w:pStyle w:val="a0"/>
        <w:numPr>
          <w:ilvl w:val="0"/>
          <w:numId w:val="0"/>
        </w:numPr>
        <w:rPr>
          <w:rFonts w:ascii="Tahoma" w:hAnsi="Tahoma" w:cs="Tahoma"/>
        </w:rPr>
      </w:pPr>
    </w:p>
    <w:p w:rsidR="00F32CF7" w:rsidRPr="002428CB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Обязательства по Контракту</w:t>
      </w:r>
    </w:p>
    <w:p w:rsidR="0032426C" w:rsidRPr="002428CB" w:rsidRDefault="0032426C" w:rsidP="0032426C">
      <w:pPr>
        <w:pStyle w:val="a0"/>
        <w:spacing w:before="120" w:after="0"/>
        <w:rPr>
          <w:rFonts w:ascii="Tahoma" w:hAnsi="Tahoma" w:cs="Tahoma"/>
        </w:rPr>
      </w:pPr>
      <w:bookmarkStart w:id="3" w:name="_Ref231278074"/>
      <w:bookmarkStart w:id="4" w:name="_Ref231715400"/>
      <w:bookmarkStart w:id="5" w:name="_Ref231130227"/>
      <w:r w:rsidRPr="002428CB">
        <w:rPr>
          <w:rFonts w:ascii="Tahoma" w:hAnsi="Tahoma" w:cs="Tahoma"/>
        </w:rPr>
        <w:t>Обязательство по уплате вариационной маржи.</w:t>
      </w:r>
    </w:p>
    <w:p w:rsidR="0032426C" w:rsidRPr="002428CB" w:rsidRDefault="0032426C" w:rsidP="0032426C">
      <w:pPr>
        <w:pStyle w:val="1"/>
        <w:spacing w:before="120"/>
        <w:rPr>
          <w:rFonts w:ascii="Tahoma" w:hAnsi="Tahoma" w:cs="Tahoma"/>
        </w:rPr>
      </w:pPr>
      <w:r w:rsidRPr="002428C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8C1D2D">
        <w:rPr>
          <w:rFonts w:ascii="Tahoma" w:hAnsi="Tahoma" w:cs="Tahoma"/>
        </w:rPr>
        <w:t>исного</w:t>
      </w:r>
      <w:r w:rsidRPr="002428CB">
        <w:rPr>
          <w:rFonts w:ascii="Tahoma" w:hAnsi="Tahoma" w:cs="Tahoma"/>
        </w:rPr>
        <w:t xml:space="preserve"> актива. </w:t>
      </w:r>
    </w:p>
    <w:p w:rsidR="0032426C" w:rsidRPr="002428CB" w:rsidRDefault="0032426C" w:rsidP="0032426C">
      <w:pPr>
        <w:pStyle w:val="1"/>
        <w:rPr>
          <w:rFonts w:ascii="Tahoma" w:hAnsi="Tahoma" w:cs="Tahoma"/>
        </w:rPr>
      </w:pPr>
      <w:r w:rsidRPr="002428CB">
        <w:rPr>
          <w:rFonts w:ascii="Tahoma" w:hAnsi="Tahoma" w:cs="Tahoma"/>
        </w:rPr>
        <w:t>Вариационная маржа рассчитывается</w:t>
      </w:r>
      <w:r w:rsidR="00596CA9">
        <w:rPr>
          <w:rFonts w:ascii="Tahoma" w:hAnsi="Tahoma" w:cs="Tahoma"/>
        </w:rPr>
        <w:t xml:space="preserve"> по итогам каждого Торгового дня </w:t>
      </w:r>
      <w:r w:rsidR="00596CA9" w:rsidRPr="005C36E4">
        <w:rPr>
          <w:rFonts w:ascii="Tahoma" w:hAnsi="Tahoma" w:cs="Tahoma"/>
        </w:rPr>
        <w:t xml:space="preserve">в период с первого дня заключения Контракта до </w:t>
      </w:r>
      <w:r w:rsidR="00596CA9">
        <w:rPr>
          <w:rFonts w:ascii="Tahoma" w:hAnsi="Tahoma" w:cs="Tahoma"/>
        </w:rPr>
        <w:t>последнего дня заключения</w:t>
      </w:r>
      <w:r w:rsidR="00596CA9" w:rsidRPr="005C36E4">
        <w:rPr>
          <w:rFonts w:ascii="Tahoma" w:hAnsi="Tahoma" w:cs="Tahoma"/>
        </w:rPr>
        <w:t xml:space="preserve"> Контракта включительно</w:t>
      </w:r>
      <w:r w:rsidRPr="002428CB">
        <w:rPr>
          <w:rFonts w:ascii="Tahoma" w:hAnsi="Tahoma" w:cs="Tahoma"/>
        </w:rPr>
        <w:t xml:space="preserve"> и уплачивается </w:t>
      </w:r>
      <w:r w:rsidR="00F542C6" w:rsidRPr="00136703">
        <w:rPr>
          <w:rFonts w:ascii="Tahoma" w:hAnsi="Tahoma" w:cs="Tahoma"/>
        </w:rPr>
        <w:t xml:space="preserve">с </w:t>
      </w:r>
      <w:r w:rsidR="00F542C6">
        <w:rPr>
          <w:rFonts w:ascii="Tahoma" w:hAnsi="Tahoma" w:cs="Tahoma"/>
        </w:rPr>
        <w:t>Расчетного</w:t>
      </w:r>
      <w:r w:rsidR="00F542C6" w:rsidRPr="00136703">
        <w:rPr>
          <w:rFonts w:ascii="Tahoma" w:hAnsi="Tahoma" w:cs="Tahoma"/>
        </w:rPr>
        <w:t xml:space="preserve"> дня, следующего за днем заключения </w:t>
      </w:r>
      <w:r w:rsidR="00F542C6">
        <w:rPr>
          <w:rFonts w:ascii="Tahoma" w:hAnsi="Tahoma" w:cs="Tahoma"/>
        </w:rPr>
        <w:t>К</w:t>
      </w:r>
      <w:r w:rsidR="00F542C6" w:rsidRPr="00136703">
        <w:rPr>
          <w:rFonts w:ascii="Tahoma" w:hAnsi="Tahoma" w:cs="Tahoma"/>
        </w:rPr>
        <w:t>онтракта,</w:t>
      </w:r>
      <w:r w:rsidR="00F542C6">
        <w:rPr>
          <w:rFonts w:ascii="Tahoma" w:hAnsi="Tahoma" w:cs="Tahoma"/>
        </w:rPr>
        <w:t xml:space="preserve"> </w:t>
      </w:r>
      <w:r w:rsidRPr="002428CB">
        <w:rPr>
          <w:rFonts w:ascii="Tahoma" w:hAnsi="Tahoma" w:cs="Tahoma"/>
        </w:rPr>
        <w:t>до дня исполнения Контракта включительно</w:t>
      </w:r>
      <w:r w:rsidR="00F542C6">
        <w:rPr>
          <w:rFonts w:ascii="Tahoma" w:hAnsi="Tahoma" w:cs="Tahoma"/>
        </w:rPr>
        <w:t xml:space="preserve"> </w:t>
      </w:r>
      <w:r w:rsidR="00F542C6" w:rsidRPr="00136703">
        <w:rPr>
          <w:rFonts w:ascii="Tahoma" w:hAnsi="Tahoma" w:cs="Tahoma"/>
        </w:rPr>
        <w:t xml:space="preserve">с учетом положений пункта </w:t>
      </w:r>
      <w:r w:rsidR="00F542C6">
        <w:rPr>
          <w:rFonts w:ascii="Tahoma" w:hAnsi="Tahoma" w:cs="Tahoma"/>
        </w:rPr>
        <w:t>2.2</w:t>
      </w:r>
      <w:r w:rsidR="00F542C6" w:rsidRPr="00136703">
        <w:rPr>
          <w:rFonts w:ascii="Tahoma" w:hAnsi="Tahoma" w:cs="Tahoma"/>
        </w:rPr>
        <w:t xml:space="preserve"> настоящей Спецификации</w:t>
      </w:r>
      <w:r w:rsidRPr="002428CB">
        <w:rPr>
          <w:rFonts w:ascii="Tahoma" w:hAnsi="Tahoma" w:cs="Tahoma"/>
        </w:rPr>
        <w:t xml:space="preserve">. </w:t>
      </w:r>
    </w:p>
    <w:p w:rsidR="00CC5F81" w:rsidRPr="001331BB" w:rsidRDefault="00CC5F81" w:rsidP="00CC5F81">
      <w:pPr>
        <w:pStyle w:val="1"/>
        <w:rPr>
          <w:rFonts w:ascii="Tahoma" w:hAnsi="Tahoma" w:cs="Tahoma"/>
        </w:rPr>
      </w:pPr>
      <w:bookmarkStart w:id="6" w:name="_Ref156961941"/>
      <w:r w:rsidRPr="001331BB">
        <w:rPr>
          <w:rFonts w:ascii="Tahoma" w:hAnsi="Tahoma" w:cs="Tahoma"/>
        </w:rPr>
        <w:t>Вариационная маржа рассчитывается по следующим формулам:</w:t>
      </w:r>
      <w:bookmarkEnd w:id="6"/>
    </w:p>
    <w:p w:rsidR="00F542C6" w:rsidRPr="00376E2A" w:rsidRDefault="00CC5F81" w:rsidP="00A909B6">
      <w:pPr>
        <w:pStyle w:val="1"/>
        <w:numPr>
          <w:ilvl w:val="0"/>
          <w:numId w:val="0"/>
        </w:numPr>
        <w:tabs>
          <w:tab w:val="left" w:pos="1843"/>
        </w:tabs>
        <w:spacing w:before="120" w:after="0"/>
        <w:ind w:left="1843" w:hanging="425"/>
        <w:rPr>
          <w:rFonts w:ascii="Tahoma" w:hAnsi="Tahoma" w:cs="Tahoma"/>
        </w:rPr>
      </w:pPr>
      <w:bookmarkStart w:id="7" w:name="_Ref249432111"/>
      <w:r w:rsidRPr="00F542C6">
        <w:rPr>
          <w:rFonts w:ascii="Tahoma" w:hAnsi="Tahoma" w:cs="Tahoma"/>
        </w:rPr>
        <w:t xml:space="preserve">В ходе </w:t>
      </w:r>
      <w:bookmarkEnd w:id="7"/>
      <w:r w:rsidR="00F542C6" w:rsidRPr="005C36E4">
        <w:rPr>
          <w:rFonts w:ascii="Tahoma" w:hAnsi="Tahoma" w:cs="Tahoma"/>
          <w:color w:val="auto"/>
        </w:rPr>
        <w:t>клиринговой сессии</w:t>
      </w:r>
      <w:r w:rsidR="00F542C6">
        <w:rPr>
          <w:rFonts w:ascii="Tahoma" w:hAnsi="Tahoma" w:cs="Tahoma"/>
          <w:color w:val="auto"/>
        </w:rPr>
        <w:t xml:space="preserve"> </w:t>
      </w:r>
      <w:r w:rsidR="00F542C6">
        <w:rPr>
          <w:rFonts w:ascii="Tahoma" w:hAnsi="Tahoma" w:cs="Tahoma"/>
          <w:color w:val="auto"/>
          <w:lang w:val="en-US"/>
        </w:rPr>
        <w:t>mark</w:t>
      </w:r>
      <w:r w:rsidR="00F542C6" w:rsidRPr="00A76FE8">
        <w:rPr>
          <w:rFonts w:ascii="Tahoma" w:hAnsi="Tahoma" w:cs="Tahoma"/>
          <w:color w:val="auto"/>
        </w:rPr>
        <w:t>-</w:t>
      </w:r>
      <w:r w:rsidR="00F542C6">
        <w:rPr>
          <w:rFonts w:ascii="Tahoma" w:hAnsi="Tahoma" w:cs="Tahoma"/>
          <w:color w:val="auto"/>
          <w:lang w:val="en-US"/>
        </w:rPr>
        <w:t>to</w:t>
      </w:r>
      <w:r w:rsidR="00F542C6" w:rsidRPr="00A76FE8">
        <w:rPr>
          <w:rFonts w:ascii="Tahoma" w:hAnsi="Tahoma" w:cs="Tahoma"/>
          <w:color w:val="auto"/>
        </w:rPr>
        <w:t>-</w:t>
      </w:r>
      <w:r w:rsidR="00F542C6">
        <w:rPr>
          <w:rFonts w:ascii="Tahoma" w:hAnsi="Tahoma" w:cs="Tahoma"/>
          <w:color w:val="auto"/>
          <w:lang w:val="en-US"/>
        </w:rPr>
        <w:t>market</w:t>
      </w:r>
      <w:r w:rsidR="00F542C6">
        <w:rPr>
          <w:rStyle w:val="af2"/>
          <w:rFonts w:ascii="Tahoma" w:hAnsi="Tahoma" w:cs="Tahoma"/>
          <w:color w:val="auto"/>
          <w:lang w:val="en-US"/>
        </w:rPr>
        <w:footnoteReference w:id="1"/>
      </w:r>
      <w:r w:rsidR="00F542C6" w:rsidRPr="005C36E4">
        <w:rPr>
          <w:rFonts w:ascii="Tahoma" w:hAnsi="Tahoma" w:cs="Tahoma"/>
          <w:color w:val="auto"/>
        </w:rPr>
        <w:t>:</w:t>
      </w:r>
    </w:p>
    <w:p w:rsidR="00CC5F81" w:rsidRPr="00F542C6" w:rsidRDefault="00CC5F81" w:rsidP="00A909B6">
      <w:pPr>
        <w:pStyle w:val="1"/>
        <w:numPr>
          <w:ilvl w:val="0"/>
          <w:numId w:val="17"/>
        </w:numPr>
        <w:tabs>
          <w:tab w:val="left" w:pos="1701"/>
        </w:tabs>
        <w:spacing w:before="120" w:after="0"/>
        <w:ind w:left="1843" w:hanging="425"/>
        <w:rPr>
          <w:rFonts w:ascii="Tahoma" w:hAnsi="Tahoma" w:cs="Tahoma"/>
        </w:rPr>
      </w:pPr>
      <w:r w:rsidRPr="00F542C6">
        <w:rPr>
          <w:rFonts w:ascii="Tahoma" w:hAnsi="Tahoma" w:cs="Tahoma"/>
        </w:rPr>
        <w:t>Если расчет вариационной маржи по Контракту ранее не осуществлялся:</w:t>
      </w:r>
    </w:p>
    <w:p w:rsidR="00CC5F81" w:rsidRPr="001331BB" w:rsidRDefault="00CC5F81" w:rsidP="00CC5F81">
      <w:pPr>
        <w:pStyle w:val="aa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</w:rPr>
        <w:t>*Round (W/R;5);2) – Round (</w:t>
      </w:r>
      <w:r w:rsidRPr="001331BB">
        <w:rPr>
          <w:rFonts w:ascii="Tahoma" w:hAnsi="Tahoma" w:cs="Tahoma"/>
          <w:b/>
          <w:lang w:val="ru-RU"/>
        </w:rPr>
        <w:t>Цо</w:t>
      </w:r>
      <w:r w:rsidRPr="001331BB">
        <w:rPr>
          <w:rFonts w:ascii="Tahoma" w:hAnsi="Tahoma" w:cs="Tahoma"/>
          <w:b/>
        </w:rPr>
        <w:t xml:space="preserve">*Round (W/R;5);2)   </w:t>
      </w:r>
    </w:p>
    <w:p w:rsidR="00CC5F81" w:rsidRPr="001331BB" w:rsidRDefault="00CC5F81" w:rsidP="00CC5F8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ВМ – вариационная маржа по Контракту, рассчитанная в ходе </w:t>
      </w:r>
      <w:r w:rsidR="00F542C6">
        <w:rPr>
          <w:rFonts w:ascii="Tahoma" w:hAnsi="Tahoma" w:cs="Tahoma"/>
          <w:lang w:val="ru-RU"/>
        </w:rPr>
        <w:t>К</w:t>
      </w:r>
      <w:r w:rsidR="00F542C6" w:rsidRPr="005C36E4">
        <w:rPr>
          <w:rFonts w:ascii="Tahoma" w:hAnsi="Tahoma" w:cs="Tahoma"/>
          <w:lang w:val="ru-RU"/>
        </w:rPr>
        <w:t xml:space="preserve">лиринговой сессии </w:t>
      </w:r>
      <w:r w:rsidR="00F542C6">
        <w:rPr>
          <w:rFonts w:ascii="Tahoma" w:hAnsi="Tahoma" w:cs="Tahoma"/>
        </w:rPr>
        <w:t>mark</w:t>
      </w:r>
      <w:r w:rsidR="00F542C6" w:rsidRPr="00A76FE8">
        <w:rPr>
          <w:rFonts w:ascii="Tahoma" w:hAnsi="Tahoma" w:cs="Tahoma"/>
          <w:lang w:val="ru-RU"/>
        </w:rPr>
        <w:t>-</w:t>
      </w:r>
      <w:r w:rsidR="00F542C6">
        <w:rPr>
          <w:rFonts w:ascii="Tahoma" w:hAnsi="Tahoma" w:cs="Tahoma"/>
        </w:rPr>
        <w:t>to</w:t>
      </w:r>
      <w:r w:rsidR="00F542C6" w:rsidRPr="00A76FE8">
        <w:rPr>
          <w:rFonts w:ascii="Tahoma" w:hAnsi="Tahoma" w:cs="Tahoma"/>
          <w:lang w:val="ru-RU"/>
        </w:rPr>
        <w:t>-</w:t>
      </w:r>
      <w:r w:rsidR="00F542C6">
        <w:rPr>
          <w:rFonts w:ascii="Tahoma" w:hAnsi="Tahoma" w:cs="Tahoma"/>
        </w:rPr>
        <w:t>market</w:t>
      </w:r>
      <w:r w:rsidR="00F542C6" w:rsidRPr="00A76FE8">
        <w:rPr>
          <w:rFonts w:ascii="Tahoma" w:hAnsi="Tahoma" w:cs="Tahoma"/>
          <w:lang w:val="ru-RU"/>
        </w:rPr>
        <w:t xml:space="preserve"> </w:t>
      </w:r>
      <w:r w:rsidR="00F542C6" w:rsidRPr="005C36E4">
        <w:rPr>
          <w:rFonts w:ascii="Tahoma" w:hAnsi="Tahoma" w:cs="Tahoma"/>
          <w:lang w:val="ru-RU"/>
        </w:rPr>
        <w:t>текущего Торгового дня</w:t>
      </w:r>
      <w:r w:rsidRPr="001331BB">
        <w:rPr>
          <w:rFonts w:ascii="Tahoma" w:hAnsi="Tahoma" w:cs="Tahoma"/>
          <w:lang w:val="ru-RU"/>
        </w:rPr>
        <w:t>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Цо – цена заключения Контракта;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CC5F81" w:rsidRPr="001331BB" w:rsidRDefault="00CC5F81" w:rsidP="00CC5F81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:rsidR="00CC5F81" w:rsidRPr="001331BB" w:rsidRDefault="00CC5F81" w:rsidP="00376E2A">
      <w:pPr>
        <w:pStyle w:val="aa"/>
        <w:numPr>
          <w:ilvl w:val="0"/>
          <w:numId w:val="17"/>
        </w:numPr>
        <w:tabs>
          <w:tab w:val="clear" w:pos="9000"/>
          <w:tab w:val="left" w:pos="1843"/>
        </w:tabs>
        <w:spacing w:before="120"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осуществлялся ранее</w:t>
      </w:r>
      <w:r w:rsidR="00CD542F">
        <w:rPr>
          <w:rFonts w:ascii="Tahoma" w:hAnsi="Tahoma" w:cs="Tahoma"/>
          <w:lang w:val="ru-RU"/>
        </w:rPr>
        <w:t xml:space="preserve"> </w:t>
      </w:r>
      <w:r w:rsidR="00CD542F" w:rsidRPr="00732137">
        <w:rPr>
          <w:rFonts w:ascii="Tahoma" w:hAnsi="Tahoma" w:cs="Tahoma"/>
          <w:lang w:val="ru-RU"/>
        </w:rPr>
        <w:t>в ходе Клиринговой сессии mark-to-market за предыдущий Торговый день</w:t>
      </w:r>
      <w:r w:rsidRPr="001331BB">
        <w:rPr>
          <w:rFonts w:ascii="Tahoma" w:hAnsi="Tahoma" w:cs="Tahoma"/>
          <w:lang w:val="ru-RU"/>
        </w:rPr>
        <w:t>:</w:t>
      </w:r>
    </w:p>
    <w:p w:rsidR="00CD542F" w:rsidRDefault="00CC5F81" w:rsidP="00CC5F81">
      <w:pPr>
        <w:pStyle w:val="aa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</w:rPr>
        <w:t>*Round (W/R;5);2) – Round (</w:t>
      </w:r>
      <w:r w:rsidRPr="001331BB">
        <w:rPr>
          <w:rFonts w:ascii="Tahoma" w:hAnsi="Tahoma" w:cs="Tahoma"/>
          <w:b/>
          <w:lang w:val="ru-RU"/>
        </w:rPr>
        <w:t>РЦп</w:t>
      </w:r>
      <w:r w:rsidRPr="001331BB">
        <w:rPr>
          <w:rFonts w:ascii="Tahoma" w:hAnsi="Tahoma" w:cs="Tahoma"/>
          <w:b/>
        </w:rPr>
        <w:t xml:space="preserve">*Round (W/R;5);2) </w:t>
      </w:r>
    </w:p>
    <w:p w:rsidR="00CC5F81" w:rsidRPr="00376E2A" w:rsidRDefault="00CC5F81" w:rsidP="00CC5F81">
      <w:pPr>
        <w:pStyle w:val="aa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lastRenderedPageBreak/>
        <w:t>где</w:t>
      </w:r>
      <w:r w:rsidRPr="00376E2A">
        <w:rPr>
          <w:rFonts w:ascii="Tahoma" w:hAnsi="Tahoma" w:cs="Tahoma"/>
          <w:lang w:val="ru-RU"/>
        </w:rPr>
        <w:t>: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ВМ – вариационная маржа по Контракту, </w:t>
      </w:r>
      <w:r w:rsidR="00CD542F" w:rsidRPr="005C36E4">
        <w:rPr>
          <w:rFonts w:ascii="Tahoma" w:hAnsi="Tahoma" w:cs="Tahoma"/>
          <w:lang w:val="ru-RU"/>
        </w:rPr>
        <w:t xml:space="preserve">рассчитанная в ходе </w:t>
      </w:r>
      <w:r w:rsidR="00CD542F">
        <w:rPr>
          <w:rFonts w:ascii="Tahoma" w:hAnsi="Tahoma" w:cs="Tahoma"/>
          <w:lang w:val="ru-RU"/>
        </w:rPr>
        <w:t>К</w:t>
      </w:r>
      <w:r w:rsidR="00CD542F" w:rsidRPr="005C36E4">
        <w:rPr>
          <w:rFonts w:ascii="Tahoma" w:hAnsi="Tahoma" w:cs="Tahoma"/>
          <w:lang w:val="ru-RU"/>
        </w:rPr>
        <w:t>лиринговой сессии</w:t>
      </w:r>
      <w:r w:rsidR="00CD542F">
        <w:rPr>
          <w:rFonts w:ascii="Tahoma" w:hAnsi="Tahoma" w:cs="Tahoma"/>
          <w:lang w:val="ru-RU"/>
        </w:rPr>
        <w:t xml:space="preserve"> </w:t>
      </w:r>
      <w:r w:rsidR="00CD542F">
        <w:rPr>
          <w:rFonts w:ascii="Tahoma" w:hAnsi="Tahoma" w:cs="Tahoma"/>
        </w:rPr>
        <w:t>mark</w:t>
      </w:r>
      <w:r w:rsidR="00CD542F" w:rsidRPr="00A76FE8">
        <w:rPr>
          <w:rFonts w:ascii="Tahoma" w:hAnsi="Tahoma" w:cs="Tahoma"/>
          <w:lang w:val="ru-RU"/>
        </w:rPr>
        <w:t>-</w:t>
      </w:r>
      <w:r w:rsidR="00CD542F">
        <w:rPr>
          <w:rFonts w:ascii="Tahoma" w:hAnsi="Tahoma" w:cs="Tahoma"/>
        </w:rPr>
        <w:t>to</w:t>
      </w:r>
      <w:r w:rsidR="00CD542F" w:rsidRPr="00A76FE8">
        <w:rPr>
          <w:rFonts w:ascii="Tahoma" w:hAnsi="Tahoma" w:cs="Tahoma"/>
          <w:lang w:val="ru-RU"/>
        </w:rPr>
        <w:t>-</w:t>
      </w:r>
      <w:r w:rsidR="00CD542F">
        <w:rPr>
          <w:rFonts w:ascii="Tahoma" w:hAnsi="Tahoma" w:cs="Tahoma"/>
        </w:rPr>
        <w:t>market</w:t>
      </w:r>
      <w:r w:rsidR="00CD542F" w:rsidRPr="005C36E4">
        <w:rPr>
          <w:rFonts w:ascii="Tahoma" w:hAnsi="Tahoma" w:cs="Tahoma"/>
          <w:lang w:val="ru-RU"/>
        </w:rPr>
        <w:t xml:space="preserve"> текущего Торгового дня</w:t>
      </w:r>
      <w:r w:rsidRPr="001331BB">
        <w:rPr>
          <w:rFonts w:ascii="Tahoma" w:hAnsi="Tahoma" w:cs="Tahoma"/>
          <w:lang w:val="ru-RU"/>
        </w:rPr>
        <w:t>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РЦп – Расчетная цена Контракта,</w:t>
      </w:r>
      <w:r w:rsidRPr="001331BB">
        <w:rPr>
          <w:rFonts w:ascii="Tahoma" w:hAnsi="Tahoma" w:cs="Tahoma"/>
          <w:i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определенная по итогам предыдущего Торгового дня;</w:t>
      </w:r>
    </w:p>
    <w:p w:rsidR="00CC5F81" w:rsidRPr="001331BB" w:rsidRDefault="00CC5F81" w:rsidP="00CC5F81">
      <w:pPr>
        <w:pStyle w:val="aa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CC5F81" w:rsidRPr="001331BB" w:rsidRDefault="00CC5F81" w:rsidP="00CC5F81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:rsidR="00CC5F81" w:rsidRPr="00376E2A" w:rsidRDefault="00223C36" w:rsidP="00376E2A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</w:t>
      </w:r>
      <w:r w:rsidR="00CD542F" w:rsidRPr="00376E2A">
        <w:rPr>
          <w:rFonts w:ascii="Tahoma" w:hAnsi="Tahoma" w:cs="Tahoma"/>
          <w:sz w:val="20"/>
          <w:szCs w:val="20"/>
        </w:rPr>
        <w:t>Клиринговой сессии mark-to-market</w:t>
      </w:r>
      <w:r w:rsidR="00CD542F" w:rsidRPr="005C36E4">
        <w:rPr>
          <w:rFonts w:ascii="Tahoma" w:hAnsi="Tahoma" w:cs="Tahoma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 xml:space="preserve">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фьючерсных контрактов на </w:t>
      </w:r>
      <w:r>
        <w:rPr>
          <w:rFonts w:ascii="Tahoma" w:hAnsi="Tahoma" w:cs="Tahoma"/>
          <w:sz w:val="20"/>
          <w:szCs w:val="20"/>
        </w:rPr>
        <w:t>нефтепродукты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8D172E" w:rsidRPr="001331BB" w:rsidRDefault="008D172E" w:rsidP="00376E2A">
      <w:pPr>
        <w:pStyle w:val="1"/>
        <w:tabs>
          <w:tab w:val="clear" w:pos="1418"/>
        </w:tabs>
        <w:spacing w:before="120"/>
        <w:ind w:left="1134"/>
        <w:rPr>
          <w:rFonts w:ascii="Tahoma" w:hAnsi="Tahoma" w:cs="Tahoma"/>
        </w:rPr>
      </w:pPr>
      <w:r w:rsidRPr="001331BB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подпункте 2.1.3 Спецификации, осуществляется в порядке и сроки, установленные Правилами клиринга. При этом</w:t>
      </w:r>
    </w:p>
    <w:p w:rsidR="008D172E" w:rsidRPr="001331BB" w:rsidRDefault="008D172E" w:rsidP="008D172E">
      <w:pPr>
        <w:pStyle w:val="a0"/>
        <w:numPr>
          <w:ilvl w:val="0"/>
          <w:numId w:val="9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положительна, то обязательств</w:t>
      </w:r>
      <w:r w:rsidR="00CD542F">
        <w:rPr>
          <w:rFonts w:ascii="Tahoma" w:hAnsi="Tahoma" w:cs="Tahoma"/>
        </w:rPr>
        <w:t>а</w:t>
      </w:r>
      <w:r w:rsidRPr="001331BB">
        <w:rPr>
          <w:rFonts w:ascii="Tahoma" w:hAnsi="Tahoma" w:cs="Tahoma"/>
        </w:rPr>
        <w:t xml:space="preserve"> по уплате вариационной маржи возника</w:t>
      </w:r>
      <w:r w:rsidR="00CD542F">
        <w:rPr>
          <w:rFonts w:ascii="Tahoma" w:hAnsi="Tahoma" w:cs="Tahoma"/>
        </w:rPr>
        <w:t>ю</w:t>
      </w:r>
      <w:r w:rsidRPr="001331BB">
        <w:rPr>
          <w:rFonts w:ascii="Tahoma" w:hAnsi="Tahoma" w:cs="Tahoma"/>
        </w:rPr>
        <w:t>т у Продавца;</w:t>
      </w:r>
    </w:p>
    <w:p w:rsidR="008D172E" w:rsidRPr="001331BB" w:rsidRDefault="008D172E" w:rsidP="008D172E">
      <w:pPr>
        <w:pStyle w:val="a0"/>
        <w:numPr>
          <w:ilvl w:val="0"/>
          <w:numId w:val="9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отрицательна, то обязательств</w:t>
      </w:r>
      <w:r w:rsidR="00CD542F">
        <w:rPr>
          <w:rFonts w:ascii="Tahoma" w:hAnsi="Tahoma" w:cs="Tahoma"/>
        </w:rPr>
        <w:t>а</w:t>
      </w:r>
      <w:r w:rsidRPr="001331BB">
        <w:rPr>
          <w:rFonts w:ascii="Tahoma" w:hAnsi="Tahoma" w:cs="Tahoma"/>
        </w:rPr>
        <w:t xml:space="preserve"> по уплате вариационной маржи в сумме, равной абсолютной величине рассчитанной вариационной маржи, возника</w:t>
      </w:r>
      <w:r w:rsidR="00CD542F">
        <w:rPr>
          <w:rFonts w:ascii="Tahoma" w:hAnsi="Tahoma" w:cs="Tahoma"/>
        </w:rPr>
        <w:t>ю</w:t>
      </w:r>
      <w:r w:rsidRPr="001331BB">
        <w:rPr>
          <w:rFonts w:ascii="Tahoma" w:hAnsi="Tahoma" w:cs="Tahoma"/>
        </w:rPr>
        <w:t>т у Покупателя.</w:t>
      </w:r>
    </w:p>
    <w:p w:rsidR="008D172E" w:rsidRPr="001331BB" w:rsidRDefault="008D172E" w:rsidP="00376E2A">
      <w:pPr>
        <w:pStyle w:val="1"/>
        <w:tabs>
          <w:tab w:val="clear" w:pos="1418"/>
        </w:tabs>
        <w:spacing w:before="120"/>
        <w:ind w:left="1134"/>
        <w:rPr>
          <w:rFonts w:ascii="Tahoma" w:hAnsi="Tahoma" w:cs="Tahoma"/>
        </w:rPr>
      </w:pPr>
      <w:r w:rsidRPr="001331BB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32426C" w:rsidRPr="002428CB" w:rsidRDefault="0032426C" w:rsidP="0032426C">
      <w:pPr>
        <w:pStyle w:val="a0"/>
        <w:numPr>
          <w:ilvl w:val="1"/>
          <w:numId w:val="7"/>
        </w:numPr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Обязательство по расчетам.</w:t>
      </w:r>
    </w:p>
    <w:p w:rsidR="0032426C" w:rsidRPr="00376E2A" w:rsidRDefault="00BA07C1" w:rsidP="00376E2A">
      <w:pPr>
        <w:pStyle w:val="1"/>
        <w:spacing w:before="240"/>
        <w:rPr>
          <w:rFonts w:ascii="Tahoma" w:hAnsi="Tahoma" w:cs="Tahoma"/>
        </w:rPr>
      </w:pPr>
      <w:r w:rsidRPr="002428CB">
        <w:rPr>
          <w:rFonts w:ascii="Tahoma" w:hAnsi="Tahoma" w:cs="Tahoma"/>
        </w:rPr>
        <w:t>Обязательство по уплате вариационной маржи, определяемое в ходе</w:t>
      </w:r>
      <w:r w:rsidRPr="001D516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1D5169">
        <w:rPr>
          <w:rFonts w:ascii="Tahoma" w:hAnsi="Tahoma" w:cs="Tahoma"/>
        </w:rPr>
        <w:t>лиринговой сессии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auto"/>
          <w:lang w:val="en-US"/>
        </w:rPr>
        <w:t>mark</w:t>
      </w:r>
      <w:r w:rsidRPr="00A276B0">
        <w:rPr>
          <w:rFonts w:ascii="Tahoma" w:hAnsi="Tahoma" w:cs="Tahoma"/>
          <w:color w:val="auto"/>
        </w:rPr>
        <w:t>-</w:t>
      </w:r>
      <w:r>
        <w:rPr>
          <w:rFonts w:ascii="Tahoma" w:hAnsi="Tahoma" w:cs="Tahoma"/>
          <w:color w:val="auto"/>
          <w:lang w:val="en-US"/>
        </w:rPr>
        <w:t>to</w:t>
      </w:r>
      <w:r w:rsidRPr="00A276B0">
        <w:rPr>
          <w:rFonts w:ascii="Tahoma" w:hAnsi="Tahoma" w:cs="Tahoma"/>
          <w:color w:val="auto"/>
        </w:rPr>
        <w:t>-</w:t>
      </w:r>
      <w:r>
        <w:rPr>
          <w:rFonts w:ascii="Tahoma" w:hAnsi="Tahoma" w:cs="Tahoma"/>
          <w:color w:val="auto"/>
          <w:lang w:val="en-US"/>
        </w:rPr>
        <w:t>market</w:t>
      </w:r>
      <w:r w:rsidRPr="00364ED9">
        <w:rPr>
          <w:rFonts w:ascii="Tahoma" w:hAnsi="Tahoma" w:cs="Tahoma"/>
          <w:color w:val="auto"/>
        </w:rPr>
        <w:t xml:space="preserve"> </w:t>
      </w:r>
      <w:r w:rsidRPr="005233D4">
        <w:rPr>
          <w:rFonts w:ascii="Tahoma" w:hAnsi="Tahoma" w:cs="Tahoma"/>
        </w:rPr>
        <w:t xml:space="preserve">по итогам Торгового дня, являющегося последним днем заключения </w:t>
      </w:r>
      <w:r w:rsidRPr="002428CB">
        <w:rPr>
          <w:rFonts w:ascii="Tahoma" w:hAnsi="Tahoma" w:cs="Tahoma"/>
        </w:rPr>
        <w:t>Контракта,</w:t>
      </w:r>
      <w:r w:rsidRPr="00532D8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 соответствии со Списком параметров,</w:t>
      </w:r>
      <w:r w:rsidRPr="002428CB">
        <w:rPr>
          <w:rFonts w:ascii="Tahoma" w:hAnsi="Tahoma" w:cs="Tahoma"/>
        </w:rPr>
        <w:t xml:space="preserve"> является Обязательством по расчетам.</w:t>
      </w:r>
      <w:r>
        <w:rPr>
          <w:rFonts w:ascii="Tahoma" w:hAnsi="Tahoma" w:cs="Tahoma"/>
        </w:rPr>
        <w:t xml:space="preserve"> </w:t>
      </w:r>
      <w:r w:rsidRPr="00163A0A">
        <w:rPr>
          <w:rFonts w:ascii="Tahoma" w:hAnsi="Tahoma" w:cs="Tahoma"/>
        </w:rPr>
        <w:t>Торговый</w:t>
      </w:r>
      <w:r>
        <w:rPr>
          <w:rFonts w:ascii="Tahoma" w:hAnsi="Tahoma" w:cs="Tahoma"/>
        </w:rPr>
        <w:t xml:space="preserve"> </w:t>
      </w:r>
      <w:r w:rsidRPr="00163A0A">
        <w:rPr>
          <w:rFonts w:ascii="Tahoma" w:hAnsi="Tahoma" w:cs="Tahoma"/>
        </w:rPr>
        <w:t xml:space="preserve">день, </w:t>
      </w:r>
      <w:r>
        <w:rPr>
          <w:rFonts w:ascii="Tahoma" w:hAnsi="Tahoma" w:cs="Tahoma"/>
        </w:rPr>
        <w:t xml:space="preserve">являющийся </w:t>
      </w:r>
      <w:r w:rsidRPr="00163A0A">
        <w:rPr>
          <w:rFonts w:ascii="Tahoma" w:hAnsi="Tahoma" w:cs="Tahoma"/>
        </w:rPr>
        <w:t>последним днем заключения Контракта, является днем определения Обязательств</w:t>
      </w:r>
      <w:r>
        <w:rPr>
          <w:rFonts w:ascii="Tahoma" w:hAnsi="Tahoma" w:cs="Tahoma"/>
        </w:rPr>
        <w:t>а</w:t>
      </w:r>
      <w:r w:rsidRPr="00163A0A">
        <w:rPr>
          <w:rFonts w:ascii="Tahoma" w:hAnsi="Tahoma" w:cs="Tahoma"/>
        </w:rPr>
        <w:t xml:space="preserve"> по расчетам.</w:t>
      </w:r>
      <w:r>
        <w:rPr>
          <w:rFonts w:ascii="Tahoma" w:hAnsi="Tahoma" w:cs="Tahoma"/>
        </w:rPr>
        <w:t xml:space="preserve"> </w:t>
      </w:r>
      <w:r w:rsidRPr="005233D4">
        <w:rPr>
          <w:rFonts w:ascii="Tahoma" w:hAnsi="Tahoma" w:cs="Tahoma"/>
        </w:rPr>
        <w:t xml:space="preserve">Исполнение </w:t>
      </w:r>
      <w:r>
        <w:rPr>
          <w:rFonts w:ascii="Tahoma" w:hAnsi="Tahoma" w:cs="Tahoma"/>
        </w:rPr>
        <w:t>О</w:t>
      </w:r>
      <w:r w:rsidRPr="005233D4">
        <w:rPr>
          <w:rFonts w:ascii="Tahoma" w:hAnsi="Tahoma" w:cs="Tahoma"/>
        </w:rPr>
        <w:t>бязательства по расчетам осуществляется в Расчетную клиринговую сессию дн</w:t>
      </w:r>
      <w:r>
        <w:rPr>
          <w:rFonts w:ascii="Tahoma" w:hAnsi="Tahoma" w:cs="Tahoma"/>
        </w:rPr>
        <w:t>я</w:t>
      </w:r>
      <w:r w:rsidRPr="005233D4">
        <w:rPr>
          <w:rFonts w:ascii="Tahoma" w:hAnsi="Tahoma" w:cs="Tahoma"/>
        </w:rPr>
        <w:t xml:space="preserve"> исполнения Контракта.</w:t>
      </w:r>
    </w:p>
    <w:p w:rsidR="00BA07C1" w:rsidRDefault="00BA07C1" w:rsidP="00BA07C1">
      <w:pPr>
        <w:pStyle w:val="1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В целях определения Обязательства по расчетам текущая Расчетная цена (цена исполнения Контракта) </w:t>
      </w:r>
      <w:r>
        <w:rPr>
          <w:rFonts w:ascii="Tahoma" w:hAnsi="Tahoma" w:cs="Tahoma"/>
        </w:rPr>
        <w:t>определяется Списком параметров.</w:t>
      </w:r>
    </w:p>
    <w:p w:rsidR="00EF4B1D" w:rsidRDefault="007C5A91" w:rsidP="0032426C">
      <w:pPr>
        <w:pStyle w:val="1"/>
        <w:rPr>
          <w:rFonts w:ascii="Tahoma" w:hAnsi="Tahoma" w:cs="Tahoma"/>
        </w:rPr>
      </w:pPr>
      <w:r>
        <w:t>В случае отсутствия опубликованного значения индекса</w:t>
      </w:r>
      <w:r w:rsidR="00E05483">
        <w:t xml:space="preserve"> нефтепродуктов, предусмотренного Списком параметров (далее – индекс)</w:t>
      </w:r>
      <w:r>
        <w:t xml:space="preserve"> на дату </w:t>
      </w:r>
      <w:r w:rsidR="00B6670D">
        <w:t xml:space="preserve">дня экспирации </w:t>
      </w:r>
      <w:r>
        <w:t>Контракта, используется последнее опубликованное значение</w:t>
      </w:r>
      <w:r w:rsidR="00290BD3">
        <w:t xml:space="preserve"> соответствующего</w:t>
      </w:r>
      <w:r>
        <w:t xml:space="preserve"> индекса</w:t>
      </w:r>
      <w:r w:rsidR="0045208E">
        <w:rPr>
          <w:rFonts w:ascii="Tahoma" w:hAnsi="Tahoma" w:cs="Tahoma"/>
        </w:rPr>
        <w:t>.</w:t>
      </w:r>
    </w:p>
    <w:bookmarkEnd w:id="3"/>
    <w:bookmarkEnd w:id="4"/>
    <w:bookmarkEnd w:id="5"/>
    <w:p w:rsidR="00F32CF7" w:rsidRPr="002428CB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Основания и порядок прекращения обязательств по Контракту</w:t>
      </w:r>
    </w:p>
    <w:p w:rsidR="000652B6" w:rsidRPr="002428CB" w:rsidRDefault="000652B6" w:rsidP="000652B6">
      <w:pPr>
        <w:pStyle w:val="a0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0652B6" w:rsidRPr="002428CB" w:rsidRDefault="000652B6" w:rsidP="000652B6">
      <w:pPr>
        <w:pStyle w:val="a0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8" w:name="_Ref152489574"/>
      <w:bookmarkStart w:id="9" w:name="_Ref156911244"/>
      <w:r w:rsidRPr="002428CB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  <w:bookmarkEnd w:id="9"/>
    </w:p>
    <w:p w:rsidR="000652B6" w:rsidRPr="002428CB" w:rsidRDefault="000652B6" w:rsidP="000652B6">
      <w:pPr>
        <w:pStyle w:val="a0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8"/>
    <w:p w:rsidR="00F32CF7" w:rsidRPr="002428CB" w:rsidRDefault="00F32CF7" w:rsidP="001B7681">
      <w:pPr>
        <w:pStyle w:val="a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0652B6" w:rsidRPr="002428CB" w:rsidRDefault="000652B6" w:rsidP="000652B6">
      <w:pPr>
        <w:pStyle w:val="a0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lastRenderedPageBreak/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клиринга, Правилами торгов и Правилами допуска.</w:t>
      </w:r>
    </w:p>
    <w:p w:rsidR="00F32CF7" w:rsidRPr="002428CB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Особые условия</w:t>
      </w:r>
    </w:p>
    <w:p w:rsidR="00F32CF7" w:rsidRPr="002428CB" w:rsidRDefault="00F32CF7" w:rsidP="00F32CF7">
      <w:pPr>
        <w:pStyle w:val="a0"/>
        <w:spacing w:before="120" w:after="0"/>
        <w:rPr>
          <w:rFonts w:ascii="Tahoma" w:hAnsi="Tahoma" w:cs="Tahoma"/>
        </w:rPr>
      </w:pPr>
      <w:bookmarkStart w:id="10" w:name="_Ref214193958"/>
      <w:r w:rsidRPr="002428CB">
        <w:rPr>
          <w:rFonts w:ascii="Tahoma" w:hAnsi="Tahoma" w:cs="Tahoma"/>
        </w:rPr>
        <w:t>В случае</w:t>
      </w:r>
      <w:r w:rsidR="00FD1941" w:rsidRPr="002428CB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исполнения Контракта, предусмотренных Спецификацией, в том числе в случае</w:t>
      </w:r>
      <w:r w:rsidR="00F35788">
        <w:rPr>
          <w:rFonts w:ascii="Tahoma" w:hAnsi="Tahoma" w:cs="Tahoma"/>
        </w:rPr>
        <w:t xml:space="preserve"> </w:t>
      </w:r>
      <w:r w:rsidR="002844FC" w:rsidRPr="002844FC">
        <w:rPr>
          <w:rFonts w:ascii="Tahoma" w:hAnsi="Tahoma" w:cs="Tahoma"/>
        </w:rPr>
        <w:t>прекращения правовых оснований для использования информации о значени</w:t>
      </w:r>
      <w:r w:rsidR="0021759F">
        <w:rPr>
          <w:rFonts w:ascii="Tahoma" w:hAnsi="Tahoma" w:cs="Tahoma"/>
        </w:rPr>
        <w:t>ях</w:t>
      </w:r>
      <w:r w:rsidR="004312DB" w:rsidRPr="00F54D9F">
        <w:rPr>
          <w:rFonts w:ascii="Tahoma" w:hAnsi="Tahoma" w:cs="Tahoma"/>
        </w:rPr>
        <w:t xml:space="preserve"> </w:t>
      </w:r>
      <w:r w:rsidR="00E05483">
        <w:rPr>
          <w:rFonts w:ascii="Tahoma" w:hAnsi="Tahoma" w:cs="Tahoma"/>
        </w:rPr>
        <w:t>индексов</w:t>
      </w:r>
      <w:r w:rsidR="002844FC">
        <w:rPr>
          <w:rFonts w:ascii="Tahoma" w:hAnsi="Tahoma" w:cs="Tahoma"/>
        </w:rPr>
        <w:t>,</w:t>
      </w:r>
      <w:r w:rsidR="007C5A91">
        <w:rPr>
          <w:rFonts w:ascii="Tahoma" w:hAnsi="Tahoma" w:cs="Tahoma"/>
        </w:rPr>
        <w:t xml:space="preserve"> в случае прекращения расчета или публикации индекса</w:t>
      </w:r>
      <w:r w:rsidR="00C32DB3">
        <w:rPr>
          <w:rFonts w:ascii="Tahoma" w:hAnsi="Tahoma" w:cs="Tahoma"/>
        </w:rPr>
        <w:t xml:space="preserve">, в случае некорректного расчета индекса, в случае существенного изменения в </w:t>
      </w:r>
      <w:r w:rsidR="00020292">
        <w:rPr>
          <w:rFonts w:ascii="Tahoma" w:hAnsi="Tahoma" w:cs="Tahoma"/>
        </w:rPr>
        <w:t>методологи</w:t>
      </w:r>
      <w:r w:rsidR="00D61324">
        <w:rPr>
          <w:rFonts w:ascii="Tahoma" w:hAnsi="Tahoma" w:cs="Tahoma"/>
        </w:rPr>
        <w:t>ю</w:t>
      </w:r>
      <w:r w:rsidR="00020292">
        <w:rPr>
          <w:rFonts w:ascii="Tahoma" w:hAnsi="Tahoma" w:cs="Tahoma"/>
        </w:rPr>
        <w:t xml:space="preserve"> (методик</w:t>
      </w:r>
      <w:r w:rsidR="00D61324">
        <w:rPr>
          <w:rFonts w:ascii="Tahoma" w:hAnsi="Tahoma" w:cs="Tahoma"/>
        </w:rPr>
        <w:t>у</w:t>
      </w:r>
      <w:r w:rsidR="00020292">
        <w:rPr>
          <w:rFonts w:ascii="Tahoma" w:hAnsi="Tahoma" w:cs="Tahoma"/>
        </w:rPr>
        <w:t>)</w:t>
      </w:r>
      <w:r w:rsidR="00C32DB3">
        <w:rPr>
          <w:rFonts w:ascii="Tahoma" w:hAnsi="Tahoma" w:cs="Tahoma"/>
        </w:rPr>
        <w:t xml:space="preserve"> расчета индекса</w:t>
      </w:r>
      <w:r w:rsidR="002844FC">
        <w:rPr>
          <w:rFonts w:ascii="Tahoma" w:hAnsi="Tahoma" w:cs="Tahoma"/>
        </w:rPr>
        <w:t xml:space="preserve"> </w:t>
      </w:r>
      <w:r w:rsidR="00E94FAE" w:rsidRPr="002428CB">
        <w:rPr>
          <w:rFonts w:ascii="Tahoma" w:hAnsi="Tahoma" w:cs="Tahoma"/>
          <w:color w:val="auto"/>
        </w:rPr>
        <w:t xml:space="preserve">Биржа </w:t>
      </w:r>
      <w:bookmarkStart w:id="11" w:name="OLE_LINK2"/>
      <w:r w:rsidR="00E94FAE" w:rsidRPr="002428CB">
        <w:rPr>
          <w:rFonts w:ascii="Tahoma" w:hAnsi="Tahoma" w:cs="Tahoma"/>
          <w:color w:val="auto"/>
        </w:rPr>
        <w:t>вправе по согласованию с Клиринговым центром принять одно или несколько из следующих решений</w:t>
      </w:r>
      <w:bookmarkEnd w:id="11"/>
      <w:r w:rsidRPr="002428CB">
        <w:rPr>
          <w:rFonts w:ascii="Tahoma" w:hAnsi="Tahoma" w:cs="Tahoma"/>
        </w:rPr>
        <w:t>:</w:t>
      </w:r>
      <w:bookmarkEnd w:id="10"/>
    </w:p>
    <w:p w:rsidR="000652B6" w:rsidRDefault="000652B6" w:rsidP="000652B6">
      <w:pPr>
        <w:pStyle w:val="Pointmark"/>
        <w:tabs>
          <w:tab w:val="clear" w:pos="360"/>
          <w:tab w:val="num" w:pos="1260"/>
        </w:tabs>
        <w:spacing w:before="120" w:after="0"/>
        <w:ind w:left="126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об изменении даты последнего дня заключения Контракта; </w:t>
      </w:r>
    </w:p>
    <w:p w:rsidR="0048235B" w:rsidRPr="00376E2A" w:rsidRDefault="0048235B" w:rsidP="00376E2A">
      <w:pPr>
        <w:pStyle w:val="Pointmark"/>
        <w:tabs>
          <w:tab w:val="clear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об изменении даты </w:t>
      </w:r>
      <w:r>
        <w:rPr>
          <w:rFonts w:ascii="Tahoma" w:hAnsi="Tahoma" w:cs="Tahoma"/>
        </w:rPr>
        <w:t>экспирации</w:t>
      </w:r>
      <w:r w:rsidRPr="002428CB">
        <w:rPr>
          <w:rFonts w:ascii="Tahoma" w:hAnsi="Tahoma" w:cs="Tahoma"/>
        </w:rPr>
        <w:t xml:space="preserve"> Контракта;  </w:t>
      </w:r>
    </w:p>
    <w:p w:rsidR="000652B6" w:rsidRPr="002428CB" w:rsidRDefault="000652B6" w:rsidP="000652B6">
      <w:pPr>
        <w:pStyle w:val="Pointmark"/>
        <w:tabs>
          <w:tab w:val="clear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об изменении даты исполнения Контракта;  </w:t>
      </w:r>
    </w:p>
    <w:p w:rsidR="000652B6" w:rsidRPr="002428CB" w:rsidRDefault="000652B6" w:rsidP="000652B6">
      <w:pPr>
        <w:pStyle w:val="Pointmark"/>
        <w:shd w:val="clear" w:color="auto" w:fill="FFFFFF"/>
        <w:tabs>
          <w:tab w:val="clear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об изменении текущей (последней) Расчетной цены и (или) определении порядка расчета и уплаты вариационной маржи; </w:t>
      </w:r>
    </w:p>
    <w:p w:rsidR="000652B6" w:rsidRPr="002428CB" w:rsidRDefault="000652B6" w:rsidP="000652B6">
      <w:pPr>
        <w:pStyle w:val="Pointmark"/>
        <w:shd w:val="clear" w:color="auto" w:fill="FFFFFF"/>
        <w:tabs>
          <w:tab w:val="clear" w:pos="360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2428CB">
        <w:rPr>
          <w:rFonts w:ascii="Tahoma" w:hAnsi="Tahoma" w:cs="Tahoma"/>
        </w:rPr>
        <w:t>иные решения</w:t>
      </w:r>
      <w:r w:rsidR="006D3553">
        <w:rPr>
          <w:rFonts w:ascii="Tahoma" w:hAnsi="Tahoma" w:cs="Tahoma"/>
        </w:rPr>
        <w:t xml:space="preserve">, предусмотренные </w:t>
      </w:r>
      <w:r w:rsidR="00267431">
        <w:rPr>
          <w:rFonts w:ascii="Tahoma" w:hAnsi="Tahoma" w:cs="Tahoma"/>
        </w:rPr>
        <w:t>П</w:t>
      </w:r>
      <w:r w:rsidR="006D3553">
        <w:rPr>
          <w:rFonts w:ascii="Tahoma" w:hAnsi="Tahoma" w:cs="Tahoma"/>
        </w:rPr>
        <w:t>равилами торгов</w:t>
      </w:r>
      <w:r w:rsidRPr="002428CB">
        <w:rPr>
          <w:rFonts w:ascii="Tahoma" w:hAnsi="Tahoma" w:cs="Tahoma"/>
        </w:rPr>
        <w:t>.</w:t>
      </w:r>
    </w:p>
    <w:p w:rsidR="000652B6" w:rsidRPr="002428CB" w:rsidRDefault="000652B6" w:rsidP="000652B6">
      <w:pPr>
        <w:pStyle w:val="a0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Биржа вправе по согласованию с Клиринговым центром изменить</w:t>
      </w:r>
      <w:r w:rsidRPr="002428CB">
        <w:t xml:space="preserve"> </w:t>
      </w:r>
      <w:r w:rsidRPr="002428CB">
        <w:rPr>
          <w:rFonts w:ascii="Tahoma" w:hAnsi="Tahoma" w:cs="Tahoma"/>
        </w:rPr>
        <w:t>дату последнего дня заключения и (или)</w:t>
      </w:r>
      <w:r w:rsidR="0048235B">
        <w:rPr>
          <w:rFonts w:ascii="Tahoma" w:hAnsi="Tahoma" w:cs="Tahoma"/>
        </w:rPr>
        <w:t xml:space="preserve"> </w:t>
      </w:r>
      <w:r w:rsidR="0048235B" w:rsidRPr="002428CB">
        <w:rPr>
          <w:rFonts w:ascii="Tahoma" w:hAnsi="Tahoma" w:cs="Tahoma"/>
        </w:rPr>
        <w:t>дату</w:t>
      </w:r>
      <w:r w:rsidR="0048235B">
        <w:rPr>
          <w:rFonts w:ascii="Tahoma" w:hAnsi="Tahoma" w:cs="Tahoma"/>
        </w:rPr>
        <w:t xml:space="preserve"> дня экспирации и (или)</w:t>
      </w:r>
      <w:r w:rsidRPr="002428CB">
        <w:rPr>
          <w:rFonts w:ascii="Tahoma" w:hAnsi="Tahoma" w:cs="Tahoma"/>
        </w:rPr>
        <w:t xml:space="preserve"> дату исполнения Контракта с определенным кодом,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0652B6" w:rsidRPr="002428CB" w:rsidRDefault="000652B6" w:rsidP="000652B6">
      <w:pPr>
        <w:pStyle w:val="a0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Информация о решении (решениях), принятом (принятых) Биржей в соответствии с пунктами 5.1 –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5.1 – 5.2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:rsidR="000652B6" w:rsidRPr="002428CB" w:rsidRDefault="00563BF2" w:rsidP="000652B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Если иное не предусмотрено решением Биржи, с </w:t>
      </w:r>
      <w:r w:rsidR="000652B6" w:rsidRPr="002428CB">
        <w:rPr>
          <w:rFonts w:ascii="Tahoma" w:hAnsi="Tahoma" w:cs="Tahoma"/>
        </w:rPr>
        <w:t xml:space="preserve">момента вступления в силу решения (решений), принятого (принятых) Биржей в соответствии с пунктами 5.1 – 5.2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:rsidR="00F32CF7" w:rsidRPr="002428CB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Внесение изменений и дополнений в </w:t>
      </w:r>
      <w:r w:rsidR="000652B6" w:rsidRPr="002428CB">
        <w:rPr>
          <w:rFonts w:ascii="Tahoma" w:hAnsi="Tahoma" w:cs="Tahoma"/>
        </w:rPr>
        <w:t>С</w:t>
      </w:r>
      <w:r w:rsidRPr="002428CB">
        <w:rPr>
          <w:rFonts w:ascii="Tahoma" w:hAnsi="Tahoma" w:cs="Tahoma"/>
        </w:rPr>
        <w:t>пецификацию</w:t>
      </w:r>
    </w:p>
    <w:p w:rsidR="000652B6" w:rsidRPr="002428CB" w:rsidRDefault="000652B6" w:rsidP="000652B6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:rsidR="000652B6" w:rsidRPr="002428CB" w:rsidRDefault="000652B6" w:rsidP="000652B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:rsidR="000652B6" w:rsidRPr="002428CB" w:rsidRDefault="000652B6" w:rsidP="000652B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2428CB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Бирже в сети Интернет не менее чем за 3 (три) </w:t>
      </w:r>
      <w:r w:rsidR="00BA4710">
        <w:rPr>
          <w:rFonts w:ascii="Tahoma" w:hAnsi="Tahoma" w:cs="Tahoma"/>
        </w:rPr>
        <w:t>Рабочих</w:t>
      </w:r>
      <w:r w:rsidRPr="002428CB">
        <w:rPr>
          <w:rFonts w:ascii="Tahoma" w:hAnsi="Tahoma" w:cs="Tahoma"/>
        </w:rPr>
        <w:t xml:space="preserve"> дня до введения ее в действие.</w:t>
      </w:r>
    </w:p>
    <w:p w:rsidR="00F32CF7" w:rsidRPr="00A86937" w:rsidRDefault="00563BF2" w:rsidP="00A86937">
      <w:pPr>
        <w:pStyle w:val="a0"/>
        <w:spacing w:before="120"/>
        <w:rPr>
          <w:rFonts w:ascii="Tahoma" w:hAnsi="Tahoma" w:cs="Tahoma"/>
        </w:rPr>
      </w:pPr>
      <w:r w:rsidRPr="002428CB">
        <w:rPr>
          <w:rFonts w:ascii="Tahoma" w:hAnsi="Tahoma" w:cs="Tahoma"/>
        </w:rPr>
        <w:t>Если иное не предусмотрено решением Биржи, с</w:t>
      </w:r>
      <w:r w:rsidR="000652B6" w:rsidRPr="002428CB">
        <w:rPr>
          <w:rFonts w:ascii="Tahoma" w:hAnsi="Tahoma" w:cs="Tahoma"/>
        </w:rPr>
        <w:t xml:space="preserve">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F32CF7" w:rsidRPr="00A86937">
      <w:headerReference w:type="default" r:id="rId8"/>
      <w:footerReference w:type="default" r:id="rId9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F8" w:rsidRDefault="001517F8">
      <w:r>
        <w:separator/>
      </w:r>
    </w:p>
  </w:endnote>
  <w:endnote w:type="continuationSeparator" w:id="0">
    <w:p w:rsidR="001517F8" w:rsidRDefault="0015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DFB" w:rsidRDefault="00047609" w:rsidP="00E65D0F">
    <w:pPr>
      <w:pStyle w:val="a6"/>
      <w:jc w:val="right"/>
      <w:rPr>
        <w:rFonts w:ascii="Arial" w:hAnsi="Arial" w:cs="Arial"/>
        <w:sz w:val="20"/>
        <w:szCs w:val="20"/>
      </w:rPr>
    </w:pPr>
    <w:r w:rsidRPr="00E65D0F">
      <w:rPr>
        <w:rFonts w:ascii="Tahoma" w:hAnsi="Tahoma" w:cs="Tahoma"/>
        <w:sz w:val="20"/>
        <w:szCs w:val="20"/>
      </w:rPr>
      <w:fldChar w:fldCharType="begin"/>
    </w:r>
    <w:r w:rsidRPr="00E65D0F">
      <w:rPr>
        <w:rFonts w:ascii="Tahoma" w:hAnsi="Tahoma" w:cs="Tahoma"/>
        <w:sz w:val="20"/>
        <w:szCs w:val="20"/>
      </w:rPr>
      <w:instrText>PAGE   \* MERGEFORMAT</w:instrText>
    </w:r>
    <w:r w:rsidRPr="00E65D0F">
      <w:rPr>
        <w:rFonts w:ascii="Tahoma" w:hAnsi="Tahoma" w:cs="Tahoma"/>
        <w:sz w:val="20"/>
        <w:szCs w:val="20"/>
      </w:rPr>
      <w:fldChar w:fldCharType="separate"/>
    </w:r>
    <w:r w:rsidR="0063641F">
      <w:rPr>
        <w:rFonts w:ascii="Tahoma" w:hAnsi="Tahoma" w:cs="Tahoma"/>
        <w:noProof/>
        <w:sz w:val="20"/>
        <w:szCs w:val="20"/>
      </w:rPr>
      <w:t>2</w:t>
    </w:r>
    <w:r w:rsidRPr="00E65D0F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F8" w:rsidRDefault="001517F8">
      <w:r>
        <w:separator/>
      </w:r>
    </w:p>
  </w:footnote>
  <w:footnote w:type="continuationSeparator" w:id="0">
    <w:p w:rsidR="001517F8" w:rsidRDefault="001517F8">
      <w:r>
        <w:continuationSeparator/>
      </w:r>
    </w:p>
  </w:footnote>
  <w:footnote w:id="1">
    <w:p w:rsidR="00F542C6" w:rsidRPr="00AC120A" w:rsidRDefault="00F542C6" w:rsidP="00F542C6">
      <w:pPr>
        <w:pStyle w:val="af0"/>
      </w:pPr>
      <w:r>
        <w:rPr>
          <w:rStyle w:val="af2"/>
        </w:rPr>
        <w:footnoteRef/>
      </w:r>
      <w:r>
        <w:t xml:space="preserve"> </w:t>
      </w:r>
      <w:r w:rsidRPr="00080533">
        <w:rPr>
          <w:rFonts w:ascii="Tahoma" w:hAnsi="Tahoma" w:cs="Tahoma"/>
          <w:sz w:val="16"/>
          <w:szCs w:val="16"/>
        </w:rPr>
        <w:t xml:space="preserve">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75" w:rsidRPr="00700AAD" w:rsidRDefault="00E85C75" w:rsidP="005E0EE0">
    <w:pPr>
      <w:pStyle w:val="af4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 w:rsidR="00D102F6">
      <w:rPr>
        <w:rFonts w:ascii="Tahoma" w:hAnsi="Tahoma" w:cs="Tahoma"/>
        <w:b/>
        <w:sz w:val="20"/>
        <w:szCs w:val="20"/>
      </w:rPr>
      <w:t>ых</w:t>
    </w:r>
    <w:r>
      <w:rPr>
        <w:rFonts w:ascii="Tahoma" w:hAnsi="Tahoma" w:cs="Tahoma"/>
        <w:b/>
        <w:sz w:val="20"/>
        <w:szCs w:val="20"/>
      </w:rPr>
      <w:t xml:space="preserve"> контракт</w:t>
    </w:r>
    <w:r w:rsidR="00D102F6">
      <w:rPr>
        <w:rFonts w:ascii="Tahoma" w:hAnsi="Tahoma" w:cs="Tahoma"/>
        <w:b/>
        <w:sz w:val="20"/>
        <w:szCs w:val="20"/>
      </w:rPr>
      <w:t>ов</w:t>
    </w:r>
  </w:p>
  <w:p w:rsidR="00E85C75" w:rsidRPr="00E85C75" w:rsidRDefault="00D77274" w:rsidP="005E0EE0">
    <w:pPr>
      <w:pStyle w:val="af4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</w:t>
    </w:r>
    <w:r w:rsidR="00E85C75" w:rsidRPr="002100F9">
      <w:rPr>
        <w:rFonts w:ascii="Tahoma" w:hAnsi="Tahoma" w:cs="Tahoma"/>
        <w:b/>
        <w:sz w:val="20"/>
        <w:szCs w:val="20"/>
      </w:rPr>
      <w:t>а</w:t>
    </w:r>
    <w:r>
      <w:rPr>
        <w:rFonts w:ascii="Tahoma" w:hAnsi="Tahoma" w:cs="Tahoma"/>
        <w:b/>
        <w:sz w:val="20"/>
        <w:szCs w:val="20"/>
      </w:rPr>
      <w:t xml:space="preserve"> </w:t>
    </w:r>
    <w:r w:rsidR="00192A34">
      <w:rPr>
        <w:rFonts w:ascii="Tahoma" w:hAnsi="Tahoma" w:cs="Tahoma"/>
        <w:b/>
        <w:sz w:val="20"/>
        <w:szCs w:val="20"/>
      </w:rPr>
      <w:t>нефтепродукты</w:t>
    </w:r>
  </w:p>
  <w:p w:rsidR="00E85C75" w:rsidRDefault="00E85C75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6594F"/>
    <w:multiLevelType w:val="hybridMultilevel"/>
    <w:tmpl w:val="E0165342"/>
    <w:lvl w:ilvl="0" w:tplc="1B76C3FA">
      <w:start w:val="1"/>
      <w:numFmt w:val="decimal"/>
      <w:lvlText w:val="%1.6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A37B3F"/>
    <w:multiLevelType w:val="hybridMultilevel"/>
    <w:tmpl w:val="E1A280CC"/>
    <w:lvl w:ilvl="0" w:tplc="04190017">
      <w:start w:val="1"/>
      <w:numFmt w:val="lowerLetter"/>
      <w:lvlText w:val="%1)"/>
      <w:lvlJc w:val="left"/>
      <w:pPr>
        <w:ind w:left="2563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372B3C2C"/>
    <w:multiLevelType w:val="hybridMultilevel"/>
    <w:tmpl w:val="2892B3C4"/>
    <w:lvl w:ilvl="0" w:tplc="8C1A3F5E">
      <w:start w:val="1"/>
      <w:numFmt w:val="decimal"/>
      <w:lvlText w:val="%1.5"/>
      <w:lvlJc w:val="left"/>
      <w:pPr>
        <w:ind w:left="1571" w:hanging="360"/>
      </w:pPr>
      <w:rPr>
        <w:rFonts w:hint="default"/>
      </w:rPr>
    </w:lvl>
    <w:lvl w:ilvl="1" w:tplc="0BD68A60">
      <w:start w:val="1"/>
      <w:numFmt w:val="decimal"/>
      <w:lvlText w:val="%2.5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6BBF"/>
    <w:multiLevelType w:val="multilevel"/>
    <w:tmpl w:val="109214B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3CBC40A2"/>
    <w:multiLevelType w:val="hybridMultilevel"/>
    <w:tmpl w:val="9C5267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4"/>
  </w:num>
  <w:num w:numId="5">
    <w:abstractNumId w:val="1"/>
  </w:num>
  <w:num w:numId="6">
    <w:abstractNumId w:val="11"/>
  </w:num>
  <w:num w:numId="7">
    <w:abstractNumId w:val="4"/>
    <w:lvlOverride w:ilvl="0">
      <w:startOverride w:val="2"/>
    </w:lvlOverride>
    <w:lvlOverride w:ilvl="1">
      <w:startOverride w:val="2"/>
    </w:lvlOverride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7"/>
  </w:num>
  <w:num w:numId="15">
    <w:abstractNumId w:val="0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F7"/>
    <w:rsid w:val="0000464F"/>
    <w:rsid w:val="00011F8E"/>
    <w:rsid w:val="00012E2F"/>
    <w:rsid w:val="00020292"/>
    <w:rsid w:val="000230D1"/>
    <w:rsid w:val="00033369"/>
    <w:rsid w:val="000377F2"/>
    <w:rsid w:val="00045EC5"/>
    <w:rsid w:val="00047609"/>
    <w:rsid w:val="00047E81"/>
    <w:rsid w:val="000532A6"/>
    <w:rsid w:val="00055CDD"/>
    <w:rsid w:val="0005688D"/>
    <w:rsid w:val="000652B6"/>
    <w:rsid w:val="000662F5"/>
    <w:rsid w:val="000702A1"/>
    <w:rsid w:val="00071DA8"/>
    <w:rsid w:val="000740F2"/>
    <w:rsid w:val="000801DD"/>
    <w:rsid w:val="00082B3E"/>
    <w:rsid w:val="00083961"/>
    <w:rsid w:val="00094CBF"/>
    <w:rsid w:val="00096720"/>
    <w:rsid w:val="000972A3"/>
    <w:rsid w:val="000A53AC"/>
    <w:rsid w:val="000A6A6A"/>
    <w:rsid w:val="000A7546"/>
    <w:rsid w:val="000B1C17"/>
    <w:rsid w:val="000C6C2B"/>
    <w:rsid w:val="000C6FCD"/>
    <w:rsid w:val="000C792D"/>
    <w:rsid w:val="000D5B4B"/>
    <w:rsid w:val="000E10D3"/>
    <w:rsid w:val="000E54B5"/>
    <w:rsid w:val="000E7E63"/>
    <w:rsid w:val="000F4137"/>
    <w:rsid w:val="00102C77"/>
    <w:rsid w:val="001039F0"/>
    <w:rsid w:val="00105A38"/>
    <w:rsid w:val="00106747"/>
    <w:rsid w:val="00112117"/>
    <w:rsid w:val="001165EE"/>
    <w:rsid w:val="001266CB"/>
    <w:rsid w:val="00126B08"/>
    <w:rsid w:val="0013007C"/>
    <w:rsid w:val="00136A2D"/>
    <w:rsid w:val="00136DE9"/>
    <w:rsid w:val="00146233"/>
    <w:rsid w:val="0015065F"/>
    <w:rsid w:val="001517F8"/>
    <w:rsid w:val="00152A6E"/>
    <w:rsid w:val="0016077A"/>
    <w:rsid w:val="00162661"/>
    <w:rsid w:val="00164BD2"/>
    <w:rsid w:val="00166766"/>
    <w:rsid w:val="00173C1E"/>
    <w:rsid w:val="00174F17"/>
    <w:rsid w:val="001770C9"/>
    <w:rsid w:val="001803DE"/>
    <w:rsid w:val="00183832"/>
    <w:rsid w:val="00183A86"/>
    <w:rsid w:val="00185381"/>
    <w:rsid w:val="00192139"/>
    <w:rsid w:val="001926E1"/>
    <w:rsid w:val="00192A34"/>
    <w:rsid w:val="001941CD"/>
    <w:rsid w:val="00196A28"/>
    <w:rsid w:val="00197B7C"/>
    <w:rsid w:val="00197D05"/>
    <w:rsid w:val="001A3FC7"/>
    <w:rsid w:val="001B0640"/>
    <w:rsid w:val="001B3130"/>
    <w:rsid w:val="001B48B1"/>
    <w:rsid w:val="001B7681"/>
    <w:rsid w:val="001C24B1"/>
    <w:rsid w:val="001D1098"/>
    <w:rsid w:val="001D5169"/>
    <w:rsid w:val="001D56E0"/>
    <w:rsid w:val="001D626D"/>
    <w:rsid w:val="001E3515"/>
    <w:rsid w:val="001E60B6"/>
    <w:rsid w:val="001E60C5"/>
    <w:rsid w:val="001E6E13"/>
    <w:rsid w:val="001E6FBE"/>
    <w:rsid w:val="001E7A8A"/>
    <w:rsid w:val="00200238"/>
    <w:rsid w:val="002005C4"/>
    <w:rsid w:val="00205C71"/>
    <w:rsid w:val="002067BA"/>
    <w:rsid w:val="00210C28"/>
    <w:rsid w:val="00213547"/>
    <w:rsid w:val="00214646"/>
    <w:rsid w:val="0021759F"/>
    <w:rsid w:val="002219B0"/>
    <w:rsid w:val="00223C36"/>
    <w:rsid w:val="00227F24"/>
    <w:rsid w:val="0023438B"/>
    <w:rsid w:val="002428CB"/>
    <w:rsid w:val="0025020C"/>
    <w:rsid w:val="00251210"/>
    <w:rsid w:val="0025415E"/>
    <w:rsid w:val="00257E84"/>
    <w:rsid w:val="00267431"/>
    <w:rsid w:val="0027437A"/>
    <w:rsid w:val="002821EB"/>
    <w:rsid w:val="002844FC"/>
    <w:rsid w:val="00284575"/>
    <w:rsid w:val="00290BD3"/>
    <w:rsid w:val="002917A9"/>
    <w:rsid w:val="00293AE6"/>
    <w:rsid w:val="002A6D4C"/>
    <w:rsid w:val="002B6B44"/>
    <w:rsid w:val="002C168D"/>
    <w:rsid w:val="002D0178"/>
    <w:rsid w:val="002D0E08"/>
    <w:rsid w:val="002E1674"/>
    <w:rsid w:val="002E237B"/>
    <w:rsid w:val="002E433A"/>
    <w:rsid w:val="002E43DB"/>
    <w:rsid w:val="002E6116"/>
    <w:rsid w:val="002E76A7"/>
    <w:rsid w:val="002F555F"/>
    <w:rsid w:val="003016D4"/>
    <w:rsid w:val="00316644"/>
    <w:rsid w:val="0032426C"/>
    <w:rsid w:val="00331CC2"/>
    <w:rsid w:val="00342FE9"/>
    <w:rsid w:val="0034313F"/>
    <w:rsid w:val="003461E1"/>
    <w:rsid w:val="00354992"/>
    <w:rsid w:val="00356CE8"/>
    <w:rsid w:val="00366DE3"/>
    <w:rsid w:val="00370C2A"/>
    <w:rsid w:val="0037291E"/>
    <w:rsid w:val="00374222"/>
    <w:rsid w:val="00376E2A"/>
    <w:rsid w:val="00383114"/>
    <w:rsid w:val="003842E1"/>
    <w:rsid w:val="003963E4"/>
    <w:rsid w:val="003A422B"/>
    <w:rsid w:val="003A4C86"/>
    <w:rsid w:val="003A741B"/>
    <w:rsid w:val="003B05FA"/>
    <w:rsid w:val="003B4AEE"/>
    <w:rsid w:val="003B5A14"/>
    <w:rsid w:val="003C1486"/>
    <w:rsid w:val="003D0E91"/>
    <w:rsid w:val="003D1DC4"/>
    <w:rsid w:val="003E0B13"/>
    <w:rsid w:val="003E1459"/>
    <w:rsid w:val="003E1D77"/>
    <w:rsid w:val="004000E0"/>
    <w:rsid w:val="00404E52"/>
    <w:rsid w:val="004071D6"/>
    <w:rsid w:val="00410475"/>
    <w:rsid w:val="00417F6A"/>
    <w:rsid w:val="004246F3"/>
    <w:rsid w:val="004312DB"/>
    <w:rsid w:val="0043358B"/>
    <w:rsid w:val="00436752"/>
    <w:rsid w:val="00437E68"/>
    <w:rsid w:val="00443CDD"/>
    <w:rsid w:val="0044628B"/>
    <w:rsid w:val="00447CC5"/>
    <w:rsid w:val="0045208E"/>
    <w:rsid w:val="0045286C"/>
    <w:rsid w:val="00454412"/>
    <w:rsid w:val="00462525"/>
    <w:rsid w:val="00477414"/>
    <w:rsid w:val="0048235B"/>
    <w:rsid w:val="00483A00"/>
    <w:rsid w:val="0049462D"/>
    <w:rsid w:val="00495AD1"/>
    <w:rsid w:val="00497188"/>
    <w:rsid w:val="004A17F7"/>
    <w:rsid w:val="004A4E0E"/>
    <w:rsid w:val="004B34FB"/>
    <w:rsid w:val="004B62F1"/>
    <w:rsid w:val="004B6B23"/>
    <w:rsid w:val="004C11F4"/>
    <w:rsid w:val="004C6D9F"/>
    <w:rsid w:val="004C6E13"/>
    <w:rsid w:val="004C79CE"/>
    <w:rsid w:val="004D4062"/>
    <w:rsid w:val="004D6C71"/>
    <w:rsid w:val="004E11DC"/>
    <w:rsid w:val="004F4AC1"/>
    <w:rsid w:val="004F5AB3"/>
    <w:rsid w:val="005005EA"/>
    <w:rsid w:val="00501521"/>
    <w:rsid w:val="005034B6"/>
    <w:rsid w:val="00511D36"/>
    <w:rsid w:val="00516DFB"/>
    <w:rsid w:val="0051770E"/>
    <w:rsid w:val="00520B08"/>
    <w:rsid w:val="00532D83"/>
    <w:rsid w:val="0053325A"/>
    <w:rsid w:val="00541B54"/>
    <w:rsid w:val="00545391"/>
    <w:rsid w:val="005575B0"/>
    <w:rsid w:val="00562A77"/>
    <w:rsid w:val="00563BF2"/>
    <w:rsid w:val="00567ECB"/>
    <w:rsid w:val="005705E5"/>
    <w:rsid w:val="0057172B"/>
    <w:rsid w:val="00581482"/>
    <w:rsid w:val="00596CA9"/>
    <w:rsid w:val="0059772D"/>
    <w:rsid w:val="005B33E3"/>
    <w:rsid w:val="005B4F53"/>
    <w:rsid w:val="005B5DCC"/>
    <w:rsid w:val="005B747B"/>
    <w:rsid w:val="005C18A1"/>
    <w:rsid w:val="005C51DA"/>
    <w:rsid w:val="005D1B22"/>
    <w:rsid w:val="005D70E0"/>
    <w:rsid w:val="005E0EE0"/>
    <w:rsid w:val="005E3E4D"/>
    <w:rsid w:val="005E5374"/>
    <w:rsid w:val="005E79C7"/>
    <w:rsid w:val="005F09ED"/>
    <w:rsid w:val="005F6A4B"/>
    <w:rsid w:val="0060022F"/>
    <w:rsid w:val="00601973"/>
    <w:rsid w:val="00613506"/>
    <w:rsid w:val="00631DA6"/>
    <w:rsid w:val="0063486A"/>
    <w:rsid w:val="0063641F"/>
    <w:rsid w:val="00636F2E"/>
    <w:rsid w:val="00637EE7"/>
    <w:rsid w:val="00643DD8"/>
    <w:rsid w:val="00647545"/>
    <w:rsid w:val="0065319D"/>
    <w:rsid w:val="00664337"/>
    <w:rsid w:val="00665296"/>
    <w:rsid w:val="00672847"/>
    <w:rsid w:val="00681A6C"/>
    <w:rsid w:val="00686BAE"/>
    <w:rsid w:val="006A066B"/>
    <w:rsid w:val="006A5F1C"/>
    <w:rsid w:val="006B0D16"/>
    <w:rsid w:val="006B60B6"/>
    <w:rsid w:val="006C108F"/>
    <w:rsid w:val="006C6392"/>
    <w:rsid w:val="006D2902"/>
    <w:rsid w:val="006D3553"/>
    <w:rsid w:val="006D55E2"/>
    <w:rsid w:val="006D7E2F"/>
    <w:rsid w:val="006F75B1"/>
    <w:rsid w:val="00702666"/>
    <w:rsid w:val="007069DF"/>
    <w:rsid w:val="00724AA3"/>
    <w:rsid w:val="00724F3A"/>
    <w:rsid w:val="00725055"/>
    <w:rsid w:val="007271DF"/>
    <w:rsid w:val="00731B59"/>
    <w:rsid w:val="0073557D"/>
    <w:rsid w:val="0074095F"/>
    <w:rsid w:val="00747899"/>
    <w:rsid w:val="00756B50"/>
    <w:rsid w:val="007648B9"/>
    <w:rsid w:val="007708E4"/>
    <w:rsid w:val="0077443D"/>
    <w:rsid w:val="00775F22"/>
    <w:rsid w:val="0078369D"/>
    <w:rsid w:val="0078421F"/>
    <w:rsid w:val="00795D8D"/>
    <w:rsid w:val="007A4338"/>
    <w:rsid w:val="007A4E11"/>
    <w:rsid w:val="007B39E8"/>
    <w:rsid w:val="007B7F51"/>
    <w:rsid w:val="007C0C81"/>
    <w:rsid w:val="007C220D"/>
    <w:rsid w:val="007C5A91"/>
    <w:rsid w:val="007D1004"/>
    <w:rsid w:val="007D237A"/>
    <w:rsid w:val="007E0662"/>
    <w:rsid w:val="007E72F6"/>
    <w:rsid w:val="007E77EB"/>
    <w:rsid w:val="007E7B12"/>
    <w:rsid w:val="007F11B5"/>
    <w:rsid w:val="007F3F90"/>
    <w:rsid w:val="007F4C9C"/>
    <w:rsid w:val="007F5419"/>
    <w:rsid w:val="00800735"/>
    <w:rsid w:val="0081014E"/>
    <w:rsid w:val="0081030D"/>
    <w:rsid w:val="0081353D"/>
    <w:rsid w:val="00814447"/>
    <w:rsid w:val="008174C8"/>
    <w:rsid w:val="00821C4E"/>
    <w:rsid w:val="00821D6F"/>
    <w:rsid w:val="008242BA"/>
    <w:rsid w:val="00824943"/>
    <w:rsid w:val="00825775"/>
    <w:rsid w:val="008300FF"/>
    <w:rsid w:val="00832853"/>
    <w:rsid w:val="00846FF5"/>
    <w:rsid w:val="008561E8"/>
    <w:rsid w:val="00864942"/>
    <w:rsid w:val="00865F94"/>
    <w:rsid w:val="0087195E"/>
    <w:rsid w:val="008773B9"/>
    <w:rsid w:val="0088129E"/>
    <w:rsid w:val="008914D4"/>
    <w:rsid w:val="00891A59"/>
    <w:rsid w:val="00891D61"/>
    <w:rsid w:val="00892FA7"/>
    <w:rsid w:val="008A28A1"/>
    <w:rsid w:val="008A3740"/>
    <w:rsid w:val="008A55EC"/>
    <w:rsid w:val="008B0419"/>
    <w:rsid w:val="008B04BF"/>
    <w:rsid w:val="008B1625"/>
    <w:rsid w:val="008C0954"/>
    <w:rsid w:val="008C1D2D"/>
    <w:rsid w:val="008C7C12"/>
    <w:rsid w:val="008D172E"/>
    <w:rsid w:val="008E2C28"/>
    <w:rsid w:val="008E3053"/>
    <w:rsid w:val="008E49AC"/>
    <w:rsid w:val="008F4AE6"/>
    <w:rsid w:val="008F7DED"/>
    <w:rsid w:val="00900542"/>
    <w:rsid w:val="00903038"/>
    <w:rsid w:val="00904DEC"/>
    <w:rsid w:val="009058C0"/>
    <w:rsid w:val="0091293D"/>
    <w:rsid w:val="009207C0"/>
    <w:rsid w:val="00920945"/>
    <w:rsid w:val="00921DAD"/>
    <w:rsid w:val="0092581A"/>
    <w:rsid w:val="009270B6"/>
    <w:rsid w:val="00927D0F"/>
    <w:rsid w:val="00932915"/>
    <w:rsid w:val="00940253"/>
    <w:rsid w:val="00942141"/>
    <w:rsid w:val="0095101C"/>
    <w:rsid w:val="00961B55"/>
    <w:rsid w:val="0096710B"/>
    <w:rsid w:val="009673BF"/>
    <w:rsid w:val="009676E2"/>
    <w:rsid w:val="0097191C"/>
    <w:rsid w:val="009879C8"/>
    <w:rsid w:val="009906F0"/>
    <w:rsid w:val="009A3397"/>
    <w:rsid w:val="009A61AA"/>
    <w:rsid w:val="009A7134"/>
    <w:rsid w:val="009B660B"/>
    <w:rsid w:val="009C34BF"/>
    <w:rsid w:val="009C71ED"/>
    <w:rsid w:val="009D3175"/>
    <w:rsid w:val="009E50E4"/>
    <w:rsid w:val="009E672E"/>
    <w:rsid w:val="00A05EB0"/>
    <w:rsid w:val="00A06DF4"/>
    <w:rsid w:val="00A178D4"/>
    <w:rsid w:val="00A21CF3"/>
    <w:rsid w:val="00A2241E"/>
    <w:rsid w:val="00A22A3A"/>
    <w:rsid w:val="00A248F2"/>
    <w:rsid w:val="00A2622F"/>
    <w:rsid w:val="00A27D4F"/>
    <w:rsid w:val="00A35F6A"/>
    <w:rsid w:val="00A45699"/>
    <w:rsid w:val="00A51BB3"/>
    <w:rsid w:val="00A51FEA"/>
    <w:rsid w:val="00A62423"/>
    <w:rsid w:val="00A66562"/>
    <w:rsid w:val="00A765BA"/>
    <w:rsid w:val="00A76FE2"/>
    <w:rsid w:val="00A8036D"/>
    <w:rsid w:val="00A822BB"/>
    <w:rsid w:val="00A82DAC"/>
    <w:rsid w:val="00A8316D"/>
    <w:rsid w:val="00A83400"/>
    <w:rsid w:val="00A86937"/>
    <w:rsid w:val="00A909B6"/>
    <w:rsid w:val="00AB0282"/>
    <w:rsid w:val="00AB0ED9"/>
    <w:rsid w:val="00AB3683"/>
    <w:rsid w:val="00AB5276"/>
    <w:rsid w:val="00AB714D"/>
    <w:rsid w:val="00AD29BD"/>
    <w:rsid w:val="00AE03BF"/>
    <w:rsid w:val="00AE2363"/>
    <w:rsid w:val="00B0332E"/>
    <w:rsid w:val="00B11263"/>
    <w:rsid w:val="00B13E42"/>
    <w:rsid w:val="00B24B94"/>
    <w:rsid w:val="00B26CB7"/>
    <w:rsid w:val="00B313D6"/>
    <w:rsid w:val="00B32093"/>
    <w:rsid w:val="00B416A0"/>
    <w:rsid w:val="00B4699D"/>
    <w:rsid w:val="00B50819"/>
    <w:rsid w:val="00B52432"/>
    <w:rsid w:val="00B5419F"/>
    <w:rsid w:val="00B55436"/>
    <w:rsid w:val="00B64CDF"/>
    <w:rsid w:val="00B6670D"/>
    <w:rsid w:val="00B70732"/>
    <w:rsid w:val="00B7154C"/>
    <w:rsid w:val="00B7277D"/>
    <w:rsid w:val="00B75DFD"/>
    <w:rsid w:val="00B83012"/>
    <w:rsid w:val="00B91FAE"/>
    <w:rsid w:val="00BA07C1"/>
    <w:rsid w:val="00BA0A2A"/>
    <w:rsid w:val="00BA4710"/>
    <w:rsid w:val="00BA5F86"/>
    <w:rsid w:val="00BB2073"/>
    <w:rsid w:val="00BC0793"/>
    <w:rsid w:val="00BD0996"/>
    <w:rsid w:val="00BD4209"/>
    <w:rsid w:val="00BE45A5"/>
    <w:rsid w:val="00BF1ADF"/>
    <w:rsid w:val="00C01239"/>
    <w:rsid w:val="00C0356F"/>
    <w:rsid w:val="00C03C3B"/>
    <w:rsid w:val="00C06693"/>
    <w:rsid w:val="00C12525"/>
    <w:rsid w:val="00C12E34"/>
    <w:rsid w:val="00C13D03"/>
    <w:rsid w:val="00C210A3"/>
    <w:rsid w:val="00C27447"/>
    <w:rsid w:val="00C32DB3"/>
    <w:rsid w:val="00C33D9E"/>
    <w:rsid w:val="00C438A8"/>
    <w:rsid w:val="00C44F47"/>
    <w:rsid w:val="00C47307"/>
    <w:rsid w:val="00C505A3"/>
    <w:rsid w:val="00C51A1E"/>
    <w:rsid w:val="00C52941"/>
    <w:rsid w:val="00C56CEB"/>
    <w:rsid w:val="00C64770"/>
    <w:rsid w:val="00C71582"/>
    <w:rsid w:val="00C730A7"/>
    <w:rsid w:val="00C77944"/>
    <w:rsid w:val="00C81F58"/>
    <w:rsid w:val="00C84070"/>
    <w:rsid w:val="00C86F5F"/>
    <w:rsid w:val="00C90A93"/>
    <w:rsid w:val="00C94556"/>
    <w:rsid w:val="00C94DEE"/>
    <w:rsid w:val="00C958CC"/>
    <w:rsid w:val="00CA0D63"/>
    <w:rsid w:val="00CB1351"/>
    <w:rsid w:val="00CB4080"/>
    <w:rsid w:val="00CB5DC9"/>
    <w:rsid w:val="00CC4345"/>
    <w:rsid w:val="00CC54CB"/>
    <w:rsid w:val="00CC5F81"/>
    <w:rsid w:val="00CD542F"/>
    <w:rsid w:val="00CD6665"/>
    <w:rsid w:val="00CD6C64"/>
    <w:rsid w:val="00CD7DC3"/>
    <w:rsid w:val="00CE16A2"/>
    <w:rsid w:val="00CE1E05"/>
    <w:rsid w:val="00CE3FD9"/>
    <w:rsid w:val="00CF5838"/>
    <w:rsid w:val="00CF5B53"/>
    <w:rsid w:val="00D04900"/>
    <w:rsid w:val="00D07052"/>
    <w:rsid w:val="00D102F6"/>
    <w:rsid w:val="00D104C3"/>
    <w:rsid w:val="00D20789"/>
    <w:rsid w:val="00D24043"/>
    <w:rsid w:val="00D40560"/>
    <w:rsid w:val="00D42FB2"/>
    <w:rsid w:val="00D43C8C"/>
    <w:rsid w:val="00D53CB6"/>
    <w:rsid w:val="00D54E80"/>
    <w:rsid w:val="00D56FE9"/>
    <w:rsid w:val="00D61324"/>
    <w:rsid w:val="00D614DB"/>
    <w:rsid w:val="00D73270"/>
    <w:rsid w:val="00D76A6D"/>
    <w:rsid w:val="00D77274"/>
    <w:rsid w:val="00D776A3"/>
    <w:rsid w:val="00D77BB0"/>
    <w:rsid w:val="00D82BE9"/>
    <w:rsid w:val="00D9513E"/>
    <w:rsid w:val="00D9522B"/>
    <w:rsid w:val="00D95ED0"/>
    <w:rsid w:val="00DA1FA6"/>
    <w:rsid w:val="00DA3B84"/>
    <w:rsid w:val="00DA3F0C"/>
    <w:rsid w:val="00DA632C"/>
    <w:rsid w:val="00DA6B87"/>
    <w:rsid w:val="00DC030E"/>
    <w:rsid w:val="00DC1CF0"/>
    <w:rsid w:val="00DC2661"/>
    <w:rsid w:val="00DC40BF"/>
    <w:rsid w:val="00DC78DA"/>
    <w:rsid w:val="00DD01CF"/>
    <w:rsid w:val="00DD08DB"/>
    <w:rsid w:val="00DD1ABD"/>
    <w:rsid w:val="00DD4388"/>
    <w:rsid w:val="00DD759B"/>
    <w:rsid w:val="00DE1923"/>
    <w:rsid w:val="00DE46F1"/>
    <w:rsid w:val="00DE4AB1"/>
    <w:rsid w:val="00DE578C"/>
    <w:rsid w:val="00DE67FB"/>
    <w:rsid w:val="00DE7B01"/>
    <w:rsid w:val="00DF1BFA"/>
    <w:rsid w:val="00E05483"/>
    <w:rsid w:val="00E24CBC"/>
    <w:rsid w:val="00E3137E"/>
    <w:rsid w:val="00E31A25"/>
    <w:rsid w:val="00E33CA2"/>
    <w:rsid w:val="00E36CF6"/>
    <w:rsid w:val="00E42514"/>
    <w:rsid w:val="00E4296A"/>
    <w:rsid w:val="00E46C12"/>
    <w:rsid w:val="00E5349C"/>
    <w:rsid w:val="00E54CF1"/>
    <w:rsid w:val="00E61975"/>
    <w:rsid w:val="00E65D0F"/>
    <w:rsid w:val="00E6694F"/>
    <w:rsid w:val="00E66DAF"/>
    <w:rsid w:val="00E679F4"/>
    <w:rsid w:val="00E764FB"/>
    <w:rsid w:val="00E85C75"/>
    <w:rsid w:val="00E92813"/>
    <w:rsid w:val="00E93E0A"/>
    <w:rsid w:val="00E94FAE"/>
    <w:rsid w:val="00EA61C1"/>
    <w:rsid w:val="00EA7F2D"/>
    <w:rsid w:val="00EB03ED"/>
    <w:rsid w:val="00EB1141"/>
    <w:rsid w:val="00EB244D"/>
    <w:rsid w:val="00EB28BD"/>
    <w:rsid w:val="00EB548B"/>
    <w:rsid w:val="00EB56B5"/>
    <w:rsid w:val="00EB5AE8"/>
    <w:rsid w:val="00EB6B06"/>
    <w:rsid w:val="00EC18B5"/>
    <w:rsid w:val="00EC3CB4"/>
    <w:rsid w:val="00EC4BFA"/>
    <w:rsid w:val="00EC6A2C"/>
    <w:rsid w:val="00ED023E"/>
    <w:rsid w:val="00ED160A"/>
    <w:rsid w:val="00ED30A9"/>
    <w:rsid w:val="00ED6107"/>
    <w:rsid w:val="00EE29AA"/>
    <w:rsid w:val="00EF4B1D"/>
    <w:rsid w:val="00F01C08"/>
    <w:rsid w:val="00F10DEB"/>
    <w:rsid w:val="00F30571"/>
    <w:rsid w:val="00F30AEC"/>
    <w:rsid w:val="00F31DA1"/>
    <w:rsid w:val="00F32CF7"/>
    <w:rsid w:val="00F35788"/>
    <w:rsid w:val="00F51EBF"/>
    <w:rsid w:val="00F542C6"/>
    <w:rsid w:val="00F54D9F"/>
    <w:rsid w:val="00F56627"/>
    <w:rsid w:val="00F71A7D"/>
    <w:rsid w:val="00F71B8C"/>
    <w:rsid w:val="00F71D8E"/>
    <w:rsid w:val="00F71EFD"/>
    <w:rsid w:val="00F7520D"/>
    <w:rsid w:val="00F8048A"/>
    <w:rsid w:val="00F84664"/>
    <w:rsid w:val="00F90ACF"/>
    <w:rsid w:val="00F951C7"/>
    <w:rsid w:val="00FA0963"/>
    <w:rsid w:val="00FB2E22"/>
    <w:rsid w:val="00FB3303"/>
    <w:rsid w:val="00FB4317"/>
    <w:rsid w:val="00FB76AC"/>
    <w:rsid w:val="00FC3AD2"/>
    <w:rsid w:val="00FD1941"/>
    <w:rsid w:val="00FD2A41"/>
    <w:rsid w:val="00FD2D6B"/>
    <w:rsid w:val="00FE3068"/>
    <w:rsid w:val="00FE4370"/>
    <w:rsid w:val="00FE4D85"/>
    <w:rsid w:val="00FF2652"/>
    <w:rsid w:val="00FF2735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3AC09-F850-4484-B9DA-40980C2D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23C36"/>
    <w:rPr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Normal (Web)"/>
    <w:basedOn w:val="a1"/>
    <w:rsid w:val="00F32CF7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link w:val="a7"/>
    <w:uiPriority w:val="99"/>
    <w:rsid w:val="00F32CF7"/>
    <w:pPr>
      <w:tabs>
        <w:tab w:val="center" w:pos="4153"/>
        <w:tab w:val="right" w:pos="8306"/>
      </w:tabs>
      <w:autoSpaceDE w:val="0"/>
      <w:autoSpaceDN w:val="0"/>
    </w:pPr>
  </w:style>
  <w:style w:type="character" w:styleId="a8">
    <w:name w:val="page number"/>
    <w:basedOn w:val="a2"/>
    <w:rsid w:val="00F32CF7"/>
  </w:style>
  <w:style w:type="paragraph" w:customStyle="1" w:styleId="a0">
    <w:name w:val="Подпункт спецификации"/>
    <w:basedOn w:val="a9"/>
    <w:rsid w:val="00F32CF7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F32CF7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a">
    <w:name w:val="Текст таб"/>
    <w:basedOn w:val="a1"/>
    <w:rsid w:val="00F32CF7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b">
    <w:name w:val="Plain Text"/>
    <w:basedOn w:val="aa"/>
    <w:link w:val="ac"/>
    <w:rsid w:val="00F32CF7"/>
    <w:pPr>
      <w:ind w:left="0"/>
    </w:pPr>
  </w:style>
  <w:style w:type="paragraph" w:customStyle="1" w:styleId="Pointmark">
    <w:name w:val="Point (mark)"/>
    <w:rsid w:val="00F32CF7"/>
    <w:pPr>
      <w:numPr>
        <w:numId w:val="2"/>
      </w:numPr>
      <w:spacing w:after="60"/>
      <w:jc w:val="both"/>
    </w:pPr>
    <w:rPr>
      <w:rFonts w:ascii="Arial" w:hAnsi="Arial" w:cs="Arial"/>
      <w:lang w:eastAsia="en-US"/>
    </w:rPr>
  </w:style>
  <w:style w:type="paragraph" w:customStyle="1" w:styleId="1">
    <w:name w:val="Подпункт спецификации 1"/>
    <w:basedOn w:val="a0"/>
    <w:rsid w:val="00F32CF7"/>
    <w:pPr>
      <w:numPr>
        <w:ilvl w:val="2"/>
      </w:numPr>
    </w:pPr>
  </w:style>
  <w:style w:type="character" w:styleId="ad">
    <w:name w:val="Hyperlink"/>
    <w:rsid w:val="00F32CF7"/>
    <w:rPr>
      <w:color w:val="0000FF"/>
      <w:u w:val="single"/>
    </w:rPr>
  </w:style>
  <w:style w:type="paragraph" w:styleId="ae">
    <w:name w:val="Body Text"/>
    <w:basedOn w:val="a1"/>
    <w:link w:val="af"/>
    <w:rsid w:val="00F32CF7"/>
    <w:pPr>
      <w:spacing w:after="120"/>
    </w:pPr>
  </w:style>
  <w:style w:type="paragraph" w:styleId="af0">
    <w:name w:val="footnote text"/>
    <w:basedOn w:val="a1"/>
    <w:link w:val="af1"/>
    <w:semiHidden/>
    <w:rsid w:val="00F32CF7"/>
    <w:rPr>
      <w:sz w:val="20"/>
      <w:szCs w:val="20"/>
    </w:rPr>
  </w:style>
  <w:style w:type="character" w:styleId="af2">
    <w:name w:val="footnote reference"/>
    <w:semiHidden/>
    <w:rsid w:val="00F32CF7"/>
    <w:rPr>
      <w:vertAlign w:val="superscript"/>
    </w:rPr>
  </w:style>
  <w:style w:type="paragraph" w:styleId="a9">
    <w:name w:val="Body Text Indent"/>
    <w:basedOn w:val="a1"/>
    <w:rsid w:val="00F32CF7"/>
    <w:pPr>
      <w:spacing w:after="120"/>
      <w:ind w:left="283"/>
    </w:pPr>
  </w:style>
  <w:style w:type="paragraph" w:customStyle="1" w:styleId="Texttabtab">
    <w:name w:val="Text tab tab"/>
    <w:basedOn w:val="a1"/>
    <w:rsid w:val="00D54E80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af3">
    <w:name w:val="Balloon Text"/>
    <w:basedOn w:val="a1"/>
    <w:semiHidden/>
    <w:rsid w:val="00932915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link w:val="ae"/>
    <w:rsid w:val="00E85C75"/>
    <w:rPr>
      <w:sz w:val="24"/>
      <w:szCs w:val="24"/>
    </w:rPr>
  </w:style>
  <w:style w:type="paragraph" w:styleId="af4">
    <w:name w:val="header"/>
    <w:basedOn w:val="a1"/>
    <w:link w:val="af5"/>
    <w:rsid w:val="00E85C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E85C7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47609"/>
    <w:rPr>
      <w:sz w:val="24"/>
      <w:szCs w:val="24"/>
    </w:rPr>
  </w:style>
  <w:style w:type="character" w:styleId="af6">
    <w:name w:val="annotation reference"/>
    <w:rsid w:val="00D07052"/>
    <w:rPr>
      <w:sz w:val="16"/>
      <w:szCs w:val="16"/>
    </w:rPr>
  </w:style>
  <w:style w:type="paragraph" w:styleId="af7">
    <w:name w:val="annotation text"/>
    <w:basedOn w:val="a1"/>
    <w:link w:val="af8"/>
    <w:rsid w:val="00D07052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rsid w:val="00D07052"/>
  </w:style>
  <w:style w:type="paragraph" w:styleId="af9">
    <w:name w:val="annotation subject"/>
    <w:basedOn w:val="af7"/>
    <w:next w:val="af7"/>
    <w:link w:val="afa"/>
    <w:rsid w:val="00D07052"/>
    <w:rPr>
      <w:b/>
      <w:bCs/>
    </w:rPr>
  </w:style>
  <w:style w:type="character" w:customStyle="1" w:styleId="afa">
    <w:name w:val="Тема примечания Знак"/>
    <w:link w:val="af9"/>
    <w:rsid w:val="00D07052"/>
    <w:rPr>
      <w:b/>
      <w:bCs/>
    </w:rPr>
  </w:style>
  <w:style w:type="character" w:customStyle="1" w:styleId="ac">
    <w:name w:val="Текст Знак"/>
    <w:link w:val="ab"/>
    <w:rsid w:val="00F84664"/>
    <w:rPr>
      <w:rFonts w:ascii="Arial" w:hAnsi="Arial" w:cs="Arial"/>
      <w:lang w:val="en-US"/>
    </w:rPr>
  </w:style>
  <w:style w:type="paragraph" w:styleId="afb">
    <w:name w:val="List Paragraph"/>
    <w:basedOn w:val="a1"/>
    <w:uiPriority w:val="34"/>
    <w:qFormat/>
    <w:rsid w:val="00AB0282"/>
    <w:pPr>
      <w:ind w:left="708"/>
    </w:pPr>
  </w:style>
  <w:style w:type="character" w:customStyle="1" w:styleId="af1">
    <w:name w:val="Текст сноски Знак"/>
    <w:link w:val="af0"/>
    <w:semiHidden/>
    <w:rsid w:val="00F5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06A9-091D-4B1A-A360-9A2827DF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avetisyan_o</dc:creator>
  <cp:keywords/>
  <cp:lastModifiedBy>Ушенин Максим Леонидович</cp:lastModifiedBy>
  <cp:revision>2</cp:revision>
  <cp:lastPrinted>2026-05-19T13:03:00Z</cp:lastPrinted>
  <dcterms:created xsi:type="dcterms:W3CDTF">2026-05-28T12:57:00Z</dcterms:created>
  <dcterms:modified xsi:type="dcterms:W3CDTF">2026-05-28T12:57:00Z</dcterms:modified>
</cp:coreProperties>
</file>