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1C" w:rsidRPr="002D47D7" w:rsidRDefault="001F181C" w:rsidP="001F181C">
      <w:pPr>
        <w:pStyle w:val="a3"/>
        <w:numPr>
          <w:ilvl w:val="0"/>
          <w:numId w:val="0"/>
        </w:numPr>
        <w:spacing w:before="60"/>
        <w:ind w:left="2268" w:hanging="2268"/>
        <w:jc w:val="right"/>
        <w:rPr>
          <w:lang w:val="en-US"/>
        </w:rPr>
      </w:pPr>
      <w:bookmarkStart w:id="0" w:name="_Toc389253007"/>
      <w:bookmarkStart w:id="1" w:name="_Toc389287550"/>
      <w:bookmarkStart w:id="2" w:name="_Toc389585325"/>
      <w:r w:rsidRPr="002D47D7">
        <w:rPr>
          <w:lang w:val="en-US"/>
        </w:rPr>
        <w:t>Appendix No. 11</w:t>
      </w:r>
      <w:bookmarkEnd w:id="0"/>
      <w:bookmarkEnd w:id="1"/>
      <w:bookmarkEnd w:id="2"/>
    </w:p>
    <w:p w:rsidR="001F181C" w:rsidRPr="002D47D7" w:rsidRDefault="001F181C" w:rsidP="001F181C">
      <w:pPr>
        <w:pStyle w:val="ad"/>
        <w:rPr>
          <w:lang w:val="en-US"/>
        </w:rPr>
      </w:pPr>
      <w:bookmarkStart w:id="3" w:name="_Toc389287551"/>
      <w:proofErr w:type="gramStart"/>
      <w:r w:rsidRPr="002D47D7">
        <w:rPr>
          <w:lang w:val="en-US"/>
        </w:rPr>
        <w:t>to</w:t>
      </w:r>
      <w:proofErr w:type="gramEnd"/>
      <w:r w:rsidRPr="002D47D7">
        <w:rPr>
          <w:lang w:val="en-US"/>
        </w:rPr>
        <w:t xml:space="preserve"> the Clearing Rules of CJSC JSCB National</w:t>
      </w:r>
      <w:bookmarkEnd w:id="3"/>
      <w:r w:rsidRPr="002D47D7">
        <w:rPr>
          <w:lang w:val="en-US"/>
        </w:rPr>
        <w:t xml:space="preserve"> </w:t>
      </w:r>
    </w:p>
    <w:p w:rsidR="001F181C" w:rsidRPr="002D47D7" w:rsidRDefault="001F181C" w:rsidP="001F181C">
      <w:pPr>
        <w:tabs>
          <w:tab w:val="left" w:pos="7995"/>
        </w:tabs>
        <w:jc w:val="right"/>
        <w:rPr>
          <w:lang w:val="en-US" w:eastAsia="en-US"/>
        </w:rPr>
      </w:pPr>
      <w:r w:rsidRPr="002D47D7">
        <w:rPr>
          <w:lang w:val="en-US"/>
        </w:rPr>
        <w:t>Clearing Centre for the Derivatives Market</w:t>
      </w:r>
    </w:p>
    <w:p w:rsidR="001F181C" w:rsidRPr="002D47D7" w:rsidRDefault="001F181C" w:rsidP="001F181C">
      <w:pPr>
        <w:pStyle w:val="ae"/>
        <w:spacing w:before="120" w:after="120"/>
        <w:ind w:right="-1"/>
        <w:rPr>
          <w:lang w:val="en-US"/>
        </w:rPr>
      </w:pPr>
      <w:r w:rsidRPr="002D47D7">
        <w:rPr>
          <w:lang w:val="en-US"/>
        </w:rPr>
        <w:t>METHODOLOGY FOR CALCULATION OF THE AMOUNT OF THE CONTRIBUTION TO THE GUARANTEE FUND</w:t>
      </w:r>
    </w:p>
    <w:p w:rsidR="001F181C" w:rsidRPr="002D47D7" w:rsidRDefault="001F181C" w:rsidP="001F181C">
      <w:pPr>
        <w:pStyle w:val="a"/>
        <w:numPr>
          <w:ilvl w:val="0"/>
          <w:numId w:val="3"/>
        </w:numPr>
        <w:spacing w:before="120"/>
        <w:rPr>
          <w:lang w:val="en-US"/>
        </w:rPr>
      </w:pPr>
      <w:r w:rsidRPr="002D47D7">
        <w:rPr>
          <w:lang w:val="en-US"/>
        </w:rPr>
        <w:t>General provisions</w:t>
      </w:r>
    </w:p>
    <w:p w:rsidR="001F181C" w:rsidRPr="002D47D7" w:rsidRDefault="001F181C" w:rsidP="001F181C">
      <w:pPr>
        <w:pStyle w:val="a0"/>
        <w:rPr>
          <w:lang w:val="en-US"/>
        </w:rPr>
      </w:pPr>
      <w:r w:rsidRPr="002D47D7">
        <w:rPr>
          <w:szCs w:val="24"/>
          <w:lang w:val="en-US"/>
        </w:rPr>
        <w:t>In accordance with this methodology the Clearing Centre calculates the amount of the contribution to the Guarantee Fund for each Clearing Member registered by the Clearing Member (hereinafter referred to as the Contribution Amount) and sets parameter values required for such calculation.</w:t>
      </w:r>
    </w:p>
    <w:p w:rsidR="001F181C" w:rsidRPr="002D47D7" w:rsidRDefault="001F181C" w:rsidP="001F181C">
      <w:pPr>
        <w:pStyle w:val="a"/>
        <w:spacing w:before="120"/>
        <w:rPr>
          <w:lang w:val="en-US"/>
        </w:rPr>
      </w:pPr>
      <w:r w:rsidRPr="002D47D7">
        <w:rPr>
          <w:lang w:val="en-US"/>
        </w:rPr>
        <w:t>Categories of the Clearing Members</w:t>
      </w:r>
    </w:p>
    <w:p w:rsidR="001F181C" w:rsidRPr="002D47D7" w:rsidRDefault="001F181C" w:rsidP="001F181C">
      <w:pPr>
        <w:pStyle w:val="a0"/>
        <w:rPr>
          <w:lang w:val="en-US"/>
        </w:rPr>
      </w:pPr>
      <w:r w:rsidRPr="002D47D7">
        <w:rPr>
          <w:szCs w:val="24"/>
          <w:lang w:val="en-US"/>
        </w:rPr>
        <w:t xml:space="preserve">The Clearing Centre sets the following categories of the </w:t>
      </w:r>
      <w:r w:rsidRPr="002D47D7">
        <w:rPr>
          <w:lang w:val="en-US"/>
        </w:rPr>
        <w:t>Clearing Members</w:t>
      </w:r>
      <w:r w:rsidRPr="002D47D7">
        <w:rPr>
          <w:szCs w:val="24"/>
          <w:lang w:val="en-US"/>
        </w:rPr>
        <w:t>:</w:t>
      </w:r>
    </w:p>
    <w:p w:rsidR="001F181C" w:rsidRPr="002D47D7" w:rsidRDefault="001F181C" w:rsidP="001F181C">
      <w:pPr>
        <w:pStyle w:val="a0"/>
        <w:numPr>
          <w:ilvl w:val="0"/>
          <w:numId w:val="0"/>
        </w:numPr>
        <w:spacing w:before="0"/>
        <w:rPr>
          <w:lang w:val="en-US"/>
        </w:rPr>
      </w:pPr>
    </w:p>
    <w:tbl>
      <w:tblPr>
        <w:tblW w:w="7796"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17"/>
        <w:gridCol w:w="851"/>
        <w:gridCol w:w="850"/>
        <w:gridCol w:w="851"/>
        <w:gridCol w:w="850"/>
        <w:gridCol w:w="993"/>
        <w:gridCol w:w="992"/>
        <w:gridCol w:w="992"/>
      </w:tblGrid>
      <w:tr w:rsidR="001F181C" w:rsidRPr="002D47D7" w:rsidTr="009E526B">
        <w:trPr>
          <w:trHeight w:val="129"/>
        </w:trPr>
        <w:tc>
          <w:tcPr>
            <w:tcW w:w="1417" w:type="dxa"/>
            <w:vMerge w:val="restart"/>
            <w:shd w:val="clear" w:color="auto" w:fill="auto"/>
            <w:vAlign w:val="center"/>
          </w:tcPr>
          <w:p w:rsidR="001F181C" w:rsidRPr="002D47D7" w:rsidRDefault="001F181C" w:rsidP="009E526B">
            <w:pPr>
              <w:pStyle w:val="Point"/>
              <w:ind w:right="96"/>
              <w:jc w:val="center"/>
              <w:rPr>
                <w:b/>
                <w:szCs w:val="24"/>
                <w:lang w:val="en-US"/>
              </w:rPr>
            </w:pPr>
            <w:r w:rsidRPr="002D47D7">
              <w:rPr>
                <w:b/>
                <w:szCs w:val="24"/>
                <w:lang w:val="en-US"/>
              </w:rPr>
              <w:t>Category</w:t>
            </w:r>
          </w:p>
        </w:tc>
        <w:tc>
          <w:tcPr>
            <w:tcW w:w="6379" w:type="dxa"/>
            <w:gridSpan w:val="7"/>
            <w:shd w:val="clear" w:color="auto" w:fill="auto"/>
          </w:tcPr>
          <w:p w:rsidR="001F181C" w:rsidRPr="002D47D7" w:rsidRDefault="001F181C" w:rsidP="009E526B">
            <w:pPr>
              <w:pStyle w:val="Point"/>
              <w:ind w:right="96"/>
              <w:jc w:val="center"/>
              <w:rPr>
                <w:b/>
                <w:szCs w:val="24"/>
                <w:lang w:val="en-US"/>
              </w:rPr>
            </w:pPr>
            <w:r w:rsidRPr="002D47D7">
              <w:rPr>
                <w:b/>
                <w:szCs w:val="24"/>
                <w:lang w:val="en-US"/>
              </w:rPr>
              <w:t>Access to Markets</w:t>
            </w:r>
          </w:p>
        </w:tc>
      </w:tr>
      <w:tr w:rsidR="001F181C" w:rsidRPr="002D47D7" w:rsidTr="009E526B">
        <w:trPr>
          <w:trHeight w:val="129"/>
        </w:trPr>
        <w:tc>
          <w:tcPr>
            <w:tcW w:w="1417" w:type="dxa"/>
            <w:vMerge/>
            <w:shd w:val="clear" w:color="auto" w:fill="auto"/>
          </w:tcPr>
          <w:p w:rsidR="001F181C" w:rsidRPr="002D47D7" w:rsidRDefault="001F181C" w:rsidP="009E526B">
            <w:pPr>
              <w:pStyle w:val="Point"/>
              <w:ind w:right="96"/>
              <w:jc w:val="center"/>
              <w:rPr>
                <w:b/>
                <w:szCs w:val="24"/>
                <w:lang w:val="en-US"/>
              </w:rPr>
            </w:pPr>
          </w:p>
        </w:tc>
        <w:tc>
          <w:tcPr>
            <w:tcW w:w="851" w:type="dxa"/>
            <w:shd w:val="clear" w:color="auto" w:fill="auto"/>
          </w:tcPr>
          <w:p w:rsidR="001F181C" w:rsidRPr="002D47D7" w:rsidRDefault="001F181C" w:rsidP="009E526B">
            <w:pPr>
              <w:pStyle w:val="Point"/>
              <w:ind w:right="96"/>
              <w:jc w:val="center"/>
              <w:rPr>
                <w:b/>
                <w:szCs w:val="24"/>
                <w:lang w:val="en-US"/>
              </w:rPr>
            </w:pPr>
            <w:r w:rsidRPr="002D47D7">
              <w:rPr>
                <w:b/>
                <w:szCs w:val="24"/>
                <w:lang w:val="en-US"/>
              </w:rPr>
              <w:t>1</w:t>
            </w:r>
          </w:p>
        </w:tc>
        <w:tc>
          <w:tcPr>
            <w:tcW w:w="850" w:type="dxa"/>
          </w:tcPr>
          <w:p w:rsidR="001F181C" w:rsidRPr="002D47D7" w:rsidRDefault="001F181C" w:rsidP="009E526B">
            <w:pPr>
              <w:pStyle w:val="Point"/>
              <w:ind w:right="96"/>
              <w:jc w:val="center"/>
              <w:rPr>
                <w:b/>
                <w:szCs w:val="24"/>
                <w:lang w:val="en-US"/>
              </w:rPr>
            </w:pPr>
            <w:r w:rsidRPr="002D47D7">
              <w:rPr>
                <w:b/>
                <w:szCs w:val="24"/>
                <w:lang w:val="en-US"/>
              </w:rPr>
              <w:t>2</w:t>
            </w:r>
          </w:p>
        </w:tc>
        <w:tc>
          <w:tcPr>
            <w:tcW w:w="851" w:type="dxa"/>
            <w:shd w:val="clear" w:color="auto" w:fill="auto"/>
          </w:tcPr>
          <w:p w:rsidR="001F181C" w:rsidRPr="002D47D7" w:rsidRDefault="001F181C" w:rsidP="009E526B">
            <w:pPr>
              <w:pStyle w:val="Point"/>
              <w:ind w:right="96"/>
              <w:jc w:val="center"/>
              <w:rPr>
                <w:b/>
                <w:szCs w:val="24"/>
                <w:lang w:val="en-US"/>
              </w:rPr>
            </w:pPr>
            <w:r w:rsidRPr="002D47D7">
              <w:rPr>
                <w:b/>
                <w:szCs w:val="24"/>
                <w:lang w:val="en-US"/>
              </w:rPr>
              <w:t>3</w:t>
            </w:r>
          </w:p>
        </w:tc>
        <w:tc>
          <w:tcPr>
            <w:tcW w:w="850" w:type="dxa"/>
            <w:shd w:val="clear" w:color="auto" w:fill="auto"/>
          </w:tcPr>
          <w:p w:rsidR="001F181C" w:rsidRPr="002D47D7" w:rsidRDefault="001F181C" w:rsidP="009E526B">
            <w:pPr>
              <w:pStyle w:val="Point"/>
              <w:ind w:right="96"/>
              <w:jc w:val="center"/>
              <w:rPr>
                <w:b/>
                <w:szCs w:val="24"/>
                <w:lang w:val="en-US"/>
              </w:rPr>
            </w:pPr>
            <w:r w:rsidRPr="002D47D7">
              <w:rPr>
                <w:b/>
                <w:szCs w:val="24"/>
                <w:lang w:val="en-US"/>
              </w:rPr>
              <w:t>4</w:t>
            </w:r>
          </w:p>
        </w:tc>
        <w:tc>
          <w:tcPr>
            <w:tcW w:w="993" w:type="dxa"/>
            <w:shd w:val="clear" w:color="auto" w:fill="auto"/>
          </w:tcPr>
          <w:p w:rsidR="001F181C" w:rsidRPr="002D47D7" w:rsidRDefault="001F181C" w:rsidP="009E526B">
            <w:pPr>
              <w:pStyle w:val="Point"/>
              <w:ind w:right="96"/>
              <w:jc w:val="center"/>
              <w:rPr>
                <w:b/>
                <w:szCs w:val="24"/>
                <w:lang w:val="en-US"/>
              </w:rPr>
            </w:pPr>
            <w:r w:rsidRPr="002D47D7">
              <w:rPr>
                <w:b/>
                <w:szCs w:val="24"/>
                <w:lang w:val="en-US"/>
              </w:rPr>
              <w:t>5</w:t>
            </w:r>
          </w:p>
        </w:tc>
        <w:tc>
          <w:tcPr>
            <w:tcW w:w="992" w:type="dxa"/>
            <w:shd w:val="clear" w:color="auto" w:fill="auto"/>
          </w:tcPr>
          <w:p w:rsidR="001F181C" w:rsidRPr="002D47D7" w:rsidRDefault="001F181C" w:rsidP="009E526B">
            <w:pPr>
              <w:pStyle w:val="Point"/>
              <w:ind w:right="96"/>
              <w:jc w:val="center"/>
              <w:rPr>
                <w:b/>
                <w:szCs w:val="24"/>
                <w:lang w:val="en-US"/>
              </w:rPr>
            </w:pPr>
            <w:r w:rsidRPr="002D47D7">
              <w:rPr>
                <w:b/>
                <w:szCs w:val="24"/>
                <w:lang w:val="en-US"/>
              </w:rPr>
              <w:t>6</w:t>
            </w:r>
          </w:p>
        </w:tc>
        <w:tc>
          <w:tcPr>
            <w:tcW w:w="992" w:type="dxa"/>
          </w:tcPr>
          <w:p w:rsidR="001F181C" w:rsidRPr="002D47D7" w:rsidRDefault="001F181C" w:rsidP="009E526B">
            <w:pPr>
              <w:pStyle w:val="Point"/>
              <w:ind w:right="96"/>
              <w:jc w:val="center"/>
              <w:rPr>
                <w:b/>
                <w:szCs w:val="24"/>
                <w:lang w:val="en-US"/>
              </w:rPr>
            </w:pPr>
            <w:r w:rsidRPr="002D47D7">
              <w:rPr>
                <w:b/>
                <w:szCs w:val="24"/>
                <w:lang w:val="en-US"/>
              </w:rPr>
              <w:t>7</w:t>
            </w:r>
          </w:p>
        </w:tc>
      </w:tr>
      <w:tr w:rsidR="001F181C" w:rsidRPr="002D47D7" w:rsidTr="009E526B">
        <w:tc>
          <w:tcPr>
            <w:tcW w:w="1417" w:type="dxa"/>
            <w:shd w:val="clear" w:color="auto" w:fill="auto"/>
          </w:tcPr>
          <w:p w:rsidR="001F181C" w:rsidRPr="002D47D7" w:rsidRDefault="001F181C" w:rsidP="009E526B">
            <w:pPr>
              <w:pStyle w:val="Point"/>
              <w:spacing w:after="120"/>
              <w:jc w:val="center"/>
              <w:rPr>
                <w:b/>
                <w:szCs w:val="24"/>
                <w:lang w:val="en-US"/>
              </w:rPr>
            </w:pPr>
            <w:r w:rsidRPr="002D47D7">
              <w:rPr>
                <w:b/>
                <w:szCs w:val="24"/>
                <w:lang w:val="en-US"/>
              </w:rPr>
              <w:t>I</w:t>
            </w:r>
          </w:p>
        </w:tc>
        <w:tc>
          <w:tcPr>
            <w:tcW w:w="851"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850" w:type="dxa"/>
            <w:vAlign w:val="center"/>
          </w:tcPr>
          <w:p w:rsidR="001F181C" w:rsidRPr="002D47D7" w:rsidRDefault="001F181C" w:rsidP="009E526B">
            <w:pPr>
              <w:jc w:val="right"/>
              <w:rPr>
                <w:lang w:val="en-US"/>
              </w:rPr>
            </w:pPr>
            <w:r w:rsidRPr="002D47D7">
              <w:rPr>
                <w:lang w:val="en-US"/>
              </w:rPr>
              <w:sym w:font="Symbol" w:char="F0D6"/>
            </w:r>
          </w:p>
        </w:tc>
        <w:tc>
          <w:tcPr>
            <w:tcW w:w="851"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850"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993"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992"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992" w:type="dxa"/>
            <w:vAlign w:val="center"/>
          </w:tcPr>
          <w:p w:rsidR="001F181C" w:rsidRPr="002D47D7" w:rsidRDefault="001F181C" w:rsidP="009E526B">
            <w:pPr>
              <w:jc w:val="right"/>
              <w:rPr>
                <w:lang w:val="en-US"/>
              </w:rPr>
            </w:pPr>
            <w:r w:rsidRPr="002D47D7">
              <w:rPr>
                <w:lang w:val="en-US"/>
              </w:rPr>
              <w:sym w:font="Symbol" w:char="F0D6"/>
            </w:r>
          </w:p>
        </w:tc>
      </w:tr>
      <w:tr w:rsidR="001F181C" w:rsidRPr="002D47D7" w:rsidTr="009E526B">
        <w:tc>
          <w:tcPr>
            <w:tcW w:w="1417" w:type="dxa"/>
            <w:shd w:val="clear" w:color="auto" w:fill="auto"/>
          </w:tcPr>
          <w:p w:rsidR="001F181C" w:rsidRPr="002D47D7" w:rsidRDefault="001F181C" w:rsidP="009E526B">
            <w:pPr>
              <w:pStyle w:val="Point"/>
              <w:spacing w:after="120"/>
              <w:jc w:val="center"/>
              <w:rPr>
                <w:b/>
                <w:szCs w:val="24"/>
                <w:lang w:val="en-US"/>
              </w:rPr>
            </w:pPr>
            <w:r w:rsidRPr="002D47D7">
              <w:rPr>
                <w:b/>
                <w:szCs w:val="24"/>
                <w:lang w:val="en-US"/>
              </w:rPr>
              <w:t>II</w:t>
            </w:r>
          </w:p>
        </w:tc>
        <w:tc>
          <w:tcPr>
            <w:tcW w:w="851" w:type="dxa"/>
            <w:shd w:val="clear" w:color="auto" w:fill="auto"/>
            <w:vAlign w:val="center"/>
          </w:tcPr>
          <w:p w:rsidR="001F181C" w:rsidRPr="002D47D7" w:rsidRDefault="001F181C" w:rsidP="009E526B">
            <w:pPr>
              <w:pStyle w:val="Point"/>
              <w:spacing w:after="120"/>
              <w:jc w:val="right"/>
              <w:rPr>
                <w:szCs w:val="24"/>
                <w:lang w:val="en-US"/>
              </w:rPr>
            </w:pPr>
          </w:p>
        </w:tc>
        <w:tc>
          <w:tcPr>
            <w:tcW w:w="850" w:type="dxa"/>
            <w:vAlign w:val="center"/>
          </w:tcPr>
          <w:p w:rsidR="001F181C" w:rsidRPr="002D47D7" w:rsidRDefault="001F181C" w:rsidP="009E526B">
            <w:pPr>
              <w:pStyle w:val="Point"/>
              <w:spacing w:after="120"/>
              <w:jc w:val="right"/>
              <w:rPr>
                <w:szCs w:val="24"/>
                <w:lang w:val="en-US"/>
              </w:rPr>
            </w:pPr>
          </w:p>
        </w:tc>
        <w:tc>
          <w:tcPr>
            <w:tcW w:w="851"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850"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993"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992"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992" w:type="dxa"/>
            <w:vAlign w:val="center"/>
          </w:tcPr>
          <w:p w:rsidR="001F181C" w:rsidRPr="002D47D7" w:rsidRDefault="001F181C" w:rsidP="009E526B">
            <w:pPr>
              <w:jc w:val="right"/>
              <w:rPr>
                <w:lang w:val="en-US"/>
              </w:rPr>
            </w:pPr>
            <w:r w:rsidRPr="002D47D7">
              <w:rPr>
                <w:lang w:val="en-US"/>
              </w:rPr>
              <w:sym w:font="Symbol" w:char="F0D6"/>
            </w:r>
          </w:p>
        </w:tc>
      </w:tr>
      <w:tr w:rsidR="001F181C" w:rsidRPr="002D47D7" w:rsidTr="009E526B">
        <w:tc>
          <w:tcPr>
            <w:tcW w:w="1417" w:type="dxa"/>
            <w:shd w:val="clear" w:color="auto" w:fill="auto"/>
          </w:tcPr>
          <w:p w:rsidR="001F181C" w:rsidRPr="002D47D7" w:rsidRDefault="001F181C" w:rsidP="009E526B">
            <w:pPr>
              <w:pStyle w:val="Point"/>
              <w:spacing w:after="120"/>
              <w:jc w:val="center"/>
              <w:rPr>
                <w:b/>
                <w:szCs w:val="24"/>
                <w:lang w:val="en-US"/>
              </w:rPr>
            </w:pPr>
            <w:r w:rsidRPr="002D47D7">
              <w:rPr>
                <w:b/>
                <w:szCs w:val="24"/>
                <w:lang w:val="en-US"/>
              </w:rPr>
              <w:t>III</w:t>
            </w:r>
          </w:p>
        </w:tc>
        <w:tc>
          <w:tcPr>
            <w:tcW w:w="851" w:type="dxa"/>
            <w:shd w:val="clear" w:color="auto" w:fill="auto"/>
            <w:vAlign w:val="center"/>
          </w:tcPr>
          <w:p w:rsidR="001F181C" w:rsidRPr="002D47D7" w:rsidRDefault="001F181C" w:rsidP="009E526B">
            <w:pPr>
              <w:pStyle w:val="Point"/>
              <w:spacing w:after="120"/>
              <w:jc w:val="right"/>
              <w:rPr>
                <w:szCs w:val="24"/>
                <w:lang w:val="en-US"/>
              </w:rPr>
            </w:pPr>
          </w:p>
        </w:tc>
        <w:tc>
          <w:tcPr>
            <w:tcW w:w="850" w:type="dxa"/>
            <w:vAlign w:val="center"/>
          </w:tcPr>
          <w:p w:rsidR="001F181C" w:rsidRPr="002D47D7" w:rsidRDefault="001F181C" w:rsidP="009E526B">
            <w:pPr>
              <w:pStyle w:val="Point"/>
              <w:spacing w:after="120"/>
              <w:jc w:val="right"/>
              <w:rPr>
                <w:szCs w:val="24"/>
                <w:lang w:val="en-US"/>
              </w:rPr>
            </w:pPr>
          </w:p>
        </w:tc>
        <w:tc>
          <w:tcPr>
            <w:tcW w:w="851" w:type="dxa"/>
            <w:shd w:val="clear" w:color="auto" w:fill="auto"/>
            <w:vAlign w:val="center"/>
          </w:tcPr>
          <w:p w:rsidR="001F181C" w:rsidRPr="002D47D7" w:rsidRDefault="001F181C" w:rsidP="009E526B">
            <w:pPr>
              <w:pStyle w:val="Point"/>
              <w:spacing w:after="120"/>
              <w:jc w:val="right"/>
              <w:rPr>
                <w:szCs w:val="24"/>
                <w:lang w:val="en-US"/>
              </w:rPr>
            </w:pPr>
          </w:p>
        </w:tc>
        <w:tc>
          <w:tcPr>
            <w:tcW w:w="850"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993"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992" w:type="dxa"/>
            <w:shd w:val="clear" w:color="auto" w:fill="auto"/>
            <w:vAlign w:val="center"/>
          </w:tcPr>
          <w:p w:rsidR="001F181C" w:rsidRPr="002D47D7" w:rsidRDefault="001F181C" w:rsidP="009E526B">
            <w:pPr>
              <w:jc w:val="right"/>
              <w:rPr>
                <w:lang w:val="en-US"/>
              </w:rPr>
            </w:pPr>
            <w:r w:rsidRPr="002D47D7">
              <w:rPr>
                <w:lang w:val="en-US"/>
              </w:rPr>
              <w:sym w:font="Symbol" w:char="F0D6"/>
            </w:r>
          </w:p>
        </w:tc>
        <w:tc>
          <w:tcPr>
            <w:tcW w:w="992" w:type="dxa"/>
            <w:vAlign w:val="center"/>
          </w:tcPr>
          <w:p w:rsidR="001F181C" w:rsidRPr="002D47D7" w:rsidRDefault="001F181C" w:rsidP="009E526B">
            <w:pPr>
              <w:jc w:val="right"/>
              <w:rPr>
                <w:lang w:val="en-US"/>
              </w:rPr>
            </w:pPr>
            <w:r w:rsidRPr="002D47D7">
              <w:rPr>
                <w:lang w:val="en-US"/>
              </w:rPr>
              <w:sym w:font="Symbol" w:char="F0D6"/>
            </w:r>
          </w:p>
        </w:tc>
      </w:tr>
    </w:tbl>
    <w:p w:rsidR="001F181C" w:rsidRPr="002D47D7" w:rsidRDefault="001F181C" w:rsidP="001F181C">
      <w:pPr>
        <w:pStyle w:val="ab"/>
        <w:rPr>
          <w:lang w:val="en-US"/>
        </w:rPr>
      </w:pPr>
      <w:proofErr w:type="gramStart"/>
      <w:r w:rsidRPr="002D47D7">
        <w:rPr>
          <w:lang w:val="en-US"/>
        </w:rPr>
        <w:t>where</w:t>
      </w:r>
      <w:proofErr w:type="gramEnd"/>
      <w:r w:rsidRPr="002D47D7">
        <w:rPr>
          <w:lang w:val="en-US"/>
        </w:rPr>
        <w:t xml:space="preserve"> </w:t>
      </w:r>
    </w:p>
    <w:p w:rsidR="001F181C" w:rsidRPr="002D47D7" w:rsidRDefault="001F181C" w:rsidP="001F181C">
      <w:pPr>
        <w:pStyle w:val="ab"/>
        <w:rPr>
          <w:lang w:val="en-US"/>
        </w:rPr>
      </w:pPr>
      <w:r w:rsidRPr="002D47D7">
        <w:rPr>
          <w:lang w:val="en-US"/>
        </w:rPr>
        <w:t>Market is a market \ trading mode \ types of trades</w:t>
      </w:r>
    </w:p>
    <w:p w:rsidR="001F181C" w:rsidRPr="002D47D7" w:rsidRDefault="001F181C" w:rsidP="001F181C">
      <w:pPr>
        <w:pStyle w:val="ab"/>
        <w:rPr>
          <w:lang w:val="en-US"/>
        </w:rPr>
      </w:pPr>
      <w:r w:rsidRPr="002D47D7">
        <w:rPr>
          <w:lang w:val="en-US"/>
        </w:rPr>
        <w:t>1 -</w:t>
      </w:r>
      <w:r w:rsidRPr="002D47D7">
        <w:rPr>
          <w:lang w:val="en-US"/>
        </w:rPr>
        <w:tab/>
        <w:t>Stock Market of the Derivatives Market Section</w:t>
      </w:r>
    </w:p>
    <w:p w:rsidR="001F181C" w:rsidRPr="002D47D7" w:rsidRDefault="001F181C" w:rsidP="001F181C">
      <w:pPr>
        <w:pStyle w:val="ab"/>
        <w:rPr>
          <w:lang w:val="en-US"/>
        </w:rPr>
      </w:pPr>
      <w:r w:rsidRPr="002D47D7">
        <w:rPr>
          <w:lang w:val="en-US"/>
        </w:rPr>
        <w:t>2 -</w:t>
      </w:r>
      <w:r w:rsidRPr="002D47D7">
        <w:rPr>
          <w:lang w:val="en-US"/>
        </w:rPr>
        <w:tab/>
        <w:t>Standard Market Sector of CJSC SE MICEX</w:t>
      </w:r>
    </w:p>
    <w:p w:rsidR="001F181C" w:rsidRPr="002D47D7" w:rsidRDefault="001F181C" w:rsidP="001F181C">
      <w:pPr>
        <w:pStyle w:val="ab"/>
        <w:rPr>
          <w:lang w:val="en-US"/>
        </w:rPr>
      </w:pPr>
      <w:r w:rsidRPr="002D47D7">
        <w:rPr>
          <w:lang w:val="en-US"/>
        </w:rPr>
        <w:t>3 -</w:t>
      </w:r>
      <w:r w:rsidRPr="002D47D7">
        <w:rPr>
          <w:lang w:val="en-US"/>
        </w:rPr>
        <w:tab/>
        <w:t>Cash Market of the Derivatives Market Section</w:t>
      </w:r>
    </w:p>
    <w:p w:rsidR="001F181C" w:rsidRPr="002D47D7" w:rsidRDefault="001F181C" w:rsidP="001F181C">
      <w:pPr>
        <w:pStyle w:val="ab"/>
        <w:rPr>
          <w:lang w:val="en-US"/>
        </w:rPr>
      </w:pPr>
      <w:r w:rsidRPr="002D47D7">
        <w:rPr>
          <w:lang w:val="en-US"/>
        </w:rPr>
        <w:t>4 -</w:t>
      </w:r>
      <w:r w:rsidRPr="002D47D7">
        <w:rPr>
          <w:lang w:val="en-US"/>
        </w:rPr>
        <w:tab/>
        <w:t xml:space="preserve">Commodity Market of the Derivatives Market Section </w:t>
      </w:r>
    </w:p>
    <w:p w:rsidR="001F181C" w:rsidRPr="002D47D7" w:rsidRDefault="001F181C" w:rsidP="001F181C">
      <w:pPr>
        <w:pStyle w:val="ab"/>
        <w:rPr>
          <w:lang w:val="en-US"/>
        </w:rPr>
      </w:pPr>
      <w:r w:rsidRPr="002D47D7">
        <w:rPr>
          <w:lang w:val="en-US"/>
        </w:rPr>
        <w:t>5</w:t>
      </w:r>
      <w:r w:rsidRPr="002D47D7">
        <w:rPr>
          <w:snapToGrid w:val="0"/>
          <w:lang w:val="en-US"/>
        </w:rPr>
        <w:t xml:space="preserve"> -</w:t>
      </w:r>
      <w:r w:rsidRPr="002D47D7">
        <w:rPr>
          <w:snapToGrid w:val="0"/>
          <w:lang w:val="en-US"/>
        </w:rPr>
        <w:tab/>
      </w:r>
      <w:r w:rsidRPr="002D47D7">
        <w:rPr>
          <w:lang w:val="en-US"/>
        </w:rPr>
        <w:t>Derivatives Market Section of OJSC Moscow Energy Exchange</w:t>
      </w:r>
    </w:p>
    <w:p w:rsidR="001F181C" w:rsidRPr="002D47D7" w:rsidRDefault="001F181C" w:rsidP="001F181C">
      <w:pPr>
        <w:pStyle w:val="ab"/>
        <w:rPr>
          <w:lang w:val="en-US"/>
        </w:rPr>
      </w:pPr>
      <w:r w:rsidRPr="002D47D7">
        <w:rPr>
          <w:lang w:val="en-US"/>
        </w:rPr>
        <w:t>6 -</w:t>
      </w:r>
      <w:r w:rsidRPr="002D47D7">
        <w:rPr>
          <w:lang w:val="en-US"/>
        </w:rPr>
        <w:tab/>
        <w:t xml:space="preserve">Derivatives Market Section of OJSC </w:t>
      </w:r>
      <w:r w:rsidRPr="002D47D7">
        <w:rPr>
          <w:rStyle w:val="a9"/>
          <w:lang w:val="en-US"/>
        </w:rPr>
        <w:t>Saint-Petersburg Exchange</w:t>
      </w:r>
    </w:p>
    <w:p w:rsidR="001F181C" w:rsidRPr="002D47D7" w:rsidRDefault="001F181C" w:rsidP="001F181C">
      <w:pPr>
        <w:pStyle w:val="ab"/>
        <w:rPr>
          <w:lang w:val="en-US"/>
        </w:rPr>
      </w:pPr>
      <w:r w:rsidRPr="002D47D7">
        <w:rPr>
          <w:lang w:val="en-US"/>
        </w:rPr>
        <w:t>7 -</w:t>
      </w:r>
      <w:r w:rsidRPr="002D47D7">
        <w:rPr>
          <w:lang w:val="en-US"/>
        </w:rPr>
        <w:tab/>
        <w:t>Section of standard contracts for cereals, leguminous plants, and industrial crops of CJSC National Mercantile Exchange</w:t>
      </w:r>
    </w:p>
    <w:p w:rsidR="001F181C" w:rsidRPr="002D47D7" w:rsidRDefault="001F181C" w:rsidP="001F181C">
      <w:pPr>
        <w:pStyle w:val="a0"/>
        <w:rPr>
          <w:lang w:val="en-US"/>
        </w:rPr>
      </w:pPr>
      <w:r w:rsidRPr="002D47D7">
        <w:rPr>
          <w:szCs w:val="24"/>
          <w:lang w:val="en-US"/>
        </w:rPr>
        <w:t xml:space="preserve">After contribution to the Guarantee Fund in the procedure specified herein, in the amount set by this methodology, the Clearing Centre may perform clearing for any trades executed including the Settlement Firm Code in the Markets marked with </w:t>
      </w:r>
      <w:r w:rsidRPr="002D47D7">
        <w:rPr>
          <w:b/>
          <w:szCs w:val="24"/>
          <w:lang w:val="en-US"/>
        </w:rPr>
        <w:sym w:font="Symbol" w:char="F0D6"/>
      </w:r>
      <w:r w:rsidRPr="002D47D7">
        <w:rPr>
          <w:szCs w:val="24"/>
          <w:lang w:val="en-US"/>
        </w:rPr>
        <w:t xml:space="preserve"> in the Table of </w:t>
      </w:r>
      <w:r>
        <w:rPr>
          <w:szCs w:val="24"/>
          <w:lang w:val="en-US"/>
        </w:rPr>
        <w:t>paragraph</w:t>
      </w:r>
      <w:r w:rsidRPr="002D47D7">
        <w:rPr>
          <w:szCs w:val="24"/>
          <w:lang w:val="en-US"/>
        </w:rPr>
        <w:t xml:space="preserve"> 2.1 of this methodology.</w:t>
      </w:r>
    </w:p>
    <w:p w:rsidR="001F181C" w:rsidRPr="002D47D7" w:rsidRDefault="001F181C" w:rsidP="001F181C">
      <w:pPr>
        <w:pStyle w:val="a"/>
        <w:spacing w:before="120"/>
        <w:rPr>
          <w:lang w:val="en-US"/>
        </w:rPr>
      </w:pPr>
      <w:r w:rsidRPr="002D47D7">
        <w:rPr>
          <w:lang w:val="en-US"/>
        </w:rPr>
        <w:t>Calculation of the Contribution Amount</w:t>
      </w:r>
    </w:p>
    <w:p w:rsidR="001F181C" w:rsidRPr="002D47D7" w:rsidRDefault="001F181C" w:rsidP="001F181C">
      <w:pPr>
        <w:pStyle w:val="a0"/>
        <w:rPr>
          <w:lang w:val="en-US"/>
        </w:rPr>
      </w:pPr>
      <w:r w:rsidRPr="002D47D7">
        <w:rPr>
          <w:szCs w:val="24"/>
          <w:lang w:val="en-US"/>
        </w:rPr>
        <w:t>The Contribution Amount for each Clearing Member is calculated under the formula:</w:t>
      </w:r>
    </w:p>
    <w:p w:rsidR="001F181C" w:rsidRPr="002D47D7" w:rsidRDefault="001F181C" w:rsidP="001F181C">
      <w:pPr>
        <w:pStyle w:val="ab"/>
        <w:rPr>
          <w:lang w:val="en-US"/>
        </w:rPr>
      </w:pPr>
      <w:r w:rsidRPr="002D47D7">
        <w:rPr>
          <w:position w:val="-12"/>
          <w:lang w:val="en-US"/>
        </w:rPr>
        <w:object w:dxaOrig="4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18pt" o:ole="">
            <v:imagedata r:id="rId6" o:title=""/>
          </v:shape>
          <o:OLEObject Type="Embed" ProgID="Equation.3" ShapeID="_x0000_i1025" DrawAspect="Content" ObjectID="_1470574237" r:id="rId7"/>
        </w:object>
      </w:r>
    </w:p>
    <w:p w:rsidR="001F181C" w:rsidRPr="002D47D7" w:rsidRDefault="001F181C" w:rsidP="001F181C">
      <w:pPr>
        <w:ind w:left="720"/>
        <w:rPr>
          <w:lang w:val="en-US"/>
        </w:rPr>
      </w:pPr>
      <w:proofErr w:type="gramStart"/>
      <w:r w:rsidRPr="002D47D7">
        <w:rPr>
          <w:lang w:val="en-US"/>
        </w:rPr>
        <w:t>where</w:t>
      </w:r>
      <w:proofErr w:type="gramEnd"/>
      <w:r w:rsidRPr="002D47D7">
        <w:rPr>
          <w:lang w:val="en-US"/>
        </w:rPr>
        <w:t>:</w:t>
      </w:r>
    </w:p>
    <w:p w:rsidR="001F181C" w:rsidRPr="002D47D7" w:rsidRDefault="001F181C" w:rsidP="001F181C">
      <w:pPr>
        <w:pStyle w:val="ab"/>
        <w:rPr>
          <w:lang w:val="en-US"/>
        </w:rPr>
      </w:pPr>
      <w:r w:rsidRPr="002D47D7">
        <w:rPr>
          <w:position w:val="-12"/>
          <w:lang w:val="en-US"/>
        </w:rPr>
        <w:object w:dxaOrig="1359" w:dyaOrig="360">
          <v:shape id="_x0000_i1026" type="#_x0000_t75" style="width:68.25pt;height:18pt" o:ole="">
            <v:imagedata r:id="rId8" o:title=""/>
          </v:shape>
          <o:OLEObject Type="Embed" ProgID="Equation.3" ShapeID="_x0000_i1026" DrawAspect="Content" ObjectID="_1470574238" r:id="rId9"/>
        </w:object>
      </w:r>
      <w:r w:rsidRPr="002D47D7">
        <w:rPr>
          <w:lang w:val="en-US"/>
        </w:rPr>
        <w:tab/>
      </w:r>
      <w:proofErr w:type="gramStart"/>
      <w:r w:rsidRPr="002D47D7">
        <w:rPr>
          <w:lang w:val="en-US"/>
        </w:rPr>
        <w:t>is</w:t>
      </w:r>
      <w:proofErr w:type="gramEnd"/>
      <w:r w:rsidRPr="002D47D7">
        <w:rPr>
          <w:lang w:val="en-US"/>
        </w:rPr>
        <w:t xml:space="preserve"> a </w:t>
      </w:r>
      <w:r w:rsidRPr="002D47D7">
        <w:rPr>
          <w:szCs w:val="24"/>
          <w:lang w:val="en-US"/>
        </w:rPr>
        <w:t>Contribution Amount for the Clearing Member</w:t>
      </w:r>
      <w:r w:rsidRPr="002D47D7">
        <w:rPr>
          <w:lang w:val="en-US"/>
        </w:rPr>
        <w:t>;</w:t>
      </w:r>
    </w:p>
    <w:p w:rsidR="001F181C" w:rsidRPr="002D47D7" w:rsidRDefault="001F181C" w:rsidP="001F181C">
      <w:pPr>
        <w:pStyle w:val="ab"/>
        <w:rPr>
          <w:lang w:val="en-US"/>
        </w:rPr>
      </w:pPr>
      <w:proofErr w:type="spellStart"/>
      <w:r w:rsidRPr="002D47D7">
        <w:rPr>
          <w:rStyle w:val="aa"/>
          <w:lang w:val="en-US"/>
        </w:rPr>
        <w:t>Const</w:t>
      </w:r>
      <w:proofErr w:type="spellEnd"/>
      <w:r w:rsidRPr="002D47D7">
        <w:rPr>
          <w:rStyle w:val="aa"/>
          <w:lang w:val="en-US"/>
        </w:rPr>
        <w:tab/>
      </w:r>
      <w:r w:rsidRPr="002D47D7">
        <w:rPr>
          <w:rStyle w:val="aa"/>
          <w:lang w:val="en-US"/>
        </w:rPr>
        <w:tab/>
      </w:r>
      <w:r w:rsidRPr="002D47D7">
        <w:rPr>
          <w:lang w:val="en-US"/>
        </w:rPr>
        <w:t xml:space="preserve">is a minimum </w:t>
      </w:r>
      <w:r w:rsidRPr="002D47D7">
        <w:rPr>
          <w:szCs w:val="24"/>
          <w:lang w:val="en-US"/>
        </w:rPr>
        <w:t>Contribution Amount</w:t>
      </w:r>
      <w:r w:rsidRPr="002D47D7">
        <w:rPr>
          <w:lang w:val="en-US"/>
        </w:rPr>
        <w:t>;</w:t>
      </w:r>
    </w:p>
    <w:p w:rsidR="001F181C" w:rsidRPr="002D47D7" w:rsidRDefault="001F181C" w:rsidP="001F181C">
      <w:pPr>
        <w:pStyle w:val="ab"/>
        <w:rPr>
          <w:lang w:val="en-US"/>
        </w:rPr>
      </w:pPr>
      <w:r w:rsidRPr="002D47D7">
        <w:rPr>
          <w:position w:val="-4"/>
          <w:lang w:val="en-US"/>
        </w:rPr>
        <w:object w:dxaOrig="180" w:dyaOrig="200">
          <v:shape id="_x0000_i1027" type="#_x0000_t75" style="width:8.25pt;height:9.75pt" o:ole="">
            <v:imagedata r:id="rId10" o:title=""/>
          </v:shape>
          <o:OLEObject Type="Embed" ProgID="Equation.3" ShapeID="_x0000_i1027" DrawAspect="Content" ObjectID="_1470574239" r:id="rId11"/>
        </w:object>
      </w:r>
      <w:r w:rsidRPr="002D47D7">
        <w:rPr>
          <w:lang w:val="en-US"/>
        </w:rPr>
        <w:t xml:space="preserve"> </w:t>
      </w:r>
      <w:r w:rsidRPr="002D47D7">
        <w:rPr>
          <w:lang w:val="en-US"/>
        </w:rPr>
        <w:tab/>
      </w:r>
      <w:r w:rsidRPr="002D47D7">
        <w:rPr>
          <w:lang w:val="en-US"/>
        </w:rPr>
        <w:tab/>
      </w:r>
      <w:proofErr w:type="gramStart"/>
      <w:r w:rsidRPr="002D47D7">
        <w:rPr>
          <w:lang w:val="en-US"/>
        </w:rPr>
        <w:t>is</w:t>
      </w:r>
      <w:proofErr w:type="gramEnd"/>
      <w:r w:rsidRPr="002D47D7">
        <w:rPr>
          <w:lang w:val="en-US"/>
        </w:rPr>
        <w:t xml:space="preserve"> an interest rate;</w:t>
      </w:r>
    </w:p>
    <w:p w:rsidR="001F181C" w:rsidRPr="002D47D7" w:rsidRDefault="001F181C" w:rsidP="001F181C">
      <w:pPr>
        <w:pStyle w:val="ab"/>
        <w:rPr>
          <w:lang w:val="en-US"/>
        </w:rPr>
      </w:pPr>
      <w:r w:rsidRPr="002D47D7">
        <w:rPr>
          <w:position w:val="-6"/>
          <w:lang w:val="en-US"/>
        </w:rPr>
        <w:object w:dxaOrig="480" w:dyaOrig="300">
          <v:shape id="_x0000_i1028" type="#_x0000_t75" style="width:24pt;height:15pt" o:ole="">
            <v:imagedata r:id="rId12" o:title=""/>
          </v:shape>
          <o:OLEObject Type="Embed" ProgID="Equation.3" ShapeID="_x0000_i1028" DrawAspect="Content" ObjectID="_1470574240" r:id="rId13"/>
        </w:object>
      </w:r>
      <w:r w:rsidRPr="002D47D7">
        <w:rPr>
          <w:lang w:val="en-US"/>
        </w:rPr>
        <w:t xml:space="preserve"> </w:t>
      </w:r>
      <w:r w:rsidRPr="002D47D7">
        <w:rPr>
          <w:lang w:val="en-US"/>
        </w:rPr>
        <w:tab/>
      </w:r>
      <w:proofErr w:type="gramStart"/>
      <w:r w:rsidRPr="002D47D7">
        <w:rPr>
          <w:lang w:val="en-US"/>
        </w:rPr>
        <w:t>is</w:t>
      </w:r>
      <w:proofErr w:type="gramEnd"/>
      <w:r w:rsidRPr="002D47D7">
        <w:rPr>
          <w:lang w:val="en-US"/>
        </w:rPr>
        <w:t xml:space="preserve"> an average daily Collateral of the </w:t>
      </w:r>
      <w:r w:rsidRPr="002D47D7">
        <w:rPr>
          <w:szCs w:val="24"/>
          <w:lang w:val="en-US"/>
        </w:rPr>
        <w:t>Clearing Member</w:t>
      </w:r>
      <w:r w:rsidRPr="002D47D7">
        <w:rPr>
          <w:lang w:val="en-US"/>
        </w:rPr>
        <w:t xml:space="preserve"> calculated for 6 (Six) months for positions of such </w:t>
      </w:r>
      <w:r w:rsidRPr="002D47D7">
        <w:rPr>
          <w:szCs w:val="24"/>
          <w:lang w:val="en-US"/>
        </w:rPr>
        <w:t>Clearing Member</w:t>
      </w:r>
      <w:r w:rsidRPr="002D47D7">
        <w:rPr>
          <w:lang w:val="en-US"/>
        </w:rPr>
        <w:t xml:space="preserve"> (</w:t>
      </w:r>
      <w:r w:rsidRPr="002D47D7">
        <w:rPr>
          <w:szCs w:val="24"/>
          <w:lang w:val="en-US"/>
        </w:rPr>
        <w:t xml:space="preserve">hereinafter referred to as the </w:t>
      </w:r>
      <w:r w:rsidRPr="002D47D7">
        <w:rPr>
          <w:lang w:val="en-US"/>
        </w:rPr>
        <w:t>Average Daily GC);</w:t>
      </w:r>
    </w:p>
    <w:p w:rsidR="001F181C" w:rsidRPr="002D47D7" w:rsidRDefault="001F181C" w:rsidP="001F181C">
      <w:pPr>
        <w:pStyle w:val="ab"/>
        <w:rPr>
          <w:lang w:val="en-US"/>
        </w:rPr>
      </w:pPr>
      <w:r w:rsidRPr="002D47D7">
        <w:rPr>
          <w:rStyle w:val="aa"/>
          <w:lang w:val="en-US"/>
        </w:rPr>
        <w:t>Cap</w:t>
      </w:r>
      <w:r w:rsidRPr="002D47D7">
        <w:rPr>
          <w:lang w:val="en-US"/>
        </w:rPr>
        <w:t xml:space="preserve"> </w:t>
      </w:r>
      <w:r w:rsidRPr="002D47D7">
        <w:rPr>
          <w:lang w:val="en-US"/>
        </w:rPr>
        <w:tab/>
      </w:r>
      <w:r w:rsidRPr="002D47D7">
        <w:rPr>
          <w:lang w:val="en-US"/>
        </w:rPr>
        <w:tab/>
        <w:t xml:space="preserve">is a maximum </w:t>
      </w:r>
      <w:r w:rsidRPr="002D47D7">
        <w:rPr>
          <w:szCs w:val="24"/>
          <w:lang w:val="en-US"/>
        </w:rPr>
        <w:t>Contribution Amount</w:t>
      </w:r>
      <w:r w:rsidRPr="002D47D7">
        <w:rPr>
          <w:lang w:val="en-US"/>
        </w:rPr>
        <w:t>;</w:t>
      </w:r>
    </w:p>
    <w:p w:rsidR="001F181C" w:rsidRPr="002D47D7" w:rsidRDefault="001F181C" w:rsidP="001F181C">
      <w:pPr>
        <w:pStyle w:val="ab"/>
        <w:rPr>
          <w:lang w:val="en-US"/>
        </w:rPr>
      </w:pPr>
      <w:r w:rsidRPr="002D47D7">
        <w:rPr>
          <w:position w:val="-6"/>
          <w:lang w:val="en-US"/>
        </w:rPr>
        <w:object w:dxaOrig="200" w:dyaOrig="220">
          <v:shape id="_x0000_i1029" type="#_x0000_t75" style="width:9.75pt;height:11.25pt" o:ole="">
            <v:imagedata r:id="rId14" o:title=""/>
          </v:shape>
          <o:OLEObject Type="Embed" ProgID="Equation.3" ShapeID="_x0000_i1029" DrawAspect="Content" ObjectID="_1470574241" r:id="rId15"/>
        </w:object>
      </w:r>
      <w:r w:rsidRPr="002D47D7">
        <w:rPr>
          <w:lang w:val="en-US"/>
        </w:rPr>
        <w:t xml:space="preserve"> </w:t>
      </w:r>
      <w:r w:rsidRPr="002D47D7">
        <w:rPr>
          <w:lang w:val="en-US"/>
        </w:rPr>
        <w:tab/>
      </w:r>
      <w:r w:rsidRPr="002D47D7">
        <w:rPr>
          <w:lang w:val="en-US"/>
        </w:rPr>
        <w:tab/>
      </w:r>
      <w:proofErr w:type="gramStart"/>
      <w:r w:rsidRPr="002D47D7">
        <w:rPr>
          <w:lang w:val="en-US"/>
        </w:rPr>
        <w:t>is</w:t>
      </w:r>
      <w:proofErr w:type="gramEnd"/>
      <w:r w:rsidRPr="002D47D7">
        <w:rPr>
          <w:lang w:val="en-US"/>
        </w:rPr>
        <w:t xml:space="preserve"> an additional constant.</w:t>
      </w:r>
    </w:p>
    <w:p w:rsidR="001F181C" w:rsidRPr="002D47D7" w:rsidRDefault="001F181C" w:rsidP="001F181C">
      <w:pPr>
        <w:pStyle w:val="a"/>
        <w:spacing w:before="120"/>
        <w:rPr>
          <w:lang w:val="en-US"/>
        </w:rPr>
      </w:pPr>
      <w:r w:rsidRPr="002D47D7">
        <w:rPr>
          <w:lang w:val="en-US"/>
        </w:rPr>
        <w:t>Variables and constants used for calculation of the Contribution Amount</w:t>
      </w:r>
    </w:p>
    <w:p w:rsidR="001F181C" w:rsidRPr="002D47D7" w:rsidRDefault="001F181C" w:rsidP="001F181C">
      <w:pPr>
        <w:pStyle w:val="a0"/>
        <w:rPr>
          <w:lang w:val="en-US"/>
        </w:rPr>
      </w:pPr>
      <w:bookmarkStart w:id="4" w:name="_Ref279492419"/>
      <w:r w:rsidRPr="002D47D7">
        <w:rPr>
          <w:lang w:val="en-US"/>
        </w:rPr>
        <w:t xml:space="preserve">The minimum </w:t>
      </w:r>
      <w:r w:rsidRPr="002D47D7">
        <w:rPr>
          <w:szCs w:val="24"/>
          <w:lang w:val="en-US"/>
        </w:rPr>
        <w:t>Contribution Amount (</w:t>
      </w:r>
      <w:proofErr w:type="spellStart"/>
      <w:r w:rsidRPr="002D47D7">
        <w:rPr>
          <w:rStyle w:val="aa"/>
          <w:szCs w:val="24"/>
          <w:lang w:val="en-US"/>
        </w:rPr>
        <w:t>Const</w:t>
      </w:r>
      <w:proofErr w:type="spellEnd"/>
      <w:r w:rsidRPr="002D47D7">
        <w:rPr>
          <w:rStyle w:val="aa"/>
          <w:szCs w:val="24"/>
          <w:lang w:val="en-US"/>
        </w:rPr>
        <w:t>)</w:t>
      </w:r>
      <w:r w:rsidRPr="002D47D7">
        <w:rPr>
          <w:szCs w:val="24"/>
          <w:lang w:val="en-US"/>
        </w:rPr>
        <w:t>:</w:t>
      </w:r>
      <w:bookmarkEnd w:id="4"/>
    </w:p>
    <w:p w:rsidR="001F181C" w:rsidRPr="002D47D7" w:rsidRDefault="001F181C" w:rsidP="001F181C">
      <w:pPr>
        <w:pStyle w:val="a1"/>
        <w:tabs>
          <w:tab w:val="clear" w:pos="360"/>
        </w:tabs>
        <w:ind w:left="720" w:hanging="360"/>
        <w:rPr>
          <w:lang w:val="en-US"/>
        </w:rPr>
      </w:pPr>
      <w:r w:rsidRPr="002D47D7">
        <w:rPr>
          <w:lang w:val="en-US"/>
        </w:rPr>
        <w:t xml:space="preserve">for the Clearing Member of third category is set equal to 500,000 </w:t>
      </w:r>
      <w:proofErr w:type="spellStart"/>
      <w:r w:rsidRPr="002D47D7">
        <w:rPr>
          <w:lang w:val="en-US"/>
        </w:rPr>
        <w:t>roubles</w:t>
      </w:r>
      <w:proofErr w:type="spellEnd"/>
      <w:r w:rsidRPr="002D47D7">
        <w:rPr>
          <w:lang w:val="en-US"/>
        </w:rPr>
        <w:t>;</w:t>
      </w:r>
    </w:p>
    <w:p w:rsidR="001F181C" w:rsidRPr="002D47D7" w:rsidRDefault="001F181C" w:rsidP="001F181C">
      <w:pPr>
        <w:pStyle w:val="a1"/>
        <w:tabs>
          <w:tab w:val="clear" w:pos="360"/>
        </w:tabs>
        <w:ind w:left="720" w:hanging="360"/>
        <w:rPr>
          <w:lang w:val="en-US"/>
        </w:rPr>
      </w:pPr>
      <w:r w:rsidRPr="002D47D7">
        <w:rPr>
          <w:lang w:val="en-US"/>
        </w:rPr>
        <w:t xml:space="preserve">for a legal entity that registered the Clearing Member of second category and is a professional participant of the securities market is set equal to 1 million </w:t>
      </w:r>
      <w:proofErr w:type="spellStart"/>
      <w:r w:rsidRPr="002D47D7">
        <w:rPr>
          <w:lang w:val="en-US"/>
        </w:rPr>
        <w:t>roubles</w:t>
      </w:r>
      <w:proofErr w:type="spellEnd"/>
      <w:r w:rsidRPr="002D47D7">
        <w:rPr>
          <w:lang w:val="en-US"/>
        </w:rPr>
        <w:t xml:space="preserve">, for a legal entity that registered the Clearing Member of second category and is not a professional participant of the securities market is set equal to 2 million </w:t>
      </w:r>
      <w:proofErr w:type="spellStart"/>
      <w:r w:rsidRPr="002D47D7">
        <w:rPr>
          <w:lang w:val="en-US"/>
        </w:rPr>
        <w:t>roubles</w:t>
      </w:r>
      <w:proofErr w:type="spellEnd"/>
      <w:r w:rsidRPr="002D47D7">
        <w:rPr>
          <w:lang w:val="en-US"/>
        </w:rPr>
        <w:t>;</w:t>
      </w:r>
    </w:p>
    <w:p w:rsidR="001F181C" w:rsidRPr="002D47D7" w:rsidRDefault="001F181C" w:rsidP="001F181C">
      <w:pPr>
        <w:pStyle w:val="a1"/>
        <w:tabs>
          <w:tab w:val="clear" w:pos="360"/>
        </w:tabs>
        <w:ind w:left="720" w:hanging="360"/>
        <w:rPr>
          <w:lang w:val="en-US"/>
        </w:rPr>
      </w:pPr>
      <w:r w:rsidRPr="002D47D7">
        <w:rPr>
          <w:lang w:val="en-US"/>
        </w:rPr>
        <w:t>for the Clearing Member of first category the Average Daily GC (</w:t>
      </w:r>
      <w:r>
        <w:rPr>
          <w:noProof/>
          <w:position w:val="-6"/>
          <w:lang w:val="ru-RU" w:eastAsia="ru-RU"/>
        </w:rPr>
        <w:drawing>
          <wp:inline distT="0" distB="0" distL="0" distR="0" wp14:anchorId="1BC84214" wp14:editId="6C9BB43B">
            <wp:extent cx="304800"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2D47D7">
        <w:rPr>
          <w:lang w:val="en-US"/>
        </w:rPr>
        <w:t xml:space="preserve">) of which is less than 100 million </w:t>
      </w:r>
      <w:proofErr w:type="spellStart"/>
      <w:r w:rsidRPr="002D47D7">
        <w:rPr>
          <w:lang w:val="en-US"/>
        </w:rPr>
        <w:t>roubles</w:t>
      </w:r>
      <w:proofErr w:type="spellEnd"/>
      <w:r w:rsidRPr="002D47D7">
        <w:rPr>
          <w:lang w:val="en-US"/>
        </w:rPr>
        <w:t xml:space="preserve"> is set equal to 10 million </w:t>
      </w:r>
      <w:proofErr w:type="spellStart"/>
      <w:r w:rsidRPr="002D47D7">
        <w:rPr>
          <w:lang w:val="en-US"/>
        </w:rPr>
        <w:t>roubles</w:t>
      </w:r>
      <w:proofErr w:type="spellEnd"/>
      <w:r w:rsidRPr="002D47D7">
        <w:rPr>
          <w:lang w:val="en-US"/>
        </w:rPr>
        <w:t>;</w:t>
      </w:r>
    </w:p>
    <w:p w:rsidR="001F181C" w:rsidRPr="002D47D7" w:rsidRDefault="001F181C" w:rsidP="001F181C">
      <w:pPr>
        <w:pStyle w:val="a1"/>
        <w:tabs>
          <w:tab w:val="clear" w:pos="360"/>
        </w:tabs>
        <w:ind w:left="720" w:hanging="360"/>
        <w:rPr>
          <w:lang w:val="en-US"/>
        </w:rPr>
      </w:pPr>
      <w:proofErr w:type="gramStart"/>
      <w:r w:rsidRPr="002D47D7">
        <w:rPr>
          <w:lang w:val="en-US"/>
        </w:rPr>
        <w:t>for</w:t>
      </w:r>
      <w:proofErr w:type="gramEnd"/>
      <w:r w:rsidRPr="002D47D7">
        <w:rPr>
          <w:lang w:val="en-US"/>
        </w:rPr>
        <w:t xml:space="preserve"> the Clearing Member of first category the Average Daily GC (</w:t>
      </w:r>
      <w:r>
        <w:rPr>
          <w:noProof/>
          <w:position w:val="-6"/>
          <w:lang w:val="ru-RU" w:eastAsia="ru-RU"/>
        </w:rPr>
        <w:drawing>
          <wp:inline distT="0" distB="0" distL="0" distR="0" wp14:anchorId="35DAD145" wp14:editId="269B1F55">
            <wp:extent cx="304800" cy="190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2D47D7">
        <w:rPr>
          <w:lang w:val="en-US"/>
        </w:rPr>
        <w:t xml:space="preserve">) of which is 100 million </w:t>
      </w:r>
      <w:proofErr w:type="spellStart"/>
      <w:r w:rsidRPr="002D47D7">
        <w:rPr>
          <w:lang w:val="en-US"/>
        </w:rPr>
        <w:t>roubles</w:t>
      </w:r>
      <w:proofErr w:type="spellEnd"/>
      <w:r w:rsidRPr="002D47D7">
        <w:rPr>
          <w:lang w:val="en-US"/>
        </w:rPr>
        <w:t xml:space="preserve"> or more is set equal to 12 million </w:t>
      </w:r>
      <w:proofErr w:type="spellStart"/>
      <w:r w:rsidRPr="002D47D7">
        <w:rPr>
          <w:lang w:val="en-US"/>
        </w:rPr>
        <w:t>roubles</w:t>
      </w:r>
      <w:proofErr w:type="spellEnd"/>
      <w:r w:rsidRPr="002D47D7">
        <w:rPr>
          <w:lang w:val="en-US"/>
        </w:rPr>
        <w:t>.</w:t>
      </w:r>
    </w:p>
    <w:p w:rsidR="001F181C" w:rsidRPr="002D47D7" w:rsidRDefault="001F181C" w:rsidP="001F181C">
      <w:pPr>
        <w:pStyle w:val="a0"/>
        <w:rPr>
          <w:lang w:val="en-US"/>
        </w:rPr>
      </w:pPr>
      <w:r w:rsidRPr="002D47D7">
        <w:rPr>
          <w:szCs w:val="24"/>
          <w:lang w:val="en-US"/>
        </w:rPr>
        <w:t xml:space="preserve">The </w:t>
      </w:r>
      <w:r w:rsidRPr="002D47D7">
        <w:rPr>
          <w:lang w:val="en-US"/>
        </w:rPr>
        <w:t>interest rate</w:t>
      </w:r>
      <w:r w:rsidRPr="002D47D7">
        <w:rPr>
          <w:szCs w:val="24"/>
          <w:lang w:val="en-US"/>
        </w:rPr>
        <w:t xml:space="preserve"> (</w:t>
      </w:r>
      <w:r>
        <w:rPr>
          <w:noProof/>
          <w:position w:val="-4"/>
          <w:szCs w:val="24"/>
        </w:rPr>
        <w:drawing>
          <wp:inline distT="0" distB="0" distL="0" distR="0" wp14:anchorId="32052BF4" wp14:editId="0B7404FD">
            <wp:extent cx="104775" cy="123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2D47D7">
        <w:rPr>
          <w:szCs w:val="24"/>
          <w:lang w:val="en-US"/>
        </w:rPr>
        <w:t>):</w:t>
      </w:r>
    </w:p>
    <w:p w:rsidR="001F181C" w:rsidRPr="002D47D7" w:rsidRDefault="001F181C" w:rsidP="001F181C">
      <w:pPr>
        <w:pStyle w:val="a1"/>
        <w:tabs>
          <w:tab w:val="clear" w:pos="360"/>
        </w:tabs>
        <w:ind w:left="720" w:hanging="360"/>
        <w:rPr>
          <w:lang w:val="en-US"/>
        </w:rPr>
      </w:pPr>
      <w:r w:rsidRPr="002D47D7">
        <w:rPr>
          <w:lang w:val="en-US"/>
        </w:rPr>
        <w:t>for the Clearing Member of first category the Average Daily GC (</w:t>
      </w:r>
      <w:r>
        <w:rPr>
          <w:noProof/>
          <w:position w:val="-6"/>
          <w:lang w:val="ru-RU" w:eastAsia="ru-RU"/>
        </w:rPr>
        <w:drawing>
          <wp:inline distT="0" distB="0" distL="0" distR="0" wp14:anchorId="2033FC03" wp14:editId="0557B6EA">
            <wp:extent cx="30480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2D47D7">
        <w:rPr>
          <w:lang w:val="en-US"/>
        </w:rPr>
        <w:t xml:space="preserve">)of which is 100 million </w:t>
      </w:r>
      <w:proofErr w:type="spellStart"/>
      <w:r w:rsidRPr="002D47D7">
        <w:rPr>
          <w:lang w:val="en-US"/>
        </w:rPr>
        <w:t>roubles</w:t>
      </w:r>
      <w:proofErr w:type="spellEnd"/>
      <w:r w:rsidRPr="002D47D7">
        <w:rPr>
          <w:lang w:val="en-US"/>
        </w:rPr>
        <w:t xml:space="preserve"> or more is set equal to 2%;</w:t>
      </w:r>
    </w:p>
    <w:p w:rsidR="001F181C" w:rsidRPr="002D47D7" w:rsidRDefault="001F181C" w:rsidP="001F181C">
      <w:pPr>
        <w:pStyle w:val="a1"/>
        <w:tabs>
          <w:tab w:val="clear" w:pos="360"/>
        </w:tabs>
        <w:ind w:left="720" w:hanging="360"/>
        <w:rPr>
          <w:lang w:val="en-US"/>
        </w:rPr>
      </w:pPr>
      <w:proofErr w:type="gramStart"/>
      <w:r w:rsidRPr="002D47D7">
        <w:rPr>
          <w:lang w:val="en-US"/>
        </w:rPr>
        <w:t>in</w:t>
      </w:r>
      <w:proofErr w:type="gramEnd"/>
      <w:r w:rsidRPr="002D47D7">
        <w:rPr>
          <w:lang w:val="en-US"/>
        </w:rPr>
        <w:t xml:space="preserve"> other cases is set equal to 4%.</w:t>
      </w:r>
    </w:p>
    <w:p w:rsidR="001F181C" w:rsidRPr="002D47D7" w:rsidRDefault="001F181C" w:rsidP="001F181C">
      <w:pPr>
        <w:pStyle w:val="a0"/>
        <w:rPr>
          <w:lang w:val="en-US"/>
        </w:rPr>
      </w:pPr>
      <w:r w:rsidRPr="002D47D7">
        <w:rPr>
          <w:szCs w:val="24"/>
          <w:lang w:val="en-US"/>
        </w:rPr>
        <w:t xml:space="preserve">The </w:t>
      </w:r>
      <w:r w:rsidRPr="002D47D7">
        <w:rPr>
          <w:lang w:val="en-US"/>
        </w:rPr>
        <w:t xml:space="preserve">maximum </w:t>
      </w:r>
      <w:r w:rsidRPr="002D47D7">
        <w:rPr>
          <w:szCs w:val="24"/>
          <w:lang w:val="en-US"/>
        </w:rPr>
        <w:t>Contribution Amount (</w:t>
      </w:r>
      <w:r w:rsidRPr="002D47D7">
        <w:rPr>
          <w:rStyle w:val="aa"/>
          <w:szCs w:val="24"/>
          <w:lang w:val="en-US"/>
        </w:rPr>
        <w:t>Cap)</w:t>
      </w:r>
      <w:r w:rsidRPr="002D47D7">
        <w:rPr>
          <w:szCs w:val="24"/>
          <w:lang w:val="en-US"/>
        </w:rPr>
        <w:t xml:space="preserve"> </w:t>
      </w:r>
      <w:r w:rsidRPr="002D47D7">
        <w:rPr>
          <w:lang w:val="en-US"/>
        </w:rPr>
        <w:t xml:space="preserve">is set equal to </w:t>
      </w:r>
      <w:r w:rsidRPr="002D47D7">
        <w:rPr>
          <w:szCs w:val="24"/>
          <w:lang w:val="en-US"/>
        </w:rPr>
        <w:t xml:space="preserve">14 </w:t>
      </w:r>
      <w:r w:rsidRPr="002D47D7">
        <w:rPr>
          <w:lang w:val="en-US"/>
        </w:rPr>
        <w:t xml:space="preserve">million </w:t>
      </w:r>
      <w:proofErr w:type="spellStart"/>
      <w:r w:rsidRPr="002D47D7">
        <w:rPr>
          <w:lang w:val="en-US"/>
        </w:rPr>
        <w:t>roubles</w:t>
      </w:r>
      <w:proofErr w:type="spellEnd"/>
      <w:r w:rsidRPr="002D47D7">
        <w:rPr>
          <w:szCs w:val="24"/>
          <w:lang w:val="en-US"/>
        </w:rPr>
        <w:t>.</w:t>
      </w:r>
    </w:p>
    <w:p w:rsidR="001F181C" w:rsidRPr="002D47D7" w:rsidRDefault="001F181C" w:rsidP="001F181C">
      <w:pPr>
        <w:pStyle w:val="a0"/>
        <w:rPr>
          <w:lang w:val="en-US"/>
        </w:rPr>
      </w:pPr>
      <w:r w:rsidRPr="002D47D7">
        <w:rPr>
          <w:szCs w:val="24"/>
          <w:lang w:val="en-US"/>
        </w:rPr>
        <w:t xml:space="preserve">The </w:t>
      </w:r>
      <w:r w:rsidRPr="002D47D7">
        <w:rPr>
          <w:lang w:val="en-US"/>
        </w:rPr>
        <w:t>additional constant</w:t>
      </w:r>
      <w:r w:rsidRPr="002D47D7">
        <w:rPr>
          <w:szCs w:val="24"/>
          <w:lang w:val="en-US"/>
        </w:rPr>
        <w:t xml:space="preserve"> (</w:t>
      </w:r>
      <w:r>
        <w:rPr>
          <w:noProof/>
          <w:position w:val="-6"/>
          <w:szCs w:val="24"/>
        </w:rPr>
        <w:drawing>
          <wp:inline distT="0" distB="0" distL="0" distR="0" wp14:anchorId="78D6397A" wp14:editId="4D67E9D1">
            <wp:extent cx="123825" cy="142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2D47D7">
        <w:rPr>
          <w:szCs w:val="24"/>
          <w:lang w:val="en-US"/>
        </w:rPr>
        <w:t>):</w:t>
      </w:r>
    </w:p>
    <w:p w:rsidR="001F181C" w:rsidRPr="002D47D7" w:rsidRDefault="001F181C" w:rsidP="001F181C">
      <w:pPr>
        <w:pStyle w:val="a1"/>
        <w:tabs>
          <w:tab w:val="clear" w:pos="360"/>
        </w:tabs>
        <w:ind w:left="720" w:hanging="360"/>
        <w:rPr>
          <w:lang w:val="en-US"/>
        </w:rPr>
      </w:pPr>
      <w:r w:rsidRPr="002D47D7">
        <w:rPr>
          <w:lang w:val="en-US"/>
        </w:rPr>
        <w:t xml:space="preserve">for the Clearing Member of first category is set equal to 8 million </w:t>
      </w:r>
      <w:proofErr w:type="spellStart"/>
      <w:r w:rsidRPr="002D47D7">
        <w:rPr>
          <w:lang w:val="en-US"/>
        </w:rPr>
        <w:t>roubles</w:t>
      </w:r>
      <w:proofErr w:type="spellEnd"/>
      <w:r w:rsidRPr="002D47D7">
        <w:rPr>
          <w:lang w:val="en-US"/>
        </w:rPr>
        <w:t>;</w:t>
      </w:r>
    </w:p>
    <w:p w:rsidR="001F181C" w:rsidRPr="002D47D7" w:rsidRDefault="001F181C" w:rsidP="001F181C">
      <w:pPr>
        <w:pStyle w:val="a1"/>
        <w:tabs>
          <w:tab w:val="clear" w:pos="360"/>
        </w:tabs>
        <w:ind w:left="720" w:hanging="360"/>
        <w:rPr>
          <w:lang w:val="en-US"/>
        </w:rPr>
      </w:pPr>
      <w:proofErr w:type="gramStart"/>
      <w:r w:rsidRPr="002D47D7">
        <w:rPr>
          <w:lang w:val="en-US"/>
        </w:rPr>
        <w:t>in</w:t>
      </w:r>
      <w:proofErr w:type="gramEnd"/>
      <w:r w:rsidRPr="002D47D7">
        <w:rPr>
          <w:lang w:val="en-US"/>
        </w:rPr>
        <w:t xml:space="preserve"> other cases is set equal to 0.</w:t>
      </w:r>
    </w:p>
    <w:p w:rsidR="001F181C" w:rsidRPr="002D47D7" w:rsidRDefault="001F181C" w:rsidP="001F181C">
      <w:pPr>
        <w:pStyle w:val="a"/>
        <w:spacing w:before="120"/>
        <w:rPr>
          <w:lang w:val="en-US"/>
        </w:rPr>
      </w:pPr>
      <w:r w:rsidRPr="002D47D7">
        <w:rPr>
          <w:lang w:val="en-US"/>
        </w:rPr>
        <w:t>Notification of the Clearing Members</w:t>
      </w:r>
    </w:p>
    <w:p w:rsidR="001F181C" w:rsidRPr="002D47D7" w:rsidRDefault="001F181C" w:rsidP="001F181C">
      <w:pPr>
        <w:pStyle w:val="a0"/>
        <w:rPr>
          <w:szCs w:val="24"/>
          <w:lang w:val="en-US"/>
        </w:rPr>
      </w:pPr>
      <w:r w:rsidRPr="002D47D7">
        <w:rPr>
          <w:szCs w:val="24"/>
          <w:lang w:val="en-US"/>
        </w:rPr>
        <w:t xml:space="preserve">Any information on change in the Contribution Amount shall be placed on the website of the Moscow Exchange Group at http://moex.com/ (hereinafter referred to as the Website) and sent to each Clearing Member that </w:t>
      </w:r>
      <w:r w:rsidRPr="002D47D7">
        <w:rPr>
          <w:lang w:val="en-US"/>
        </w:rPr>
        <w:t>registered the Clearing Member</w:t>
      </w:r>
      <w:r w:rsidRPr="002D47D7">
        <w:rPr>
          <w:szCs w:val="24"/>
          <w:lang w:val="en-US"/>
        </w:rPr>
        <w:t>, in an information letter including a new Contribution Amount.</w:t>
      </w:r>
    </w:p>
    <w:p w:rsidR="001F181C" w:rsidRPr="00B7620F" w:rsidRDefault="001F181C" w:rsidP="001F181C">
      <w:pPr>
        <w:rPr>
          <w:lang w:val="en-US"/>
        </w:rPr>
      </w:pPr>
    </w:p>
    <w:p w:rsidR="001F181C" w:rsidRPr="006E190E" w:rsidRDefault="001F181C" w:rsidP="001F181C">
      <w:pPr>
        <w:rPr>
          <w:lang w:val="en-US"/>
        </w:rPr>
      </w:pPr>
    </w:p>
    <w:p w:rsidR="001F181C" w:rsidRPr="000B45BB" w:rsidRDefault="001F181C" w:rsidP="001F181C">
      <w:pPr>
        <w:rPr>
          <w:lang w:val="en-US"/>
        </w:rPr>
      </w:pPr>
    </w:p>
    <w:p w:rsidR="001F181C" w:rsidRPr="00884CB5" w:rsidRDefault="001F181C" w:rsidP="001F181C">
      <w:pPr>
        <w:rPr>
          <w:lang w:val="en-US"/>
        </w:rPr>
      </w:pPr>
    </w:p>
    <w:p w:rsidR="001F181C" w:rsidRPr="00BA7226" w:rsidRDefault="001F181C" w:rsidP="001F181C">
      <w:pPr>
        <w:rPr>
          <w:lang w:val="en-US"/>
        </w:rPr>
      </w:pPr>
    </w:p>
    <w:p w:rsidR="001F181C" w:rsidRPr="0012496F" w:rsidRDefault="001F181C" w:rsidP="001F181C">
      <w:pPr>
        <w:rPr>
          <w:lang w:val="en-US"/>
        </w:rPr>
      </w:pPr>
    </w:p>
    <w:p w:rsidR="001F181C" w:rsidRPr="005E34F5" w:rsidRDefault="001F181C" w:rsidP="001F181C">
      <w:pPr>
        <w:rPr>
          <w:lang w:val="en-US"/>
        </w:rPr>
      </w:pPr>
    </w:p>
    <w:p w:rsidR="001F181C" w:rsidRPr="00B30E8A" w:rsidRDefault="001F181C" w:rsidP="001F181C">
      <w:pPr>
        <w:rPr>
          <w:lang w:val="en-US"/>
        </w:rPr>
      </w:pPr>
    </w:p>
    <w:p w:rsidR="001F181C" w:rsidRPr="00D67906" w:rsidRDefault="001F181C" w:rsidP="001F181C">
      <w:pPr>
        <w:rPr>
          <w:lang w:val="en-US"/>
        </w:rPr>
      </w:pPr>
    </w:p>
    <w:p w:rsidR="001F181C" w:rsidRPr="008312C7" w:rsidRDefault="001F181C" w:rsidP="001F181C">
      <w:pPr>
        <w:rPr>
          <w:lang w:val="en-US"/>
        </w:rPr>
      </w:pPr>
    </w:p>
    <w:p w:rsidR="00612152" w:rsidRPr="001F181C" w:rsidRDefault="00612152">
      <w:pPr>
        <w:rPr>
          <w:lang w:val="en-US"/>
        </w:rPr>
      </w:pPr>
      <w:bookmarkStart w:id="5" w:name="_GoBack"/>
      <w:bookmarkEnd w:id="5"/>
    </w:p>
    <w:sectPr w:rsidR="00612152" w:rsidRPr="001F181C" w:rsidSect="00D02AAC">
      <w:endnotePr>
        <w:numFmt w:val="decimal"/>
      </w:endnotePr>
      <w:pgSz w:w="11907" w:h="16840"/>
      <w:pgMar w:top="1418" w:right="992" w:bottom="1418"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11D2"/>
    <w:multiLevelType w:val="multilevel"/>
    <w:tmpl w:val="F62EC334"/>
    <w:lvl w:ilvl="0">
      <w:start w:val="1"/>
      <w:numFmt w:val="decimal"/>
      <w:pStyle w:val="a"/>
      <w:lvlText w:val="%1."/>
      <w:lvlJc w:val="left"/>
      <w:pPr>
        <w:tabs>
          <w:tab w:val="num" w:pos="851"/>
        </w:tabs>
        <w:ind w:left="851" w:hanging="851"/>
      </w:pPr>
      <w:rPr>
        <w:rFonts w:hint="default"/>
      </w:rPr>
    </w:lvl>
    <w:lvl w:ilvl="1">
      <w:start w:val="1"/>
      <w:numFmt w:val="decimal"/>
      <w:pStyle w:val="a0"/>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nsid w:val="19811036"/>
    <w:multiLevelType w:val="hybridMultilevel"/>
    <w:tmpl w:val="6BD89D1C"/>
    <w:lvl w:ilvl="0" w:tplc="B3426EAA">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1F2296"/>
    <w:multiLevelType w:val="multilevel"/>
    <w:tmpl w:val="C52E2256"/>
    <w:lvl w:ilvl="0">
      <w:start w:val="1"/>
      <w:numFmt w:val="upperRoman"/>
      <w:pStyle w:val="a2"/>
      <w:lvlText w:val="РАЗДЕЛ %1."/>
      <w:lvlJc w:val="left"/>
      <w:pPr>
        <w:tabs>
          <w:tab w:val="num" w:pos="1418"/>
        </w:tabs>
        <w:ind w:left="1418" w:hanging="1418"/>
      </w:pPr>
      <w:rPr>
        <w:rFonts w:hint="default"/>
      </w:rPr>
    </w:lvl>
    <w:lvl w:ilvl="1">
      <w:start w:val="1"/>
      <w:numFmt w:val="upperRoman"/>
      <w:pStyle w:val="a3"/>
      <w:lvlText w:val="ПОДРАЗДЕЛ %1-%2."/>
      <w:lvlJc w:val="left"/>
      <w:pPr>
        <w:tabs>
          <w:tab w:val="num" w:pos="1985"/>
        </w:tabs>
        <w:ind w:left="1985" w:hanging="1985"/>
      </w:pPr>
      <w:rPr>
        <w:rFonts w:hint="default"/>
      </w:rPr>
    </w:lvl>
    <w:lvl w:ilvl="2">
      <w:start w:val="1"/>
      <w:numFmt w:val="decimal"/>
      <w:lvlRestart w:val="0"/>
      <w:isLgl/>
      <w:lvlText w:val="Article %3."/>
      <w:lvlJc w:val="left"/>
      <w:pPr>
        <w:tabs>
          <w:tab w:val="num" w:pos="1418"/>
        </w:tabs>
        <w:ind w:left="1418" w:hanging="1418"/>
      </w:pPr>
      <w:rPr>
        <w:rFonts w:hint="default"/>
        <w:b/>
      </w:rPr>
    </w:lvl>
    <w:lvl w:ilvl="3">
      <w:start w:val="18"/>
      <w:numFmt w:val="decimal"/>
      <w:isLgl/>
      <w:lvlText w:val="%3.%4."/>
      <w:lvlJc w:val="left"/>
      <w:pPr>
        <w:tabs>
          <w:tab w:val="num" w:pos="851"/>
        </w:tabs>
        <w:ind w:left="851" w:hanging="851"/>
      </w:pPr>
      <w:rPr>
        <w:rFonts w:hint="default"/>
      </w:rPr>
    </w:lvl>
    <w:lvl w:ilvl="4">
      <w:start w:val="1"/>
      <w:numFmt w:val="decimal"/>
      <w:pStyle w:val="a4"/>
      <w:isLgl/>
      <w:lvlText w:val="%3.%4.%5."/>
      <w:lvlJc w:val="left"/>
      <w:pPr>
        <w:tabs>
          <w:tab w:val="num" w:pos="851"/>
        </w:tabs>
        <w:ind w:left="851"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4.%5.%6.%7.%8.%9."/>
      <w:lvlJc w:val="left"/>
      <w:pPr>
        <w:ind w:left="2367" w:hanging="180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1C"/>
    <w:rsid w:val="001F181C"/>
    <w:rsid w:val="00612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F181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Strong"/>
    <w:uiPriority w:val="22"/>
    <w:qFormat/>
    <w:rsid w:val="001F181C"/>
    <w:rPr>
      <w:b/>
      <w:bCs/>
    </w:rPr>
  </w:style>
  <w:style w:type="character" w:styleId="aa">
    <w:name w:val="Emphasis"/>
    <w:qFormat/>
    <w:rsid w:val="001F181C"/>
    <w:rPr>
      <w:i/>
      <w:iCs/>
    </w:rPr>
  </w:style>
  <w:style w:type="paragraph" w:customStyle="1" w:styleId="a2">
    <w:name w:val="Раздел"/>
    <w:basedOn w:val="3"/>
    <w:qFormat/>
    <w:rsid w:val="001F181C"/>
    <w:pPr>
      <w:keepNext/>
      <w:pageBreakBefore/>
      <w:widowControl/>
      <w:numPr>
        <w:numId w:val="4"/>
      </w:numPr>
      <w:tabs>
        <w:tab w:val="clear" w:pos="1418"/>
        <w:tab w:val="num" w:pos="360"/>
      </w:tabs>
      <w:spacing w:before="360" w:after="0"/>
      <w:ind w:left="283" w:firstLine="567"/>
    </w:pPr>
    <w:rPr>
      <w:b/>
      <w:sz w:val="24"/>
      <w:szCs w:val="20"/>
    </w:rPr>
  </w:style>
  <w:style w:type="paragraph" w:customStyle="1" w:styleId="ab">
    <w:name w:val="Текст таб"/>
    <w:basedOn w:val="a5"/>
    <w:qFormat/>
    <w:rsid w:val="001F181C"/>
    <w:pPr>
      <w:widowControl/>
      <w:spacing w:before="120"/>
      <w:ind w:left="851" w:firstLine="0"/>
    </w:pPr>
  </w:style>
  <w:style w:type="paragraph" w:customStyle="1" w:styleId="a4">
    <w:name w:val="Подпункт"/>
    <w:basedOn w:val="a5"/>
    <w:qFormat/>
    <w:rsid w:val="001F181C"/>
    <w:pPr>
      <w:widowControl/>
      <w:numPr>
        <w:ilvl w:val="4"/>
        <w:numId w:val="4"/>
      </w:numPr>
      <w:spacing w:before="120"/>
    </w:pPr>
  </w:style>
  <w:style w:type="paragraph" w:customStyle="1" w:styleId="a1">
    <w:name w:val="Пункт с точкой"/>
    <w:basedOn w:val="ac"/>
    <w:qFormat/>
    <w:rsid w:val="001F181C"/>
    <w:pPr>
      <w:numPr>
        <w:numId w:val="1"/>
      </w:numPr>
      <w:tabs>
        <w:tab w:val="num" w:pos="360"/>
      </w:tabs>
      <w:spacing w:before="60" w:after="0"/>
      <w:ind w:left="283" w:firstLine="567"/>
    </w:pPr>
    <w:rPr>
      <w:szCs w:val="24"/>
      <w:lang w:val="x-none" w:eastAsia="x-none"/>
    </w:rPr>
  </w:style>
  <w:style w:type="paragraph" w:customStyle="1" w:styleId="Point">
    <w:name w:val="Point"/>
    <w:basedOn w:val="a5"/>
    <w:link w:val="Point1"/>
    <w:qFormat/>
    <w:rsid w:val="001F181C"/>
    <w:pPr>
      <w:widowControl/>
      <w:overflowPunct/>
      <w:autoSpaceDE/>
      <w:autoSpaceDN/>
      <w:adjustRightInd/>
      <w:ind w:firstLine="0"/>
      <w:textAlignment w:val="auto"/>
    </w:pPr>
    <w:rPr>
      <w:lang w:val="x-none" w:eastAsia="x-none"/>
    </w:rPr>
  </w:style>
  <w:style w:type="character" w:customStyle="1" w:styleId="Point1">
    <w:name w:val="Point Знак1"/>
    <w:link w:val="Point"/>
    <w:rsid w:val="001F181C"/>
    <w:rPr>
      <w:rFonts w:ascii="Times New Roman" w:eastAsia="Times New Roman" w:hAnsi="Times New Roman" w:cs="Times New Roman"/>
      <w:sz w:val="24"/>
      <w:szCs w:val="20"/>
      <w:lang w:val="x-none" w:eastAsia="x-none"/>
    </w:rPr>
  </w:style>
  <w:style w:type="paragraph" w:customStyle="1" w:styleId="ad">
    <w:name w:val="Доп текст к приложению"/>
    <w:basedOn w:val="ab"/>
    <w:qFormat/>
    <w:rsid w:val="001F181C"/>
    <w:pPr>
      <w:widowControl w:val="0"/>
      <w:overflowPunct/>
      <w:autoSpaceDE/>
      <w:autoSpaceDN/>
      <w:spacing w:before="0"/>
      <w:jc w:val="right"/>
      <w:outlineLvl w:val="1"/>
    </w:pPr>
    <w:rPr>
      <w:bCs/>
      <w:szCs w:val="24"/>
      <w:lang w:eastAsia="en-US" w:bidi="en-US"/>
    </w:rPr>
  </w:style>
  <w:style w:type="paragraph" w:customStyle="1" w:styleId="ae">
    <w:name w:val="Еще один заголовок"/>
    <w:basedOn w:val="a5"/>
    <w:rsid w:val="001F181C"/>
    <w:pPr>
      <w:widowControl/>
      <w:overflowPunct/>
      <w:autoSpaceDE/>
      <w:autoSpaceDN/>
      <w:adjustRightInd/>
      <w:spacing w:before="600" w:after="360"/>
      <w:ind w:right="484" w:firstLine="0"/>
      <w:jc w:val="center"/>
      <w:textAlignment w:val="auto"/>
    </w:pPr>
    <w:rPr>
      <w:rFonts w:eastAsia="Arial Unicode MS"/>
      <w:b/>
      <w:bCs/>
      <w:szCs w:val="24"/>
    </w:rPr>
  </w:style>
  <w:style w:type="paragraph" w:customStyle="1" w:styleId="a3">
    <w:name w:val="Подраздел"/>
    <w:basedOn w:val="a5"/>
    <w:qFormat/>
    <w:rsid w:val="001F181C"/>
    <w:pPr>
      <w:keepNext/>
      <w:pageBreakBefore/>
      <w:widowControl/>
      <w:numPr>
        <w:ilvl w:val="1"/>
        <w:numId w:val="4"/>
      </w:numPr>
      <w:spacing w:before="240"/>
      <w:outlineLvl w:val="0"/>
    </w:pPr>
    <w:rPr>
      <w:b/>
      <w:bCs/>
    </w:rPr>
  </w:style>
  <w:style w:type="paragraph" w:customStyle="1" w:styleId="a">
    <w:name w:val="Статья приложения"/>
    <w:basedOn w:val="a5"/>
    <w:qFormat/>
    <w:rsid w:val="001F181C"/>
    <w:pPr>
      <w:widowControl/>
      <w:numPr>
        <w:numId w:val="2"/>
      </w:numPr>
      <w:tabs>
        <w:tab w:val="left" w:pos="1418"/>
      </w:tabs>
      <w:spacing w:before="240"/>
    </w:pPr>
    <w:rPr>
      <w:b/>
      <w:bCs/>
      <w:szCs w:val="24"/>
      <w:lang w:eastAsia="en-US"/>
    </w:rPr>
  </w:style>
  <w:style w:type="paragraph" w:customStyle="1" w:styleId="a0">
    <w:name w:val="Пункт приложения в статье"/>
    <w:basedOn w:val="a5"/>
    <w:qFormat/>
    <w:rsid w:val="001F181C"/>
    <w:pPr>
      <w:numPr>
        <w:ilvl w:val="1"/>
        <w:numId w:val="2"/>
      </w:numPr>
      <w:spacing w:before="120"/>
    </w:pPr>
  </w:style>
  <w:style w:type="paragraph" w:styleId="3">
    <w:name w:val="Body Text Indent 3"/>
    <w:basedOn w:val="a5"/>
    <w:link w:val="30"/>
    <w:uiPriority w:val="99"/>
    <w:semiHidden/>
    <w:unhideWhenUsed/>
    <w:rsid w:val="001F181C"/>
    <w:pPr>
      <w:spacing w:after="120"/>
      <w:ind w:left="283"/>
    </w:pPr>
    <w:rPr>
      <w:sz w:val="16"/>
      <w:szCs w:val="16"/>
    </w:rPr>
  </w:style>
  <w:style w:type="character" w:customStyle="1" w:styleId="30">
    <w:name w:val="Основной текст с отступом 3 Знак"/>
    <w:basedOn w:val="a6"/>
    <w:link w:val="3"/>
    <w:uiPriority w:val="99"/>
    <w:semiHidden/>
    <w:rsid w:val="001F181C"/>
    <w:rPr>
      <w:rFonts w:ascii="Times New Roman" w:eastAsia="Times New Roman" w:hAnsi="Times New Roman" w:cs="Times New Roman"/>
      <w:sz w:val="16"/>
      <w:szCs w:val="16"/>
      <w:lang w:eastAsia="ru-RU"/>
    </w:rPr>
  </w:style>
  <w:style w:type="paragraph" w:styleId="ac">
    <w:name w:val="Body Text Indent"/>
    <w:basedOn w:val="a5"/>
    <w:link w:val="af"/>
    <w:uiPriority w:val="99"/>
    <w:semiHidden/>
    <w:unhideWhenUsed/>
    <w:rsid w:val="001F181C"/>
    <w:pPr>
      <w:spacing w:after="120"/>
      <w:ind w:left="283"/>
    </w:pPr>
  </w:style>
  <w:style w:type="character" w:customStyle="1" w:styleId="af">
    <w:name w:val="Основной текст с отступом Знак"/>
    <w:basedOn w:val="a6"/>
    <w:link w:val="ac"/>
    <w:uiPriority w:val="99"/>
    <w:semiHidden/>
    <w:rsid w:val="001F181C"/>
    <w:rPr>
      <w:rFonts w:ascii="Times New Roman" w:eastAsia="Times New Roman" w:hAnsi="Times New Roman" w:cs="Times New Roman"/>
      <w:sz w:val="24"/>
      <w:szCs w:val="20"/>
      <w:lang w:eastAsia="ru-RU"/>
    </w:rPr>
  </w:style>
  <w:style w:type="paragraph" w:styleId="af0">
    <w:name w:val="Balloon Text"/>
    <w:basedOn w:val="a5"/>
    <w:link w:val="af1"/>
    <w:uiPriority w:val="99"/>
    <w:semiHidden/>
    <w:unhideWhenUsed/>
    <w:rsid w:val="001F181C"/>
    <w:rPr>
      <w:rFonts w:ascii="Tahoma" w:hAnsi="Tahoma" w:cs="Tahoma"/>
      <w:sz w:val="16"/>
      <w:szCs w:val="16"/>
    </w:rPr>
  </w:style>
  <w:style w:type="character" w:customStyle="1" w:styleId="af1">
    <w:name w:val="Текст выноски Знак"/>
    <w:basedOn w:val="a6"/>
    <w:link w:val="af0"/>
    <w:uiPriority w:val="99"/>
    <w:semiHidden/>
    <w:rsid w:val="001F181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F181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Strong"/>
    <w:uiPriority w:val="22"/>
    <w:qFormat/>
    <w:rsid w:val="001F181C"/>
    <w:rPr>
      <w:b/>
      <w:bCs/>
    </w:rPr>
  </w:style>
  <w:style w:type="character" w:styleId="aa">
    <w:name w:val="Emphasis"/>
    <w:qFormat/>
    <w:rsid w:val="001F181C"/>
    <w:rPr>
      <w:i/>
      <w:iCs/>
    </w:rPr>
  </w:style>
  <w:style w:type="paragraph" w:customStyle="1" w:styleId="a2">
    <w:name w:val="Раздел"/>
    <w:basedOn w:val="3"/>
    <w:qFormat/>
    <w:rsid w:val="001F181C"/>
    <w:pPr>
      <w:keepNext/>
      <w:pageBreakBefore/>
      <w:widowControl/>
      <w:numPr>
        <w:numId w:val="4"/>
      </w:numPr>
      <w:tabs>
        <w:tab w:val="clear" w:pos="1418"/>
        <w:tab w:val="num" w:pos="360"/>
      </w:tabs>
      <w:spacing w:before="360" w:after="0"/>
      <w:ind w:left="283" w:firstLine="567"/>
    </w:pPr>
    <w:rPr>
      <w:b/>
      <w:sz w:val="24"/>
      <w:szCs w:val="20"/>
    </w:rPr>
  </w:style>
  <w:style w:type="paragraph" w:customStyle="1" w:styleId="ab">
    <w:name w:val="Текст таб"/>
    <w:basedOn w:val="a5"/>
    <w:qFormat/>
    <w:rsid w:val="001F181C"/>
    <w:pPr>
      <w:widowControl/>
      <w:spacing w:before="120"/>
      <w:ind w:left="851" w:firstLine="0"/>
    </w:pPr>
  </w:style>
  <w:style w:type="paragraph" w:customStyle="1" w:styleId="a4">
    <w:name w:val="Подпункт"/>
    <w:basedOn w:val="a5"/>
    <w:qFormat/>
    <w:rsid w:val="001F181C"/>
    <w:pPr>
      <w:widowControl/>
      <w:numPr>
        <w:ilvl w:val="4"/>
        <w:numId w:val="4"/>
      </w:numPr>
      <w:spacing w:before="120"/>
    </w:pPr>
  </w:style>
  <w:style w:type="paragraph" w:customStyle="1" w:styleId="a1">
    <w:name w:val="Пункт с точкой"/>
    <w:basedOn w:val="ac"/>
    <w:qFormat/>
    <w:rsid w:val="001F181C"/>
    <w:pPr>
      <w:numPr>
        <w:numId w:val="1"/>
      </w:numPr>
      <w:tabs>
        <w:tab w:val="num" w:pos="360"/>
      </w:tabs>
      <w:spacing w:before="60" w:after="0"/>
      <w:ind w:left="283" w:firstLine="567"/>
    </w:pPr>
    <w:rPr>
      <w:szCs w:val="24"/>
      <w:lang w:val="x-none" w:eastAsia="x-none"/>
    </w:rPr>
  </w:style>
  <w:style w:type="paragraph" w:customStyle="1" w:styleId="Point">
    <w:name w:val="Point"/>
    <w:basedOn w:val="a5"/>
    <w:link w:val="Point1"/>
    <w:qFormat/>
    <w:rsid w:val="001F181C"/>
    <w:pPr>
      <w:widowControl/>
      <w:overflowPunct/>
      <w:autoSpaceDE/>
      <w:autoSpaceDN/>
      <w:adjustRightInd/>
      <w:ind w:firstLine="0"/>
      <w:textAlignment w:val="auto"/>
    </w:pPr>
    <w:rPr>
      <w:lang w:val="x-none" w:eastAsia="x-none"/>
    </w:rPr>
  </w:style>
  <w:style w:type="character" w:customStyle="1" w:styleId="Point1">
    <w:name w:val="Point Знак1"/>
    <w:link w:val="Point"/>
    <w:rsid w:val="001F181C"/>
    <w:rPr>
      <w:rFonts w:ascii="Times New Roman" w:eastAsia="Times New Roman" w:hAnsi="Times New Roman" w:cs="Times New Roman"/>
      <w:sz w:val="24"/>
      <w:szCs w:val="20"/>
      <w:lang w:val="x-none" w:eastAsia="x-none"/>
    </w:rPr>
  </w:style>
  <w:style w:type="paragraph" w:customStyle="1" w:styleId="ad">
    <w:name w:val="Доп текст к приложению"/>
    <w:basedOn w:val="ab"/>
    <w:qFormat/>
    <w:rsid w:val="001F181C"/>
    <w:pPr>
      <w:widowControl w:val="0"/>
      <w:overflowPunct/>
      <w:autoSpaceDE/>
      <w:autoSpaceDN/>
      <w:spacing w:before="0"/>
      <w:jc w:val="right"/>
      <w:outlineLvl w:val="1"/>
    </w:pPr>
    <w:rPr>
      <w:bCs/>
      <w:szCs w:val="24"/>
      <w:lang w:eastAsia="en-US" w:bidi="en-US"/>
    </w:rPr>
  </w:style>
  <w:style w:type="paragraph" w:customStyle="1" w:styleId="ae">
    <w:name w:val="Еще один заголовок"/>
    <w:basedOn w:val="a5"/>
    <w:rsid w:val="001F181C"/>
    <w:pPr>
      <w:widowControl/>
      <w:overflowPunct/>
      <w:autoSpaceDE/>
      <w:autoSpaceDN/>
      <w:adjustRightInd/>
      <w:spacing w:before="600" w:after="360"/>
      <w:ind w:right="484" w:firstLine="0"/>
      <w:jc w:val="center"/>
      <w:textAlignment w:val="auto"/>
    </w:pPr>
    <w:rPr>
      <w:rFonts w:eastAsia="Arial Unicode MS"/>
      <w:b/>
      <w:bCs/>
      <w:szCs w:val="24"/>
    </w:rPr>
  </w:style>
  <w:style w:type="paragraph" w:customStyle="1" w:styleId="a3">
    <w:name w:val="Подраздел"/>
    <w:basedOn w:val="a5"/>
    <w:qFormat/>
    <w:rsid w:val="001F181C"/>
    <w:pPr>
      <w:keepNext/>
      <w:pageBreakBefore/>
      <w:widowControl/>
      <w:numPr>
        <w:ilvl w:val="1"/>
        <w:numId w:val="4"/>
      </w:numPr>
      <w:spacing w:before="240"/>
      <w:outlineLvl w:val="0"/>
    </w:pPr>
    <w:rPr>
      <w:b/>
      <w:bCs/>
    </w:rPr>
  </w:style>
  <w:style w:type="paragraph" w:customStyle="1" w:styleId="a">
    <w:name w:val="Статья приложения"/>
    <w:basedOn w:val="a5"/>
    <w:qFormat/>
    <w:rsid w:val="001F181C"/>
    <w:pPr>
      <w:widowControl/>
      <w:numPr>
        <w:numId w:val="2"/>
      </w:numPr>
      <w:tabs>
        <w:tab w:val="left" w:pos="1418"/>
      </w:tabs>
      <w:spacing w:before="240"/>
    </w:pPr>
    <w:rPr>
      <w:b/>
      <w:bCs/>
      <w:szCs w:val="24"/>
      <w:lang w:eastAsia="en-US"/>
    </w:rPr>
  </w:style>
  <w:style w:type="paragraph" w:customStyle="1" w:styleId="a0">
    <w:name w:val="Пункт приложения в статье"/>
    <w:basedOn w:val="a5"/>
    <w:qFormat/>
    <w:rsid w:val="001F181C"/>
    <w:pPr>
      <w:numPr>
        <w:ilvl w:val="1"/>
        <w:numId w:val="2"/>
      </w:numPr>
      <w:spacing w:before="120"/>
    </w:pPr>
  </w:style>
  <w:style w:type="paragraph" w:styleId="3">
    <w:name w:val="Body Text Indent 3"/>
    <w:basedOn w:val="a5"/>
    <w:link w:val="30"/>
    <w:uiPriority w:val="99"/>
    <w:semiHidden/>
    <w:unhideWhenUsed/>
    <w:rsid w:val="001F181C"/>
    <w:pPr>
      <w:spacing w:after="120"/>
      <w:ind w:left="283"/>
    </w:pPr>
    <w:rPr>
      <w:sz w:val="16"/>
      <w:szCs w:val="16"/>
    </w:rPr>
  </w:style>
  <w:style w:type="character" w:customStyle="1" w:styleId="30">
    <w:name w:val="Основной текст с отступом 3 Знак"/>
    <w:basedOn w:val="a6"/>
    <w:link w:val="3"/>
    <w:uiPriority w:val="99"/>
    <w:semiHidden/>
    <w:rsid w:val="001F181C"/>
    <w:rPr>
      <w:rFonts w:ascii="Times New Roman" w:eastAsia="Times New Roman" w:hAnsi="Times New Roman" w:cs="Times New Roman"/>
      <w:sz w:val="16"/>
      <w:szCs w:val="16"/>
      <w:lang w:eastAsia="ru-RU"/>
    </w:rPr>
  </w:style>
  <w:style w:type="paragraph" w:styleId="ac">
    <w:name w:val="Body Text Indent"/>
    <w:basedOn w:val="a5"/>
    <w:link w:val="af"/>
    <w:uiPriority w:val="99"/>
    <w:semiHidden/>
    <w:unhideWhenUsed/>
    <w:rsid w:val="001F181C"/>
    <w:pPr>
      <w:spacing w:after="120"/>
      <w:ind w:left="283"/>
    </w:pPr>
  </w:style>
  <w:style w:type="character" w:customStyle="1" w:styleId="af">
    <w:name w:val="Основной текст с отступом Знак"/>
    <w:basedOn w:val="a6"/>
    <w:link w:val="ac"/>
    <w:uiPriority w:val="99"/>
    <w:semiHidden/>
    <w:rsid w:val="001F181C"/>
    <w:rPr>
      <w:rFonts w:ascii="Times New Roman" w:eastAsia="Times New Roman" w:hAnsi="Times New Roman" w:cs="Times New Roman"/>
      <w:sz w:val="24"/>
      <w:szCs w:val="20"/>
      <w:lang w:eastAsia="ru-RU"/>
    </w:rPr>
  </w:style>
  <w:style w:type="paragraph" w:styleId="af0">
    <w:name w:val="Balloon Text"/>
    <w:basedOn w:val="a5"/>
    <w:link w:val="af1"/>
    <w:uiPriority w:val="99"/>
    <w:semiHidden/>
    <w:unhideWhenUsed/>
    <w:rsid w:val="001F181C"/>
    <w:rPr>
      <w:rFonts w:ascii="Tahoma" w:hAnsi="Tahoma" w:cs="Tahoma"/>
      <w:sz w:val="16"/>
      <w:szCs w:val="16"/>
    </w:rPr>
  </w:style>
  <w:style w:type="character" w:customStyle="1" w:styleId="af1">
    <w:name w:val="Текст выноски Знак"/>
    <w:basedOn w:val="a6"/>
    <w:link w:val="af0"/>
    <w:uiPriority w:val="99"/>
    <w:semiHidden/>
    <w:rsid w:val="001F18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8.w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 Игоревна</dc:creator>
  <cp:lastModifiedBy>Никитина Татьяна Игоревна</cp:lastModifiedBy>
  <cp:revision>1</cp:revision>
  <dcterms:created xsi:type="dcterms:W3CDTF">2014-08-26T12:04:00Z</dcterms:created>
  <dcterms:modified xsi:type="dcterms:W3CDTF">2014-08-26T12:04:00Z</dcterms:modified>
</cp:coreProperties>
</file>