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8A" w:rsidRPr="002D47D7" w:rsidRDefault="00B30E8A" w:rsidP="00B30E8A">
      <w:pPr>
        <w:pStyle w:val="a4"/>
        <w:numPr>
          <w:ilvl w:val="0"/>
          <w:numId w:val="0"/>
        </w:numPr>
        <w:spacing w:before="60"/>
        <w:ind w:left="2268" w:hanging="2268"/>
        <w:jc w:val="right"/>
        <w:rPr>
          <w:lang w:val="en-US"/>
        </w:rPr>
      </w:pPr>
      <w:bookmarkStart w:id="0" w:name="_Toc389253004"/>
      <w:bookmarkStart w:id="1" w:name="_Toc389287542"/>
      <w:bookmarkStart w:id="2" w:name="_Toc389585322"/>
      <w:r w:rsidRPr="002D47D7">
        <w:rPr>
          <w:lang w:val="en-US"/>
        </w:rPr>
        <w:t>Appendix No. 8</w:t>
      </w:r>
      <w:bookmarkEnd w:id="0"/>
      <w:bookmarkEnd w:id="1"/>
      <w:bookmarkEnd w:id="2"/>
    </w:p>
    <w:p w:rsidR="00B30E8A" w:rsidRPr="002D47D7" w:rsidRDefault="00B30E8A" w:rsidP="00B30E8A">
      <w:pPr>
        <w:pStyle w:val="af0"/>
        <w:rPr>
          <w:lang w:val="en-US"/>
        </w:rPr>
      </w:pPr>
      <w:bookmarkStart w:id="3" w:name="_Toc389287543"/>
      <w:proofErr w:type="gramStart"/>
      <w:r w:rsidRPr="002D47D7">
        <w:rPr>
          <w:lang w:val="en-US"/>
        </w:rPr>
        <w:t>to</w:t>
      </w:r>
      <w:proofErr w:type="gramEnd"/>
      <w:r w:rsidRPr="002D47D7">
        <w:rPr>
          <w:lang w:val="en-US"/>
        </w:rPr>
        <w:t xml:space="preserve"> the Clearing Rules of CJSC JSCB National</w:t>
      </w:r>
      <w:bookmarkEnd w:id="3"/>
      <w:r w:rsidRPr="002D47D7">
        <w:rPr>
          <w:lang w:val="en-US"/>
        </w:rPr>
        <w:t xml:space="preserve"> </w:t>
      </w:r>
    </w:p>
    <w:p w:rsidR="00B30E8A" w:rsidRPr="002D47D7" w:rsidRDefault="00B30E8A" w:rsidP="00B30E8A">
      <w:pPr>
        <w:pStyle w:val="af1"/>
        <w:ind w:left="0"/>
        <w:rPr>
          <w:lang w:val="en-US"/>
        </w:rPr>
      </w:pPr>
      <w:r w:rsidRPr="002D47D7">
        <w:rPr>
          <w:lang w:val="en-US"/>
        </w:rPr>
        <w:t>Clearing Centre for the Derivatives Market</w:t>
      </w:r>
    </w:p>
    <w:p w:rsidR="00B30E8A" w:rsidRPr="002D47D7" w:rsidRDefault="00B30E8A" w:rsidP="00B30E8A">
      <w:pPr>
        <w:pStyle w:val="af2"/>
        <w:spacing w:before="240" w:after="240"/>
        <w:ind w:right="0"/>
        <w:rPr>
          <w:lang w:val="en-US"/>
        </w:rPr>
      </w:pPr>
      <w:r w:rsidRPr="002D47D7">
        <w:rPr>
          <w:lang w:val="en-US"/>
        </w:rPr>
        <w:t>METHODS OF CALCULATION OF THE SETTLEMENT PRICE OF THE SECURITY ADMITTED FOR TRADING IN THE STANDARD MARKET SECTOR OF CJSC STOCK EXCHANGE MICEX</w:t>
      </w:r>
    </w:p>
    <w:p w:rsidR="00B30E8A" w:rsidRPr="002D47D7" w:rsidRDefault="00B30E8A" w:rsidP="00B30E8A">
      <w:pPr>
        <w:pStyle w:val="9"/>
        <w:rPr>
          <w:lang w:val="en-US"/>
        </w:rPr>
      </w:pPr>
      <w:r w:rsidRPr="002D47D7">
        <w:rPr>
          <w:lang w:val="en-US"/>
        </w:rPr>
        <w:t xml:space="preserve">These methods define the procedure for calculation of the Settlement Price of the security </w:t>
      </w:r>
      <w:r w:rsidRPr="002D47D7">
        <w:rPr>
          <w:rFonts w:eastAsia="Arial Unicode MS"/>
          <w:lang w:val="en-US"/>
        </w:rPr>
        <w:t xml:space="preserve">admitted for trading </w:t>
      </w:r>
      <w:r w:rsidRPr="002D47D7">
        <w:rPr>
          <w:lang w:val="en-US"/>
        </w:rPr>
        <w:t>in the Standard market sector of CJSC Stock Exchange MICEX (thereinafter referred to as the Settlement Price).</w:t>
      </w:r>
    </w:p>
    <w:p w:rsidR="00B30E8A" w:rsidRPr="002D47D7" w:rsidRDefault="00B30E8A" w:rsidP="00B30E8A">
      <w:pPr>
        <w:pStyle w:val="9"/>
        <w:rPr>
          <w:lang w:val="en-US"/>
        </w:rPr>
      </w:pPr>
      <w:bookmarkStart w:id="4" w:name="_Ref251768825"/>
      <w:r w:rsidRPr="002D47D7">
        <w:rPr>
          <w:lang w:val="en-US"/>
        </w:rPr>
        <w:t xml:space="preserve">To calculate the Settlement Price, it is required to make a list of the instrument </w:t>
      </w:r>
      <w:proofErr w:type="gramStart"/>
      <w:r w:rsidRPr="002D47D7">
        <w:rPr>
          <w:lang w:val="en-US"/>
        </w:rPr>
        <w:t>groups,</w:t>
      </w:r>
      <w:proofErr w:type="gramEnd"/>
      <w:r w:rsidRPr="002D47D7">
        <w:rPr>
          <w:lang w:val="en-US"/>
        </w:rPr>
        <w:t xml:space="preserve"> each shall include the futures contracts, whose underlying asset is a certain security, and such security. The list shall specify the principal (more liquid) and non-principal (less liquid) instruments for each group. Such list shall be made in conformity with the Methods of determination of the principal and non-principal futures contracts and securities, admitted to circulation in the Standard Market Sector of CJSC SE MICEX, approved by the Clearing Centre upon agreement with the Derivatives Market Committee and placed on the Website of the Clearing Centre (thereinafter referred to as the Methods).</w:t>
      </w:r>
      <w:bookmarkEnd w:id="4"/>
    </w:p>
    <w:p w:rsidR="00B30E8A" w:rsidRPr="002D47D7" w:rsidRDefault="00B30E8A" w:rsidP="00B30E8A">
      <w:pPr>
        <w:pStyle w:val="9"/>
        <w:rPr>
          <w:lang w:val="en-US"/>
        </w:rPr>
      </w:pPr>
      <w:r w:rsidRPr="002D47D7">
        <w:rPr>
          <w:lang w:val="en-US"/>
        </w:rPr>
        <w:t>The Settlement Price shall be calculated after the intraday and evening Settlement Period under the any-counterparty Active Orders and the trades executed in the Standard Market Sector of CJSC SE MICEX (thereinafter referred to as the Active Orders and the Trades respectively).</w:t>
      </w:r>
    </w:p>
    <w:p w:rsidR="00B30E8A" w:rsidRPr="002D47D7" w:rsidRDefault="00B30E8A" w:rsidP="00B30E8A">
      <w:pPr>
        <w:pStyle w:val="9"/>
        <w:rPr>
          <w:lang w:val="en-US"/>
        </w:rPr>
      </w:pPr>
      <w:r w:rsidRPr="002D47D7">
        <w:rPr>
          <w:lang w:val="en-US"/>
        </w:rPr>
        <w:t xml:space="preserve">The Settlement Price shall be rounded under the </w:t>
      </w:r>
      <w:r w:rsidRPr="002D47D7">
        <w:rPr>
          <w:rFonts w:cs="Times New Roman"/>
          <w:lang w:val="en-US"/>
        </w:rPr>
        <w:t>rules of mathematical rounding to the fifth decimal digit</w:t>
      </w:r>
      <w:r w:rsidRPr="002D47D7">
        <w:rPr>
          <w:lang w:val="en-US"/>
        </w:rPr>
        <w:t>.</w:t>
      </w:r>
    </w:p>
    <w:p w:rsidR="00B30E8A" w:rsidRPr="002D47D7" w:rsidRDefault="00B30E8A" w:rsidP="00B30E8A">
      <w:pPr>
        <w:pStyle w:val="9"/>
        <w:rPr>
          <w:lang w:val="en-US"/>
        </w:rPr>
      </w:pPr>
      <w:r w:rsidRPr="002D47D7">
        <w:rPr>
          <w:lang w:val="en-US"/>
        </w:rPr>
        <w:t>On the first Trading Day of admission of the security to the trading in the Standard Market Sector of CJSC SE MICEX the Settlement Price shall be set by the resolution of the Clearing Centre.</w:t>
      </w:r>
    </w:p>
    <w:p w:rsidR="00B30E8A" w:rsidRPr="002D47D7" w:rsidRDefault="00B30E8A" w:rsidP="00B30E8A">
      <w:pPr>
        <w:pStyle w:val="9"/>
        <w:rPr>
          <w:lang w:val="en-US"/>
        </w:rPr>
      </w:pPr>
      <w:r w:rsidRPr="002D47D7">
        <w:rPr>
          <w:lang w:val="en-US"/>
        </w:rPr>
        <w:t xml:space="preserve">The Settlement Price of the security which is the principal instrument of the group, shall be calculated pursuant to </w:t>
      </w:r>
      <w:r>
        <w:rPr>
          <w:lang w:val="en-US"/>
        </w:rPr>
        <w:t>paragraph</w:t>
      </w:r>
      <w:r w:rsidRPr="002D47D7">
        <w:rPr>
          <w:lang w:val="en-US"/>
        </w:rPr>
        <w:t xml:space="preserve">s </w:t>
      </w:r>
      <w:r w:rsidRPr="002D47D7">
        <w:rPr>
          <w:lang w:val="en-US"/>
        </w:rPr>
        <w:fldChar w:fldCharType="begin"/>
      </w:r>
      <w:r w:rsidRPr="002D47D7">
        <w:rPr>
          <w:lang w:val="en-US"/>
        </w:rPr>
        <w:instrText xml:space="preserve"> REF _Ref252884181 \r \h  \* MERGEFORMAT </w:instrText>
      </w:r>
      <w:r w:rsidRPr="002D47D7">
        <w:rPr>
          <w:lang w:val="en-US"/>
        </w:rPr>
      </w:r>
      <w:r w:rsidRPr="002D47D7">
        <w:rPr>
          <w:lang w:val="en-US"/>
        </w:rPr>
        <w:fldChar w:fldCharType="separate"/>
      </w:r>
      <w:r>
        <w:rPr>
          <w:lang w:val="en-US"/>
        </w:rPr>
        <w:t>7</w:t>
      </w:r>
      <w:r w:rsidRPr="002D47D7">
        <w:rPr>
          <w:lang w:val="en-US"/>
        </w:rPr>
        <w:fldChar w:fldCharType="end"/>
      </w:r>
      <w:r w:rsidRPr="002D47D7">
        <w:rPr>
          <w:lang w:val="en-US"/>
        </w:rPr>
        <w:t>-</w:t>
      </w:r>
      <w:r w:rsidRPr="002D47D7">
        <w:rPr>
          <w:lang w:val="en-US"/>
        </w:rPr>
        <w:fldChar w:fldCharType="begin"/>
      </w:r>
      <w:r w:rsidRPr="002D47D7">
        <w:rPr>
          <w:lang w:val="en-US"/>
        </w:rPr>
        <w:instrText xml:space="preserve"> REF _Ref287884676 \r \h  \* MERGEFORMAT </w:instrText>
      </w:r>
      <w:r w:rsidRPr="002D47D7">
        <w:rPr>
          <w:lang w:val="en-US"/>
        </w:rPr>
      </w:r>
      <w:r w:rsidRPr="002D47D7">
        <w:rPr>
          <w:lang w:val="en-US"/>
        </w:rPr>
        <w:fldChar w:fldCharType="separate"/>
      </w:r>
      <w:r>
        <w:rPr>
          <w:lang w:val="en-US"/>
        </w:rPr>
        <w:t>8</w:t>
      </w:r>
      <w:r w:rsidRPr="002D47D7">
        <w:rPr>
          <w:lang w:val="en-US"/>
        </w:rPr>
        <w:fldChar w:fldCharType="end"/>
      </w:r>
      <w:r w:rsidRPr="002D47D7">
        <w:rPr>
          <w:lang w:val="en-US"/>
        </w:rPr>
        <w:t xml:space="preserve"> </w:t>
      </w:r>
      <w:r>
        <w:rPr>
          <w:lang w:val="en-US"/>
        </w:rPr>
        <w:t>hereof</w:t>
      </w:r>
      <w:r w:rsidRPr="002D47D7">
        <w:rPr>
          <w:lang w:val="en-US"/>
        </w:rPr>
        <w:t xml:space="preserve">. The Settlement Price of the security which is the non-principal instrument of the group, shall be calculated pursuant to </w:t>
      </w:r>
      <w:r>
        <w:rPr>
          <w:lang w:val="en-US"/>
        </w:rPr>
        <w:t>paragraph</w:t>
      </w:r>
      <w:r w:rsidRPr="002D47D7">
        <w:rPr>
          <w:lang w:val="en-US"/>
        </w:rPr>
        <w:t xml:space="preserve">s </w:t>
      </w:r>
      <w:r w:rsidRPr="002D47D7">
        <w:rPr>
          <w:lang w:val="en-US"/>
        </w:rPr>
        <w:fldChar w:fldCharType="begin"/>
      </w:r>
      <w:r w:rsidRPr="002D47D7">
        <w:rPr>
          <w:lang w:val="en-US"/>
        </w:rPr>
        <w:instrText xml:space="preserve"> REF _Ref252884181 \r \h  \* MERGEFORMAT </w:instrText>
      </w:r>
      <w:r w:rsidRPr="002D47D7">
        <w:rPr>
          <w:lang w:val="en-US"/>
        </w:rPr>
      </w:r>
      <w:r w:rsidRPr="002D47D7">
        <w:rPr>
          <w:lang w:val="en-US"/>
        </w:rPr>
        <w:fldChar w:fldCharType="separate"/>
      </w:r>
      <w:r>
        <w:rPr>
          <w:lang w:val="en-US"/>
        </w:rPr>
        <w:t>7</w:t>
      </w:r>
      <w:r w:rsidRPr="002D47D7">
        <w:rPr>
          <w:lang w:val="en-US"/>
        </w:rPr>
        <w:fldChar w:fldCharType="end"/>
      </w:r>
      <w:r w:rsidRPr="002D47D7">
        <w:rPr>
          <w:lang w:val="en-US"/>
        </w:rPr>
        <w:t>-</w:t>
      </w:r>
      <w:r w:rsidRPr="002D47D7">
        <w:rPr>
          <w:lang w:val="en-US"/>
        </w:rPr>
        <w:fldChar w:fldCharType="begin"/>
      </w:r>
      <w:r w:rsidRPr="002D47D7">
        <w:rPr>
          <w:lang w:val="en-US"/>
        </w:rPr>
        <w:instrText xml:space="preserve"> REF _Ref287884676 \r \h  \* MERGEFORMAT </w:instrText>
      </w:r>
      <w:r w:rsidRPr="002D47D7">
        <w:rPr>
          <w:lang w:val="en-US"/>
        </w:rPr>
      </w:r>
      <w:r w:rsidRPr="002D47D7">
        <w:rPr>
          <w:lang w:val="en-US"/>
        </w:rPr>
        <w:fldChar w:fldCharType="separate"/>
      </w:r>
      <w:r>
        <w:rPr>
          <w:lang w:val="en-US"/>
        </w:rPr>
        <w:t>8</w:t>
      </w:r>
      <w:r w:rsidRPr="002D47D7">
        <w:rPr>
          <w:lang w:val="en-US"/>
        </w:rPr>
        <w:fldChar w:fldCharType="end"/>
      </w:r>
      <w:r w:rsidRPr="002D47D7">
        <w:rPr>
          <w:lang w:val="en-US"/>
        </w:rPr>
        <w:t xml:space="preserve"> </w:t>
      </w:r>
      <w:r>
        <w:rPr>
          <w:lang w:val="en-US"/>
        </w:rPr>
        <w:t>hereof</w:t>
      </w:r>
      <w:r w:rsidRPr="002D47D7">
        <w:rPr>
          <w:lang w:val="en-US"/>
        </w:rPr>
        <w:t xml:space="preserve"> with account of the restrictions specified in </w:t>
      </w:r>
      <w:r>
        <w:rPr>
          <w:lang w:val="en-US"/>
        </w:rPr>
        <w:t>paragraph</w:t>
      </w:r>
      <w:r w:rsidRPr="002D47D7">
        <w:rPr>
          <w:lang w:val="en-US"/>
        </w:rPr>
        <w:t xml:space="preserve"> </w:t>
      </w:r>
      <w:r w:rsidRPr="002D47D7">
        <w:rPr>
          <w:lang w:val="en-US"/>
        </w:rPr>
        <w:fldChar w:fldCharType="begin"/>
      </w:r>
      <w:r w:rsidRPr="002D47D7">
        <w:rPr>
          <w:lang w:val="en-US"/>
        </w:rPr>
        <w:instrText xml:space="preserve"> REF _Ref252884494 \r \h  \* MERGEFORMAT </w:instrText>
      </w:r>
      <w:r w:rsidRPr="002D47D7">
        <w:rPr>
          <w:lang w:val="en-US"/>
        </w:rPr>
      </w:r>
      <w:r w:rsidRPr="002D47D7">
        <w:rPr>
          <w:lang w:val="en-US"/>
        </w:rPr>
        <w:fldChar w:fldCharType="separate"/>
      </w:r>
      <w:r>
        <w:rPr>
          <w:lang w:val="en-US"/>
        </w:rPr>
        <w:t>9</w:t>
      </w:r>
      <w:r w:rsidRPr="002D47D7">
        <w:rPr>
          <w:lang w:val="en-US"/>
        </w:rPr>
        <w:fldChar w:fldCharType="end"/>
      </w:r>
      <w:r w:rsidRPr="002D47D7">
        <w:rPr>
          <w:lang w:val="en-US"/>
        </w:rPr>
        <w:t xml:space="preserve"> </w:t>
      </w:r>
      <w:r>
        <w:rPr>
          <w:lang w:val="en-US"/>
        </w:rPr>
        <w:t>hereof</w:t>
      </w:r>
      <w:r w:rsidRPr="002D47D7">
        <w:rPr>
          <w:lang w:val="en-US"/>
        </w:rPr>
        <w:t>.</w:t>
      </w:r>
    </w:p>
    <w:p w:rsidR="00B30E8A" w:rsidRPr="002D47D7" w:rsidRDefault="00B30E8A" w:rsidP="00B30E8A">
      <w:pPr>
        <w:pStyle w:val="9"/>
        <w:rPr>
          <w:lang w:val="en-US"/>
        </w:rPr>
      </w:pPr>
      <w:bookmarkStart w:id="5" w:name="_Ref252884181"/>
      <w:r w:rsidRPr="002D47D7">
        <w:rPr>
          <w:lang w:val="en-US"/>
        </w:rPr>
        <w:t>The Settlement Price at the end of the day Settlement Period of the current Trading Day shall be calculated under the prices of the Active Orders and Trades from the start of the current Trading Day till the end of the day Settlement Period of the current Trading Day.</w:t>
      </w:r>
    </w:p>
    <w:p w:rsidR="00B30E8A" w:rsidRPr="002D47D7" w:rsidRDefault="00B30E8A" w:rsidP="00B30E8A">
      <w:pPr>
        <w:pStyle w:val="Texttab"/>
        <w:rPr>
          <w:lang w:val="en-US"/>
        </w:rPr>
      </w:pPr>
      <w:r w:rsidRPr="002D47D7">
        <w:rPr>
          <w:lang w:val="en-US"/>
        </w:rPr>
        <w:t>The Settlement Price after the evening Settlement Period of the current Trading Day shall be calculated under the prices of the Active Orders and Trades from the start of the current Trading Day till the end of the evening Settlement Period of the current Trading Day.</w:t>
      </w:r>
    </w:p>
    <w:p w:rsidR="00B30E8A" w:rsidRPr="002D47D7" w:rsidRDefault="00B30E8A" w:rsidP="00B30E8A">
      <w:pPr>
        <w:pStyle w:val="Texttab"/>
        <w:rPr>
          <w:lang w:val="en-US"/>
        </w:rPr>
      </w:pPr>
      <w:r w:rsidRPr="002D47D7">
        <w:rPr>
          <w:lang w:val="en-US"/>
        </w:rPr>
        <w:t xml:space="preserve">For calculation of the Settlement Price after the day Settlement Period of the current Trading Day, a Period is the period from the start of the current Trading Day till the end of the day Settlement Period of the current Trading Day. For calculation of the Settlement Price after the evening Settlement Period of the current Trading Day, a Period is the </w:t>
      </w:r>
      <w:r w:rsidRPr="002D47D7">
        <w:rPr>
          <w:lang w:val="en-US"/>
        </w:rPr>
        <w:lastRenderedPageBreak/>
        <w:t>period from the start of the current Trading Day till the end of the evening Settlement Period of the current Trading Day.</w:t>
      </w:r>
    </w:p>
    <w:p w:rsidR="00B30E8A" w:rsidRPr="002D47D7" w:rsidRDefault="00B30E8A" w:rsidP="00B30E8A">
      <w:pPr>
        <w:pStyle w:val="90"/>
        <w:rPr>
          <w:lang w:val="en-US"/>
        </w:rPr>
      </w:pPr>
      <w:bookmarkStart w:id="6" w:name="_Ref286338516"/>
      <w:bookmarkStart w:id="7" w:name="_Ref72924123"/>
      <w:bookmarkEnd w:id="5"/>
      <w:r w:rsidRPr="002D47D7">
        <w:rPr>
          <w:lang w:val="en-US"/>
        </w:rPr>
        <w:t>If during the Period the Trades are concluded, the Settlement Price shall be equal to the price of the last trade executed during the Trade Period, unless otherwise stipulated therein.</w:t>
      </w:r>
      <w:bookmarkEnd w:id="6"/>
    </w:p>
    <w:p w:rsidR="00B30E8A" w:rsidRPr="002D47D7" w:rsidRDefault="00B30E8A" w:rsidP="00B30E8A">
      <w:pPr>
        <w:pStyle w:val="Texttab"/>
        <w:rPr>
          <w:lang w:val="en-US"/>
        </w:rPr>
      </w:pPr>
      <w:r w:rsidRPr="002D47D7">
        <w:rPr>
          <w:lang w:val="en-US"/>
        </w:rPr>
        <w:t>If at the end of the Period the price of the best Active Buy Order is higher than the price of the last Trade, or the price of the best Active Sell Order is lower than the price of the last Trade, the Settlement Price shall be equal to the price of such Active Order.</w:t>
      </w:r>
    </w:p>
    <w:p w:rsidR="00B30E8A" w:rsidRPr="002D47D7" w:rsidRDefault="00B30E8A" w:rsidP="00B30E8A">
      <w:pPr>
        <w:pStyle w:val="90"/>
        <w:rPr>
          <w:lang w:val="en-US"/>
        </w:rPr>
      </w:pPr>
      <w:bookmarkStart w:id="8" w:name="_Ref286338518"/>
      <w:r w:rsidRPr="002D47D7">
        <w:rPr>
          <w:lang w:val="en-US"/>
        </w:rPr>
        <w:t>If during the Period the Trades are not concluded, the Settlement Price shall be calculated under the prices of the Active Orders in the following procedure:</w:t>
      </w:r>
      <w:bookmarkEnd w:id="8"/>
    </w:p>
    <w:p w:rsidR="00B30E8A" w:rsidRPr="002D47D7" w:rsidRDefault="00B30E8A" w:rsidP="00B30E8A">
      <w:pPr>
        <w:pStyle w:val="Texttab"/>
        <w:rPr>
          <w:lang w:val="en-US"/>
        </w:rPr>
      </w:pPr>
      <w:r w:rsidRPr="002D47D7">
        <w:rPr>
          <w:lang w:val="en-US"/>
        </w:rPr>
        <w:t>if at the end of the Period there are any Active Buy Orders and Active Sell Orders, the Settlement Price shall be equal to the arithmetical mean value of the price of the best Active Buy Order and the price of the best Active Sell Order;</w:t>
      </w:r>
    </w:p>
    <w:p w:rsidR="00B30E8A" w:rsidRPr="002D47D7" w:rsidRDefault="00B30E8A" w:rsidP="00B30E8A">
      <w:pPr>
        <w:pStyle w:val="Texttab"/>
        <w:rPr>
          <w:lang w:val="en-US"/>
        </w:rPr>
      </w:pPr>
      <w:r w:rsidRPr="002D47D7">
        <w:rPr>
          <w:lang w:val="en-US"/>
        </w:rPr>
        <w:t>if at the end of the Period there are any:</w:t>
      </w:r>
    </w:p>
    <w:p w:rsidR="00B30E8A" w:rsidRPr="002D47D7" w:rsidRDefault="00B30E8A" w:rsidP="00B30E8A">
      <w:pPr>
        <w:pStyle w:val="Point2p"/>
        <w:tabs>
          <w:tab w:val="clear" w:pos="1418"/>
          <w:tab w:val="clear" w:pos="2520"/>
          <w:tab w:val="num" w:pos="1260"/>
        </w:tabs>
        <w:ind w:left="1260"/>
        <w:rPr>
          <w:rFonts w:ascii="Times New Roman" w:hAnsi="Times New Roman" w:cs="Times New Roman"/>
          <w:color w:val="auto"/>
          <w:sz w:val="24"/>
          <w:lang w:val="en-US"/>
        </w:rPr>
      </w:pPr>
      <w:r w:rsidRPr="002D47D7">
        <w:rPr>
          <w:rFonts w:ascii="Times New Roman" w:hAnsi="Times New Roman" w:cs="Times New Roman"/>
          <w:color w:val="auto"/>
          <w:sz w:val="24"/>
          <w:lang w:val="en-US"/>
        </w:rPr>
        <w:t>Active Buy Orders with any price higher than the previous Settlement Price, if there are no Active Sell Orders</w:t>
      </w:r>
    </w:p>
    <w:p w:rsidR="00B30E8A" w:rsidRPr="002D47D7" w:rsidRDefault="00B30E8A" w:rsidP="00B30E8A">
      <w:pPr>
        <w:pStyle w:val="Texttab"/>
        <w:rPr>
          <w:lang w:val="en-US"/>
        </w:rPr>
      </w:pPr>
      <w:r w:rsidRPr="002D47D7">
        <w:rPr>
          <w:lang w:val="en-US"/>
        </w:rPr>
        <w:t>or</w:t>
      </w:r>
    </w:p>
    <w:p w:rsidR="00B30E8A" w:rsidRPr="002D47D7" w:rsidRDefault="00B30E8A" w:rsidP="00B30E8A">
      <w:pPr>
        <w:pStyle w:val="Point2p"/>
        <w:tabs>
          <w:tab w:val="clear" w:pos="1418"/>
          <w:tab w:val="left" w:pos="1260"/>
        </w:tabs>
        <w:ind w:left="1260"/>
        <w:rPr>
          <w:rFonts w:ascii="Times New Roman" w:hAnsi="Times New Roman" w:cs="Times New Roman"/>
          <w:color w:val="auto"/>
          <w:sz w:val="24"/>
          <w:lang w:val="en-US"/>
        </w:rPr>
      </w:pPr>
      <w:r w:rsidRPr="002D47D7">
        <w:rPr>
          <w:rFonts w:ascii="Times New Roman" w:hAnsi="Times New Roman" w:cs="Times New Roman"/>
          <w:color w:val="auto"/>
          <w:sz w:val="24"/>
          <w:lang w:val="en-US"/>
        </w:rPr>
        <w:t>Active Sell Orders with any price lower than the previous Settlement Price, if there are no Active Buy Orders</w:t>
      </w:r>
    </w:p>
    <w:p w:rsidR="00B30E8A" w:rsidRPr="002D47D7" w:rsidRDefault="00B30E8A" w:rsidP="00B30E8A">
      <w:pPr>
        <w:pStyle w:val="Texttab"/>
        <w:rPr>
          <w:lang w:val="en-US"/>
        </w:rPr>
      </w:pPr>
      <w:r w:rsidRPr="002D47D7">
        <w:rPr>
          <w:lang w:val="en-US"/>
        </w:rPr>
        <w:t>The Settlement Price shall be equal to the price of the best of such Active Orders.</w:t>
      </w:r>
    </w:p>
    <w:p w:rsidR="00B30E8A" w:rsidRPr="002D47D7" w:rsidRDefault="00B30E8A" w:rsidP="00B30E8A">
      <w:pPr>
        <w:pStyle w:val="90"/>
        <w:rPr>
          <w:lang w:val="en-US"/>
        </w:rPr>
      </w:pPr>
      <w:bookmarkStart w:id="9" w:name="_Ref263432432"/>
      <w:r w:rsidRPr="002D47D7">
        <w:rPr>
          <w:lang w:val="en-US"/>
        </w:rPr>
        <w:t xml:space="preserve">In other cases, except for those stipulated in </w:t>
      </w:r>
      <w:r>
        <w:rPr>
          <w:lang w:val="en-US"/>
        </w:rPr>
        <w:t>paragraph</w:t>
      </w:r>
      <w:r w:rsidRPr="002D47D7">
        <w:rPr>
          <w:lang w:val="en-US"/>
        </w:rPr>
        <w:t xml:space="preserve">s </w:t>
      </w:r>
      <w:r w:rsidRPr="002D47D7">
        <w:rPr>
          <w:lang w:val="en-US"/>
        </w:rPr>
        <w:fldChar w:fldCharType="begin"/>
      </w:r>
      <w:r w:rsidRPr="002D47D7">
        <w:rPr>
          <w:lang w:val="en-US"/>
        </w:rPr>
        <w:instrText xml:space="preserve"> REF _Ref286338516 \r \h  \* MERGEFORMAT </w:instrText>
      </w:r>
      <w:r w:rsidRPr="002D47D7">
        <w:rPr>
          <w:lang w:val="en-US"/>
        </w:rPr>
      </w:r>
      <w:r w:rsidRPr="002D47D7">
        <w:rPr>
          <w:lang w:val="en-US"/>
        </w:rPr>
        <w:fldChar w:fldCharType="separate"/>
      </w:r>
      <w:r>
        <w:rPr>
          <w:lang w:val="en-US"/>
        </w:rPr>
        <w:t>7.1</w:t>
      </w:r>
      <w:r w:rsidRPr="002D47D7">
        <w:rPr>
          <w:lang w:val="en-US"/>
        </w:rPr>
        <w:fldChar w:fldCharType="end"/>
      </w:r>
      <w:r w:rsidRPr="002D47D7">
        <w:rPr>
          <w:lang w:val="en-US"/>
        </w:rPr>
        <w:t xml:space="preserve">, </w:t>
      </w:r>
      <w:r w:rsidRPr="002D47D7">
        <w:rPr>
          <w:lang w:val="en-US"/>
        </w:rPr>
        <w:fldChar w:fldCharType="begin"/>
      </w:r>
      <w:r w:rsidRPr="002D47D7">
        <w:rPr>
          <w:lang w:val="en-US"/>
        </w:rPr>
        <w:instrText xml:space="preserve"> REF _Ref286338518 \r \h  \* MERGEFORMAT </w:instrText>
      </w:r>
      <w:r w:rsidRPr="002D47D7">
        <w:rPr>
          <w:lang w:val="en-US"/>
        </w:rPr>
      </w:r>
      <w:r w:rsidRPr="002D47D7">
        <w:rPr>
          <w:lang w:val="en-US"/>
        </w:rPr>
        <w:fldChar w:fldCharType="separate"/>
      </w:r>
      <w:r>
        <w:rPr>
          <w:lang w:val="en-US"/>
        </w:rPr>
        <w:t>7.2</w:t>
      </w:r>
      <w:r w:rsidRPr="002D47D7">
        <w:rPr>
          <w:lang w:val="en-US"/>
        </w:rPr>
        <w:fldChar w:fldCharType="end"/>
      </w:r>
      <w:r w:rsidRPr="002D47D7">
        <w:rPr>
          <w:lang w:val="en-US"/>
        </w:rPr>
        <w:t xml:space="preserve"> </w:t>
      </w:r>
      <w:r>
        <w:rPr>
          <w:lang w:val="en-US"/>
        </w:rPr>
        <w:t>hereof</w:t>
      </w:r>
      <w:r w:rsidRPr="002D47D7">
        <w:rPr>
          <w:lang w:val="en-US"/>
        </w:rPr>
        <w:t>, the Settlement Price shall be equal to the Settlement Price calculated at the end of the evening Settlement Period of the previous Trading Day</w:t>
      </w:r>
      <w:bookmarkEnd w:id="9"/>
      <w:r w:rsidRPr="002D47D7">
        <w:rPr>
          <w:lang w:val="en-US"/>
        </w:rPr>
        <w:t>.</w:t>
      </w:r>
    </w:p>
    <w:p w:rsidR="00B30E8A" w:rsidRPr="002D47D7" w:rsidRDefault="00B30E8A" w:rsidP="00B30E8A">
      <w:pPr>
        <w:pStyle w:val="9"/>
        <w:rPr>
          <w:lang w:val="en-US"/>
        </w:rPr>
      </w:pPr>
      <w:bookmarkStart w:id="10" w:name="_Ref287884676"/>
      <w:bookmarkEnd w:id="7"/>
      <w:r w:rsidRPr="002D47D7">
        <w:rPr>
          <w:lang w:val="en-US"/>
        </w:rPr>
        <w:t xml:space="preserve">If the difference of the Settlement Price calculated in accordance with </w:t>
      </w:r>
      <w:r>
        <w:rPr>
          <w:lang w:val="en-US"/>
        </w:rPr>
        <w:t>paragraph</w:t>
      </w:r>
      <w:r w:rsidRPr="002D47D7">
        <w:rPr>
          <w:lang w:val="en-US"/>
        </w:rPr>
        <w:t xml:space="preserve">s </w:t>
      </w:r>
      <w:r w:rsidRPr="002D47D7">
        <w:rPr>
          <w:lang w:val="en-US"/>
        </w:rPr>
        <w:fldChar w:fldCharType="begin"/>
      </w:r>
      <w:r w:rsidRPr="002D47D7">
        <w:rPr>
          <w:lang w:val="en-US"/>
        </w:rPr>
        <w:instrText xml:space="preserve"> REF _Ref286338516 \r \h  \* MERGEFORMAT </w:instrText>
      </w:r>
      <w:r w:rsidRPr="002D47D7">
        <w:rPr>
          <w:lang w:val="en-US"/>
        </w:rPr>
      </w:r>
      <w:r w:rsidRPr="002D47D7">
        <w:rPr>
          <w:lang w:val="en-US"/>
        </w:rPr>
        <w:fldChar w:fldCharType="separate"/>
      </w:r>
      <w:r>
        <w:rPr>
          <w:lang w:val="en-US"/>
        </w:rPr>
        <w:t>7.1</w:t>
      </w:r>
      <w:r w:rsidRPr="002D47D7">
        <w:rPr>
          <w:lang w:val="en-US"/>
        </w:rPr>
        <w:fldChar w:fldCharType="end"/>
      </w:r>
      <w:r w:rsidRPr="002D47D7">
        <w:rPr>
          <w:lang w:val="en-US"/>
        </w:rPr>
        <w:t xml:space="preserve">, </w:t>
      </w:r>
      <w:r w:rsidRPr="002D47D7">
        <w:rPr>
          <w:lang w:val="en-US"/>
        </w:rPr>
        <w:fldChar w:fldCharType="begin"/>
      </w:r>
      <w:r w:rsidRPr="002D47D7">
        <w:rPr>
          <w:lang w:val="en-US"/>
        </w:rPr>
        <w:instrText xml:space="preserve"> REF _Ref286338518 \r \h  \* MERGEFORMAT </w:instrText>
      </w:r>
      <w:r w:rsidRPr="002D47D7">
        <w:rPr>
          <w:lang w:val="en-US"/>
        </w:rPr>
      </w:r>
      <w:r w:rsidRPr="002D47D7">
        <w:rPr>
          <w:lang w:val="en-US"/>
        </w:rPr>
        <w:fldChar w:fldCharType="separate"/>
      </w:r>
      <w:r>
        <w:rPr>
          <w:lang w:val="en-US"/>
        </w:rPr>
        <w:t>7.2</w:t>
      </w:r>
      <w:r w:rsidRPr="002D47D7">
        <w:rPr>
          <w:lang w:val="en-US"/>
        </w:rPr>
        <w:fldChar w:fldCharType="end"/>
      </w:r>
      <w:r w:rsidRPr="002D47D7">
        <w:rPr>
          <w:lang w:val="en-US"/>
        </w:rPr>
        <w:t xml:space="preserve"> </w:t>
      </w:r>
      <w:r>
        <w:rPr>
          <w:lang w:val="en-US"/>
        </w:rPr>
        <w:t>hereof</w:t>
      </w:r>
      <w:r w:rsidRPr="002D47D7">
        <w:rPr>
          <w:lang w:val="en-US"/>
        </w:rPr>
        <w:t xml:space="preserve"> from the previous Settlement Price exceeds the Limit of Trade Price Fluctuations set pursuant to the Clearing Rules as of the start of such Settlement Period for such security, the Settlement Price after such Settlement Period shall be equal to the value of the Upper (if the calculated value of the Settlement Price is higher than the Upper Limit of Trade Price Fluctuations) or Lower (if the calculated value of the Settlement Price is lower than the Lower Limit of Trade Price Fluctuations) Limit of Trade Price Fluctuations set as of the start of such Settlement Period for such security.</w:t>
      </w:r>
      <w:bookmarkEnd w:id="10"/>
    </w:p>
    <w:p w:rsidR="00B30E8A" w:rsidRPr="002D47D7" w:rsidRDefault="00B30E8A" w:rsidP="00B30E8A">
      <w:pPr>
        <w:pStyle w:val="9"/>
        <w:rPr>
          <w:lang w:val="en-US"/>
        </w:rPr>
      </w:pPr>
      <w:bookmarkStart w:id="11" w:name="_Ref252884494"/>
      <w:r w:rsidRPr="002D47D7">
        <w:rPr>
          <w:lang w:val="en-US"/>
        </w:rPr>
        <w:t xml:space="preserve">If the Settlement Price of the security which is the non-principal instrument of the </w:t>
      </w:r>
      <w:proofErr w:type="gramStart"/>
      <w:r w:rsidRPr="002D47D7">
        <w:rPr>
          <w:lang w:val="en-US"/>
        </w:rPr>
        <w:t>group,</w:t>
      </w:r>
      <w:proofErr w:type="gramEnd"/>
      <w:r w:rsidRPr="002D47D7">
        <w:rPr>
          <w:lang w:val="en-US"/>
        </w:rPr>
        <w:t xml:space="preserve"> is higher than the upper limit of the Settlement Price or lower than the lower limit of the Settlement Price set in accordance with the Methods for such security, the Settlement Price shall be equal to the upper or lower limit of the Settlement Price.</w:t>
      </w:r>
      <w:bookmarkEnd w:id="11"/>
    </w:p>
    <w:p w:rsidR="00B30E8A" w:rsidRPr="002D47D7" w:rsidRDefault="00B30E8A" w:rsidP="00B30E8A">
      <w:pPr>
        <w:rPr>
          <w:lang w:val="en-US" w:eastAsia="en-US"/>
        </w:rPr>
      </w:pPr>
    </w:p>
    <w:p w:rsidR="00B30E8A" w:rsidRPr="002D47D7" w:rsidRDefault="00B30E8A" w:rsidP="00B30E8A">
      <w:pPr>
        <w:rPr>
          <w:lang w:val="en-US"/>
        </w:rPr>
      </w:pPr>
      <w:bookmarkStart w:id="12" w:name="_GoBack"/>
      <w:bookmarkEnd w:id="12"/>
    </w:p>
    <w:sectPr w:rsidR="00B30E8A" w:rsidRPr="002D47D7" w:rsidSect="00D02AAC">
      <w:endnotePr>
        <w:numFmt w:val="decimal"/>
      </w:endnotePr>
      <w:pgSz w:w="11907" w:h="16840"/>
      <w:pgMar w:top="1418" w:right="992" w:bottom="1418"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11D2"/>
    <w:multiLevelType w:val="multilevel"/>
    <w:tmpl w:val="F62EC334"/>
    <w:lvl w:ilvl="0">
      <w:start w:val="1"/>
      <w:numFmt w:val="decimal"/>
      <w:pStyle w:val="a"/>
      <w:lvlText w:val="%1."/>
      <w:lvlJc w:val="left"/>
      <w:pPr>
        <w:tabs>
          <w:tab w:val="num" w:pos="851"/>
        </w:tabs>
        <w:ind w:left="851" w:hanging="851"/>
      </w:pPr>
      <w:rPr>
        <w:rFonts w:hint="default"/>
      </w:rPr>
    </w:lvl>
    <w:lvl w:ilvl="1">
      <w:start w:val="1"/>
      <w:numFmt w:val="decimal"/>
      <w:pStyle w:val="a0"/>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nsid w:val="176F43F9"/>
    <w:multiLevelType w:val="hybridMultilevel"/>
    <w:tmpl w:val="4A982DB2"/>
    <w:lvl w:ilvl="0" w:tplc="35EE5C52">
      <w:start w:val="1"/>
      <w:numFmt w:val="decimal"/>
      <w:pStyle w:val="a1"/>
      <w:lvlText w:val="%1)"/>
      <w:lvlJc w:val="left"/>
      <w:pPr>
        <w:tabs>
          <w:tab w:val="num" w:pos="1429"/>
        </w:tabs>
        <w:ind w:left="1429" w:hanging="360"/>
      </w:pPr>
      <w:rPr>
        <w:rFonts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
    <w:nsid w:val="19811036"/>
    <w:multiLevelType w:val="hybridMultilevel"/>
    <w:tmpl w:val="6BD89D1C"/>
    <w:lvl w:ilvl="0" w:tplc="B3426EAA">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1F2296"/>
    <w:multiLevelType w:val="multilevel"/>
    <w:tmpl w:val="C52E2256"/>
    <w:lvl w:ilvl="0">
      <w:start w:val="1"/>
      <w:numFmt w:val="upperRoman"/>
      <w:pStyle w:val="a3"/>
      <w:lvlText w:val="РАЗДЕЛ %1."/>
      <w:lvlJc w:val="left"/>
      <w:pPr>
        <w:tabs>
          <w:tab w:val="num" w:pos="1418"/>
        </w:tabs>
        <w:ind w:left="1418" w:hanging="1418"/>
      </w:pPr>
      <w:rPr>
        <w:rFonts w:hint="default"/>
      </w:rPr>
    </w:lvl>
    <w:lvl w:ilvl="1">
      <w:start w:val="1"/>
      <w:numFmt w:val="upperRoman"/>
      <w:pStyle w:val="a4"/>
      <w:lvlText w:val="ПОДРАЗДЕЛ %1-%2."/>
      <w:lvlJc w:val="left"/>
      <w:pPr>
        <w:tabs>
          <w:tab w:val="num" w:pos="1985"/>
        </w:tabs>
        <w:ind w:left="1985" w:hanging="1985"/>
      </w:pPr>
      <w:rPr>
        <w:rFonts w:hint="default"/>
      </w:rPr>
    </w:lvl>
    <w:lvl w:ilvl="2">
      <w:start w:val="1"/>
      <w:numFmt w:val="decimal"/>
      <w:lvlRestart w:val="0"/>
      <w:isLgl/>
      <w:lvlText w:val="Article %3."/>
      <w:lvlJc w:val="left"/>
      <w:pPr>
        <w:tabs>
          <w:tab w:val="num" w:pos="1418"/>
        </w:tabs>
        <w:ind w:left="1418" w:hanging="1418"/>
      </w:pPr>
      <w:rPr>
        <w:rFonts w:hint="default"/>
        <w:b/>
      </w:rPr>
    </w:lvl>
    <w:lvl w:ilvl="3">
      <w:start w:val="18"/>
      <w:numFmt w:val="decimal"/>
      <w:isLgl/>
      <w:lvlText w:val="%3.%4."/>
      <w:lvlJc w:val="left"/>
      <w:pPr>
        <w:tabs>
          <w:tab w:val="num" w:pos="851"/>
        </w:tabs>
        <w:ind w:left="851" w:hanging="851"/>
      </w:pPr>
      <w:rPr>
        <w:rFonts w:hint="default"/>
      </w:rPr>
    </w:lvl>
    <w:lvl w:ilvl="4">
      <w:start w:val="1"/>
      <w:numFmt w:val="decimal"/>
      <w:pStyle w:val="a5"/>
      <w:isLgl/>
      <w:lvlText w:val="%3.%4.%5."/>
      <w:lvlJc w:val="left"/>
      <w:pPr>
        <w:tabs>
          <w:tab w:val="num" w:pos="851"/>
        </w:tabs>
        <w:ind w:left="851"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4.%5.%6.%7.%8.%9."/>
      <w:lvlJc w:val="left"/>
      <w:pPr>
        <w:ind w:left="2367" w:hanging="1800"/>
      </w:pPr>
      <w:rPr>
        <w:rFonts w:hint="default"/>
      </w:rPr>
    </w:lvl>
  </w:abstractNum>
  <w:abstractNum w:abstractNumId="4">
    <w:nsid w:val="26943F32"/>
    <w:multiLevelType w:val="multilevel"/>
    <w:tmpl w:val="63C4C784"/>
    <w:lvl w:ilvl="0">
      <w:start w:val="1"/>
      <w:numFmt w:val="decimal"/>
      <w:pStyle w:val="9"/>
      <w:lvlText w:val="%1."/>
      <w:lvlJc w:val="left"/>
      <w:pPr>
        <w:ind w:left="1211" w:hanging="360"/>
      </w:pPr>
      <w:rPr>
        <w:rFonts w:hint="default"/>
      </w:rPr>
    </w:lvl>
    <w:lvl w:ilvl="1">
      <w:start w:val="1"/>
      <w:numFmt w:val="decimal"/>
      <w:pStyle w:val="90"/>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2A3B53D6"/>
    <w:multiLevelType w:val="hybridMultilevel"/>
    <w:tmpl w:val="1AE64562"/>
    <w:lvl w:ilvl="0" w:tplc="FFFFFFFF">
      <w:start w:val="1"/>
      <w:numFmt w:val="lowerLetter"/>
      <w:pStyle w:val="4"/>
      <w:lvlText w:val="%1)"/>
      <w:lvlJc w:val="left"/>
      <w:pPr>
        <w:ind w:left="1571" w:hanging="360"/>
      </w:pPr>
      <w:rPr>
        <w:rFonts w:ascii="Times New Roman" w:eastAsia="Times New Roman" w:hAnsi="Times New Roman" w:cs="Times New Roman"/>
        <w:b w:val="0"/>
        <w:lang w:val="en-U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2FB73F54"/>
    <w:multiLevelType w:val="hybridMultilevel"/>
    <w:tmpl w:val="14320136"/>
    <w:lvl w:ilvl="0" w:tplc="FFFFFFFF">
      <w:start w:val="1"/>
      <w:numFmt w:val="bullet"/>
      <w:pStyle w:val="a6"/>
      <w:lvlText w:val="o"/>
      <w:lvlJc w:val="left"/>
      <w:pPr>
        <w:tabs>
          <w:tab w:val="num" w:pos="2203"/>
        </w:tabs>
        <w:ind w:left="2203" w:hanging="360"/>
      </w:pPr>
      <w:rPr>
        <w:rFonts w:ascii="Courier New" w:hAnsi="Courier New" w:cs="Courier New"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305147A0"/>
    <w:multiLevelType w:val="hybridMultilevel"/>
    <w:tmpl w:val="2F30B8AE"/>
    <w:lvl w:ilvl="0" w:tplc="FEC0ADE4">
      <w:start w:val="1"/>
      <w:numFmt w:val="decimal"/>
      <w:lvlText w:val="%1)"/>
      <w:lvlJc w:val="left"/>
      <w:pPr>
        <w:tabs>
          <w:tab w:val="num" w:pos="1429"/>
        </w:tabs>
        <w:ind w:left="1429" w:hanging="360"/>
      </w:pPr>
      <w:rPr>
        <w:rFonts w:hint="default"/>
      </w:rPr>
    </w:lvl>
    <w:lvl w:ilvl="1" w:tplc="90B4E8BA">
      <w:start w:val="1"/>
      <w:numFmt w:val="bullet"/>
      <w:lvlText w:val="o"/>
      <w:lvlJc w:val="left"/>
      <w:pPr>
        <w:tabs>
          <w:tab w:val="num" w:pos="2149"/>
        </w:tabs>
        <w:ind w:left="2149" w:hanging="360"/>
      </w:pPr>
      <w:rPr>
        <w:rFonts w:ascii="Courier New" w:hAnsi="Courier New" w:hint="default"/>
      </w:rPr>
    </w:lvl>
    <w:lvl w:ilvl="2" w:tplc="D99A823E">
      <w:start w:val="1"/>
      <w:numFmt w:val="bullet"/>
      <w:lvlText w:val=""/>
      <w:lvlJc w:val="left"/>
      <w:pPr>
        <w:tabs>
          <w:tab w:val="num" w:pos="2869"/>
        </w:tabs>
        <w:ind w:left="2869" w:hanging="360"/>
      </w:pPr>
      <w:rPr>
        <w:rFonts w:ascii="Wingdings" w:hAnsi="Wingdings" w:hint="default"/>
      </w:rPr>
    </w:lvl>
    <w:lvl w:ilvl="3" w:tplc="EDDCCD1E">
      <w:start w:val="1"/>
      <w:numFmt w:val="bullet"/>
      <w:lvlText w:val=""/>
      <w:lvlJc w:val="left"/>
      <w:pPr>
        <w:tabs>
          <w:tab w:val="num" w:pos="3589"/>
        </w:tabs>
        <w:ind w:left="3589" w:hanging="360"/>
      </w:pPr>
      <w:rPr>
        <w:rFonts w:ascii="Symbol" w:hAnsi="Symbol" w:hint="default"/>
      </w:rPr>
    </w:lvl>
    <w:lvl w:ilvl="4" w:tplc="8F5AE442" w:tentative="1">
      <w:start w:val="1"/>
      <w:numFmt w:val="bullet"/>
      <w:lvlText w:val="o"/>
      <w:lvlJc w:val="left"/>
      <w:pPr>
        <w:tabs>
          <w:tab w:val="num" w:pos="4309"/>
        </w:tabs>
        <w:ind w:left="4309" w:hanging="360"/>
      </w:pPr>
      <w:rPr>
        <w:rFonts w:ascii="Courier New" w:hAnsi="Courier New" w:hint="default"/>
      </w:rPr>
    </w:lvl>
    <w:lvl w:ilvl="5" w:tplc="40F096D0" w:tentative="1">
      <w:start w:val="1"/>
      <w:numFmt w:val="bullet"/>
      <w:lvlText w:val=""/>
      <w:lvlJc w:val="left"/>
      <w:pPr>
        <w:tabs>
          <w:tab w:val="num" w:pos="5029"/>
        </w:tabs>
        <w:ind w:left="5029" w:hanging="360"/>
      </w:pPr>
      <w:rPr>
        <w:rFonts w:ascii="Wingdings" w:hAnsi="Wingdings" w:hint="default"/>
      </w:rPr>
    </w:lvl>
    <w:lvl w:ilvl="6" w:tplc="2E1EB290" w:tentative="1">
      <w:start w:val="1"/>
      <w:numFmt w:val="bullet"/>
      <w:lvlText w:val=""/>
      <w:lvlJc w:val="left"/>
      <w:pPr>
        <w:tabs>
          <w:tab w:val="num" w:pos="5749"/>
        </w:tabs>
        <w:ind w:left="5749" w:hanging="360"/>
      </w:pPr>
      <w:rPr>
        <w:rFonts w:ascii="Symbol" w:hAnsi="Symbol" w:hint="default"/>
      </w:rPr>
    </w:lvl>
    <w:lvl w:ilvl="7" w:tplc="BBFC52F4" w:tentative="1">
      <w:start w:val="1"/>
      <w:numFmt w:val="bullet"/>
      <w:lvlText w:val="o"/>
      <w:lvlJc w:val="left"/>
      <w:pPr>
        <w:tabs>
          <w:tab w:val="num" w:pos="6469"/>
        </w:tabs>
        <w:ind w:left="6469" w:hanging="360"/>
      </w:pPr>
      <w:rPr>
        <w:rFonts w:ascii="Courier New" w:hAnsi="Courier New" w:hint="default"/>
      </w:rPr>
    </w:lvl>
    <w:lvl w:ilvl="8" w:tplc="B75A975A" w:tentative="1">
      <w:start w:val="1"/>
      <w:numFmt w:val="bullet"/>
      <w:lvlText w:val=""/>
      <w:lvlJc w:val="left"/>
      <w:pPr>
        <w:tabs>
          <w:tab w:val="num" w:pos="7189"/>
        </w:tabs>
        <w:ind w:left="7189" w:hanging="360"/>
      </w:pPr>
      <w:rPr>
        <w:rFonts w:ascii="Wingdings" w:hAnsi="Wingdings" w:hint="default"/>
      </w:rPr>
    </w:lvl>
  </w:abstractNum>
  <w:abstractNum w:abstractNumId="8">
    <w:nsid w:val="74C87601"/>
    <w:multiLevelType w:val="hybridMultilevel"/>
    <w:tmpl w:val="63308496"/>
    <w:lvl w:ilvl="0" w:tplc="FFFFFFFF">
      <w:start w:val="1"/>
      <w:numFmt w:val="bullet"/>
      <w:pStyle w:val="Point2p"/>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E8A"/>
    <w:rsid w:val="00612152"/>
    <w:rsid w:val="00B30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30E8A"/>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4">
    <w:name w:val="heading 4"/>
    <w:basedOn w:val="a7"/>
    <w:next w:val="a7"/>
    <w:link w:val="40"/>
    <w:qFormat/>
    <w:rsid w:val="00B30E8A"/>
    <w:pPr>
      <w:keepNext/>
      <w:widowControl/>
      <w:numPr>
        <w:numId w:val="2"/>
      </w:numPr>
      <w:spacing w:before="120" w:after="120"/>
      <w:outlineLvl w:val="3"/>
    </w:pPr>
    <w:rPr>
      <w:b/>
      <w:bC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40">
    <w:name w:val="Заголовок 4 Знак"/>
    <w:basedOn w:val="a8"/>
    <w:link w:val="4"/>
    <w:rsid w:val="00B30E8A"/>
    <w:rPr>
      <w:rFonts w:ascii="Times New Roman" w:eastAsia="Times New Roman" w:hAnsi="Times New Roman" w:cs="Times New Roman"/>
      <w:b/>
      <w:bCs/>
      <w:sz w:val="24"/>
      <w:szCs w:val="20"/>
      <w:lang w:eastAsia="ru-RU"/>
    </w:rPr>
  </w:style>
  <w:style w:type="character" w:styleId="ab">
    <w:name w:val="Strong"/>
    <w:uiPriority w:val="22"/>
    <w:qFormat/>
    <w:rsid w:val="00B30E8A"/>
    <w:rPr>
      <w:b/>
      <w:bCs/>
    </w:rPr>
  </w:style>
  <w:style w:type="character" w:styleId="ac">
    <w:name w:val="Emphasis"/>
    <w:qFormat/>
    <w:rsid w:val="00B30E8A"/>
    <w:rPr>
      <w:i/>
      <w:iCs/>
    </w:rPr>
  </w:style>
  <w:style w:type="paragraph" w:customStyle="1" w:styleId="a3">
    <w:name w:val="Раздел"/>
    <w:basedOn w:val="3"/>
    <w:qFormat/>
    <w:rsid w:val="00B30E8A"/>
    <w:pPr>
      <w:keepNext/>
      <w:pageBreakBefore/>
      <w:widowControl/>
      <w:numPr>
        <w:numId w:val="14"/>
      </w:numPr>
      <w:tabs>
        <w:tab w:val="clear" w:pos="1418"/>
        <w:tab w:val="num" w:pos="360"/>
      </w:tabs>
      <w:spacing w:before="360" w:after="0"/>
      <w:ind w:left="283" w:firstLine="567"/>
    </w:pPr>
    <w:rPr>
      <w:b/>
      <w:sz w:val="24"/>
      <w:szCs w:val="20"/>
    </w:rPr>
  </w:style>
  <w:style w:type="paragraph" w:customStyle="1" w:styleId="ad">
    <w:name w:val="Текст таб"/>
    <w:basedOn w:val="a7"/>
    <w:qFormat/>
    <w:rsid w:val="00B30E8A"/>
    <w:pPr>
      <w:widowControl/>
      <w:spacing w:before="120"/>
      <w:ind w:left="851" w:firstLine="0"/>
    </w:pPr>
  </w:style>
  <w:style w:type="paragraph" w:customStyle="1" w:styleId="a5">
    <w:name w:val="Подпункт"/>
    <w:basedOn w:val="a7"/>
    <w:qFormat/>
    <w:rsid w:val="00B30E8A"/>
    <w:pPr>
      <w:widowControl/>
      <w:numPr>
        <w:ilvl w:val="4"/>
        <w:numId w:val="14"/>
      </w:numPr>
      <w:spacing w:before="120"/>
    </w:pPr>
  </w:style>
  <w:style w:type="paragraph" w:customStyle="1" w:styleId="a2">
    <w:name w:val="Пункт с точкой"/>
    <w:basedOn w:val="ae"/>
    <w:qFormat/>
    <w:rsid w:val="00B30E8A"/>
    <w:pPr>
      <w:numPr>
        <w:numId w:val="4"/>
      </w:numPr>
      <w:tabs>
        <w:tab w:val="num" w:pos="360"/>
      </w:tabs>
      <w:spacing w:before="60" w:after="0"/>
      <w:ind w:left="283" w:firstLine="567"/>
    </w:pPr>
    <w:rPr>
      <w:szCs w:val="24"/>
      <w:lang w:val="x-none" w:eastAsia="x-none"/>
    </w:rPr>
  </w:style>
  <w:style w:type="paragraph" w:customStyle="1" w:styleId="Point">
    <w:name w:val="Point"/>
    <w:basedOn w:val="a7"/>
    <w:link w:val="Point1"/>
    <w:qFormat/>
    <w:rsid w:val="00B30E8A"/>
    <w:pPr>
      <w:widowControl/>
      <w:overflowPunct/>
      <w:autoSpaceDE/>
      <w:autoSpaceDN/>
      <w:adjustRightInd/>
      <w:ind w:firstLine="0"/>
      <w:textAlignment w:val="auto"/>
    </w:pPr>
    <w:rPr>
      <w:lang w:val="x-none" w:eastAsia="x-none"/>
    </w:rPr>
  </w:style>
  <w:style w:type="character" w:customStyle="1" w:styleId="Point1">
    <w:name w:val="Point Знак1"/>
    <w:link w:val="Point"/>
    <w:rsid w:val="00B30E8A"/>
    <w:rPr>
      <w:rFonts w:ascii="Times New Roman" w:eastAsia="Times New Roman" w:hAnsi="Times New Roman" w:cs="Times New Roman"/>
      <w:sz w:val="24"/>
      <w:szCs w:val="20"/>
      <w:lang w:val="x-none" w:eastAsia="x-none"/>
    </w:rPr>
  </w:style>
  <w:style w:type="paragraph" w:customStyle="1" w:styleId="Texttab">
    <w:name w:val="Text tab"/>
    <w:basedOn w:val="a7"/>
    <w:link w:val="Texttab0"/>
    <w:qFormat/>
    <w:rsid w:val="00B30E8A"/>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B30E8A"/>
    <w:rPr>
      <w:rFonts w:ascii="Times New Roman" w:eastAsia="Times New Roman" w:hAnsi="Times New Roman" w:cs="Times New Roman"/>
      <w:iCs/>
      <w:noProof/>
      <w:sz w:val="24"/>
      <w:szCs w:val="24"/>
      <w:lang w:val="x-none" w:eastAsia="x-none"/>
    </w:rPr>
  </w:style>
  <w:style w:type="paragraph" w:customStyle="1" w:styleId="a6">
    <w:name w:val="Пункт с пустой точкой"/>
    <w:basedOn w:val="a2"/>
    <w:qFormat/>
    <w:rsid w:val="00B30E8A"/>
    <w:pPr>
      <w:numPr>
        <w:numId w:val="1"/>
      </w:numPr>
      <w:tabs>
        <w:tab w:val="clear" w:pos="2203"/>
        <w:tab w:val="num" w:pos="1985"/>
      </w:tabs>
      <w:ind w:left="1985" w:hanging="567"/>
    </w:pPr>
  </w:style>
  <w:style w:type="paragraph" w:customStyle="1" w:styleId="af">
    <w:name w:val="Пункт с буквой"/>
    <w:basedOn w:val="4"/>
    <w:qFormat/>
    <w:rsid w:val="00B30E8A"/>
    <w:pPr>
      <w:keepNext w:val="0"/>
    </w:pPr>
    <w:rPr>
      <w:b w:val="0"/>
    </w:rPr>
  </w:style>
  <w:style w:type="paragraph" w:customStyle="1" w:styleId="a1">
    <w:name w:val="Пункт с цифрой"/>
    <w:basedOn w:val="a7"/>
    <w:qFormat/>
    <w:rsid w:val="00B30E8A"/>
    <w:pPr>
      <w:widowControl/>
      <w:numPr>
        <w:numId w:val="3"/>
      </w:numPr>
      <w:overflowPunct/>
      <w:autoSpaceDE/>
      <w:autoSpaceDN/>
      <w:adjustRightInd/>
      <w:spacing w:before="60"/>
      <w:textAlignment w:val="auto"/>
    </w:pPr>
    <w:rPr>
      <w:rFonts w:ascii="Times New Roman CYR" w:hAnsi="Times New Roman CYR" w:cs="Times New Roman CYR"/>
      <w:kern w:val="28"/>
      <w:szCs w:val="24"/>
    </w:rPr>
  </w:style>
  <w:style w:type="paragraph" w:customStyle="1" w:styleId="af0">
    <w:name w:val="Доп текст к приложению"/>
    <w:basedOn w:val="ad"/>
    <w:qFormat/>
    <w:rsid w:val="00B30E8A"/>
    <w:pPr>
      <w:widowControl w:val="0"/>
      <w:overflowPunct/>
      <w:autoSpaceDE/>
      <w:autoSpaceDN/>
      <w:spacing w:before="0"/>
      <w:jc w:val="right"/>
      <w:outlineLvl w:val="1"/>
    </w:pPr>
    <w:rPr>
      <w:bCs/>
      <w:szCs w:val="24"/>
      <w:lang w:eastAsia="en-US" w:bidi="en-US"/>
    </w:rPr>
  </w:style>
  <w:style w:type="paragraph" w:customStyle="1" w:styleId="af1">
    <w:name w:val="Дополнение к номеру прилолжения"/>
    <w:basedOn w:val="a7"/>
    <w:qFormat/>
    <w:rsid w:val="00B30E8A"/>
    <w:pPr>
      <w:widowControl/>
      <w:ind w:left="2835" w:firstLine="0"/>
      <w:jc w:val="right"/>
    </w:pPr>
    <w:rPr>
      <w:szCs w:val="24"/>
    </w:rPr>
  </w:style>
  <w:style w:type="paragraph" w:customStyle="1" w:styleId="af2">
    <w:name w:val="Еще один заголовок"/>
    <w:basedOn w:val="a7"/>
    <w:rsid w:val="00B30E8A"/>
    <w:pPr>
      <w:widowControl/>
      <w:overflowPunct/>
      <w:autoSpaceDE/>
      <w:autoSpaceDN/>
      <w:adjustRightInd/>
      <w:spacing w:before="600" w:after="360"/>
      <w:ind w:right="484" w:firstLine="0"/>
      <w:jc w:val="center"/>
      <w:textAlignment w:val="auto"/>
    </w:pPr>
    <w:rPr>
      <w:rFonts w:eastAsia="Arial Unicode MS"/>
      <w:b/>
      <w:bCs/>
      <w:szCs w:val="24"/>
    </w:rPr>
  </w:style>
  <w:style w:type="paragraph" w:customStyle="1" w:styleId="Point2p">
    <w:name w:val="Point2p"/>
    <w:basedOn w:val="a7"/>
    <w:rsid w:val="00B30E8A"/>
    <w:pPr>
      <w:widowControl/>
      <w:numPr>
        <w:numId w:val="5"/>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4">
    <w:name w:val="Подраздел"/>
    <w:basedOn w:val="a7"/>
    <w:qFormat/>
    <w:rsid w:val="00B30E8A"/>
    <w:pPr>
      <w:keepNext/>
      <w:pageBreakBefore/>
      <w:widowControl/>
      <w:numPr>
        <w:ilvl w:val="1"/>
        <w:numId w:val="14"/>
      </w:numPr>
      <w:spacing w:before="240"/>
      <w:outlineLvl w:val="0"/>
    </w:pPr>
    <w:rPr>
      <w:b/>
      <w:bCs/>
    </w:rPr>
  </w:style>
  <w:style w:type="paragraph" w:customStyle="1" w:styleId="9">
    <w:name w:val="Пункт приложения 9"/>
    <w:basedOn w:val="a7"/>
    <w:qFormat/>
    <w:rsid w:val="00B30E8A"/>
    <w:pPr>
      <w:widowControl/>
      <w:numPr>
        <w:numId w:val="6"/>
      </w:numPr>
      <w:tabs>
        <w:tab w:val="left" w:pos="851"/>
      </w:tabs>
      <w:overflowPunct/>
      <w:autoSpaceDE/>
      <w:autoSpaceDN/>
      <w:adjustRightInd/>
      <w:spacing w:before="240"/>
      <w:ind w:left="851" w:hanging="851"/>
      <w:textAlignment w:val="auto"/>
    </w:pPr>
    <w:rPr>
      <w:rFonts w:cs="Arial"/>
      <w:lang w:eastAsia="en-US"/>
    </w:rPr>
  </w:style>
  <w:style w:type="paragraph" w:customStyle="1" w:styleId="90">
    <w:name w:val="Подпункт приложения 9"/>
    <w:basedOn w:val="a7"/>
    <w:qFormat/>
    <w:rsid w:val="00B30E8A"/>
    <w:pPr>
      <w:widowControl/>
      <w:numPr>
        <w:ilvl w:val="1"/>
        <w:numId w:val="6"/>
      </w:numPr>
      <w:tabs>
        <w:tab w:val="left" w:pos="851"/>
      </w:tabs>
      <w:overflowPunct/>
      <w:autoSpaceDE/>
      <w:autoSpaceDN/>
      <w:adjustRightInd/>
      <w:spacing w:before="120"/>
      <w:ind w:left="851" w:hanging="851"/>
      <w:textAlignment w:val="auto"/>
    </w:pPr>
    <w:rPr>
      <w:rFonts w:cs="Arial"/>
      <w:lang w:eastAsia="en-US"/>
    </w:rPr>
  </w:style>
  <w:style w:type="paragraph" w:customStyle="1" w:styleId="a">
    <w:name w:val="Статья приложения"/>
    <w:basedOn w:val="a7"/>
    <w:qFormat/>
    <w:rsid w:val="00B30E8A"/>
    <w:pPr>
      <w:widowControl/>
      <w:numPr>
        <w:numId w:val="12"/>
      </w:numPr>
      <w:tabs>
        <w:tab w:val="left" w:pos="1418"/>
      </w:tabs>
      <w:spacing w:before="240"/>
    </w:pPr>
    <w:rPr>
      <w:b/>
      <w:bCs/>
      <w:szCs w:val="24"/>
      <w:lang w:eastAsia="en-US"/>
    </w:rPr>
  </w:style>
  <w:style w:type="paragraph" w:customStyle="1" w:styleId="a0">
    <w:name w:val="Пункт приложения в статье"/>
    <w:basedOn w:val="a7"/>
    <w:qFormat/>
    <w:rsid w:val="00B30E8A"/>
    <w:pPr>
      <w:numPr>
        <w:ilvl w:val="1"/>
        <w:numId w:val="12"/>
      </w:numPr>
      <w:spacing w:before="120"/>
    </w:pPr>
  </w:style>
  <w:style w:type="paragraph" w:styleId="3">
    <w:name w:val="Body Text Indent 3"/>
    <w:basedOn w:val="a7"/>
    <w:link w:val="30"/>
    <w:uiPriority w:val="99"/>
    <w:semiHidden/>
    <w:unhideWhenUsed/>
    <w:rsid w:val="00B30E8A"/>
    <w:pPr>
      <w:spacing w:after="120"/>
      <w:ind w:left="283"/>
    </w:pPr>
    <w:rPr>
      <w:sz w:val="16"/>
      <w:szCs w:val="16"/>
    </w:rPr>
  </w:style>
  <w:style w:type="character" w:customStyle="1" w:styleId="30">
    <w:name w:val="Основной текст с отступом 3 Знак"/>
    <w:basedOn w:val="a8"/>
    <w:link w:val="3"/>
    <w:uiPriority w:val="99"/>
    <w:semiHidden/>
    <w:rsid w:val="00B30E8A"/>
    <w:rPr>
      <w:rFonts w:ascii="Times New Roman" w:eastAsia="Times New Roman" w:hAnsi="Times New Roman" w:cs="Times New Roman"/>
      <w:sz w:val="16"/>
      <w:szCs w:val="16"/>
      <w:lang w:eastAsia="ru-RU"/>
    </w:rPr>
  </w:style>
  <w:style w:type="paragraph" w:styleId="ae">
    <w:name w:val="Body Text Indent"/>
    <w:basedOn w:val="a7"/>
    <w:link w:val="af3"/>
    <w:uiPriority w:val="99"/>
    <w:semiHidden/>
    <w:unhideWhenUsed/>
    <w:rsid w:val="00B30E8A"/>
    <w:pPr>
      <w:spacing w:after="120"/>
      <w:ind w:left="283"/>
    </w:pPr>
  </w:style>
  <w:style w:type="character" w:customStyle="1" w:styleId="af3">
    <w:name w:val="Основной текст с отступом Знак"/>
    <w:basedOn w:val="a8"/>
    <w:link w:val="ae"/>
    <w:uiPriority w:val="99"/>
    <w:semiHidden/>
    <w:rsid w:val="00B30E8A"/>
    <w:rPr>
      <w:rFonts w:ascii="Times New Roman" w:eastAsia="Times New Roman" w:hAnsi="Times New Roman" w:cs="Times New Roman"/>
      <w:sz w:val="24"/>
      <w:szCs w:val="20"/>
      <w:lang w:eastAsia="ru-RU"/>
    </w:rPr>
  </w:style>
  <w:style w:type="paragraph" w:styleId="af4">
    <w:name w:val="Balloon Text"/>
    <w:basedOn w:val="a7"/>
    <w:link w:val="af5"/>
    <w:uiPriority w:val="99"/>
    <w:semiHidden/>
    <w:unhideWhenUsed/>
    <w:rsid w:val="00B30E8A"/>
    <w:rPr>
      <w:rFonts w:ascii="Tahoma" w:hAnsi="Tahoma" w:cs="Tahoma"/>
      <w:sz w:val="16"/>
      <w:szCs w:val="16"/>
    </w:rPr>
  </w:style>
  <w:style w:type="character" w:customStyle="1" w:styleId="af5">
    <w:name w:val="Текст выноски Знак"/>
    <w:basedOn w:val="a8"/>
    <w:link w:val="af4"/>
    <w:uiPriority w:val="99"/>
    <w:semiHidden/>
    <w:rsid w:val="00B30E8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30E8A"/>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4">
    <w:name w:val="heading 4"/>
    <w:basedOn w:val="a7"/>
    <w:next w:val="a7"/>
    <w:link w:val="40"/>
    <w:qFormat/>
    <w:rsid w:val="00B30E8A"/>
    <w:pPr>
      <w:keepNext/>
      <w:widowControl/>
      <w:numPr>
        <w:numId w:val="2"/>
      </w:numPr>
      <w:spacing w:before="120" w:after="120"/>
      <w:outlineLvl w:val="3"/>
    </w:pPr>
    <w:rPr>
      <w:b/>
      <w:bC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40">
    <w:name w:val="Заголовок 4 Знак"/>
    <w:basedOn w:val="a8"/>
    <w:link w:val="4"/>
    <w:rsid w:val="00B30E8A"/>
    <w:rPr>
      <w:rFonts w:ascii="Times New Roman" w:eastAsia="Times New Roman" w:hAnsi="Times New Roman" w:cs="Times New Roman"/>
      <w:b/>
      <w:bCs/>
      <w:sz w:val="24"/>
      <w:szCs w:val="20"/>
      <w:lang w:eastAsia="ru-RU"/>
    </w:rPr>
  </w:style>
  <w:style w:type="character" w:styleId="ab">
    <w:name w:val="Strong"/>
    <w:uiPriority w:val="22"/>
    <w:qFormat/>
    <w:rsid w:val="00B30E8A"/>
    <w:rPr>
      <w:b/>
      <w:bCs/>
    </w:rPr>
  </w:style>
  <w:style w:type="character" w:styleId="ac">
    <w:name w:val="Emphasis"/>
    <w:qFormat/>
    <w:rsid w:val="00B30E8A"/>
    <w:rPr>
      <w:i/>
      <w:iCs/>
    </w:rPr>
  </w:style>
  <w:style w:type="paragraph" w:customStyle="1" w:styleId="a3">
    <w:name w:val="Раздел"/>
    <w:basedOn w:val="3"/>
    <w:qFormat/>
    <w:rsid w:val="00B30E8A"/>
    <w:pPr>
      <w:keepNext/>
      <w:pageBreakBefore/>
      <w:widowControl/>
      <w:numPr>
        <w:numId w:val="14"/>
      </w:numPr>
      <w:tabs>
        <w:tab w:val="clear" w:pos="1418"/>
        <w:tab w:val="num" w:pos="360"/>
      </w:tabs>
      <w:spacing w:before="360" w:after="0"/>
      <w:ind w:left="283" w:firstLine="567"/>
    </w:pPr>
    <w:rPr>
      <w:b/>
      <w:sz w:val="24"/>
      <w:szCs w:val="20"/>
    </w:rPr>
  </w:style>
  <w:style w:type="paragraph" w:customStyle="1" w:styleId="ad">
    <w:name w:val="Текст таб"/>
    <w:basedOn w:val="a7"/>
    <w:qFormat/>
    <w:rsid w:val="00B30E8A"/>
    <w:pPr>
      <w:widowControl/>
      <w:spacing w:before="120"/>
      <w:ind w:left="851" w:firstLine="0"/>
    </w:pPr>
  </w:style>
  <w:style w:type="paragraph" w:customStyle="1" w:styleId="a5">
    <w:name w:val="Подпункт"/>
    <w:basedOn w:val="a7"/>
    <w:qFormat/>
    <w:rsid w:val="00B30E8A"/>
    <w:pPr>
      <w:widowControl/>
      <w:numPr>
        <w:ilvl w:val="4"/>
        <w:numId w:val="14"/>
      </w:numPr>
      <w:spacing w:before="120"/>
    </w:pPr>
  </w:style>
  <w:style w:type="paragraph" w:customStyle="1" w:styleId="a2">
    <w:name w:val="Пункт с точкой"/>
    <w:basedOn w:val="ae"/>
    <w:qFormat/>
    <w:rsid w:val="00B30E8A"/>
    <w:pPr>
      <w:numPr>
        <w:numId w:val="4"/>
      </w:numPr>
      <w:tabs>
        <w:tab w:val="num" w:pos="360"/>
      </w:tabs>
      <w:spacing w:before="60" w:after="0"/>
      <w:ind w:left="283" w:firstLine="567"/>
    </w:pPr>
    <w:rPr>
      <w:szCs w:val="24"/>
      <w:lang w:val="x-none" w:eastAsia="x-none"/>
    </w:rPr>
  </w:style>
  <w:style w:type="paragraph" w:customStyle="1" w:styleId="Point">
    <w:name w:val="Point"/>
    <w:basedOn w:val="a7"/>
    <w:link w:val="Point1"/>
    <w:qFormat/>
    <w:rsid w:val="00B30E8A"/>
    <w:pPr>
      <w:widowControl/>
      <w:overflowPunct/>
      <w:autoSpaceDE/>
      <w:autoSpaceDN/>
      <w:adjustRightInd/>
      <w:ind w:firstLine="0"/>
      <w:textAlignment w:val="auto"/>
    </w:pPr>
    <w:rPr>
      <w:lang w:val="x-none" w:eastAsia="x-none"/>
    </w:rPr>
  </w:style>
  <w:style w:type="character" w:customStyle="1" w:styleId="Point1">
    <w:name w:val="Point Знак1"/>
    <w:link w:val="Point"/>
    <w:rsid w:val="00B30E8A"/>
    <w:rPr>
      <w:rFonts w:ascii="Times New Roman" w:eastAsia="Times New Roman" w:hAnsi="Times New Roman" w:cs="Times New Roman"/>
      <w:sz w:val="24"/>
      <w:szCs w:val="20"/>
      <w:lang w:val="x-none" w:eastAsia="x-none"/>
    </w:rPr>
  </w:style>
  <w:style w:type="paragraph" w:customStyle="1" w:styleId="Texttab">
    <w:name w:val="Text tab"/>
    <w:basedOn w:val="a7"/>
    <w:link w:val="Texttab0"/>
    <w:qFormat/>
    <w:rsid w:val="00B30E8A"/>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B30E8A"/>
    <w:rPr>
      <w:rFonts w:ascii="Times New Roman" w:eastAsia="Times New Roman" w:hAnsi="Times New Roman" w:cs="Times New Roman"/>
      <w:iCs/>
      <w:noProof/>
      <w:sz w:val="24"/>
      <w:szCs w:val="24"/>
      <w:lang w:val="x-none" w:eastAsia="x-none"/>
    </w:rPr>
  </w:style>
  <w:style w:type="paragraph" w:customStyle="1" w:styleId="a6">
    <w:name w:val="Пункт с пустой точкой"/>
    <w:basedOn w:val="a2"/>
    <w:qFormat/>
    <w:rsid w:val="00B30E8A"/>
    <w:pPr>
      <w:numPr>
        <w:numId w:val="1"/>
      </w:numPr>
      <w:tabs>
        <w:tab w:val="clear" w:pos="2203"/>
        <w:tab w:val="num" w:pos="1985"/>
      </w:tabs>
      <w:ind w:left="1985" w:hanging="567"/>
    </w:pPr>
  </w:style>
  <w:style w:type="paragraph" w:customStyle="1" w:styleId="af">
    <w:name w:val="Пункт с буквой"/>
    <w:basedOn w:val="4"/>
    <w:qFormat/>
    <w:rsid w:val="00B30E8A"/>
    <w:pPr>
      <w:keepNext w:val="0"/>
    </w:pPr>
    <w:rPr>
      <w:b w:val="0"/>
    </w:rPr>
  </w:style>
  <w:style w:type="paragraph" w:customStyle="1" w:styleId="a1">
    <w:name w:val="Пункт с цифрой"/>
    <w:basedOn w:val="a7"/>
    <w:qFormat/>
    <w:rsid w:val="00B30E8A"/>
    <w:pPr>
      <w:widowControl/>
      <w:numPr>
        <w:numId w:val="3"/>
      </w:numPr>
      <w:overflowPunct/>
      <w:autoSpaceDE/>
      <w:autoSpaceDN/>
      <w:adjustRightInd/>
      <w:spacing w:before="60"/>
      <w:textAlignment w:val="auto"/>
    </w:pPr>
    <w:rPr>
      <w:rFonts w:ascii="Times New Roman CYR" w:hAnsi="Times New Roman CYR" w:cs="Times New Roman CYR"/>
      <w:kern w:val="28"/>
      <w:szCs w:val="24"/>
    </w:rPr>
  </w:style>
  <w:style w:type="paragraph" w:customStyle="1" w:styleId="af0">
    <w:name w:val="Доп текст к приложению"/>
    <w:basedOn w:val="ad"/>
    <w:qFormat/>
    <w:rsid w:val="00B30E8A"/>
    <w:pPr>
      <w:widowControl w:val="0"/>
      <w:overflowPunct/>
      <w:autoSpaceDE/>
      <w:autoSpaceDN/>
      <w:spacing w:before="0"/>
      <w:jc w:val="right"/>
      <w:outlineLvl w:val="1"/>
    </w:pPr>
    <w:rPr>
      <w:bCs/>
      <w:szCs w:val="24"/>
      <w:lang w:eastAsia="en-US" w:bidi="en-US"/>
    </w:rPr>
  </w:style>
  <w:style w:type="paragraph" w:customStyle="1" w:styleId="af1">
    <w:name w:val="Дополнение к номеру прилолжения"/>
    <w:basedOn w:val="a7"/>
    <w:qFormat/>
    <w:rsid w:val="00B30E8A"/>
    <w:pPr>
      <w:widowControl/>
      <w:ind w:left="2835" w:firstLine="0"/>
      <w:jc w:val="right"/>
    </w:pPr>
    <w:rPr>
      <w:szCs w:val="24"/>
    </w:rPr>
  </w:style>
  <w:style w:type="paragraph" w:customStyle="1" w:styleId="af2">
    <w:name w:val="Еще один заголовок"/>
    <w:basedOn w:val="a7"/>
    <w:rsid w:val="00B30E8A"/>
    <w:pPr>
      <w:widowControl/>
      <w:overflowPunct/>
      <w:autoSpaceDE/>
      <w:autoSpaceDN/>
      <w:adjustRightInd/>
      <w:spacing w:before="600" w:after="360"/>
      <w:ind w:right="484" w:firstLine="0"/>
      <w:jc w:val="center"/>
      <w:textAlignment w:val="auto"/>
    </w:pPr>
    <w:rPr>
      <w:rFonts w:eastAsia="Arial Unicode MS"/>
      <w:b/>
      <w:bCs/>
      <w:szCs w:val="24"/>
    </w:rPr>
  </w:style>
  <w:style w:type="paragraph" w:customStyle="1" w:styleId="Point2p">
    <w:name w:val="Point2p"/>
    <w:basedOn w:val="a7"/>
    <w:rsid w:val="00B30E8A"/>
    <w:pPr>
      <w:widowControl/>
      <w:numPr>
        <w:numId w:val="5"/>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4">
    <w:name w:val="Подраздел"/>
    <w:basedOn w:val="a7"/>
    <w:qFormat/>
    <w:rsid w:val="00B30E8A"/>
    <w:pPr>
      <w:keepNext/>
      <w:pageBreakBefore/>
      <w:widowControl/>
      <w:numPr>
        <w:ilvl w:val="1"/>
        <w:numId w:val="14"/>
      </w:numPr>
      <w:spacing w:before="240"/>
      <w:outlineLvl w:val="0"/>
    </w:pPr>
    <w:rPr>
      <w:b/>
      <w:bCs/>
    </w:rPr>
  </w:style>
  <w:style w:type="paragraph" w:customStyle="1" w:styleId="9">
    <w:name w:val="Пункт приложения 9"/>
    <w:basedOn w:val="a7"/>
    <w:qFormat/>
    <w:rsid w:val="00B30E8A"/>
    <w:pPr>
      <w:widowControl/>
      <w:numPr>
        <w:numId w:val="6"/>
      </w:numPr>
      <w:tabs>
        <w:tab w:val="left" w:pos="851"/>
      </w:tabs>
      <w:overflowPunct/>
      <w:autoSpaceDE/>
      <w:autoSpaceDN/>
      <w:adjustRightInd/>
      <w:spacing w:before="240"/>
      <w:ind w:left="851" w:hanging="851"/>
      <w:textAlignment w:val="auto"/>
    </w:pPr>
    <w:rPr>
      <w:rFonts w:cs="Arial"/>
      <w:lang w:eastAsia="en-US"/>
    </w:rPr>
  </w:style>
  <w:style w:type="paragraph" w:customStyle="1" w:styleId="90">
    <w:name w:val="Подпункт приложения 9"/>
    <w:basedOn w:val="a7"/>
    <w:qFormat/>
    <w:rsid w:val="00B30E8A"/>
    <w:pPr>
      <w:widowControl/>
      <w:numPr>
        <w:ilvl w:val="1"/>
        <w:numId w:val="6"/>
      </w:numPr>
      <w:tabs>
        <w:tab w:val="left" w:pos="851"/>
      </w:tabs>
      <w:overflowPunct/>
      <w:autoSpaceDE/>
      <w:autoSpaceDN/>
      <w:adjustRightInd/>
      <w:spacing w:before="120"/>
      <w:ind w:left="851" w:hanging="851"/>
      <w:textAlignment w:val="auto"/>
    </w:pPr>
    <w:rPr>
      <w:rFonts w:cs="Arial"/>
      <w:lang w:eastAsia="en-US"/>
    </w:rPr>
  </w:style>
  <w:style w:type="paragraph" w:customStyle="1" w:styleId="a">
    <w:name w:val="Статья приложения"/>
    <w:basedOn w:val="a7"/>
    <w:qFormat/>
    <w:rsid w:val="00B30E8A"/>
    <w:pPr>
      <w:widowControl/>
      <w:numPr>
        <w:numId w:val="12"/>
      </w:numPr>
      <w:tabs>
        <w:tab w:val="left" w:pos="1418"/>
      </w:tabs>
      <w:spacing w:before="240"/>
    </w:pPr>
    <w:rPr>
      <w:b/>
      <w:bCs/>
      <w:szCs w:val="24"/>
      <w:lang w:eastAsia="en-US"/>
    </w:rPr>
  </w:style>
  <w:style w:type="paragraph" w:customStyle="1" w:styleId="a0">
    <w:name w:val="Пункт приложения в статье"/>
    <w:basedOn w:val="a7"/>
    <w:qFormat/>
    <w:rsid w:val="00B30E8A"/>
    <w:pPr>
      <w:numPr>
        <w:ilvl w:val="1"/>
        <w:numId w:val="12"/>
      </w:numPr>
      <w:spacing w:before="120"/>
    </w:pPr>
  </w:style>
  <w:style w:type="paragraph" w:styleId="3">
    <w:name w:val="Body Text Indent 3"/>
    <w:basedOn w:val="a7"/>
    <w:link w:val="30"/>
    <w:uiPriority w:val="99"/>
    <w:semiHidden/>
    <w:unhideWhenUsed/>
    <w:rsid w:val="00B30E8A"/>
    <w:pPr>
      <w:spacing w:after="120"/>
      <w:ind w:left="283"/>
    </w:pPr>
    <w:rPr>
      <w:sz w:val="16"/>
      <w:szCs w:val="16"/>
    </w:rPr>
  </w:style>
  <w:style w:type="character" w:customStyle="1" w:styleId="30">
    <w:name w:val="Основной текст с отступом 3 Знак"/>
    <w:basedOn w:val="a8"/>
    <w:link w:val="3"/>
    <w:uiPriority w:val="99"/>
    <w:semiHidden/>
    <w:rsid w:val="00B30E8A"/>
    <w:rPr>
      <w:rFonts w:ascii="Times New Roman" w:eastAsia="Times New Roman" w:hAnsi="Times New Roman" w:cs="Times New Roman"/>
      <w:sz w:val="16"/>
      <w:szCs w:val="16"/>
      <w:lang w:eastAsia="ru-RU"/>
    </w:rPr>
  </w:style>
  <w:style w:type="paragraph" w:styleId="ae">
    <w:name w:val="Body Text Indent"/>
    <w:basedOn w:val="a7"/>
    <w:link w:val="af3"/>
    <w:uiPriority w:val="99"/>
    <w:semiHidden/>
    <w:unhideWhenUsed/>
    <w:rsid w:val="00B30E8A"/>
    <w:pPr>
      <w:spacing w:after="120"/>
      <w:ind w:left="283"/>
    </w:pPr>
  </w:style>
  <w:style w:type="character" w:customStyle="1" w:styleId="af3">
    <w:name w:val="Основной текст с отступом Знак"/>
    <w:basedOn w:val="a8"/>
    <w:link w:val="ae"/>
    <w:uiPriority w:val="99"/>
    <w:semiHidden/>
    <w:rsid w:val="00B30E8A"/>
    <w:rPr>
      <w:rFonts w:ascii="Times New Roman" w:eastAsia="Times New Roman" w:hAnsi="Times New Roman" w:cs="Times New Roman"/>
      <w:sz w:val="24"/>
      <w:szCs w:val="20"/>
      <w:lang w:eastAsia="ru-RU"/>
    </w:rPr>
  </w:style>
  <w:style w:type="paragraph" w:styleId="af4">
    <w:name w:val="Balloon Text"/>
    <w:basedOn w:val="a7"/>
    <w:link w:val="af5"/>
    <w:uiPriority w:val="99"/>
    <w:semiHidden/>
    <w:unhideWhenUsed/>
    <w:rsid w:val="00B30E8A"/>
    <w:rPr>
      <w:rFonts w:ascii="Tahoma" w:hAnsi="Tahoma" w:cs="Tahoma"/>
      <w:sz w:val="16"/>
      <w:szCs w:val="16"/>
    </w:rPr>
  </w:style>
  <w:style w:type="character" w:customStyle="1" w:styleId="af5">
    <w:name w:val="Текст выноски Знак"/>
    <w:basedOn w:val="a8"/>
    <w:link w:val="af4"/>
    <w:uiPriority w:val="99"/>
    <w:semiHidden/>
    <w:rsid w:val="00B30E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 Игоревна</dc:creator>
  <cp:lastModifiedBy>Никитина Татьяна Игоревна</cp:lastModifiedBy>
  <cp:revision>1</cp:revision>
  <dcterms:created xsi:type="dcterms:W3CDTF">2014-08-26T12:03:00Z</dcterms:created>
  <dcterms:modified xsi:type="dcterms:W3CDTF">2014-08-26T12:03:00Z</dcterms:modified>
</cp:coreProperties>
</file>