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95167" w14:textId="77777777" w:rsidR="00D11D5A" w:rsidRPr="00D11D5A" w:rsidRDefault="00D11D5A" w:rsidP="00C97E61">
      <w:pPr>
        <w:ind w:left="9356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/>
          <w:bCs/>
          <w:sz w:val="22"/>
          <w:szCs w:val="22"/>
          <w:lang w:val="x-none" w:eastAsia="x-none"/>
        </w:rPr>
        <w:t>УТВЕРЖДЕН</w:t>
      </w:r>
    </w:p>
    <w:p w14:paraId="738CA441" w14:textId="77777777" w:rsidR="00EB4167" w:rsidRPr="00D11D5A" w:rsidRDefault="00EB4167" w:rsidP="00C97E61">
      <w:pPr>
        <w:tabs>
          <w:tab w:val="left" w:pos="4962"/>
        </w:tabs>
        <w:ind w:left="9356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 xml:space="preserve">Приказом Председателя Правления Публичного акционерного общества </w:t>
      </w:r>
    </w:p>
    <w:p w14:paraId="758633EB" w14:textId="77777777" w:rsidR="00EB4167" w:rsidRPr="00D11D5A" w:rsidRDefault="00EB4167" w:rsidP="00C97E61">
      <w:pPr>
        <w:tabs>
          <w:tab w:val="left" w:pos="4962"/>
        </w:tabs>
        <w:ind w:left="9356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«Московская Биржа ММВБ-РТС»</w:t>
      </w:r>
    </w:p>
    <w:p w14:paraId="3882A433" w14:textId="709BD0B2" w:rsidR="00EB4167" w:rsidRPr="00D11D5A" w:rsidRDefault="00EB4167" w:rsidP="00C97E61">
      <w:pPr>
        <w:tabs>
          <w:tab w:val="left" w:pos="4962"/>
        </w:tabs>
        <w:ind w:left="9356" w:right="27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(Приказ </w:t>
      </w:r>
      <w:r>
        <w:rPr>
          <w:rFonts w:ascii="Tahoma" w:hAnsi="Tahoma" w:cs="Tahoma"/>
          <w:bCs/>
          <w:sz w:val="22"/>
          <w:szCs w:val="22"/>
          <w:lang w:eastAsia="x-none"/>
        </w:rPr>
        <w:t>№ МБ-П-202</w:t>
      </w:r>
      <w:r w:rsidR="00B6493F">
        <w:rPr>
          <w:rFonts w:ascii="Tahoma" w:hAnsi="Tahoma" w:cs="Tahoma"/>
          <w:bCs/>
          <w:sz w:val="22"/>
          <w:szCs w:val="22"/>
          <w:lang w:eastAsia="x-none"/>
        </w:rPr>
        <w:t>2</w:t>
      </w:r>
      <w:r>
        <w:rPr>
          <w:rFonts w:ascii="Tahoma" w:hAnsi="Tahoma" w:cs="Tahoma"/>
          <w:bCs/>
          <w:sz w:val="22"/>
          <w:szCs w:val="22"/>
          <w:lang w:eastAsia="x-none"/>
        </w:rPr>
        <w:t>-</w:t>
      </w:r>
      <w:r w:rsidR="00C97E61">
        <w:rPr>
          <w:rFonts w:ascii="Tahoma" w:hAnsi="Tahoma" w:cs="Tahoma"/>
          <w:bCs/>
          <w:sz w:val="22"/>
          <w:szCs w:val="22"/>
          <w:lang w:eastAsia="x-none"/>
        </w:rPr>
        <w:t xml:space="preserve">2870 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от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C97E61">
        <w:rPr>
          <w:rFonts w:ascii="Tahoma" w:hAnsi="Tahoma" w:cs="Tahoma"/>
          <w:bCs/>
          <w:sz w:val="22"/>
          <w:szCs w:val="22"/>
          <w:lang w:eastAsia="x-none"/>
        </w:rPr>
        <w:t>20 декабря</w:t>
      </w:r>
      <w:r w:rsidR="004211ED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Pr="00946840">
        <w:rPr>
          <w:rFonts w:ascii="Tahoma" w:hAnsi="Tahoma" w:cs="Tahoma"/>
          <w:bCs/>
          <w:sz w:val="22"/>
          <w:szCs w:val="22"/>
          <w:lang w:eastAsia="x-none"/>
        </w:rPr>
        <w:t>2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02</w:t>
      </w:r>
      <w:r w:rsidR="00B6493F">
        <w:rPr>
          <w:rFonts w:ascii="Tahoma" w:hAnsi="Tahoma" w:cs="Tahoma"/>
          <w:bCs/>
          <w:sz w:val="22"/>
          <w:szCs w:val="22"/>
          <w:lang w:eastAsia="x-none"/>
        </w:rPr>
        <w:t xml:space="preserve">2 </w:t>
      </w: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г)</w:t>
      </w:r>
    </w:p>
    <w:p w14:paraId="5DE9F4BB" w14:textId="77777777" w:rsidR="00AD3ECE" w:rsidRPr="00EB4167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  <w:lang w:val="x-none"/>
        </w:rPr>
      </w:pPr>
    </w:p>
    <w:p w14:paraId="735E92E8" w14:textId="77777777"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0E36BA7B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9CBF3F" w14:textId="693ECE92"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ОПЦИОНОВ </w:t>
      </w:r>
      <w:bookmarkStart w:id="0" w:name="_GoBack"/>
      <w:bookmarkEnd w:id="0"/>
    </w:p>
    <w:p w14:paraId="6C61C76C" w14:textId="2987AA5B"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российских эмитентов</w:t>
      </w:r>
    </w:p>
    <w:p w14:paraId="7E2C7DE1" w14:textId="77777777"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3402"/>
        <w:gridCol w:w="1843"/>
        <w:gridCol w:w="1559"/>
        <w:gridCol w:w="1559"/>
        <w:gridCol w:w="1701"/>
        <w:gridCol w:w="1418"/>
      </w:tblGrid>
      <w:tr w:rsidR="00875499" w:rsidRPr="00CD2745" w14:paraId="55AADE1E" w14:textId="77777777" w:rsidTr="004211ED">
        <w:trPr>
          <w:trHeight w:val="720"/>
        </w:trPr>
        <w:tc>
          <w:tcPr>
            <w:tcW w:w="659" w:type="dxa"/>
            <w:vAlign w:val="center"/>
          </w:tcPr>
          <w:p w14:paraId="0BE6267D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3447" w:type="dxa"/>
            <w:vAlign w:val="center"/>
          </w:tcPr>
          <w:p w14:paraId="175F45BB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14:paraId="3D02D2E0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исный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</w:t>
            </w:r>
          </w:p>
        </w:tc>
        <w:tc>
          <w:tcPr>
            <w:tcW w:w="1843" w:type="dxa"/>
            <w:vAlign w:val="center"/>
          </w:tcPr>
          <w:p w14:paraId="4F8FC952" w14:textId="77777777" w:rsidR="00875499" w:rsidRPr="00296423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6423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4E17AE61" w14:textId="251D76B2" w:rsidR="00875499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6423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197013FB" w14:textId="77777777" w:rsidR="00875499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  <w:sz w:val="20"/>
                <w:szCs w:val="20"/>
              </w:rPr>
              <w:t>_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Coeff</w:t>
            </w:r>
            <w:proofErr w:type="spellEnd"/>
          </w:p>
          <w:p w14:paraId="4C761D13" w14:textId="7BBB521B" w:rsidR="00875499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3060C134" w14:textId="6E18E780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</w:p>
        </w:tc>
        <w:tc>
          <w:tcPr>
            <w:tcW w:w="1701" w:type="dxa"/>
            <w:vAlign w:val="center"/>
          </w:tcPr>
          <w:p w14:paraId="0AE0BBF7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6A979E90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875499" w:rsidRPr="00CD2745" w14:paraId="6A13543F" w14:textId="77777777" w:rsidTr="004211ED">
        <w:trPr>
          <w:trHeight w:val="480"/>
        </w:trPr>
        <w:tc>
          <w:tcPr>
            <w:tcW w:w="659" w:type="dxa"/>
            <w:vAlign w:val="center"/>
          </w:tcPr>
          <w:p w14:paraId="1717FCA4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E43EDF5" w14:textId="1A1E1D7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«Сбербанк России»</w:t>
            </w:r>
          </w:p>
        </w:tc>
        <w:tc>
          <w:tcPr>
            <w:tcW w:w="3402" w:type="dxa"/>
            <w:vAlign w:val="center"/>
          </w:tcPr>
          <w:p w14:paraId="5F0C8354" w14:textId="5B4C97A5" w:rsidR="00875499" w:rsidRPr="001267B6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«Сбербанк России»,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RU0009029540</w:t>
            </w:r>
          </w:p>
        </w:tc>
        <w:tc>
          <w:tcPr>
            <w:tcW w:w="1843" w:type="dxa"/>
            <w:vAlign w:val="center"/>
          </w:tcPr>
          <w:p w14:paraId="20D3FC2F" w14:textId="31B0B559" w:rsidR="00875499" w:rsidRPr="0048494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3353C49" w14:textId="5CD9D159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E17179C" w14:textId="6A463A3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SBER</w:t>
            </w:r>
          </w:p>
        </w:tc>
        <w:tc>
          <w:tcPr>
            <w:tcW w:w="1701" w:type="dxa"/>
            <w:vAlign w:val="center"/>
          </w:tcPr>
          <w:p w14:paraId="56F1C3AA" w14:textId="149BA41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13EC44AD" w14:textId="787A018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1BF07C53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A3858C7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EB2CA32" w14:textId="7B9A683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«Газпром»</w:t>
            </w:r>
          </w:p>
        </w:tc>
        <w:tc>
          <w:tcPr>
            <w:tcW w:w="3402" w:type="dxa"/>
            <w:vAlign w:val="center"/>
          </w:tcPr>
          <w:p w14:paraId="0C03BC67" w14:textId="6D9E139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«Газпром»,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RU0007661625</w:t>
            </w:r>
          </w:p>
        </w:tc>
        <w:tc>
          <w:tcPr>
            <w:tcW w:w="1843" w:type="dxa"/>
            <w:vAlign w:val="center"/>
          </w:tcPr>
          <w:p w14:paraId="2DB0B5DC" w14:textId="584D16BA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BDC9242" w14:textId="2B4121D1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65F85E7" w14:textId="4C56753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GAZP</w:t>
            </w:r>
          </w:p>
        </w:tc>
        <w:tc>
          <w:tcPr>
            <w:tcW w:w="1701" w:type="dxa"/>
            <w:vAlign w:val="center"/>
          </w:tcPr>
          <w:p w14:paraId="19A0912A" w14:textId="360FF56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FEDAC1C" w14:textId="1D47411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50D6D9F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666E9693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B9384DB" w14:textId="51982DA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«НК «ЛУКОЙЛ»</w:t>
            </w:r>
          </w:p>
        </w:tc>
        <w:tc>
          <w:tcPr>
            <w:tcW w:w="3402" w:type="dxa"/>
            <w:vAlign w:val="center"/>
          </w:tcPr>
          <w:p w14:paraId="255C9E47" w14:textId="561C188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«НК «ЛУКОЙЛ»,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RU0009024277</w:t>
            </w:r>
          </w:p>
        </w:tc>
        <w:tc>
          <w:tcPr>
            <w:tcW w:w="1843" w:type="dxa"/>
            <w:vAlign w:val="center"/>
          </w:tcPr>
          <w:p w14:paraId="6D30BFAA" w14:textId="2FBF9F2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56791C7" w14:textId="7CBB2AA2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235CD9B" w14:textId="47E3B36F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LKOH</w:t>
            </w:r>
          </w:p>
        </w:tc>
        <w:tc>
          <w:tcPr>
            <w:tcW w:w="1701" w:type="dxa"/>
            <w:vAlign w:val="center"/>
          </w:tcPr>
          <w:p w14:paraId="651D55B3" w14:textId="64A411E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16D9C2E" w14:textId="0550657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D013A32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F334F97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E814418" w14:textId="7851AB8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«Горно-металлургическая компания «Норильский никель»</w:t>
            </w:r>
          </w:p>
        </w:tc>
        <w:tc>
          <w:tcPr>
            <w:tcW w:w="3402" w:type="dxa"/>
            <w:vAlign w:val="center"/>
          </w:tcPr>
          <w:p w14:paraId="701E50D1" w14:textId="702E01F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«Горно-металлургическая компания «Норильский никель»,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RU0007288411</w:t>
            </w:r>
          </w:p>
        </w:tc>
        <w:tc>
          <w:tcPr>
            <w:tcW w:w="1843" w:type="dxa"/>
            <w:vAlign w:val="center"/>
          </w:tcPr>
          <w:p w14:paraId="560F44C1" w14:textId="6D23B9F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DE93388" w14:textId="335F95A5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2CD906F" w14:textId="71503AB5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GMKN</w:t>
            </w:r>
          </w:p>
        </w:tc>
        <w:tc>
          <w:tcPr>
            <w:tcW w:w="1701" w:type="dxa"/>
            <w:vAlign w:val="center"/>
          </w:tcPr>
          <w:p w14:paraId="432AB084" w14:textId="54A371B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57C288A6" w14:textId="1D4F068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65AF3F1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6E99ACC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AE45D5A" w14:textId="7BBB0D1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«Нефтяная компания «Роснефть»</w:t>
            </w:r>
          </w:p>
        </w:tc>
        <w:tc>
          <w:tcPr>
            <w:tcW w:w="3402" w:type="dxa"/>
            <w:vAlign w:val="center"/>
          </w:tcPr>
          <w:p w14:paraId="75DE05FB" w14:textId="51F2ECB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«Нефтяная компания «Роснефть»,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RU000A0J2Q06</w:t>
            </w:r>
          </w:p>
        </w:tc>
        <w:tc>
          <w:tcPr>
            <w:tcW w:w="1843" w:type="dxa"/>
            <w:vAlign w:val="center"/>
          </w:tcPr>
          <w:p w14:paraId="6198688A" w14:textId="589E052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66056F1" w14:textId="74FC9A1A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EEF67CD" w14:textId="666AB2F5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ROSN</w:t>
            </w:r>
          </w:p>
        </w:tc>
        <w:tc>
          <w:tcPr>
            <w:tcW w:w="1701" w:type="dxa"/>
            <w:vAlign w:val="center"/>
          </w:tcPr>
          <w:p w14:paraId="316DEC01" w14:textId="6192E20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6103B59B" w14:textId="5AF58CE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425DD03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A4D4F53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2E8F6C7" w14:textId="192BE89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br/>
              <w:t>АК «АЛРОСА» (ПАО)</w:t>
            </w:r>
          </w:p>
        </w:tc>
        <w:tc>
          <w:tcPr>
            <w:tcW w:w="3402" w:type="dxa"/>
            <w:vAlign w:val="center"/>
          </w:tcPr>
          <w:p w14:paraId="0E4FD8AF" w14:textId="4485CA4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АК «АЛРОСА» (ПАО),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RU0007252813</w:t>
            </w:r>
          </w:p>
        </w:tc>
        <w:tc>
          <w:tcPr>
            <w:tcW w:w="1843" w:type="dxa"/>
            <w:vAlign w:val="center"/>
          </w:tcPr>
          <w:p w14:paraId="28386161" w14:textId="3C078B2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B215578" w14:textId="19B0DC5F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5FC9BBC" w14:textId="58F431A4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1701" w:type="dxa"/>
            <w:vAlign w:val="center"/>
          </w:tcPr>
          <w:p w14:paraId="16EF3871" w14:textId="106D88E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25502EA" w14:textId="552A03C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2F918B14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4B29FAF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3A4ED7F" w14:textId="47E088F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привилегированные акции «ПАО Сбербанк»</w:t>
            </w:r>
          </w:p>
        </w:tc>
        <w:tc>
          <w:tcPr>
            <w:tcW w:w="3402" w:type="dxa"/>
            <w:vAlign w:val="center"/>
          </w:tcPr>
          <w:p w14:paraId="6937CA6C" w14:textId="0BF26B9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«ПАО Сбербанк»,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RU0009029557</w:t>
            </w:r>
          </w:p>
        </w:tc>
        <w:tc>
          <w:tcPr>
            <w:tcW w:w="1843" w:type="dxa"/>
            <w:vAlign w:val="center"/>
          </w:tcPr>
          <w:p w14:paraId="1C5D6E4C" w14:textId="1AF2436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92CBC6A" w14:textId="3102E4FB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75D2403" w14:textId="38D89DDB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SBERP</w:t>
            </w:r>
          </w:p>
        </w:tc>
        <w:tc>
          <w:tcPr>
            <w:tcW w:w="1701" w:type="dxa"/>
            <w:vAlign w:val="center"/>
          </w:tcPr>
          <w:p w14:paraId="5B3B6F17" w14:textId="5572499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1221A3B1" w14:textId="1C7E8C9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4538AC9D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D914691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94D33BE" w14:textId="3DE32E3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«НОВАТЭК»</w:t>
            </w:r>
          </w:p>
        </w:tc>
        <w:tc>
          <w:tcPr>
            <w:tcW w:w="3402" w:type="dxa"/>
            <w:vAlign w:val="center"/>
          </w:tcPr>
          <w:p w14:paraId="31C6DEA9" w14:textId="4F705C1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«НОВАТЭК»,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RU000A0DKVS5</w:t>
            </w:r>
          </w:p>
        </w:tc>
        <w:tc>
          <w:tcPr>
            <w:tcW w:w="1843" w:type="dxa"/>
            <w:vAlign w:val="center"/>
          </w:tcPr>
          <w:p w14:paraId="3558BCAE" w14:textId="1F4418D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8A5C143" w14:textId="57173B10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84B3D66" w14:textId="744510E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NVTK</w:t>
            </w:r>
          </w:p>
        </w:tc>
        <w:tc>
          <w:tcPr>
            <w:tcW w:w="1701" w:type="dxa"/>
            <w:vAlign w:val="center"/>
          </w:tcPr>
          <w:p w14:paraId="697F31E4" w14:textId="71BFBCE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4FA9EEBD" w14:textId="63BEC30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2B005457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05888F87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2F6D18F" w14:textId="284BFC8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«Банк ВТБ» (ПАО)</w:t>
            </w:r>
          </w:p>
        </w:tc>
        <w:tc>
          <w:tcPr>
            <w:tcW w:w="3402" w:type="dxa"/>
            <w:vAlign w:val="center"/>
          </w:tcPr>
          <w:p w14:paraId="31D23889" w14:textId="0623372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«Банк ВТБ» (ПАО),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RU000A0JP5V6</w:t>
            </w:r>
          </w:p>
        </w:tc>
        <w:tc>
          <w:tcPr>
            <w:tcW w:w="1843" w:type="dxa"/>
            <w:vAlign w:val="center"/>
          </w:tcPr>
          <w:p w14:paraId="68CFB496" w14:textId="6775A15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59" w:type="dxa"/>
            <w:vAlign w:val="center"/>
          </w:tcPr>
          <w:p w14:paraId="0F62A475" w14:textId="3141B266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34FD003" w14:textId="29F3F74A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VTBR</w:t>
            </w:r>
          </w:p>
        </w:tc>
        <w:tc>
          <w:tcPr>
            <w:tcW w:w="1701" w:type="dxa"/>
            <w:vAlign w:val="center"/>
          </w:tcPr>
          <w:p w14:paraId="27EBBDB0" w14:textId="4F37E1E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19D8BE11" w14:textId="2DE2878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4B2A6AD3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6B04FFE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4F99A90" w14:textId="6677193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«Северсталь»</w:t>
            </w:r>
          </w:p>
        </w:tc>
        <w:tc>
          <w:tcPr>
            <w:tcW w:w="3402" w:type="dxa"/>
            <w:vAlign w:val="center"/>
          </w:tcPr>
          <w:p w14:paraId="26AB779B" w14:textId="0210446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«Северсталь»,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RU0009046510</w:t>
            </w:r>
          </w:p>
        </w:tc>
        <w:tc>
          <w:tcPr>
            <w:tcW w:w="1843" w:type="dxa"/>
            <w:vAlign w:val="center"/>
          </w:tcPr>
          <w:p w14:paraId="1B18415D" w14:textId="25EA54D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66DD6BC" w14:textId="4065C7E0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C904E47" w14:textId="564BD66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CHMF</w:t>
            </w:r>
          </w:p>
        </w:tc>
        <w:tc>
          <w:tcPr>
            <w:tcW w:w="1701" w:type="dxa"/>
            <w:vAlign w:val="center"/>
          </w:tcPr>
          <w:p w14:paraId="1717A3D5" w14:textId="15C8273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F4D20A" w14:textId="3A95B22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7B1A48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3F86D305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25A466D" w14:textId="1BE0C3C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«НЛМК»</w:t>
            </w:r>
          </w:p>
        </w:tc>
        <w:tc>
          <w:tcPr>
            <w:tcW w:w="3402" w:type="dxa"/>
            <w:vAlign w:val="center"/>
          </w:tcPr>
          <w:p w14:paraId="4C4C94BF" w14:textId="18C3B74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«НЛМК»,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RU0009046452</w:t>
            </w:r>
          </w:p>
        </w:tc>
        <w:tc>
          <w:tcPr>
            <w:tcW w:w="1843" w:type="dxa"/>
            <w:vAlign w:val="center"/>
          </w:tcPr>
          <w:p w14:paraId="30F3325D" w14:textId="42CA98C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BA854F2" w14:textId="1BB1A788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CDFDE7E" w14:textId="2ED3BA8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1701" w:type="dxa"/>
            <w:vAlign w:val="center"/>
          </w:tcPr>
          <w:p w14:paraId="33677745" w14:textId="34F1686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575055" w14:textId="2C3E944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73283FE5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5025645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5B44C83" w14:textId="77CB3A5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«ОК РУСАЛ»</w:t>
            </w:r>
          </w:p>
        </w:tc>
        <w:tc>
          <w:tcPr>
            <w:tcW w:w="3402" w:type="dxa"/>
            <w:vAlign w:val="center"/>
          </w:tcPr>
          <w:p w14:paraId="50E82750" w14:textId="4A8AE21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«ОК РУСАЛ»,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RU000A1025V3</w:t>
            </w:r>
          </w:p>
        </w:tc>
        <w:tc>
          <w:tcPr>
            <w:tcW w:w="1843" w:type="dxa"/>
            <w:vAlign w:val="center"/>
          </w:tcPr>
          <w:p w14:paraId="75390D36" w14:textId="5B30244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83C4E54" w14:textId="0974C701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8BCD910" w14:textId="53CF715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RUAL</w:t>
            </w:r>
          </w:p>
        </w:tc>
        <w:tc>
          <w:tcPr>
            <w:tcW w:w="1701" w:type="dxa"/>
            <w:vAlign w:val="center"/>
          </w:tcPr>
          <w:p w14:paraId="6FE00BCF" w14:textId="5541E10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131EB9B" w14:textId="5B63A64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FC1CA19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01ED966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A86CF49" w14:textId="18EE197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«Полюс»</w:t>
            </w:r>
          </w:p>
        </w:tc>
        <w:tc>
          <w:tcPr>
            <w:tcW w:w="3402" w:type="dxa"/>
            <w:vAlign w:val="center"/>
          </w:tcPr>
          <w:p w14:paraId="70CAE3F5" w14:textId="01534B1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«Полюс»,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RU000A0JNAA8</w:t>
            </w:r>
          </w:p>
        </w:tc>
        <w:tc>
          <w:tcPr>
            <w:tcW w:w="1843" w:type="dxa"/>
            <w:vAlign w:val="center"/>
          </w:tcPr>
          <w:p w14:paraId="32980FF0" w14:textId="58D3406A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B1AC962" w14:textId="6003267C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EA82D40" w14:textId="1C95D50B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PLZL</w:t>
            </w:r>
          </w:p>
        </w:tc>
        <w:tc>
          <w:tcPr>
            <w:tcW w:w="1701" w:type="dxa"/>
            <w:vAlign w:val="center"/>
          </w:tcPr>
          <w:p w14:paraId="64DCB987" w14:textId="7266340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2C6629D" w14:textId="55E69E8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03C9C56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872E93E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B6AB6EF" w14:textId="0B5D4F1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«Магнит»</w:t>
            </w:r>
          </w:p>
        </w:tc>
        <w:tc>
          <w:tcPr>
            <w:tcW w:w="3402" w:type="dxa"/>
            <w:vAlign w:val="center"/>
          </w:tcPr>
          <w:p w14:paraId="17F8A646" w14:textId="15AF938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«Магнит»,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RU000A0JKQU8</w:t>
            </w:r>
          </w:p>
        </w:tc>
        <w:tc>
          <w:tcPr>
            <w:tcW w:w="1843" w:type="dxa"/>
            <w:vAlign w:val="center"/>
          </w:tcPr>
          <w:p w14:paraId="390F8ECA" w14:textId="2EC8DA6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7F9B1F" w14:textId="73E85AEE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4E5C08A" w14:textId="0DAC8BE5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MGNT</w:t>
            </w:r>
          </w:p>
        </w:tc>
        <w:tc>
          <w:tcPr>
            <w:tcW w:w="1701" w:type="dxa"/>
            <w:vAlign w:val="center"/>
          </w:tcPr>
          <w:p w14:paraId="1D1829DA" w14:textId="6CD4143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430A611E" w14:textId="1F17D74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0D57467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304639F4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12A0DA7" w14:textId="5C5F1B5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«Сургутнефтегаз»</w:t>
            </w:r>
          </w:p>
        </w:tc>
        <w:tc>
          <w:tcPr>
            <w:tcW w:w="3402" w:type="dxa"/>
            <w:vAlign w:val="center"/>
          </w:tcPr>
          <w:p w14:paraId="155A7086" w14:textId="7754891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«Сургутнефтегаз»,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RU0008926258</w:t>
            </w:r>
          </w:p>
        </w:tc>
        <w:tc>
          <w:tcPr>
            <w:tcW w:w="1843" w:type="dxa"/>
            <w:vAlign w:val="center"/>
          </w:tcPr>
          <w:p w14:paraId="499B88A4" w14:textId="4A7AB97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CD4A4EA" w14:textId="33F54E47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ED5CBC0" w14:textId="4D6EC05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SNGS</w:t>
            </w:r>
          </w:p>
        </w:tc>
        <w:tc>
          <w:tcPr>
            <w:tcW w:w="1701" w:type="dxa"/>
            <w:vAlign w:val="center"/>
          </w:tcPr>
          <w:p w14:paraId="1AF66C3B" w14:textId="643D5B7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AA2C110" w14:textId="20E9F4B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47E7F5D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7DF7B58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38BB656" w14:textId="4A5EC5B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«Интер РАО ЕЭС»</w:t>
            </w:r>
          </w:p>
        </w:tc>
        <w:tc>
          <w:tcPr>
            <w:tcW w:w="3402" w:type="dxa"/>
            <w:vAlign w:val="center"/>
          </w:tcPr>
          <w:p w14:paraId="61DED323" w14:textId="30D3A2C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«Интер РАО ЕЭС»,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RU000A0JPNM1</w:t>
            </w:r>
          </w:p>
        </w:tc>
        <w:tc>
          <w:tcPr>
            <w:tcW w:w="1843" w:type="dxa"/>
            <w:vAlign w:val="center"/>
          </w:tcPr>
          <w:p w14:paraId="3C56D403" w14:textId="3E7EAEE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22EFECCD" w14:textId="64C8D055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A1038F3" w14:textId="74C7756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IRAO</w:t>
            </w:r>
          </w:p>
        </w:tc>
        <w:tc>
          <w:tcPr>
            <w:tcW w:w="1701" w:type="dxa"/>
            <w:vAlign w:val="center"/>
          </w:tcPr>
          <w:p w14:paraId="0B65B585" w14:textId="1326E21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0.001 RUB</w:t>
            </w:r>
          </w:p>
        </w:tc>
        <w:tc>
          <w:tcPr>
            <w:tcW w:w="1418" w:type="dxa"/>
            <w:vAlign w:val="center"/>
          </w:tcPr>
          <w:p w14:paraId="57F170BA" w14:textId="55BB58F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0FF081BF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63E8ECEC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9D60747" w14:textId="0F514E8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«Магнитогорский металлургический комбинат»</w:t>
            </w:r>
          </w:p>
        </w:tc>
        <w:tc>
          <w:tcPr>
            <w:tcW w:w="3402" w:type="dxa"/>
            <w:vAlign w:val="center"/>
          </w:tcPr>
          <w:p w14:paraId="22E21E10" w14:textId="3D3D82F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«Магнитогорский металлургический комбинат»,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RU0009084396</w:t>
            </w:r>
          </w:p>
        </w:tc>
        <w:tc>
          <w:tcPr>
            <w:tcW w:w="1843" w:type="dxa"/>
            <w:vAlign w:val="center"/>
          </w:tcPr>
          <w:p w14:paraId="57A81B9C" w14:textId="47E6167B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277C44B" w14:textId="06ED4538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7381AAB" w14:textId="695C3C0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MAGN</w:t>
            </w:r>
          </w:p>
        </w:tc>
        <w:tc>
          <w:tcPr>
            <w:tcW w:w="1701" w:type="dxa"/>
            <w:vAlign w:val="center"/>
          </w:tcPr>
          <w:p w14:paraId="6E63FAA5" w14:textId="1C8E3E9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C9374B2" w14:textId="180477F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24B38589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8AE2EE4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D49A4A3" w14:textId="7E7BB07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обыкновенные акции ПАО «Татнефть» им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3402" w:type="dxa"/>
            <w:vAlign w:val="center"/>
          </w:tcPr>
          <w:p w14:paraId="3D3DE9D1" w14:textId="6A2D049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«Татнефть» им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RU0009033591</w:t>
            </w:r>
          </w:p>
        </w:tc>
        <w:tc>
          <w:tcPr>
            <w:tcW w:w="1843" w:type="dxa"/>
            <w:vAlign w:val="center"/>
          </w:tcPr>
          <w:p w14:paraId="0B3FC049" w14:textId="56F38A4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95CD1B0" w14:textId="57851DE1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7C05D54" w14:textId="17B22C5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TATN</w:t>
            </w:r>
          </w:p>
        </w:tc>
        <w:tc>
          <w:tcPr>
            <w:tcW w:w="1701" w:type="dxa"/>
            <w:vAlign w:val="center"/>
          </w:tcPr>
          <w:p w14:paraId="19C92AD2" w14:textId="5EC5CEB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557C82D2" w14:textId="6598FFB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7BE9EEA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616AB0B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EAC8967" w14:textId="39975EF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«Московская Биржа»</w:t>
            </w:r>
          </w:p>
        </w:tc>
        <w:tc>
          <w:tcPr>
            <w:tcW w:w="3402" w:type="dxa"/>
            <w:vAlign w:val="center"/>
          </w:tcPr>
          <w:p w14:paraId="3C202E67" w14:textId="7F22B56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«Московская Биржа»,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RU000A0JR4A1</w:t>
            </w:r>
          </w:p>
        </w:tc>
        <w:tc>
          <w:tcPr>
            <w:tcW w:w="1843" w:type="dxa"/>
            <w:vAlign w:val="center"/>
          </w:tcPr>
          <w:p w14:paraId="39A0F42B" w14:textId="63D6BC0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A3B6FE5" w14:textId="28D824D8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EC3EBC9" w14:textId="68E527F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MOEX</w:t>
            </w:r>
          </w:p>
        </w:tc>
        <w:tc>
          <w:tcPr>
            <w:tcW w:w="1701" w:type="dxa"/>
            <w:vAlign w:val="center"/>
          </w:tcPr>
          <w:p w14:paraId="6D3979E0" w14:textId="061479E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510569F4" w14:textId="5A95CAC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4776B322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6E358B7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ACF38ED" w14:textId="3F919DD8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привилегированные акции ПАО «Сургутнефтегаз»</w:t>
            </w:r>
          </w:p>
        </w:tc>
        <w:tc>
          <w:tcPr>
            <w:tcW w:w="3402" w:type="dxa"/>
            <w:vAlign w:val="center"/>
          </w:tcPr>
          <w:p w14:paraId="1AC7AAC6" w14:textId="506147F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«Сургутнефтегаз»,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RU0009029524</w:t>
            </w:r>
          </w:p>
        </w:tc>
        <w:tc>
          <w:tcPr>
            <w:tcW w:w="1843" w:type="dxa"/>
            <w:vAlign w:val="center"/>
          </w:tcPr>
          <w:p w14:paraId="78EF3D20" w14:textId="382909C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7BC78BB" w14:textId="070A3FB9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D08F49B" w14:textId="1540886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SNGSP</w:t>
            </w:r>
          </w:p>
        </w:tc>
        <w:tc>
          <w:tcPr>
            <w:tcW w:w="1701" w:type="dxa"/>
            <w:vAlign w:val="center"/>
          </w:tcPr>
          <w:p w14:paraId="2B9C9B14" w14:textId="10BE1C3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1F60DA8" w14:textId="684C4908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1973FE0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FC2F5AC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557848D" w14:textId="519AB1D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«МТС»</w:t>
            </w:r>
          </w:p>
        </w:tc>
        <w:tc>
          <w:tcPr>
            <w:tcW w:w="3402" w:type="dxa"/>
            <w:vAlign w:val="center"/>
          </w:tcPr>
          <w:p w14:paraId="6984F07C" w14:textId="36A466B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«МТС»,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RU0007775219</w:t>
            </w:r>
          </w:p>
        </w:tc>
        <w:tc>
          <w:tcPr>
            <w:tcW w:w="1843" w:type="dxa"/>
            <w:vAlign w:val="center"/>
          </w:tcPr>
          <w:p w14:paraId="2C0AA807" w14:textId="52ED006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AA12DBD" w14:textId="2F3B5A19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DCEC5C" w14:textId="44707E11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MTSS</w:t>
            </w:r>
          </w:p>
        </w:tc>
        <w:tc>
          <w:tcPr>
            <w:tcW w:w="1701" w:type="dxa"/>
            <w:vAlign w:val="center"/>
          </w:tcPr>
          <w:p w14:paraId="49645AC4" w14:textId="0471369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29FAE6C6" w14:textId="064702C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1FA19F4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1E5A3BF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1C78F42" w14:textId="6D42B60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«ФосАгро»</w:t>
            </w:r>
          </w:p>
        </w:tc>
        <w:tc>
          <w:tcPr>
            <w:tcW w:w="3402" w:type="dxa"/>
            <w:vAlign w:val="center"/>
          </w:tcPr>
          <w:p w14:paraId="4FCFABA5" w14:textId="334D2E2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«ФосАгро»,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RU000A0JRKT8</w:t>
            </w:r>
          </w:p>
        </w:tc>
        <w:tc>
          <w:tcPr>
            <w:tcW w:w="1843" w:type="dxa"/>
            <w:vAlign w:val="center"/>
          </w:tcPr>
          <w:p w14:paraId="6CF8BC85" w14:textId="38EFA13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F2E9381" w14:textId="12FC4C46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D652385" w14:textId="0464842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PHOR</w:t>
            </w:r>
          </w:p>
        </w:tc>
        <w:tc>
          <w:tcPr>
            <w:tcW w:w="1701" w:type="dxa"/>
            <w:vAlign w:val="center"/>
          </w:tcPr>
          <w:p w14:paraId="4C1059B1" w14:textId="29A22DC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2A4DB3DE" w14:textId="4DC414B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1232CF74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2C251FF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3D091DC" w14:textId="765CC63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«Акционерная финансовая корпорация «Система»</w:t>
            </w:r>
          </w:p>
        </w:tc>
        <w:tc>
          <w:tcPr>
            <w:tcW w:w="3402" w:type="dxa"/>
            <w:vAlign w:val="center"/>
          </w:tcPr>
          <w:p w14:paraId="137876D2" w14:textId="602D1C3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«Акционерная финансовая корпорация «Система»,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RU000A0DQZE3</w:t>
            </w:r>
          </w:p>
        </w:tc>
        <w:tc>
          <w:tcPr>
            <w:tcW w:w="1843" w:type="dxa"/>
            <w:vAlign w:val="center"/>
          </w:tcPr>
          <w:p w14:paraId="0F731E39" w14:textId="2803DD7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1923373" w14:textId="7406CF13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E5B3292" w14:textId="58DD6C5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AFKS</w:t>
            </w:r>
          </w:p>
        </w:tc>
        <w:tc>
          <w:tcPr>
            <w:tcW w:w="1701" w:type="dxa"/>
            <w:vAlign w:val="center"/>
          </w:tcPr>
          <w:p w14:paraId="1BAFD7EB" w14:textId="3E5EE91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43FB13C9" w14:textId="5A21B8E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CEE980F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24D48EB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9F3268E" w14:textId="5ABE642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«Аэрофлот»</w:t>
            </w:r>
          </w:p>
        </w:tc>
        <w:tc>
          <w:tcPr>
            <w:tcW w:w="3402" w:type="dxa"/>
            <w:vAlign w:val="center"/>
          </w:tcPr>
          <w:p w14:paraId="701ADE7D" w14:textId="55162DB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«Аэрофлот»,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RU0009062285</w:t>
            </w:r>
          </w:p>
        </w:tc>
        <w:tc>
          <w:tcPr>
            <w:tcW w:w="1843" w:type="dxa"/>
            <w:vAlign w:val="center"/>
          </w:tcPr>
          <w:p w14:paraId="51D6577F" w14:textId="2B4F5CF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644D830" w14:textId="44430E34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6E7872B" w14:textId="20CCA78F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1701" w:type="dxa"/>
            <w:vAlign w:val="center"/>
          </w:tcPr>
          <w:p w14:paraId="1B3942E8" w14:textId="518679F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EC8804A" w14:textId="2F0191C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F365DC0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804C4F0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A03F943" w14:textId="6A418C9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«Мечел»</w:t>
            </w:r>
          </w:p>
        </w:tc>
        <w:tc>
          <w:tcPr>
            <w:tcW w:w="3402" w:type="dxa"/>
            <w:vAlign w:val="center"/>
          </w:tcPr>
          <w:p w14:paraId="657E6384" w14:textId="6FBAE01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«Мечел»,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RU000A0DKXV5</w:t>
            </w:r>
          </w:p>
        </w:tc>
        <w:tc>
          <w:tcPr>
            <w:tcW w:w="1843" w:type="dxa"/>
            <w:vAlign w:val="center"/>
          </w:tcPr>
          <w:p w14:paraId="3CBCB989" w14:textId="3FAB42B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447784B" w14:textId="5B84B5EF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269CE7" w14:textId="7A268EF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MTLR</w:t>
            </w:r>
          </w:p>
        </w:tc>
        <w:tc>
          <w:tcPr>
            <w:tcW w:w="1701" w:type="dxa"/>
            <w:vAlign w:val="center"/>
          </w:tcPr>
          <w:p w14:paraId="775E257A" w14:textId="4865EC0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1D0B82C" w14:textId="091D3CA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7B7F6D6C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3B79300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48F3168" w14:textId="41ACF0F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«Детский мир»</w:t>
            </w:r>
          </w:p>
        </w:tc>
        <w:tc>
          <w:tcPr>
            <w:tcW w:w="3402" w:type="dxa"/>
            <w:vAlign w:val="center"/>
          </w:tcPr>
          <w:p w14:paraId="0467246C" w14:textId="22A612B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«Детский мир»,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RU000A0JSQ90</w:t>
            </w:r>
          </w:p>
        </w:tc>
        <w:tc>
          <w:tcPr>
            <w:tcW w:w="1843" w:type="dxa"/>
            <w:vAlign w:val="center"/>
          </w:tcPr>
          <w:p w14:paraId="03ECFB36" w14:textId="3C1C443B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988E35C" w14:textId="0D4471E3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56DEE08" w14:textId="34DE91B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DSKY</w:t>
            </w:r>
          </w:p>
        </w:tc>
        <w:tc>
          <w:tcPr>
            <w:tcW w:w="1701" w:type="dxa"/>
            <w:vAlign w:val="center"/>
          </w:tcPr>
          <w:p w14:paraId="55517136" w14:textId="6336621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0710952" w14:textId="385E01D8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5CF5D0D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6295B1E2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3D60970" w14:textId="09798E1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«Газпром нефть»</w:t>
            </w:r>
          </w:p>
        </w:tc>
        <w:tc>
          <w:tcPr>
            <w:tcW w:w="3402" w:type="dxa"/>
            <w:vAlign w:val="center"/>
          </w:tcPr>
          <w:p w14:paraId="6534DB76" w14:textId="174DD5C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«Газпром нефть»,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RU0009062467</w:t>
            </w:r>
          </w:p>
        </w:tc>
        <w:tc>
          <w:tcPr>
            <w:tcW w:w="1843" w:type="dxa"/>
            <w:vAlign w:val="center"/>
          </w:tcPr>
          <w:p w14:paraId="37D42C89" w14:textId="7603075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197078C" w14:textId="15D1BFB3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1BD6879" w14:textId="73871E01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SIBN</w:t>
            </w:r>
          </w:p>
        </w:tc>
        <w:tc>
          <w:tcPr>
            <w:tcW w:w="1701" w:type="dxa"/>
            <w:vAlign w:val="center"/>
          </w:tcPr>
          <w:p w14:paraId="3A5DC898" w14:textId="04B939C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AE53281" w14:textId="50EA1C1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784FC0CE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F317B8F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85E13DD" w14:textId="4045BE2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«РусГидро»</w:t>
            </w:r>
          </w:p>
        </w:tc>
        <w:tc>
          <w:tcPr>
            <w:tcW w:w="3402" w:type="dxa"/>
            <w:vAlign w:val="center"/>
          </w:tcPr>
          <w:p w14:paraId="3C2CC2F4" w14:textId="4E9BF54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«РусГидро»,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RU000A0JPKH7</w:t>
            </w:r>
          </w:p>
        </w:tc>
        <w:tc>
          <w:tcPr>
            <w:tcW w:w="1843" w:type="dxa"/>
            <w:vAlign w:val="center"/>
          </w:tcPr>
          <w:p w14:paraId="1C3FD0ED" w14:textId="6E885AAF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559" w:type="dxa"/>
            <w:vAlign w:val="center"/>
          </w:tcPr>
          <w:p w14:paraId="1275C10D" w14:textId="2AB3EC47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73ED61C" w14:textId="3A09510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</w:t>
            </w:r>
          </w:p>
        </w:tc>
        <w:tc>
          <w:tcPr>
            <w:tcW w:w="1701" w:type="dxa"/>
            <w:vAlign w:val="center"/>
          </w:tcPr>
          <w:p w14:paraId="20A8CAFD" w14:textId="14E224A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06800516" w14:textId="42A4D65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091A242D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6A4984C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3736006" w14:textId="48BE850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привилегированные акции ПАО «Транснефть»</w:t>
            </w:r>
          </w:p>
        </w:tc>
        <w:tc>
          <w:tcPr>
            <w:tcW w:w="3402" w:type="dxa"/>
            <w:vAlign w:val="center"/>
          </w:tcPr>
          <w:p w14:paraId="4C377370" w14:textId="5001CF0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«Транснефть»,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RU0009091573</w:t>
            </w:r>
          </w:p>
        </w:tc>
        <w:tc>
          <w:tcPr>
            <w:tcW w:w="1843" w:type="dxa"/>
            <w:vAlign w:val="center"/>
          </w:tcPr>
          <w:p w14:paraId="06545E71" w14:textId="6421C5E2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93B8A5C" w14:textId="537C26C0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DB7C4DA" w14:textId="4A7BC4D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TRNFP</w:t>
            </w:r>
          </w:p>
        </w:tc>
        <w:tc>
          <w:tcPr>
            <w:tcW w:w="1701" w:type="dxa"/>
            <w:vAlign w:val="center"/>
          </w:tcPr>
          <w:p w14:paraId="3E07DB0D" w14:textId="6D02760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4E6B654D" w14:textId="12780AC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17B55FC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AEA86B9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23F3FC6" w14:textId="2242020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«ПИК-специализированный застройщик»</w:t>
            </w:r>
          </w:p>
        </w:tc>
        <w:tc>
          <w:tcPr>
            <w:tcW w:w="3402" w:type="dxa"/>
            <w:vAlign w:val="center"/>
          </w:tcPr>
          <w:p w14:paraId="6F7E5D3A" w14:textId="5953C36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«ПИК-специализированный застройщик»,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RU000A0JP7J7</w:t>
            </w:r>
          </w:p>
        </w:tc>
        <w:tc>
          <w:tcPr>
            <w:tcW w:w="1843" w:type="dxa"/>
            <w:vAlign w:val="center"/>
          </w:tcPr>
          <w:p w14:paraId="5DCB7327" w14:textId="7558E18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AAFC810" w14:textId="5CE76E1D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10D8D63" w14:textId="4C37908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PIKK</w:t>
            </w:r>
          </w:p>
        </w:tc>
        <w:tc>
          <w:tcPr>
            <w:tcW w:w="1701" w:type="dxa"/>
            <w:vAlign w:val="center"/>
          </w:tcPr>
          <w:p w14:paraId="5FF5F038" w14:textId="7CCF078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0D8BB4" w14:textId="2D61B98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49A6BCF0" w14:textId="53D92B0F" w:rsidTr="004211ED">
        <w:trPr>
          <w:trHeight w:val="225"/>
        </w:trPr>
        <w:tc>
          <w:tcPr>
            <w:tcW w:w="659" w:type="dxa"/>
            <w:vAlign w:val="center"/>
          </w:tcPr>
          <w:p w14:paraId="2428BBB3" w14:textId="0CCFAF4F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9B58A68" w14:textId="66E51C68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</w:t>
            </w:r>
            <w:r w:rsidR="006D7056" w:rsidRPr="006D705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="006D7056" w:rsidRPr="006D705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14:paraId="548BA374" w14:textId="223E42B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r w:rsidR="006D7056" w:rsidRPr="006D705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="006D7056" w:rsidRPr="006D705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RU000A0JPNN9</w:t>
            </w:r>
          </w:p>
        </w:tc>
        <w:tc>
          <w:tcPr>
            <w:tcW w:w="1843" w:type="dxa"/>
            <w:vAlign w:val="center"/>
          </w:tcPr>
          <w:p w14:paraId="0C0A73A8" w14:textId="656A6935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59" w:type="dxa"/>
            <w:vAlign w:val="center"/>
          </w:tcPr>
          <w:p w14:paraId="0DBCDF2A" w14:textId="14497B69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803B7B2" w14:textId="23533ED1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FEES</w:t>
            </w:r>
          </w:p>
        </w:tc>
        <w:tc>
          <w:tcPr>
            <w:tcW w:w="1701" w:type="dxa"/>
            <w:vAlign w:val="center"/>
          </w:tcPr>
          <w:p w14:paraId="11AADBF8" w14:textId="7B4F22A8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62C56453" w14:textId="3DA73CE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524F2BA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CAB1589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A65F425" w14:textId="2889AB3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«Ростелеком»</w:t>
            </w:r>
          </w:p>
        </w:tc>
        <w:tc>
          <w:tcPr>
            <w:tcW w:w="3402" w:type="dxa"/>
            <w:vAlign w:val="center"/>
          </w:tcPr>
          <w:p w14:paraId="6454254D" w14:textId="44799D7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«Ростелеком»,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RU0008943394</w:t>
            </w:r>
          </w:p>
        </w:tc>
        <w:tc>
          <w:tcPr>
            <w:tcW w:w="1843" w:type="dxa"/>
            <w:vAlign w:val="center"/>
          </w:tcPr>
          <w:p w14:paraId="0B27F077" w14:textId="7AD788B2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F2CC9E5" w14:textId="5E07F8AA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640B184" w14:textId="21CA0BA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RTKM</w:t>
            </w:r>
          </w:p>
        </w:tc>
        <w:tc>
          <w:tcPr>
            <w:tcW w:w="1701" w:type="dxa"/>
            <w:vAlign w:val="center"/>
          </w:tcPr>
          <w:p w14:paraId="4AE6D5D7" w14:textId="4F450EA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14A67E7D" w14:textId="274F71D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1B76AFE5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697B10B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46FB130" w14:textId="0E203D4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«Группа компаний «Самолет»</w:t>
            </w:r>
          </w:p>
        </w:tc>
        <w:tc>
          <w:tcPr>
            <w:tcW w:w="3402" w:type="dxa"/>
            <w:vAlign w:val="center"/>
          </w:tcPr>
          <w:p w14:paraId="6BED4F22" w14:textId="05DAC03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«Группа компаний «Самолет»,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RU000A0ZZG02</w:t>
            </w:r>
          </w:p>
        </w:tc>
        <w:tc>
          <w:tcPr>
            <w:tcW w:w="1843" w:type="dxa"/>
            <w:vAlign w:val="center"/>
          </w:tcPr>
          <w:p w14:paraId="0A01BD3F" w14:textId="5A5A913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D281FB4" w14:textId="6B226B8E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FC5D0F5" w14:textId="1D6169E4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SMLT</w:t>
            </w:r>
          </w:p>
        </w:tc>
        <w:tc>
          <w:tcPr>
            <w:tcW w:w="1701" w:type="dxa"/>
            <w:vAlign w:val="center"/>
          </w:tcPr>
          <w:p w14:paraId="62EE343F" w14:textId="5F84AD4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67574ECB" w14:textId="7FF7935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26670F9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3346981E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6468C05" w14:textId="57DD678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«СПБ Биржа»</w:t>
            </w:r>
          </w:p>
        </w:tc>
        <w:tc>
          <w:tcPr>
            <w:tcW w:w="3402" w:type="dxa"/>
            <w:vAlign w:val="center"/>
          </w:tcPr>
          <w:p w14:paraId="4B765C7B" w14:textId="63DA3D0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«СПБ Биржа»,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RU000A0JQ9P9</w:t>
            </w:r>
          </w:p>
        </w:tc>
        <w:tc>
          <w:tcPr>
            <w:tcW w:w="1843" w:type="dxa"/>
            <w:vAlign w:val="center"/>
          </w:tcPr>
          <w:p w14:paraId="16C6AB29" w14:textId="1539A67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4207FAE" w14:textId="2285224B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EA0FA84" w14:textId="475507F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SPBE</w:t>
            </w:r>
          </w:p>
        </w:tc>
        <w:tc>
          <w:tcPr>
            <w:tcW w:w="1701" w:type="dxa"/>
            <w:vAlign w:val="center"/>
          </w:tcPr>
          <w:p w14:paraId="60B783C0" w14:textId="39020AC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B4648DE" w14:textId="1E650B8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3C2BE241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3F08D1E8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06975C4" w14:textId="2578F91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Энел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Россия»</w:t>
            </w:r>
          </w:p>
        </w:tc>
        <w:tc>
          <w:tcPr>
            <w:tcW w:w="3402" w:type="dxa"/>
            <w:vAlign w:val="center"/>
          </w:tcPr>
          <w:p w14:paraId="78D7BACA" w14:textId="2CF8AB2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Энел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Россия»,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RU000A100K72</w:t>
            </w:r>
          </w:p>
        </w:tc>
        <w:tc>
          <w:tcPr>
            <w:tcW w:w="1843" w:type="dxa"/>
            <w:vAlign w:val="center"/>
          </w:tcPr>
          <w:p w14:paraId="0725C861" w14:textId="2D728AB1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8323C3A" w14:textId="68816CE3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F84E16B" w14:textId="0DCEF8FA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ENPG</w:t>
            </w:r>
          </w:p>
        </w:tc>
        <w:tc>
          <w:tcPr>
            <w:tcW w:w="1701" w:type="dxa"/>
            <w:vAlign w:val="center"/>
          </w:tcPr>
          <w:p w14:paraId="37C897D8" w14:textId="5889F5F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2576085F" w14:textId="3FADD00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A081B9C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85392A8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92DF0A6" w14:textId="0A12B1C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«МКБ»</w:t>
            </w:r>
          </w:p>
        </w:tc>
        <w:tc>
          <w:tcPr>
            <w:tcW w:w="3402" w:type="dxa"/>
            <w:vAlign w:val="center"/>
          </w:tcPr>
          <w:p w14:paraId="5276044B" w14:textId="0A3BD8B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«МКБ»,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RU000A0JUG31</w:t>
            </w:r>
          </w:p>
        </w:tc>
        <w:tc>
          <w:tcPr>
            <w:tcW w:w="1843" w:type="dxa"/>
            <w:vAlign w:val="center"/>
          </w:tcPr>
          <w:p w14:paraId="148F91FB" w14:textId="0123824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3EA93567" w14:textId="483B31E8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2E010C4" w14:textId="1A3D59C2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CBOM</w:t>
            </w:r>
          </w:p>
        </w:tc>
        <w:tc>
          <w:tcPr>
            <w:tcW w:w="1701" w:type="dxa"/>
            <w:vAlign w:val="center"/>
          </w:tcPr>
          <w:p w14:paraId="48F00D17" w14:textId="7C83865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0.001 RUB</w:t>
            </w:r>
          </w:p>
        </w:tc>
        <w:tc>
          <w:tcPr>
            <w:tcW w:w="1418" w:type="dxa"/>
            <w:vAlign w:val="center"/>
          </w:tcPr>
          <w:p w14:paraId="3C32F5AF" w14:textId="5CC4C68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68753A67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417EBC3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4BC8B9A" w14:textId="0401726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3402" w:type="dxa"/>
            <w:vAlign w:val="center"/>
          </w:tcPr>
          <w:p w14:paraId="60448536" w14:textId="468DA95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RU0006944147</w:t>
            </w:r>
          </w:p>
        </w:tc>
        <w:tc>
          <w:tcPr>
            <w:tcW w:w="1843" w:type="dxa"/>
            <w:vAlign w:val="center"/>
          </w:tcPr>
          <w:p w14:paraId="3FB74288" w14:textId="0F96E8A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0A4DDDB" w14:textId="21F66B46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480340B" w14:textId="7C7286A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TATNP</w:t>
            </w:r>
          </w:p>
        </w:tc>
        <w:tc>
          <w:tcPr>
            <w:tcW w:w="1701" w:type="dxa"/>
            <w:vAlign w:val="center"/>
          </w:tcPr>
          <w:p w14:paraId="755985A0" w14:textId="51746C4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668403E" w14:textId="7A6A7D0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3E2C87" w:rsidRPr="00CD2745" w14:paraId="266A80CC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5401F8D9" w14:textId="77777777" w:rsidR="003E2C87" w:rsidRPr="004F5DA5" w:rsidRDefault="003E2C87" w:rsidP="003E2C87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AB472B3" w14:textId="393B343D" w:rsidR="003E2C87" w:rsidRDefault="003E2C87" w:rsidP="003E2C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6F42">
              <w:rPr>
                <w:rFonts w:ascii="Tahoma" w:hAnsi="Tahoma" w:cs="Tahoma"/>
                <w:sz w:val="20"/>
                <w:szCs w:val="20"/>
              </w:rPr>
              <w:t xml:space="preserve">Опцион на 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3E2C87">
              <w:rPr>
                <w:rFonts w:ascii="Tahoma" w:hAnsi="Tahoma" w:cs="Tahoma"/>
                <w:sz w:val="20"/>
                <w:szCs w:val="20"/>
              </w:rPr>
              <w:t>быкновенные акции ПАО «Группа Позитив»</w:t>
            </w:r>
          </w:p>
        </w:tc>
        <w:tc>
          <w:tcPr>
            <w:tcW w:w="3402" w:type="dxa"/>
            <w:vAlign w:val="center"/>
          </w:tcPr>
          <w:p w14:paraId="27A11D03" w14:textId="705CEB1D" w:rsidR="003E2C87" w:rsidRDefault="003E2C87" w:rsidP="003E2C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2C87">
              <w:rPr>
                <w:rFonts w:ascii="Tahoma" w:hAnsi="Tahoma" w:cs="Tahoma"/>
                <w:sz w:val="20"/>
                <w:szCs w:val="20"/>
              </w:rPr>
              <w:t>Обыкновенные акции ПАО «Группа Позитив» (ISIN RU000A103X66)</w:t>
            </w:r>
          </w:p>
        </w:tc>
        <w:tc>
          <w:tcPr>
            <w:tcW w:w="1843" w:type="dxa"/>
            <w:vAlign w:val="center"/>
          </w:tcPr>
          <w:p w14:paraId="6AE2C9B7" w14:textId="74BAB840" w:rsidR="003E2C87" w:rsidRDefault="003E2C87" w:rsidP="003E2C87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9615237" w14:textId="3A3B523B" w:rsidR="003E2C87" w:rsidRDefault="003E2C87" w:rsidP="003E2C8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59BCEA3" w14:textId="07762EB3" w:rsidR="003E2C87" w:rsidRPr="00354C3C" w:rsidRDefault="003E2C87" w:rsidP="003E2C8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1701" w:type="dxa"/>
            <w:vAlign w:val="center"/>
          </w:tcPr>
          <w:p w14:paraId="05532812" w14:textId="3D4B7FEA" w:rsidR="003E2C87" w:rsidRDefault="003E2C87" w:rsidP="003E2C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623500BF" w14:textId="147716FE" w:rsidR="003E2C87" w:rsidRDefault="003E2C87" w:rsidP="003E2C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</w:tbl>
    <w:p w14:paraId="415F993B" w14:textId="77777777"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14:paraId="0B86557D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sectPr w:rsidR="00CD2745" w:rsidRPr="00CD2745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1AA8A" w14:textId="77777777" w:rsidR="008E7F0E" w:rsidRDefault="008E7F0E" w:rsidP="002F7E61">
      <w:r>
        <w:separator/>
      </w:r>
    </w:p>
  </w:endnote>
  <w:endnote w:type="continuationSeparator" w:id="0">
    <w:p w14:paraId="4735595D" w14:textId="77777777" w:rsidR="008E7F0E" w:rsidRDefault="008E7F0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BBC8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90FD7AC" w14:textId="77777777" w:rsidR="00954AE2" w:rsidRDefault="00C97E61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C8C19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E61940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10D760FE" w14:textId="77777777" w:rsidR="00954AE2" w:rsidRDefault="00C97E61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8E421" w14:textId="77777777" w:rsidR="008E7F0E" w:rsidRDefault="008E7F0E" w:rsidP="002F7E61">
      <w:r>
        <w:separator/>
      </w:r>
    </w:p>
  </w:footnote>
  <w:footnote w:type="continuationSeparator" w:id="0">
    <w:p w14:paraId="16F179D2" w14:textId="77777777" w:rsidR="008E7F0E" w:rsidRDefault="008E7F0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542F5" w14:textId="5E54FC0E" w:rsidR="00E22425" w:rsidRDefault="00A20B19" w:rsidP="00EB4167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r w:rsidR="003D41CE">
      <w:rPr>
        <w:rFonts w:ascii="Tahoma" w:hAnsi="Tahoma" w:cs="Tahoma"/>
        <w:b/>
        <w:sz w:val="22"/>
        <w:lang w:val="ru-RU"/>
      </w:rPr>
      <w:t xml:space="preserve">опционов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2481F"/>
    <w:rsid w:val="0003622D"/>
    <w:rsid w:val="000446D5"/>
    <w:rsid w:val="00045F7C"/>
    <w:rsid w:val="0005161A"/>
    <w:rsid w:val="000655B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67B6"/>
    <w:rsid w:val="00127BE1"/>
    <w:rsid w:val="001434DD"/>
    <w:rsid w:val="0015060E"/>
    <w:rsid w:val="00150B16"/>
    <w:rsid w:val="001620A4"/>
    <w:rsid w:val="00166CA2"/>
    <w:rsid w:val="00166D3D"/>
    <w:rsid w:val="00166F42"/>
    <w:rsid w:val="00171B53"/>
    <w:rsid w:val="001800B2"/>
    <w:rsid w:val="001C1816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4D2F"/>
    <w:rsid w:val="002A5CF9"/>
    <w:rsid w:val="002A6513"/>
    <w:rsid w:val="002B51BC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54C3C"/>
    <w:rsid w:val="00371C05"/>
    <w:rsid w:val="00374CCB"/>
    <w:rsid w:val="0038005F"/>
    <w:rsid w:val="0038420E"/>
    <w:rsid w:val="00392327"/>
    <w:rsid w:val="00396C31"/>
    <w:rsid w:val="003B1418"/>
    <w:rsid w:val="003B3AD6"/>
    <w:rsid w:val="003B482B"/>
    <w:rsid w:val="003D0E42"/>
    <w:rsid w:val="003D41CE"/>
    <w:rsid w:val="003E2297"/>
    <w:rsid w:val="003E2C87"/>
    <w:rsid w:val="003E3344"/>
    <w:rsid w:val="003E4AB2"/>
    <w:rsid w:val="003F3BE9"/>
    <w:rsid w:val="003F6062"/>
    <w:rsid w:val="00404DE6"/>
    <w:rsid w:val="00413554"/>
    <w:rsid w:val="00415320"/>
    <w:rsid w:val="004211ED"/>
    <w:rsid w:val="00441EDE"/>
    <w:rsid w:val="004537E3"/>
    <w:rsid w:val="00482495"/>
    <w:rsid w:val="0048494E"/>
    <w:rsid w:val="00487A9D"/>
    <w:rsid w:val="0049460B"/>
    <w:rsid w:val="004A3E83"/>
    <w:rsid w:val="004A7025"/>
    <w:rsid w:val="004A7817"/>
    <w:rsid w:val="004B018A"/>
    <w:rsid w:val="004B1471"/>
    <w:rsid w:val="004B2134"/>
    <w:rsid w:val="004B64EA"/>
    <w:rsid w:val="004F0D3D"/>
    <w:rsid w:val="004F5DA5"/>
    <w:rsid w:val="004F6B2B"/>
    <w:rsid w:val="00510C43"/>
    <w:rsid w:val="0052138C"/>
    <w:rsid w:val="0056718D"/>
    <w:rsid w:val="005873F7"/>
    <w:rsid w:val="00591B10"/>
    <w:rsid w:val="00594284"/>
    <w:rsid w:val="00596199"/>
    <w:rsid w:val="00597534"/>
    <w:rsid w:val="005A1317"/>
    <w:rsid w:val="005A2720"/>
    <w:rsid w:val="005A5C1E"/>
    <w:rsid w:val="005C1276"/>
    <w:rsid w:val="005D0F33"/>
    <w:rsid w:val="005D520C"/>
    <w:rsid w:val="005E7C09"/>
    <w:rsid w:val="0060558E"/>
    <w:rsid w:val="00606B3C"/>
    <w:rsid w:val="006137A6"/>
    <w:rsid w:val="00630BA3"/>
    <w:rsid w:val="00651433"/>
    <w:rsid w:val="00682E73"/>
    <w:rsid w:val="00683AA0"/>
    <w:rsid w:val="00691C54"/>
    <w:rsid w:val="006A32A4"/>
    <w:rsid w:val="006D221D"/>
    <w:rsid w:val="006D7056"/>
    <w:rsid w:val="0070216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649"/>
    <w:rsid w:val="007D4E10"/>
    <w:rsid w:val="007E5882"/>
    <w:rsid w:val="007F42DD"/>
    <w:rsid w:val="008136E3"/>
    <w:rsid w:val="008174C1"/>
    <w:rsid w:val="00817B56"/>
    <w:rsid w:val="00841C6C"/>
    <w:rsid w:val="008707E4"/>
    <w:rsid w:val="008738AD"/>
    <w:rsid w:val="00875499"/>
    <w:rsid w:val="00880DCA"/>
    <w:rsid w:val="008A3018"/>
    <w:rsid w:val="008D6680"/>
    <w:rsid w:val="008E7F0E"/>
    <w:rsid w:val="008F757F"/>
    <w:rsid w:val="00903EF9"/>
    <w:rsid w:val="0092365E"/>
    <w:rsid w:val="00941FD7"/>
    <w:rsid w:val="00945564"/>
    <w:rsid w:val="00946840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A6EBC"/>
    <w:rsid w:val="00AC6989"/>
    <w:rsid w:val="00AD3ECE"/>
    <w:rsid w:val="00B16BE1"/>
    <w:rsid w:val="00B217B3"/>
    <w:rsid w:val="00B273B1"/>
    <w:rsid w:val="00B471DD"/>
    <w:rsid w:val="00B6493F"/>
    <w:rsid w:val="00B71073"/>
    <w:rsid w:val="00B855D6"/>
    <w:rsid w:val="00BD0710"/>
    <w:rsid w:val="00BE01B7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97E61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5460B"/>
    <w:rsid w:val="00D62142"/>
    <w:rsid w:val="00D82B6A"/>
    <w:rsid w:val="00D85CCB"/>
    <w:rsid w:val="00D876B9"/>
    <w:rsid w:val="00D972EA"/>
    <w:rsid w:val="00DC0506"/>
    <w:rsid w:val="00DD05E7"/>
    <w:rsid w:val="00DD1A32"/>
    <w:rsid w:val="00DE2B3A"/>
    <w:rsid w:val="00DE357F"/>
    <w:rsid w:val="00DE3878"/>
    <w:rsid w:val="00DE41AA"/>
    <w:rsid w:val="00DF0D15"/>
    <w:rsid w:val="00DF2B1E"/>
    <w:rsid w:val="00E22425"/>
    <w:rsid w:val="00E43901"/>
    <w:rsid w:val="00E537F1"/>
    <w:rsid w:val="00E61940"/>
    <w:rsid w:val="00E752F1"/>
    <w:rsid w:val="00E83CC8"/>
    <w:rsid w:val="00EA10E0"/>
    <w:rsid w:val="00EB2921"/>
    <w:rsid w:val="00EB4167"/>
    <w:rsid w:val="00EE1446"/>
    <w:rsid w:val="00EF6696"/>
    <w:rsid w:val="00F01D79"/>
    <w:rsid w:val="00F113E7"/>
    <w:rsid w:val="00F145E9"/>
    <w:rsid w:val="00F14714"/>
    <w:rsid w:val="00F3508F"/>
    <w:rsid w:val="00F5236C"/>
    <w:rsid w:val="00F52CCE"/>
    <w:rsid w:val="00F6152D"/>
    <w:rsid w:val="00F77DCD"/>
    <w:rsid w:val="00F94563"/>
    <w:rsid w:val="00FB4868"/>
    <w:rsid w:val="00FD3072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0A5EF37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A106-5D41-4216-923E-385FAC0E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2022-12-20T09:03:00Z</dcterms:created>
  <dcterms:modified xsi:type="dcterms:W3CDTF">2022-12-20T09:03:00Z</dcterms:modified>
</cp:coreProperties>
</file>