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7A" w:rsidRPr="003748D5" w:rsidRDefault="001A0BB3" w:rsidP="00442D7A">
      <w:pPr>
        <w:pStyle w:val="2"/>
        <w:spacing w:line="240" w:lineRule="auto"/>
        <w:ind w:left="0"/>
        <w:jc w:val="center"/>
        <w:rPr>
          <w:rFonts w:ascii="Tahoma" w:hAnsi="Tahoma" w:cs="Tahoma"/>
          <w:b/>
          <w:sz w:val="20"/>
          <w:lang w:val="en-US"/>
        </w:rPr>
      </w:pPr>
      <w:bookmarkStart w:id="0" w:name="_GoBack"/>
      <w:r>
        <w:rPr>
          <w:rFonts w:ascii="Tahoma" w:hAnsi="Tahoma" w:cs="Tahoma"/>
          <w:b/>
          <w:sz w:val="20"/>
          <w:lang w:val="en-US"/>
        </w:rPr>
        <w:t>Ineffective and erroneous transaction fees calculation parameters</w:t>
      </w:r>
    </w:p>
    <w:bookmarkEnd w:id="0"/>
    <w:p w:rsidR="00442D7A" w:rsidRPr="003748D5" w:rsidRDefault="00442D7A" w:rsidP="00442D7A">
      <w:pPr>
        <w:pStyle w:val="2"/>
        <w:spacing w:before="240" w:after="0" w:line="240" w:lineRule="auto"/>
        <w:ind w:left="0"/>
        <w:rPr>
          <w:rFonts w:ascii="Tahoma" w:hAnsi="Tahoma" w:cs="Tahoma"/>
          <w:i/>
          <w:sz w:val="20"/>
          <w:lang w:val="en-US"/>
        </w:rPr>
      </w:pPr>
      <w:r w:rsidRPr="003748D5">
        <w:rPr>
          <w:rFonts w:ascii="Tahoma" w:hAnsi="Tahoma" w:cs="Tahoma"/>
          <w:i/>
          <w:sz w:val="20"/>
          <w:lang w:val="en-US"/>
        </w:rPr>
        <w:t xml:space="preserve">The parameters for </w:t>
      </w:r>
      <w:r w:rsidR="001A0BB3">
        <w:rPr>
          <w:rFonts w:ascii="Tahoma" w:hAnsi="Tahoma" w:cs="Tahoma"/>
          <w:i/>
          <w:sz w:val="20"/>
          <w:lang w:val="en-US"/>
        </w:rPr>
        <w:t xml:space="preserve">fees </w:t>
      </w:r>
      <w:r w:rsidRPr="003748D5">
        <w:rPr>
          <w:rFonts w:ascii="Tahoma" w:hAnsi="Tahoma" w:cs="Tahoma"/>
          <w:i/>
          <w:sz w:val="20"/>
          <w:lang w:val="en-US"/>
        </w:rPr>
        <w:t>calculati</w:t>
      </w:r>
      <w:r w:rsidR="001A0BB3">
        <w:rPr>
          <w:rFonts w:ascii="Tahoma" w:hAnsi="Tahoma" w:cs="Tahoma"/>
          <w:i/>
          <w:sz w:val="20"/>
          <w:lang w:val="en-US"/>
        </w:rPr>
        <w:t>on are</w:t>
      </w:r>
      <w:r w:rsidRPr="003748D5">
        <w:rPr>
          <w:rFonts w:ascii="Tahoma" w:hAnsi="Tahoma" w:cs="Tahoma"/>
          <w:i/>
          <w:sz w:val="20"/>
          <w:lang w:val="en-US"/>
        </w:rPr>
        <w:t xml:space="preserve"> determined </w:t>
      </w:r>
      <w:r w:rsidR="001A0BB3">
        <w:rPr>
          <w:rFonts w:ascii="Tahoma" w:hAnsi="Tahoma" w:cs="Tahoma"/>
          <w:i/>
          <w:sz w:val="20"/>
          <w:lang w:val="en-US"/>
        </w:rPr>
        <w:t xml:space="preserve">based on the </w:t>
      </w:r>
      <w:r w:rsidRPr="003748D5">
        <w:rPr>
          <w:rFonts w:ascii="Tahoma" w:hAnsi="Tahoma" w:cs="Tahoma"/>
          <w:i/>
          <w:sz w:val="20"/>
          <w:lang w:val="en-US"/>
        </w:rPr>
        <w:t>trading members</w:t>
      </w:r>
      <w:r w:rsidR="001A0BB3">
        <w:rPr>
          <w:rFonts w:ascii="Tahoma" w:hAnsi="Tahoma" w:cs="Tahoma"/>
          <w:i/>
          <w:sz w:val="20"/>
          <w:lang w:val="en-US"/>
        </w:rPr>
        <w:t>’</w:t>
      </w:r>
      <w:r w:rsidRPr="003748D5">
        <w:rPr>
          <w:rFonts w:ascii="Tahoma" w:hAnsi="Tahoma" w:cs="Tahoma"/>
          <w:i/>
          <w:sz w:val="20"/>
          <w:lang w:val="en-US"/>
        </w:rPr>
        <w:t xml:space="preserve"> </w:t>
      </w:r>
      <w:r w:rsidR="001A0BB3" w:rsidRPr="003748D5">
        <w:rPr>
          <w:rFonts w:ascii="Tahoma" w:hAnsi="Tahoma" w:cs="Tahoma"/>
          <w:i/>
          <w:sz w:val="20"/>
          <w:lang w:val="en-US"/>
        </w:rPr>
        <w:t xml:space="preserve">feedback </w:t>
      </w:r>
      <w:r w:rsidR="001A0BB3">
        <w:rPr>
          <w:rFonts w:ascii="Tahoma" w:hAnsi="Tahoma" w:cs="Tahoma"/>
          <w:i/>
          <w:sz w:val="20"/>
          <w:lang w:val="en-US"/>
        </w:rPr>
        <w:t>collected</w:t>
      </w:r>
      <w:r w:rsidRPr="003748D5">
        <w:rPr>
          <w:rFonts w:ascii="Tahoma" w:hAnsi="Tahoma" w:cs="Tahoma"/>
          <w:i/>
          <w:sz w:val="20"/>
          <w:lang w:val="en-US"/>
        </w:rPr>
        <w:t xml:space="preserve"> </w:t>
      </w:r>
      <w:r w:rsidR="001A0BB3">
        <w:rPr>
          <w:rFonts w:ascii="Tahoma" w:hAnsi="Tahoma" w:cs="Tahoma"/>
          <w:i/>
          <w:sz w:val="20"/>
          <w:lang w:val="en-US"/>
        </w:rPr>
        <w:t>during the testing period when the test fees reports were sent</w:t>
      </w:r>
      <w:r w:rsidRPr="003748D5">
        <w:rPr>
          <w:rFonts w:ascii="Tahoma" w:hAnsi="Tahoma" w:cs="Tahoma"/>
          <w:i/>
          <w:sz w:val="20"/>
          <w:lang w:val="en-US"/>
        </w:rPr>
        <w:t xml:space="preserve">. The parameters are set by the Technical Center </w:t>
      </w:r>
      <w:r w:rsidR="001A0BB3">
        <w:rPr>
          <w:rFonts w:ascii="Tahoma" w:hAnsi="Tahoma" w:cs="Tahoma"/>
          <w:i/>
          <w:sz w:val="20"/>
          <w:lang w:val="en-US"/>
        </w:rPr>
        <w:t>upon agreement</w:t>
      </w:r>
      <w:r w:rsidRPr="003748D5">
        <w:rPr>
          <w:rFonts w:ascii="Tahoma" w:hAnsi="Tahoma" w:cs="Tahoma"/>
          <w:i/>
          <w:sz w:val="20"/>
          <w:lang w:val="en-US"/>
        </w:rPr>
        <w:t xml:space="preserve"> with the Informa</w:t>
      </w:r>
      <w:r w:rsidR="001A0BB3">
        <w:rPr>
          <w:rFonts w:ascii="Tahoma" w:hAnsi="Tahoma" w:cs="Tahoma"/>
          <w:i/>
          <w:sz w:val="20"/>
          <w:lang w:val="en-US"/>
        </w:rPr>
        <w:t>tion Technology</w:t>
      </w:r>
      <w:r w:rsidRPr="003748D5">
        <w:rPr>
          <w:rFonts w:ascii="Tahoma" w:hAnsi="Tahoma" w:cs="Tahoma"/>
          <w:i/>
          <w:sz w:val="20"/>
          <w:lang w:val="en-US"/>
        </w:rPr>
        <w:t xml:space="preserve"> Committee of </w:t>
      </w:r>
      <w:r w:rsidR="001A0BB3">
        <w:rPr>
          <w:rFonts w:ascii="Tahoma" w:hAnsi="Tahoma" w:cs="Tahoma"/>
          <w:i/>
          <w:sz w:val="20"/>
          <w:lang w:val="en-US"/>
        </w:rPr>
        <w:t xml:space="preserve">the </w:t>
      </w:r>
      <w:r w:rsidRPr="003748D5">
        <w:rPr>
          <w:rFonts w:ascii="Tahoma" w:hAnsi="Tahoma" w:cs="Tahoma"/>
          <w:i/>
          <w:sz w:val="20"/>
          <w:lang w:val="en-US"/>
        </w:rPr>
        <w:t>Moscow Exchange</w:t>
      </w:r>
      <w:r w:rsidR="001A0BB3">
        <w:rPr>
          <w:rFonts w:ascii="Tahoma" w:hAnsi="Tahoma" w:cs="Tahoma"/>
          <w:i/>
          <w:sz w:val="20"/>
          <w:lang w:val="en-US"/>
        </w:rPr>
        <w:t xml:space="preserve"> by passing successful approval (Protocol #2 as of </w:t>
      </w:r>
      <w:r w:rsidR="001A0BB3" w:rsidRPr="003748D5">
        <w:rPr>
          <w:rFonts w:ascii="Tahoma" w:hAnsi="Tahoma" w:cs="Tahoma"/>
          <w:i/>
          <w:sz w:val="20"/>
          <w:lang w:val="en-US"/>
        </w:rPr>
        <w:t>21.06.2013</w:t>
      </w:r>
      <w:r w:rsidR="001A0BB3">
        <w:rPr>
          <w:rFonts w:ascii="Tahoma" w:hAnsi="Tahoma" w:cs="Tahoma"/>
          <w:i/>
          <w:sz w:val="20"/>
          <w:lang w:val="en-US"/>
        </w:rPr>
        <w:t>)</w:t>
      </w:r>
      <w:r w:rsidRPr="003748D5">
        <w:rPr>
          <w:rFonts w:ascii="Tahoma" w:hAnsi="Tahoma" w:cs="Tahoma"/>
          <w:i/>
          <w:sz w:val="20"/>
          <w:lang w:val="en-US"/>
        </w:rPr>
        <w:t xml:space="preserve">.  </w:t>
      </w:r>
    </w:p>
    <w:p w:rsidR="00442D7A" w:rsidRPr="003748D5" w:rsidRDefault="001A0BB3" w:rsidP="00442D7A">
      <w:pPr>
        <w:pStyle w:val="2"/>
        <w:spacing w:before="240" w:line="240" w:lineRule="auto"/>
        <w:ind w:left="0"/>
        <w:rPr>
          <w:rFonts w:ascii="Tahoma" w:hAnsi="Tahoma" w:cs="Tahoma"/>
          <w:sz w:val="20"/>
          <w:u w:val="single"/>
          <w:lang w:val="en-US"/>
        </w:rPr>
      </w:pPr>
      <w:r>
        <w:rPr>
          <w:rFonts w:ascii="Tahoma" w:hAnsi="Tahoma" w:cs="Tahoma"/>
          <w:sz w:val="20"/>
          <w:u w:val="single"/>
          <w:lang w:val="en-US"/>
        </w:rPr>
        <w:t>Ineffective transaction fee</w:t>
      </w:r>
    </w:p>
    <w:p w:rsidR="00442D7A" w:rsidRPr="003748D5" w:rsidRDefault="00442D7A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 w:rsidRPr="003748D5">
        <w:rPr>
          <w:rFonts w:ascii="Tahoma" w:hAnsi="Tahoma" w:cs="Tahoma"/>
          <w:sz w:val="20"/>
          <w:lang w:val="en-US"/>
        </w:rPr>
        <w:t xml:space="preserve">The threshold is 2,000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ransactions. </w:t>
      </w:r>
    </w:p>
    <w:p w:rsidR="00442D7A" w:rsidRPr="003748D5" w:rsidRDefault="00442D7A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 w:rsidRPr="003748D5">
        <w:rPr>
          <w:rFonts w:ascii="Tahoma" w:hAnsi="Tahoma" w:cs="Tahoma"/>
          <w:sz w:val="20"/>
          <w:lang w:val="en-US"/>
        </w:rPr>
        <w:t xml:space="preserve">Grades assigned to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ransactions and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rades are as follows: 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59"/>
        <w:gridCol w:w="1559"/>
        <w:gridCol w:w="2126"/>
        <w:gridCol w:w="1701"/>
      </w:tblGrid>
      <w:tr w:rsidR="00442D7A" w:rsidRPr="003748D5" w:rsidTr="001718E8">
        <w:tc>
          <w:tcPr>
            <w:tcW w:w="4678" w:type="dxa"/>
            <w:gridSpan w:val="3"/>
          </w:tcPr>
          <w:p w:rsidR="00442D7A" w:rsidRPr="003748D5" w:rsidRDefault="003E4EEE" w:rsidP="003E4EE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</w:t>
            </w:r>
            <w:r w:rsidR="00442D7A" w:rsidRPr="003748D5">
              <w:rPr>
                <w:rFonts w:ascii="Tahoma" w:hAnsi="Tahoma" w:cs="Tahoma"/>
                <w:b/>
                <w:sz w:val="20"/>
                <w:szCs w:val="20"/>
                <w:lang w:val="en-US"/>
              </w:rPr>
              <w:t>ransaction o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r t</w:t>
            </w:r>
            <w:r w:rsidR="00442D7A" w:rsidRPr="003748D5">
              <w:rPr>
                <w:rFonts w:ascii="Tahoma" w:hAnsi="Tahoma" w:cs="Tahoma"/>
                <w:b/>
                <w:sz w:val="20"/>
                <w:szCs w:val="20"/>
                <w:lang w:val="en-US"/>
              </w:rPr>
              <w:t>rade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2126" w:type="dxa"/>
            <w:vMerge w:val="restart"/>
            <w:vAlign w:val="center"/>
          </w:tcPr>
          <w:p w:rsidR="00442D7A" w:rsidRPr="001718E8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b/>
                <w:sz w:val="20"/>
                <w:szCs w:val="20"/>
              </w:rPr>
              <w:t>Transaction</w:t>
            </w:r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grade</w:t>
            </w:r>
          </w:p>
        </w:tc>
        <w:tc>
          <w:tcPr>
            <w:tcW w:w="1701" w:type="dxa"/>
            <w:vMerge w:val="restart"/>
            <w:vAlign w:val="center"/>
          </w:tcPr>
          <w:p w:rsidR="00442D7A" w:rsidRPr="001718E8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b/>
                <w:sz w:val="20"/>
                <w:szCs w:val="20"/>
              </w:rPr>
              <w:t>Trade</w:t>
            </w:r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grade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 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 2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 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3748D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3748D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20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20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3748D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:rsidR="00442D7A" w:rsidRPr="003748D5" w:rsidRDefault="00442D7A" w:rsidP="00442D7A">
      <w:pPr>
        <w:pStyle w:val="2"/>
        <w:spacing w:after="0" w:line="240" w:lineRule="auto"/>
        <w:ind w:left="0"/>
        <w:rPr>
          <w:rFonts w:ascii="Tahoma" w:hAnsi="Tahoma" w:cs="Tahoma"/>
          <w:sz w:val="20"/>
        </w:rPr>
      </w:pPr>
    </w:p>
    <w:p w:rsidR="00442D7A" w:rsidRPr="003748D5" w:rsidRDefault="001718E8" w:rsidP="00442D7A">
      <w:pPr>
        <w:pStyle w:val="2"/>
        <w:spacing w:before="120" w:after="0" w:line="240" w:lineRule="auto"/>
        <w:ind w:left="0"/>
        <w:rPr>
          <w:rFonts w:ascii="Tahoma" w:hAnsi="Tahoma" w:cs="Tahoma"/>
          <w:sz w:val="20"/>
          <w:u w:val="single"/>
          <w:lang w:val="en-US"/>
        </w:rPr>
      </w:pPr>
      <w:r>
        <w:rPr>
          <w:rFonts w:ascii="Tahoma" w:hAnsi="Tahoma" w:cs="Tahoma"/>
          <w:sz w:val="20"/>
          <w:u w:val="single"/>
          <w:lang w:val="en-US"/>
        </w:rPr>
        <w:t>Erroneous transaction fee</w:t>
      </w:r>
    </w:p>
    <w:p w:rsidR="00442D7A" w:rsidRPr="003748D5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 w:rsidRPr="001718E8">
        <w:rPr>
          <w:rFonts w:ascii="Tahoma" w:hAnsi="Tahoma" w:cs="Tahoma"/>
          <w:sz w:val="20"/>
          <w:lang w:val="en-US"/>
        </w:rPr>
        <w:t>M</w:t>
      </w:r>
      <w:r w:rsidR="00442D7A" w:rsidRPr="003748D5">
        <w:rPr>
          <w:rFonts w:ascii="Tahoma" w:hAnsi="Tahoma" w:cs="Tahoma"/>
          <w:sz w:val="20"/>
          <w:lang w:val="en-US"/>
        </w:rPr>
        <w:t xml:space="preserve">aximum </w:t>
      </w:r>
      <w:r>
        <w:rPr>
          <w:rFonts w:ascii="Tahoma" w:hAnsi="Tahoma" w:cs="Tahoma"/>
          <w:sz w:val="20"/>
          <w:lang w:val="en-US"/>
        </w:rPr>
        <w:t xml:space="preserve">fee </w:t>
      </w:r>
      <w:r w:rsidR="00442D7A" w:rsidRPr="003748D5">
        <w:rPr>
          <w:rFonts w:ascii="Tahoma" w:hAnsi="Tahoma" w:cs="Tahoma"/>
          <w:sz w:val="20"/>
          <w:lang w:val="en-US"/>
        </w:rPr>
        <w:t>value (Cap) is set to RU</w:t>
      </w:r>
      <w:r w:rsidRPr="001718E8">
        <w:rPr>
          <w:rFonts w:ascii="Tahoma" w:hAnsi="Tahoma" w:cs="Tahoma"/>
          <w:sz w:val="20"/>
          <w:lang w:val="en-US"/>
        </w:rPr>
        <w:t>B</w:t>
      </w:r>
      <w:r>
        <w:rPr>
          <w:rFonts w:ascii="Tahoma" w:hAnsi="Tahoma" w:cs="Tahoma"/>
          <w:sz w:val="20"/>
          <w:lang w:val="en-US"/>
        </w:rPr>
        <w:t xml:space="preserve"> </w:t>
      </w:r>
      <w:r w:rsidR="00442D7A" w:rsidRPr="003748D5">
        <w:rPr>
          <w:rFonts w:ascii="Tahoma" w:hAnsi="Tahoma" w:cs="Tahoma"/>
          <w:sz w:val="20"/>
          <w:lang w:val="en-US"/>
        </w:rPr>
        <w:t>30,000.</w:t>
      </w:r>
    </w:p>
    <w:p w:rsidR="00442D7A" w:rsidRPr="003748D5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M</w:t>
      </w:r>
      <w:r w:rsidR="00442D7A" w:rsidRPr="003748D5">
        <w:rPr>
          <w:rFonts w:ascii="Tahoma" w:hAnsi="Tahoma" w:cs="Tahoma"/>
          <w:sz w:val="20"/>
          <w:lang w:val="en-US"/>
        </w:rPr>
        <w:t xml:space="preserve">inimum </w:t>
      </w:r>
      <w:r>
        <w:rPr>
          <w:rFonts w:ascii="Tahoma" w:hAnsi="Tahoma" w:cs="Tahoma"/>
          <w:sz w:val="20"/>
          <w:lang w:val="en-US"/>
        </w:rPr>
        <w:t xml:space="preserve">fee </w:t>
      </w:r>
      <w:r w:rsidR="00442D7A" w:rsidRPr="003748D5">
        <w:rPr>
          <w:rFonts w:ascii="Tahoma" w:hAnsi="Tahoma" w:cs="Tahoma"/>
          <w:sz w:val="20"/>
          <w:lang w:val="en-US"/>
        </w:rPr>
        <w:t>value (Cap</w:t>
      </w:r>
      <w:r w:rsidR="00442D7A" w:rsidRPr="003748D5">
        <w:rPr>
          <w:rFonts w:ascii="Tahoma" w:hAnsi="Tahoma" w:cs="Tahoma"/>
          <w:sz w:val="20"/>
          <w:vertAlign w:val="subscript"/>
          <w:lang w:val="en-US"/>
        </w:rPr>
        <w:t>min</w:t>
      </w:r>
      <w:r w:rsidR="00442D7A" w:rsidRPr="003748D5">
        <w:rPr>
          <w:rFonts w:ascii="Tahoma" w:hAnsi="Tahoma" w:cs="Tahoma"/>
          <w:sz w:val="20"/>
          <w:lang w:val="en-US"/>
        </w:rPr>
        <w:t>) is set to RU</w:t>
      </w:r>
      <w:r w:rsidRPr="001718E8">
        <w:rPr>
          <w:rFonts w:ascii="Tahoma" w:hAnsi="Tahoma" w:cs="Tahoma"/>
          <w:sz w:val="20"/>
          <w:lang w:val="en-US"/>
        </w:rPr>
        <w:t xml:space="preserve">B </w:t>
      </w:r>
      <w:r w:rsidR="00442D7A" w:rsidRPr="003748D5">
        <w:rPr>
          <w:rFonts w:ascii="Tahoma" w:hAnsi="Tahoma" w:cs="Tahoma"/>
          <w:sz w:val="20"/>
          <w:lang w:val="en-US"/>
        </w:rPr>
        <w:t>1,000.</w:t>
      </w:r>
    </w:p>
    <w:p w:rsidR="00442D7A" w:rsidRPr="003748D5" w:rsidRDefault="001718E8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T</w:t>
      </w:r>
      <w:r w:rsidR="00442D7A" w:rsidRPr="003748D5">
        <w:rPr>
          <w:rFonts w:ascii="Tahoma" w:hAnsi="Tahoma" w:cs="Tahoma"/>
          <w:sz w:val="20"/>
          <w:lang w:val="en-US"/>
        </w:rPr>
        <w:t>ransaction</w:t>
      </w:r>
      <w:r>
        <w:rPr>
          <w:rFonts w:ascii="Tahoma" w:hAnsi="Tahoma" w:cs="Tahoma"/>
          <w:sz w:val="20"/>
          <w:lang w:val="en-US"/>
        </w:rPr>
        <w:t xml:space="preserve"> grades</w:t>
      </w:r>
      <w:r w:rsidR="00442D7A" w:rsidRPr="003748D5">
        <w:rPr>
          <w:rFonts w:ascii="Tahoma" w:hAnsi="Tahoma" w:cs="Tahoma"/>
          <w:sz w:val="20"/>
          <w:lang w:val="en-US"/>
        </w:rPr>
        <w:t xml:space="preserve"> are as follows: </w:t>
      </w:r>
    </w:p>
    <w:p w:rsidR="00442D7A" w:rsidRPr="00442D7A" w:rsidRDefault="00442D7A" w:rsidP="00442D7A">
      <w:pPr>
        <w:pStyle w:val="2"/>
        <w:spacing w:after="0" w:line="240" w:lineRule="auto"/>
        <w:ind w:left="0"/>
        <w:rPr>
          <w:rFonts w:ascii="Tahoma" w:hAnsi="Tahoma" w:cs="Tahoma"/>
          <w:sz w:val="20"/>
          <w:lang w:val="en-US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5528"/>
        <w:gridCol w:w="1134"/>
      </w:tblGrid>
      <w:tr w:rsidR="00442D7A" w:rsidRPr="003748D5" w:rsidTr="002762AA">
        <w:tc>
          <w:tcPr>
            <w:tcW w:w="1843" w:type="dxa"/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748D5">
              <w:rPr>
                <w:rFonts w:ascii="Tahoma" w:hAnsi="Tahoma" w:cs="Tahoma"/>
                <w:b/>
                <w:sz w:val="20"/>
                <w:szCs w:val="20"/>
              </w:rPr>
              <w:t>Transaction</w:t>
            </w:r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b/>
                <w:sz w:val="20"/>
                <w:szCs w:val="20"/>
              </w:rPr>
              <w:t>type*</w:t>
            </w:r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748D5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b/>
                <w:sz w:val="20"/>
                <w:szCs w:val="20"/>
              </w:rPr>
              <w:t>result (error</w:t>
            </w:r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b/>
                <w:sz w:val="20"/>
                <w:szCs w:val="20"/>
              </w:rPr>
              <w:t>code)*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748D5">
              <w:rPr>
                <w:rFonts w:ascii="Tahoma" w:hAnsi="Tahoma" w:cs="Tahoma"/>
                <w:b/>
                <w:sz w:val="20"/>
                <w:szCs w:val="20"/>
              </w:rPr>
              <w:t>Grade Q</w:t>
            </w:r>
          </w:p>
        </w:tc>
      </w:tr>
      <w:tr w:rsidR="00442D7A" w:rsidRPr="003748D5" w:rsidTr="002762AA">
        <w:tc>
          <w:tcPr>
            <w:tcW w:w="1843" w:type="dxa"/>
            <w:vMerge w:val="restart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AddOrder</w:t>
            </w: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Cross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trade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(31)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client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(332)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broker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(333)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1718E8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FOK 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order is not filled </w:t>
            </w:r>
            <w:r w:rsidRPr="001718E8">
              <w:rPr>
                <w:rFonts w:ascii="Tahoma" w:hAnsi="Tahoma" w:cs="Tahoma"/>
                <w:sz w:val="20"/>
                <w:szCs w:val="20"/>
                <w:lang w:val="en-US"/>
              </w:rPr>
              <w:t>(4103)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442D7A" w:rsidRPr="003748D5" w:rsidTr="002762AA">
        <w:tc>
          <w:tcPr>
            <w:tcW w:w="1843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DelOrder</w:t>
            </w:r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Order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not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found (14)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Merge w:val="restart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MoveOrder</w:t>
            </w: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Cross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trade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(31)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Order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not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found (50)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client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(332)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broker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(333)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2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2762AA">
        <w:tc>
          <w:tcPr>
            <w:tcW w:w="1843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DelUserOrders</w:t>
            </w:r>
          </w:p>
        </w:tc>
        <w:tc>
          <w:tcPr>
            <w:tcW w:w="5528" w:type="dxa"/>
            <w:vAlign w:val="center"/>
          </w:tcPr>
          <w:p w:rsidR="00442D7A" w:rsidRPr="003748D5" w:rsidRDefault="001718E8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Order is filled, </w:t>
            </w:r>
            <w:r w:rsidR="00442D7A" w:rsidRPr="003748D5">
              <w:rPr>
                <w:rFonts w:ascii="Tahoma" w:hAnsi="Tahoma" w:cs="Tahoma"/>
                <w:sz w:val="20"/>
                <w:szCs w:val="20"/>
                <w:lang w:val="en-US"/>
              </w:rPr>
              <w:t>no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thing to</w:t>
            </w:r>
            <w:r w:rsidR="00442D7A" w:rsidRPr="003748D5">
              <w:rPr>
                <w:rFonts w:ascii="Tahoma" w:hAnsi="Tahoma" w:cs="Tahoma"/>
                <w:sz w:val="20"/>
                <w:szCs w:val="20"/>
                <w:lang w:val="en-US"/>
              </w:rPr>
              <w:t xml:space="preserve"> delet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</w:tbl>
    <w:p w:rsidR="00987272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The Technical Center reserves the right to disable the login</w:t>
      </w:r>
      <w:r w:rsidR="00987272">
        <w:rPr>
          <w:rFonts w:ascii="Tahoma" w:hAnsi="Tahoma" w:cs="Tahoma"/>
          <w:sz w:val="20"/>
          <w:lang w:val="en-US"/>
        </w:rPr>
        <w:t>s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 w:rsidR="00987272">
        <w:rPr>
          <w:rFonts w:ascii="Tahoma" w:hAnsi="Tahoma" w:cs="Tahoma"/>
          <w:sz w:val="20"/>
          <w:lang w:val="en-US"/>
        </w:rPr>
        <w:t xml:space="preserve">if the </w:t>
      </w:r>
      <w:r w:rsidR="00643593">
        <w:rPr>
          <w:rFonts w:ascii="Tahoma" w:hAnsi="Tahoma" w:cs="Tahoma"/>
          <w:sz w:val="20"/>
          <w:lang w:val="en-US"/>
        </w:rPr>
        <w:t xml:space="preserve">Block threshold </w:t>
      </w:r>
      <w:r w:rsidR="0066165E">
        <w:rPr>
          <w:rFonts w:ascii="Tahoma" w:hAnsi="Tahoma" w:cs="Tahoma"/>
          <w:sz w:val="20"/>
          <w:lang w:val="en-US"/>
        </w:rPr>
        <w:t xml:space="preserve">during the </w:t>
      </w:r>
      <w:r w:rsidR="00442D7A" w:rsidRPr="003748D5">
        <w:rPr>
          <w:rFonts w:ascii="Tahoma" w:hAnsi="Tahoma" w:cs="Tahoma"/>
          <w:sz w:val="20"/>
          <w:lang w:val="en-US"/>
        </w:rPr>
        <w:t>Calculation Period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 w:rsidR="00643593">
        <w:rPr>
          <w:rFonts w:ascii="Tahoma" w:hAnsi="Tahoma" w:cs="Tahoma"/>
          <w:sz w:val="20"/>
          <w:lang w:val="en-US"/>
        </w:rPr>
        <w:t>exceeds 30,000</w:t>
      </w:r>
      <w:r w:rsidR="00987272">
        <w:rPr>
          <w:rFonts w:ascii="Tahoma" w:hAnsi="Tahoma" w:cs="Tahoma"/>
          <w:sz w:val="20"/>
          <w:lang w:val="en-US"/>
        </w:rPr>
        <w:t xml:space="preserve">. </w:t>
      </w:r>
    </w:p>
    <w:p w:rsidR="00442D7A" w:rsidRPr="003748D5" w:rsidRDefault="00987272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Once the </w:t>
      </w:r>
      <w:r w:rsidR="00643593">
        <w:rPr>
          <w:rFonts w:ascii="Tahoma" w:hAnsi="Tahoma" w:cs="Tahoma"/>
          <w:sz w:val="20"/>
          <w:lang w:val="en-US"/>
        </w:rPr>
        <w:t>Block threshold</w:t>
      </w:r>
      <w:r>
        <w:rPr>
          <w:rFonts w:ascii="Tahoma" w:hAnsi="Tahoma" w:cs="Tahoma"/>
          <w:sz w:val="20"/>
          <w:lang w:val="en-US"/>
        </w:rPr>
        <w:t xml:space="preserve"> during the Calculation Period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 xml:space="preserve">reaches 25,000, the Technical Center </w:t>
      </w:r>
      <w:r w:rsidR="0066165E">
        <w:rPr>
          <w:rFonts w:ascii="Tahoma" w:hAnsi="Tahoma" w:cs="Tahoma"/>
          <w:sz w:val="20"/>
          <w:lang w:val="en-US"/>
        </w:rPr>
        <w:t>sends out automatic n</w:t>
      </w:r>
      <w:r w:rsidR="00442D7A" w:rsidRPr="003748D5">
        <w:rPr>
          <w:rFonts w:ascii="Tahoma" w:hAnsi="Tahoma" w:cs="Tahoma"/>
          <w:sz w:val="20"/>
          <w:lang w:val="en-US"/>
        </w:rPr>
        <w:t>otifi</w:t>
      </w:r>
      <w:r w:rsidR="0066165E">
        <w:rPr>
          <w:rFonts w:ascii="Tahoma" w:hAnsi="Tahoma" w:cs="Tahoma"/>
          <w:sz w:val="20"/>
          <w:lang w:val="en-US"/>
        </w:rPr>
        <w:t>cations (when possible) about the risk of trading login disabling.</w:t>
      </w:r>
      <w:r w:rsidR="00442D7A" w:rsidRPr="003748D5">
        <w:rPr>
          <w:rFonts w:ascii="Tahoma" w:hAnsi="Tahoma" w:cs="Tahoma"/>
          <w:sz w:val="20"/>
          <w:lang w:val="en-US"/>
        </w:rPr>
        <w:t xml:space="preserve"> </w:t>
      </w:r>
    </w:p>
    <w:p w:rsidR="00442D7A" w:rsidRPr="003748D5" w:rsidRDefault="00442D7A" w:rsidP="00442D7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66165E" w:rsidRDefault="0066165E" w:rsidP="00442D7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66165E" w:rsidRDefault="0066165E" w:rsidP="00442D7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66165E" w:rsidRDefault="0066165E" w:rsidP="00442D7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987272" w:rsidRDefault="00987272">
      <w:pPr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br w:type="page"/>
      </w:r>
    </w:p>
    <w:p w:rsidR="00442D7A" w:rsidRPr="003748D5" w:rsidRDefault="00442D7A" w:rsidP="0066165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3748D5">
        <w:rPr>
          <w:rFonts w:ascii="Tahoma" w:hAnsi="Tahoma" w:cs="Tahoma"/>
          <w:b/>
          <w:sz w:val="20"/>
          <w:szCs w:val="20"/>
          <w:lang w:val="en-US"/>
        </w:rPr>
        <w:lastRenderedPageBreak/>
        <w:t xml:space="preserve">List of low liquid instruments </w:t>
      </w:r>
      <w:r w:rsidR="0066165E">
        <w:rPr>
          <w:rFonts w:ascii="Tahoma" w:hAnsi="Tahoma" w:cs="Tahoma"/>
          <w:b/>
          <w:sz w:val="20"/>
          <w:szCs w:val="20"/>
          <w:lang w:val="en-US"/>
        </w:rPr>
        <w:t xml:space="preserve">used for erroneous transaction </w:t>
      </w:r>
      <w:r w:rsidR="0066165E" w:rsidRPr="003748D5">
        <w:rPr>
          <w:rFonts w:ascii="Tahoma" w:hAnsi="Tahoma" w:cs="Tahoma"/>
          <w:b/>
          <w:sz w:val="20"/>
          <w:szCs w:val="20"/>
          <w:lang w:val="en-US"/>
        </w:rPr>
        <w:t>calculat</w:t>
      </w:r>
      <w:r w:rsidR="0066165E">
        <w:rPr>
          <w:rFonts w:ascii="Tahoma" w:hAnsi="Tahoma" w:cs="Tahoma"/>
          <w:b/>
          <w:sz w:val="20"/>
          <w:szCs w:val="20"/>
          <w:lang w:val="en-US"/>
        </w:rPr>
        <w:t>ion</w:t>
      </w:r>
    </w:p>
    <w:p w:rsidR="00442D7A" w:rsidRPr="003748D5" w:rsidRDefault="00442D7A" w:rsidP="00442D7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442D7A" w:rsidRPr="0066165E" w:rsidRDefault="00442D7A" w:rsidP="00442D7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3748D5">
        <w:rPr>
          <w:rFonts w:ascii="Tahoma" w:hAnsi="Tahoma" w:cs="Tahoma"/>
          <w:i/>
          <w:sz w:val="20"/>
          <w:szCs w:val="20"/>
          <w:lang w:val="en-US"/>
        </w:rPr>
        <w:t xml:space="preserve">Determined by </w:t>
      </w:r>
      <w:r w:rsidR="0066165E">
        <w:rPr>
          <w:rFonts w:ascii="Tahoma" w:hAnsi="Tahoma" w:cs="Tahoma"/>
          <w:i/>
          <w:sz w:val="20"/>
          <w:szCs w:val="20"/>
          <w:lang w:val="en-US"/>
        </w:rPr>
        <w:t xml:space="preserve">the </w:t>
      </w:r>
      <w:r w:rsidRPr="003748D5">
        <w:rPr>
          <w:rFonts w:ascii="Tahoma" w:hAnsi="Tahoma" w:cs="Tahoma"/>
          <w:i/>
          <w:sz w:val="20"/>
          <w:szCs w:val="20"/>
          <w:lang w:val="en-US"/>
        </w:rPr>
        <w:t>Moscow Exchange</w:t>
      </w:r>
      <w:r w:rsidRPr="0066165E">
        <w:rPr>
          <w:rFonts w:ascii="Tahoma" w:hAnsi="Tahoma" w:cs="Tahoma"/>
          <w:i/>
          <w:sz w:val="20"/>
          <w:szCs w:val="20"/>
          <w:lang w:val="en-US"/>
        </w:rPr>
        <w:t>.</w:t>
      </w:r>
    </w:p>
    <w:p w:rsidR="00442D7A" w:rsidRPr="0066165E" w:rsidRDefault="00442D7A" w:rsidP="00442D7A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442D7A" w:rsidRPr="003748D5" w:rsidRDefault="00442D7A" w:rsidP="00442D7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3748D5">
        <w:rPr>
          <w:rFonts w:ascii="Tahoma" w:hAnsi="Tahoma" w:cs="Tahoma"/>
          <w:sz w:val="20"/>
          <w:szCs w:val="20"/>
          <w:lang w:val="en-US"/>
        </w:rPr>
        <w:t>Norilsk Nickel ordinary shares futures</w:t>
      </w:r>
      <w:r w:rsidR="0066165E">
        <w:rPr>
          <w:rFonts w:ascii="Tahoma" w:hAnsi="Tahoma" w:cs="Tahoma"/>
          <w:sz w:val="20"/>
          <w:szCs w:val="20"/>
          <w:lang w:val="en-US"/>
        </w:rPr>
        <w:t xml:space="preserve"> o</w:t>
      </w:r>
      <w:r w:rsidR="0066165E" w:rsidRPr="003748D5">
        <w:rPr>
          <w:rFonts w:ascii="Tahoma" w:hAnsi="Tahoma" w:cs="Tahoma"/>
          <w:sz w:val="20"/>
          <w:szCs w:val="20"/>
          <w:lang w:val="en-US"/>
        </w:rPr>
        <w:t>ption</w:t>
      </w:r>
      <w:r w:rsidRPr="003748D5">
        <w:rPr>
          <w:rFonts w:ascii="Tahoma" w:hAnsi="Tahoma" w:cs="Tahoma"/>
          <w:sz w:val="20"/>
          <w:szCs w:val="20"/>
          <w:lang w:val="en-US"/>
        </w:rPr>
        <w:t>.</w:t>
      </w:r>
    </w:p>
    <w:p w:rsidR="00442D7A" w:rsidRPr="003748D5" w:rsidRDefault="00442D7A" w:rsidP="00442D7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3748D5">
        <w:rPr>
          <w:rFonts w:ascii="Tahoma" w:hAnsi="Tahoma" w:cs="Tahoma"/>
          <w:sz w:val="20"/>
          <w:szCs w:val="20"/>
          <w:lang w:val="en-US"/>
        </w:rPr>
        <w:t>Rosneft ordinary shares futures</w:t>
      </w:r>
      <w:r w:rsidR="0066165E">
        <w:rPr>
          <w:rFonts w:ascii="Tahoma" w:hAnsi="Tahoma" w:cs="Tahoma"/>
          <w:sz w:val="20"/>
          <w:szCs w:val="20"/>
          <w:lang w:val="en-US"/>
        </w:rPr>
        <w:t xml:space="preserve"> option</w:t>
      </w:r>
      <w:r w:rsidRPr="003748D5">
        <w:rPr>
          <w:rFonts w:ascii="Tahoma" w:hAnsi="Tahoma" w:cs="Tahoma"/>
          <w:sz w:val="20"/>
          <w:szCs w:val="20"/>
          <w:lang w:val="en-US"/>
        </w:rPr>
        <w:t>.</w:t>
      </w:r>
    </w:p>
    <w:p w:rsidR="00442D7A" w:rsidRPr="003748D5" w:rsidRDefault="00442D7A" w:rsidP="00442D7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3748D5">
        <w:rPr>
          <w:rFonts w:ascii="Tahoma" w:hAnsi="Tahoma" w:cs="Tahoma"/>
          <w:sz w:val="20"/>
          <w:szCs w:val="20"/>
          <w:lang w:val="en-US"/>
        </w:rPr>
        <w:t>Surgutneftegas ordinary shares futures</w:t>
      </w:r>
      <w:r w:rsidR="0066165E">
        <w:rPr>
          <w:rFonts w:ascii="Tahoma" w:hAnsi="Tahoma" w:cs="Tahoma"/>
          <w:sz w:val="20"/>
          <w:szCs w:val="20"/>
          <w:lang w:val="en-US"/>
        </w:rPr>
        <w:t xml:space="preserve"> option</w:t>
      </w:r>
      <w:r w:rsidRPr="003748D5">
        <w:rPr>
          <w:rFonts w:ascii="Tahoma" w:hAnsi="Tahoma" w:cs="Tahoma"/>
          <w:sz w:val="20"/>
          <w:szCs w:val="20"/>
          <w:lang w:val="en-US"/>
        </w:rPr>
        <w:t>.</w:t>
      </w:r>
    </w:p>
    <w:p w:rsidR="00442D7A" w:rsidRPr="003748D5" w:rsidRDefault="00442D7A" w:rsidP="00442D7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3748D5">
        <w:rPr>
          <w:rFonts w:ascii="Tahoma" w:hAnsi="Tahoma" w:cs="Tahoma"/>
          <w:sz w:val="20"/>
          <w:szCs w:val="20"/>
          <w:lang w:val="en-US"/>
        </w:rPr>
        <w:t>Transneft preferred shares futures</w:t>
      </w:r>
      <w:r w:rsidR="0066165E">
        <w:rPr>
          <w:rFonts w:ascii="Tahoma" w:hAnsi="Tahoma" w:cs="Tahoma"/>
          <w:sz w:val="20"/>
          <w:szCs w:val="20"/>
          <w:lang w:val="en-US"/>
        </w:rPr>
        <w:t xml:space="preserve"> option</w:t>
      </w:r>
      <w:r w:rsidRPr="003748D5">
        <w:rPr>
          <w:rFonts w:ascii="Tahoma" w:hAnsi="Tahoma" w:cs="Tahoma"/>
          <w:sz w:val="20"/>
          <w:szCs w:val="20"/>
          <w:lang w:val="en-US"/>
        </w:rPr>
        <w:t>.</w:t>
      </w:r>
    </w:p>
    <w:p w:rsidR="00442D7A" w:rsidRPr="003748D5" w:rsidRDefault="00442D7A" w:rsidP="00442D7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3748D5">
        <w:rPr>
          <w:rFonts w:ascii="Tahoma" w:hAnsi="Tahoma" w:cs="Tahoma"/>
          <w:sz w:val="20"/>
          <w:szCs w:val="20"/>
          <w:lang w:val="en-US"/>
        </w:rPr>
        <w:t>VTB Bank ordinary shares futures</w:t>
      </w:r>
      <w:r w:rsidR="0066165E">
        <w:rPr>
          <w:rFonts w:ascii="Tahoma" w:hAnsi="Tahoma" w:cs="Tahoma"/>
          <w:sz w:val="20"/>
          <w:szCs w:val="20"/>
          <w:lang w:val="en-US"/>
        </w:rPr>
        <w:t xml:space="preserve"> option</w:t>
      </w:r>
      <w:r w:rsidRPr="003748D5">
        <w:rPr>
          <w:rFonts w:ascii="Tahoma" w:hAnsi="Tahoma" w:cs="Tahoma"/>
          <w:sz w:val="20"/>
          <w:szCs w:val="20"/>
          <w:lang w:val="en-US"/>
        </w:rPr>
        <w:t>.</w:t>
      </w:r>
    </w:p>
    <w:p w:rsidR="00FE43D9" w:rsidRPr="00442D7A" w:rsidRDefault="00727AD8">
      <w:pPr>
        <w:rPr>
          <w:lang w:val="en-US"/>
        </w:rPr>
      </w:pPr>
    </w:p>
    <w:sectPr w:rsidR="00FE43D9" w:rsidRPr="00442D7A" w:rsidSect="00987272">
      <w:footerReference w:type="default" r:id="rId7"/>
      <w:headerReference w:type="first" r:id="rId8"/>
      <w:pgSz w:w="11906" w:h="16838" w:code="9"/>
      <w:pgMar w:top="851" w:right="1134" w:bottom="567" w:left="1701" w:header="53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AD8" w:rsidRDefault="00727AD8" w:rsidP="002B1337">
      <w:pPr>
        <w:spacing w:after="0" w:line="240" w:lineRule="auto"/>
      </w:pPr>
      <w:r>
        <w:separator/>
      </w:r>
    </w:p>
  </w:endnote>
  <w:endnote w:type="continuationSeparator" w:id="1">
    <w:p w:rsidR="00727AD8" w:rsidRDefault="00727AD8" w:rsidP="002B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D4" w:rsidRPr="00985824" w:rsidRDefault="00727AD8" w:rsidP="00985824">
    <w:pPr>
      <w:pStyle w:val="a3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AD8" w:rsidRDefault="00727AD8" w:rsidP="002B1337">
      <w:pPr>
        <w:spacing w:after="0" w:line="240" w:lineRule="auto"/>
      </w:pPr>
      <w:r>
        <w:separator/>
      </w:r>
    </w:p>
  </w:footnote>
  <w:footnote w:type="continuationSeparator" w:id="1">
    <w:p w:rsidR="00727AD8" w:rsidRDefault="00727AD8" w:rsidP="002B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D4" w:rsidRDefault="00442D7A" w:rsidP="00985824">
    <w:pPr>
      <w:tabs>
        <w:tab w:val="left" w:pos="3240"/>
        <w:tab w:val="left" w:pos="5443"/>
        <w:tab w:val="left" w:pos="5580"/>
        <w:tab w:val="left" w:pos="7655"/>
        <w:tab w:val="left" w:pos="9071"/>
      </w:tabs>
      <w:ind w:right="-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-26035</wp:posOffset>
          </wp:positionV>
          <wp:extent cx="1800225" cy="708660"/>
          <wp:effectExtent l="19050" t="0" r="9525" b="0"/>
          <wp:wrapSquare wrapText="bothSides"/>
          <wp:docPr id="6" name="Рисунок 6" descr="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76835</wp:posOffset>
          </wp:positionV>
          <wp:extent cx="1800225" cy="491490"/>
          <wp:effectExtent l="19050" t="0" r="9525" b="0"/>
          <wp:wrapSquare wrapText="bothSides"/>
          <wp:docPr id="5" name="Рисунок 5" descr="RTS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TS_r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91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0129"/>
    <w:multiLevelType w:val="hybridMultilevel"/>
    <w:tmpl w:val="3E907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D7A"/>
    <w:rsid w:val="000852DF"/>
    <w:rsid w:val="001718E8"/>
    <w:rsid w:val="001A0BB3"/>
    <w:rsid w:val="002B1337"/>
    <w:rsid w:val="003E4EEE"/>
    <w:rsid w:val="00442D7A"/>
    <w:rsid w:val="00643593"/>
    <w:rsid w:val="0066165E"/>
    <w:rsid w:val="00727AD8"/>
    <w:rsid w:val="00794632"/>
    <w:rsid w:val="00892845"/>
    <w:rsid w:val="00987272"/>
    <w:rsid w:val="00A805C1"/>
    <w:rsid w:val="00C41742"/>
    <w:rsid w:val="00FC2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2D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42D7A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42D7A"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442D7A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2D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42D7A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42D7A"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442D7A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LoshkarevaKV</dc:creator>
  <cp:lastModifiedBy>Zinaida Shtolz</cp:lastModifiedBy>
  <cp:revision>5</cp:revision>
  <dcterms:created xsi:type="dcterms:W3CDTF">2013-10-17T13:44:00Z</dcterms:created>
  <dcterms:modified xsi:type="dcterms:W3CDTF">2013-10-17T14:38:00Z</dcterms:modified>
</cp:coreProperties>
</file>