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524B41D6" w14:textId="77777777" w:rsidR="00DF07EC" w:rsidRPr="002470E3" w:rsidRDefault="00DF07EC" w:rsidP="00DF07EC">
            <w:pPr>
              <w:pStyle w:val="Iauiue"/>
              <w:widowControl w:val="0"/>
              <w:ind w:left="68"/>
              <w:rPr>
                <w:rFonts w:ascii="Arial" w:hAnsi="Arial" w:cs="Arial"/>
                <w:b/>
              </w:rPr>
            </w:pPr>
            <w:r>
              <w:rPr>
                <w:rFonts w:ascii="Arial" w:hAnsi="Arial"/>
                <w:b/>
              </w:rPr>
              <w:t>APPROVED</w:t>
            </w:r>
          </w:p>
          <w:p w14:paraId="2C29A1E9" w14:textId="77777777" w:rsidR="00DF07EC" w:rsidRPr="00DF07EC" w:rsidRDefault="00DF07EC" w:rsidP="00DF07EC">
            <w:pPr>
              <w:pStyle w:val="Iauiue"/>
              <w:widowControl w:val="0"/>
              <w:spacing w:before="100"/>
              <w:ind w:left="68"/>
              <w:rPr>
                <w:rFonts w:ascii="Arial" w:hAnsi="Arial" w:cs="Arial"/>
                <w:lang w:val="en-US"/>
              </w:rPr>
            </w:pPr>
          </w:p>
          <w:p w14:paraId="54352216" w14:textId="0E62842B" w:rsidR="00DF07EC" w:rsidRPr="002470E3" w:rsidRDefault="00DF07EC" w:rsidP="00DF07EC">
            <w:pPr>
              <w:pStyle w:val="Iauiue"/>
              <w:widowControl w:val="0"/>
              <w:spacing w:before="100"/>
              <w:ind w:left="68"/>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r>
            <w:r>
              <w:rPr>
                <w:rFonts w:ascii="Arial" w:hAnsi="Arial"/>
              </w:rPr>
              <w:br/>
            </w:r>
            <w:r w:rsidR="001838FF">
              <w:rPr>
                <w:rFonts w:ascii="Arial" w:hAnsi="Arial"/>
                <w:lang w:val="en-US"/>
              </w:rPr>
              <w:t>10 February 2026</w:t>
            </w:r>
            <w:r>
              <w:rPr>
                <w:rFonts w:ascii="Arial" w:hAnsi="Arial"/>
              </w:rPr>
              <w:t xml:space="preserve"> (Minutes No. </w:t>
            </w:r>
            <w:r w:rsidR="001838FF">
              <w:rPr>
                <w:rFonts w:ascii="Arial" w:hAnsi="Arial"/>
              </w:rPr>
              <w:t>08</w:t>
            </w:r>
            <w:r>
              <w:rPr>
                <w:rFonts w:ascii="Arial" w:hAnsi="Arial"/>
              </w:rPr>
              <w:t>)</w:t>
            </w:r>
          </w:p>
          <w:p w14:paraId="183CFC03" w14:textId="74750D8E" w:rsidR="000978CA" w:rsidRPr="00FE4720" w:rsidRDefault="000978CA" w:rsidP="00DF07EC">
            <w:pPr>
              <w:pStyle w:val="Iauiue"/>
              <w:widowControl w:val="0"/>
              <w:spacing w:before="100"/>
              <w:ind w:left="68"/>
              <w:rPr>
                <w:rFonts w:ascii="Arial" w:hAnsi="Arial" w:cs="Arial"/>
              </w:rPr>
            </w:pPr>
          </w:p>
        </w:tc>
        <w:tc>
          <w:tcPr>
            <w:tcW w:w="4216" w:type="dxa"/>
          </w:tcPr>
          <w:p w14:paraId="54EF471F" w14:textId="38DB5B53" w:rsidR="000978CA" w:rsidRPr="002470E3" w:rsidRDefault="000978CA" w:rsidP="00BA5F98">
            <w:pPr>
              <w:pStyle w:val="Iauiue"/>
              <w:widowControl w:val="0"/>
              <w:spacing w:before="100" w:after="120"/>
              <w:ind w:left="68"/>
              <w:rPr>
                <w:rFonts w:ascii="Arial" w:hAnsi="Arial" w:cs="Arial"/>
              </w:rPr>
            </w:pPr>
          </w:p>
        </w:tc>
      </w:tr>
    </w:tbl>
    <w:p w14:paraId="15D348F2" w14:textId="77777777" w:rsidR="00DF07EC" w:rsidRDefault="00DF07EC" w:rsidP="000978CA">
      <w:pPr>
        <w:pStyle w:val="1"/>
        <w:jc w:val="center"/>
        <w:rPr>
          <w:sz w:val="24"/>
        </w:rPr>
      </w:pPr>
    </w:p>
    <w:p w14:paraId="1B13490A" w14:textId="77777777" w:rsidR="00DF07EC" w:rsidRDefault="00DF07EC" w:rsidP="000978CA">
      <w:pPr>
        <w:pStyle w:val="1"/>
        <w:jc w:val="center"/>
        <w:rPr>
          <w:sz w:val="24"/>
        </w:rPr>
      </w:pPr>
    </w:p>
    <w:p w14:paraId="5C6F7802" w14:textId="65A2368A" w:rsidR="000978CA" w:rsidRPr="000C6B64" w:rsidRDefault="000978CA" w:rsidP="000978CA">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1E166BD"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reference foreign exchange rates (the "Methodology") establishes a procedure for calculation of the reference foreign exchange rate (the "Reference Exchange Rate") by Public Joint Stock Company Moscow Exchange MICEX-RTS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Reference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0978CA" w:rsidP="000978CA">
      <w:pPr>
        <w:pStyle w:val="3"/>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77777777" w:rsidR="000978CA" w:rsidRDefault="000978CA" w:rsidP="000978CA">
      <w:pPr>
        <w:pStyle w:val="3"/>
        <w:numPr>
          <w:ilvl w:val="1"/>
          <w:numId w:val="1"/>
        </w:numPr>
        <w:spacing w:beforeLines="50" w:before="120" w:after="0"/>
        <w:jc w:val="both"/>
        <w:rPr>
          <w:rFonts w:cs="Arial"/>
          <w:szCs w:val="20"/>
        </w:rPr>
      </w:pPr>
      <w:r>
        <w:t>Following endorsement by the Exchange, this Methodology is made available on the Exchange website at least one business day before coming into force, unless the Exchange decides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The MOEX Exchange Rate is calculated on the basis of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F07BE6"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F07BE6"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C6424A">
        <w:rPr>
          <w:rFonts w:ascii="Arial" w:hAnsi="Arial"/>
          <w:sz w:val="22"/>
        </w:rPr>
        <w:t xml:space="preserve"> </w:t>
      </w:r>
      <w:r w:rsidR="00C6424A">
        <w:rPr>
          <w:rFonts w:ascii="Arial" w:hAnsi="Arial"/>
          <w:sz w:val="20"/>
        </w:rPr>
        <w:t>– the MOEX Exchange Rate at time t;</w:t>
      </w:r>
    </w:p>
    <w:p w14:paraId="73F24860" w14:textId="2468A694"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F07EC">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33pt" o:ole="">
            <v:imagedata r:id="rId8" o:title=""/>
          </v:shape>
          <o:OLEObject Type="Embed" ProgID="Equation.3" ShapeID="_x0000_i1025" DrawAspect="Content" ObjectID="_1834138297" r:id="rId9"/>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w:t>
      </w:r>
    </w:p>
    <w:p w14:paraId="73F85A0E" w14:textId="58EB57A8" w:rsidR="000978CA" w:rsidRPr="00032E03" w:rsidRDefault="000978CA" w:rsidP="000978CA">
      <w:pPr>
        <w:ind w:left="910"/>
        <w:jc w:val="both"/>
        <w:rPr>
          <w:rFonts w:ascii="Arial" w:hAnsi="Arial" w:cs="Arial"/>
          <w:sz w:val="20"/>
          <w:szCs w:val="20"/>
        </w:rPr>
      </w:pPr>
      <w:r>
        <w:rPr>
          <w:rFonts w:ascii="Arial" w:hAnsi="Arial"/>
          <w:sz w:val="20"/>
        </w:rPr>
        <w:lastRenderedPageBreak/>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F07EC">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5pt;height:96.5pt" o:ole="">
            <v:imagedata r:id="rId10" o:title=""/>
          </v:shape>
          <o:OLEObject Type="Embed" ProgID="Equation.3" ShapeID="_x0000_i1026" DrawAspect="Content" ObjectID="_1834138298" r:id="rId11"/>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The exchange rate of the central bank of the state of the quoted currency is determined by the central bank of the state of the quoted currency on the basis of trading data in connection with the respective currency. This rate is published on the official website of the given central bank.</w:t>
      </w:r>
    </w:p>
    <w:p w14:paraId="3342E38A" w14:textId="77777777" w:rsidR="000978CA" w:rsidRDefault="000978CA" w:rsidP="000C0D0D">
      <w:pPr>
        <w:pStyle w:val="3"/>
        <w:spacing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2CC498F1" w:rsidR="000978CA" w:rsidRDefault="00A86F22" w:rsidP="000978CA">
      <w:pPr>
        <w:pStyle w:val="3"/>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w:t>
      </w:r>
      <w:hyperlink r:id="rId12" w:history="1">
        <w:r>
          <w:rPr>
            <w:rStyle w:val="a8"/>
          </w:rPr>
          <w:t>https://cbr.ru/currency_base/daily/</w:t>
        </w:r>
      </w:hyperlink>
      <w:r>
        <w:t>). The exchange monitors the page at most once an hour, as a rule.</w:t>
      </w:r>
      <w:r w:rsidR="0085228C">
        <w:t xml:space="preserve"> </w:t>
      </w:r>
      <w:r w:rsidR="0085228C" w:rsidRPr="0085228C">
        <w:t xml:space="preserve">If the time of publication of the Bank of Russia Rate falls between 3 p.m. and 5 p.m. Moscow time, the use of the new Bank of Russia Rate for calculation of the </w:t>
      </w:r>
      <w:r w:rsidR="00A20202">
        <w:t>Reference Exchange</w:t>
      </w:r>
      <w:r w:rsidR="0085228C" w:rsidRPr="0085228C">
        <w:t xml:space="preserve"> Rates starts from 5 p.m.</w:t>
      </w:r>
    </w:p>
    <w:p w14:paraId="49F91F01" w14:textId="6B505848" w:rsidR="000978CA" w:rsidRDefault="000978CA" w:rsidP="000C0D0D">
      <w:pPr>
        <w:pStyle w:val="3"/>
        <w:spacing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F07BE6" w:rsidP="000978CA">
      <w:pPr>
        <w:pStyle w:val="3"/>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m:t>
              </m:r>
              <m:r>
                <w:rPr>
                  <w:rFonts w:ascii="Cambria Math" w:hAnsi="Cambria Math"/>
                  <w:sz w:val="22"/>
                  <w:lang w:val="en-US"/>
                </w:rPr>
                <m:t>1</m:t>
              </m:r>
              <m:r>
                <w:rPr>
                  <w:rFonts w:ascii="Cambria Math" w:hAnsi="Cambria Math"/>
                  <w:sz w:val="22"/>
                  <w:lang w:val="en-US"/>
                </w:rPr>
                <m:t>cur</m:t>
              </m:r>
              <m:r>
                <w:rPr>
                  <w:rFonts w:ascii="Cambria Math" w:hAnsi="Cambria Math"/>
                  <w:sz w:val="22"/>
                  <w:lang w:val="en-US"/>
                </w:rPr>
                <m:t>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m:t>
                  </m:r>
                  <m:r>
                    <w:rPr>
                      <w:rFonts w:ascii="Cambria Math" w:hAnsi="Cambria Math"/>
                      <w:sz w:val="22"/>
                      <w:lang w:val="en-US"/>
                    </w:rPr>
                    <m:t>1</m:t>
                  </m:r>
                  <m:r>
                    <w:rPr>
                      <w:rFonts w:ascii="Cambria Math" w:hAnsi="Cambria Math"/>
                      <w:sz w:val="22"/>
                      <w:lang w:val="en-US"/>
                    </w:rPr>
                    <m:t>cur</m:t>
                  </m:r>
                  <m:r>
                    <w:rPr>
                      <w:rFonts w:ascii="Cambria Math" w:hAnsi="Cambria Math"/>
                      <w:sz w:val="22"/>
                      <w:lang w:val="en-US"/>
                    </w:rPr>
                    <m:t>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m:t>
                  </m:r>
                  <m:r>
                    <w:rPr>
                      <w:rFonts w:ascii="Cambria Math" w:hAnsi="Cambria Math"/>
                      <w:sz w:val="22"/>
                    </w:rPr>
                    <m:t>3</m:t>
                  </m:r>
                  <m:r>
                    <w:rPr>
                      <w:rFonts w:ascii="Cambria Math" w:hAnsi="Cambria Math"/>
                      <w:sz w:val="22"/>
                    </w:rPr>
                    <m:t>cur</m:t>
                  </m:r>
                  <m:r>
                    <w:rPr>
                      <w:rFonts w:ascii="Cambria Math" w:hAnsi="Cambria Math"/>
                      <w:sz w:val="22"/>
                    </w:rPr>
                    <m:t>2</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69296FAF" w:rsidR="000978CA" w:rsidRPr="00A44142" w:rsidRDefault="007F065E"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62535A84"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
        <w:spacing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32C94DA8" w:rsidR="000978CA" w:rsidRDefault="000978CA" w:rsidP="000978CA">
      <w:pPr>
        <w:pStyle w:val="3"/>
        <w:numPr>
          <w:ilvl w:val="1"/>
          <w:numId w:val="1"/>
        </w:numPr>
        <w:tabs>
          <w:tab w:val="left" w:pos="851"/>
        </w:tabs>
        <w:spacing w:beforeLines="50" w:before="120" w:after="0"/>
        <w:ind w:left="788" w:hanging="431"/>
        <w:jc w:val="both"/>
      </w:pPr>
      <w:r>
        <w:t xml:space="preserve">If the currency pair used to calculate the Reference Rate is not traded on the Exchange, one of the following values is set as the Reference Rate: </w:t>
      </w:r>
    </w:p>
    <w:p w14:paraId="05F84C44" w14:textId="59E5B47C" w:rsidR="000978CA" w:rsidRDefault="000978CA" w:rsidP="000978CA">
      <w:pPr>
        <w:pStyle w:val="3"/>
        <w:tabs>
          <w:tab w:val="left" w:pos="851"/>
        </w:tabs>
        <w:spacing w:beforeLines="50" w:before="120" w:after="0"/>
        <w:ind w:left="788"/>
        <w:jc w:val="both"/>
      </w:pPr>
      <w:r>
        <w:t>a) the value of the Bank of Russia Exchange Rate;</w:t>
      </w:r>
    </w:p>
    <w:p w14:paraId="2192788A" w14:textId="2055F846" w:rsidR="000978CA" w:rsidRDefault="000978CA" w:rsidP="000978CA">
      <w:pPr>
        <w:pStyle w:val="3"/>
        <w:tabs>
          <w:tab w:val="left" w:pos="851"/>
        </w:tabs>
        <w:spacing w:beforeLines="50" w:before="120" w:after="0"/>
        <w:ind w:left="788"/>
        <w:jc w:val="both"/>
      </w:pPr>
      <w:r>
        <w:t>b) the value of the Cross Rate calculated using the Bank of Russia Exchange Rate for the currency pair not traded;</w:t>
      </w:r>
    </w:p>
    <w:p w14:paraId="0B270394" w14:textId="1D225858" w:rsidR="000978CA" w:rsidRDefault="000978CA" w:rsidP="000978CA">
      <w:pPr>
        <w:pStyle w:val="3"/>
        <w:tabs>
          <w:tab w:val="left" w:pos="851"/>
        </w:tabs>
        <w:spacing w:beforeLines="50" w:before="120" w:after="0"/>
        <w:ind w:left="788"/>
        <w:jc w:val="both"/>
      </w:pPr>
      <w:r>
        <w:lastRenderedPageBreak/>
        <w:t>c) the value of the Central Bank exchange rate for the state of the quoted currency on the day the Reference Rate is determined;</w:t>
      </w:r>
    </w:p>
    <w:p w14:paraId="72C0F624" w14:textId="5B147A1E" w:rsidR="000978CA" w:rsidRDefault="000978CA" w:rsidP="000978CA">
      <w:pPr>
        <w:pStyle w:val="3"/>
        <w:tabs>
          <w:tab w:val="left" w:pos="851"/>
        </w:tabs>
        <w:spacing w:beforeLines="50" w:before="120" w:after="0"/>
        <w:ind w:left="788"/>
        <w:jc w:val="both"/>
      </w:pPr>
      <w:r>
        <w:t>d) the value of the exchange rate as quoted on Russian or international stock exchanges, if the Exchange so decides.</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77777777" w:rsidR="000978CA" w:rsidRDefault="000978CA" w:rsidP="000978CA">
      <w:pPr>
        <w:pStyle w:val="3"/>
        <w:numPr>
          <w:ilvl w:val="1"/>
          <w:numId w:val="1"/>
        </w:numPr>
        <w:spacing w:beforeLines="50" w:before="120" w:after="0"/>
        <w:ind w:left="788" w:hanging="431"/>
        <w:jc w:val="both"/>
      </w:pPr>
      <w:r>
        <w:t>The Exchange may disclose the calculated values of the Reference Rates for information purposes on its website.</w:t>
      </w: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0978CA" w:rsidP="000978CA">
      <w:pPr>
        <w:pStyle w:val="1"/>
      </w:pPr>
      <w:r>
        <w:t>List of Reference Exchange Rates and Calculation Parameters</w:t>
      </w:r>
    </w:p>
    <w:p w14:paraId="1BA2F39C" w14:textId="77777777" w:rsidR="000978CA" w:rsidRDefault="000978CA"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0978CA" w:rsidRPr="001B1CBE" w14:paraId="3481B84D" w14:textId="77777777" w:rsidTr="00B66CBC">
        <w:tc>
          <w:tcPr>
            <w:tcW w:w="1134" w:type="dxa"/>
          </w:tcPr>
          <w:p w14:paraId="556874B2" w14:textId="77777777" w:rsidR="000978CA" w:rsidRPr="00B66CBC" w:rsidRDefault="000978CA">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0978CA">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0978CA">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0978CA">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0978CA">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0978CA">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0978CA">
            <w:pPr>
              <w:spacing w:after="120"/>
              <w:rPr>
                <w:rFonts w:ascii="Arial" w:hAnsi="Arial" w:cs="Arial"/>
                <w:b/>
                <w:sz w:val="18"/>
                <w:szCs w:val="18"/>
              </w:rPr>
            </w:pPr>
            <w:r>
              <w:rPr>
                <w:rFonts w:ascii="Arial" w:hAnsi="Arial"/>
                <w:b/>
                <w:sz w:val="18"/>
              </w:rPr>
              <w:t>Deviation calculation period S</w:t>
            </w:r>
          </w:p>
        </w:tc>
      </w:tr>
      <w:tr w:rsidR="000978CA" w:rsidRPr="001B1CBE" w14:paraId="744D5D16" w14:textId="77777777" w:rsidTr="00A72529">
        <w:trPr>
          <w:trHeight w:val="527"/>
        </w:trPr>
        <w:tc>
          <w:tcPr>
            <w:tcW w:w="1134" w:type="dxa"/>
          </w:tcPr>
          <w:p w14:paraId="6F884061" w14:textId="77777777" w:rsidR="000978CA" w:rsidRPr="00B66CBC" w:rsidRDefault="000978CA"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0978CA"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065CF628" w:rsidR="000978CA" w:rsidRPr="00B66CBC" w:rsidRDefault="00F07BE6" w:rsidP="00BA5F98">
            <w:pPr>
              <w:spacing w:after="120"/>
              <w:rPr>
                <w:rFonts w:ascii="Arial" w:hAnsi="Arial" w:cs="Arial"/>
                <w:sz w:val="18"/>
                <w:szCs w:val="18"/>
              </w:rPr>
            </w:pPr>
            <w:r>
              <w:rPr>
                <w:rFonts w:ascii="Arial" w:hAnsi="Arial"/>
                <w:sz w:val="18"/>
              </w:rPr>
              <w:t xml:space="preserve">Bank of Russia </w:t>
            </w:r>
            <w:r w:rsidR="000978CA">
              <w:rPr>
                <w:rFonts w:ascii="Arial" w:hAnsi="Arial"/>
                <w:sz w:val="18"/>
              </w:rPr>
              <w:t>Rate</w:t>
            </w:r>
          </w:p>
        </w:tc>
        <w:tc>
          <w:tcPr>
            <w:tcW w:w="1559" w:type="dxa"/>
          </w:tcPr>
          <w:p w14:paraId="4832E2E7" w14:textId="31F46C5C" w:rsidR="000978CA" w:rsidRPr="00B66CBC" w:rsidRDefault="000978CA" w:rsidP="00BA5F98">
            <w:pPr>
              <w:spacing w:after="120"/>
              <w:rPr>
                <w:rFonts w:ascii="Arial" w:hAnsi="Arial" w:cs="Arial"/>
                <w:sz w:val="18"/>
                <w:szCs w:val="18"/>
              </w:rPr>
            </w:pPr>
            <w:r>
              <w:rPr>
                <w:rFonts w:ascii="Arial" w:hAnsi="Arial"/>
                <w:sz w:val="18"/>
              </w:rPr>
              <w:t>USD</w:t>
            </w:r>
          </w:p>
        </w:tc>
        <w:tc>
          <w:tcPr>
            <w:tcW w:w="1276" w:type="dxa"/>
          </w:tcPr>
          <w:p w14:paraId="63378F0F" w14:textId="1C1E7153" w:rsidR="000978CA" w:rsidRPr="00B66CBC" w:rsidRDefault="000978CA" w:rsidP="00B66CBC">
            <w:pPr>
              <w:spacing w:after="120"/>
              <w:rPr>
                <w:rFonts w:ascii="Arial" w:hAnsi="Arial" w:cs="Arial"/>
                <w:sz w:val="18"/>
                <w:szCs w:val="18"/>
              </w:rPr>
            </w:pPr>
          </w:p>
        </w:tc>
        <w:tc>
          <w:tcPr>
            <w:tcW w:w="1134" w:type="dxa"/>
          </w:tcPr>
          <w:p w14:paraId="657815CD" w14:textId="241A32E0" w:rsidR="000978CA" w:rsidRPr="00B66CBC" w:rsidRDefault="000978CA" w:rsidP="00B66CBC">
            <w:pPr>
              <w:spacing w:after="120"/>
              <w:rPr>
                <w:rFonts w:ascii="Arial" w:hAnsi="Arial" w:cs="Arial"/>
                <w:sz w:val="18"/>
                <w:szCs w:val="18"/>
              </w:rPr>
            </w:pPr>
          </w:p>
        </w:tc>
        <w:tc>
          <w:tcPr>
            <w:tcW w:w="1138" w:type="dxa"/>
          </w:tcPr>
          <w:p w14:paraId="4AE95421" w14:textId="08EDC138" w:rsidR="000978CA" w:rsidRPr="00B66CBC" w:rsidRDefault="000978CA" w:rsidP="00B66CBC">
            <w:pPr>
              <w:spacing w:after="120"/>
              <w:rPr>
                <w:rFonts w:ascii="Arial" w:hAnsi="Arial" w:cs="Arial"/>
                <w:sz w:val="18"/>
                <w:szCs w:val="18"/>
              </w:rPr>
            </w:pPr>
          </w:p>
        </w:tc>
      </w:tr>
      <w:tr w:rsidR="000978CA" w:rsidRPr="001B1CBE" w14:paraId="0E0B5AFF" w14:textId="77777777" w:rsidTr="00A72529">
        <w:trPr>
          <w:trHeight w:val="810"/>
        </w:trPr>
        <w:tc>
          <w:tcPr>
            <w:tcW w:w="1134" w:type="dxa"/>
          </w:tcPr>
          <w:p w14:paraId="56F912CC" w14:textId="77777777" w:rsidR="000978CA" w:rsidRPr="00B66CBC" w:rsidRDefault="000978CA"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0978CA"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63A18A72" w:rsidR="000978CA" w:rsidRPr="00B66CBC" w:rsidRDefault="00F07BE6" w:rsidP="00BA5F98">
            <w:pPr>
              <w:spacing w:after="120"/>
              <w:rPr>
                <w:rFonts w:ascii="Arial" w:hAnsi="Arial" w:cs="Arial"/>
                <w:sz w:val="18"/>
                <w:szCs w:val="18"/>
              </w:rPr>
            </w:pPr>
            <w:r>
              <w:rPr>
                <w:rFonts w:ascii="Arial" w:hAnsi="Arial"/>
                <w:sz w:val="18"/>
              </w:rPr>
              <w:t>Bank of Russia Rate</w:t>
            </w:r>
          </w:p>
        </w:tc>
        <w:tc>
          <w:tcPr>
            <w:tcW w:w="1559" w:type="dxa"/>
          </w:tcPr>
          <w:p w14:paraId="768C18FA" w14:textId="710F9281" w:rsidR="000978CA" w:rsidRPr="00B66CBC" w:rsidRDefault="000978CA" w:rsidP="00BA5F98">
            <w:pPr>
              <w:spacing w:after="120"/>
              <w:rPr>
                <w:rFonts w:ascii="Arial" w:hAnsi="Arial" w:cs="Arial"/>
                <w:sz w:val="18"/>
                <w:szCs w:val="18"/>
              </w:rPr>
            </w:pPr>
            <w:r>
              <w:rPr>
                <w:rFonts w:ascii="Arial" w:hAnsi="Arial"/>
                <w:sz w:val="18"/>
              </w:rPr>
              <w:t>EUR</w:t>
            </w:r>
          </w:p>
        </w:tc>
        <w:tc>
          <w:tcPr>
            <w:tcW w:w="1276" w:type="dxa"/>
          </w:tcPr>
          <w:p w14:paraId="77A71EE9" w14:textId="2BE40C8D" w:rsidR="000978CA" w:rsidRPr="00B66CBC" w:rsidRDefault="000978CA" w:rsidP="00B66CBC">
            <w:pPr>
              <w:spacing w:after="120"/>
              <w:rPr>
                <w:rFonts w:ascii="Arial" w:hAnsi="Arial" w:cs="Arial"/>
                <w:sz w:val="18"/>
                <w:szCs w:val="18"/>
              </w:rPr>
            </w:pPr>
          </w:p>
        </w:tc>
        <w:tc>
          <w:tcPr>
            <w:tcW w:w="1134" w:type="dxa"/>
          </w:tcPr>
          <w:p w14:paraId="6159C6A8" w14:textId="0F4A2E6F" w:rsidR="000978CA" w:rsidRPr="00B66CBC" w:rsidRDefault="000978CA" w:rsidP="00B66CBC">
            <w:pPr>
              <w:spacing w:after="120"/>
              <w:rPr>
                <w:rFonts w:ascii="Arial" w:hAnsi="Arial" w:cs="Arial"/>
                <w:sz w:val="18"/>
                <w:szCs w:val="18"/>
              </w:rPr>
            </w:pPr>
          </w:p>
        </w:tc>
        <w:tc>
          <w:tcPr>
            <w:tcW w:w="1138" w:type="dxa"/>
          </w:tcPr>
          <w:p w14:paraId="4C26F82B" w14:textId="56EE4E99" w:rsidR="000978CA" w:rsidRPr="00B66CBC" w:rsidRDefault="000978CA" w:rsidP="00B66CBC">
            <w:pPr>
              <w:spacing w:after="120"/>
              <w:rPr>
                <w:rFonts w:ascii="Arial" w:hAnsi="Arial" w:cs="Arial"/>
                <w:sz w:val="18"/>
                <w:szCs w:val="18"/>
              </w:rPr>
            </w:pPr>
          </w:p>
        </w:tc>
      </w:tr>
      <w:tr w:rsidR="0096100E" w:rsidRPr="001B1CBE" w14:paraId="5454CFE2" w14:textId="77777777" w:rsidTr="00A72529">
        <w:trPr>
          <w:trHeight w:val="810"/>
        </w:trPr>
        <w:tc>
          <w:tcPr>
            <w:tcW w:w="1134" w:type="dxa"/>
          </w:tcPr>
          <w:p w14:paraId="090863EB" w14:textId="5B77DD95" w:rsidR="0096100E" w:rsidRPr="00B66CBC" w:rsidRDefault="0096100E"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96100E"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96100E" w:rsidP="0096100E">
            <w:pPr>
              <w:spacing w:after="120"/>
              <w:rPr>
                <w:rFonts w:ascii="Arial" w:hAnsi="Arial" w:cs="Arial"/>
                <w:sz w:val="18"/>
                <w:szCs w:val="18"/>
              </w:rPr>
            </w:pPr>
            <w:r>
              <w:rPr>
                <w:rFonts w:ascii="Arial" w:hAnsi="Arial"/>
                <w:sz w:val="18"/>
              </w:rPr>
              <w:t>MOEX Exchange Rate</w:t>
            </w:r>
          </w:p>
        </w:tc>
        <w:tc>
          <w:tcPr>
            <w:tcW w:w="1559" w:type="dxa"/>
          </w:tcPr>
          <w:p w14:paraId="0C4CBA7A" w14:textId="65C14B35" w:rsidR="0096100E" w:rsidRPr="00B66CBC" w:rsidRDefault="0096100E">
            <w:pPr>
              <w:spacing w:after="120"/>
              <w:rPr>
                <w:rFonts w:ascii="Arial" w:hAnsi="Arial" w:cs="Arial"/>
                <w:sz w:val="18"/>
                <w:szCs w:val="18"/>
              </w:rPr>
            </w:pPr>
            <w:r>
              <w:rPr>
                <w:rFonts w:ascii="Arial" w:hAnsi="Arial"/>
                <w:sz w:val="18"/>
              </w:rPr>
              <w:t>CNYRUB_TOM</w:t>
            </w:r>
          </w:p>
        </w:tc>
        <w:tc>
          <w:tcPr>
            <w:tcW w:w="1276" w:type="dxa"/>
          </w:tcPr>
          <w:p w14:paraId="769A9968" w14:textId="436F2BA9" w:rsidR="0096100E" w:rsidRPr="00B66CBC" w:rsidRDefault="0096100E"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96100E"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96100E" w:rsidP="00B66CBC">
            <w:pPr>
              <w:spacing w:after="120"/>
              <w:rPr>
                <w:rFonts w:ascii="Arial" w:hAnsi="Arial" w:cs="Arial"/>
                <w:sz w:val="18"/>
                <w:szCs w:val="18"/>
              </w:rPr>
            </w:pPr>
            <w:r>
              <w:rPr>
                <w:rFonts w:ascii="Arial" w:hAnsi="Arial"/>
                <w:sz w:val="18"/>
              </w:rPr>
              <w:t>60</w:t>
            </w:r>
          </w:p>
        </w:tc>
      </w:tr>
      <w:tr w:rsidR="0096100E" w:rsidRPr="001B1CBE" w14:paraId="6A6ADC5E" w14:textId="77777777" w:rsidTr="00A72529">
        <w:trPr>
          <w:trHeight w:val="1180"/>
        </w:trPr>
        <w:tc>
          <w:tcPr>
            <w:tcW w:w="1134" w:type="dxa"/>
          </w:tcPr>
          <w:p w14:paraId="64AEA627" w14:textId="77777777" w:rsidR="0096100E" w:rsidRPr="00B66CBC" w:rsidRDefault="0096100E"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96100E"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B66CBC">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B0CFA54" w14:textId="77777777" w:rsidTr="00A72529">
        <w:trPr>
          <w:trHeight w:val="810"/>
        </w:trPr>
        <w:tc>
          <w:tcPr>
            <w:tcW w:w="1134" w:type="dxa"/>
          </w:tcPr>
          <w:p w14:paraId="209503C7" w14:textId="77777777" w:rsidR="0096100E" w:rsidRPr="00B66CBC" w:rsidRDefault="0096100E"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96100E"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B66CBC"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6D2B34">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D21C51A" w14:textId="77777777" w:rsidTr="00A72529">
        <w:trPr>
          <w:trHeight w:val="810"/>
        </w:trPr>
        <w:tc>
          <w:tcPr>
            <w:tcW w:w="1134" w:type="dxa"/>
          </w:tcPr>
          <w:p w14:paraId="2BEC3D43" w14:textId="77777777" w:rsidR="0096100E" w:rsidRPr="00B66CBC" w:rsidRDefault="0096100E" w:rsidP="00A72529">
            <w:pPr>
              <w:spacing w:after="120"/>
              <w:jc w:val="center"/>
              <w:rPr>
                <w:rFonts w:ascii="Arial" w:hAnsi="Arial" w:cs="Arial"/>
                <w:sz w:val="18"/>
                <w:szCs w:val="18"/>
              </w:rPr>
            </w:pPr>
            <w:r>
              <w:rPr>
                <w:rFonts w:ascii="Arial" w:hAnsi="Arial"/>
                <w:sz w:val="18"/>
              </w:rPr>
              <w:t>TRY/ RUB</w:t>
            </w:r>
          </w:p>
        </w:tc>
        <w:tc>
          <w:tcPr>
            <w:tcW w:w="1560" w:type="dxa"/>
          </w:tcPr>
          <w:p w14:paraId="20F6F787" w14:textId="77777777" w:rsidR="0096100E" w:rsidRPr="00B66CBC" w:rsidRDefault="0096100E"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6D2B34">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69F3C447" w14:textId="77777777" w:rsidTr="00A72529">
        <w:trPr>
          <w:trHeight w:val="810"/>
        </w:trPr>
        <w:tc>
          <w:tcPr>
            <w:tcW w:w="1134" w:type="dxa"/>
          </w:tcPr>
          <w:p w14:paraId="4DE7BC2A" w14:textId="77777777" w:rsidR="0096100E" w:rsidRPr="00B66CBC" w:rsidRDefault="0096100E"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96100E"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3B9DAA83"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54DCE698" w:rsidR="0096100E" w:rsidRPr="00B66CBC" w:rsidRDefault="006D2B34">
            <w:pPr>
              <w:spacing w:after="120"/>
              <w:rPr>
                <w:rFonts w:ascii="Arial" w:hAnsi="Arial" w:cs="Arial"/>
                <w:sz w:val="18"/>
                <w:szCs w:val="18"/>
              </w:rPr>
            </w:pPr>
            <w:r>
              <w:rPr>
                <w:rFonts w:ascii="Arial" w:hAnsi="Arial"/>
                <w:sz w:val="18"/>
              </w:rPr>
              <w:t>GBP</w:t>
            </w:r>
          </w:p>
        </w:tc>
        <w:tc>
          <w:tcPr>
            <w:tcW w:w="1276" w:type="dxa"/>
          </w:tcPr>
          <w:p w14:paraId="20DE13E0" w14:textId="398748AF"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2AD35F8" w14:textId="15FC37E5"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49FC2A68" w14:textId="07F9094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5D456879" w14:textId="77777777" w:rsidTr="00A72529">
        <w:trPr>
          <w:trHeight w:val="810"/>
        </w:trPr>
        <w:tc>
          <w:tcPr>
            <w:tcW w:w="1134" w:type="dxa"/>
          </w:tcPr>
          <w:p w14:paraId="02EE20BE" w14:textId="789B627B" w:rsidR="0096100E" w:rsidRPr="00B66CBC" w:rsidRDefault="0096100E"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96100E"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77E5043C"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4E2785DC" w14:textId="27E07B24" w:rsidR="0096100E" w:rsidRPr="00B66CBC" w:rsidRDefault="006D2B34">
            <w:pPr>
              <w:spacing w:after="120"/>
              <w:rPr>
                <w:rFonts w:ascii="Arial" w:hAnsi="Arial" w:cs="Arial"/>
                <w:sz w:val="18"/>
                <w:szCs w:val="18"/>
              </w:rPr>
            </w:pPr>
            <w:r>
              <w:rPr>
                <w:rFonts w:ascii="Arial" w:hAnsi="Arial"/>
                <w:sz w:val="18"/>
              </w:rPr>
              <w:t>HKD / 10</w:t>
            </w:r>
          </w:p>
        </w:tc>
        <w:tc>
          <w:tcPr>
            <w:tcW w:w="1276" w:type="dxa"/>
          </w:tcPr>
          <w:p w14:paraId="5D4735FB" w14:textId="69E0EBF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FEEB34E" w14:textId="74C96567"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53617800" w14:textId="6D44183A" w:rsidR="0096100E" w:rsidRPr="00B66CBC" w:rsidRDefault="0096100E" w:rsidP="00B66CBC">
            <w:pPr>
              <w:spacing w:after="120"/>
              <w:rPr>
                <w:rFonts w:ascii="Arial" w:hAnsi="Arial" w:cs="Arial"/>
                <w:sz w:val="18"/>
                <w:szCs w:val="18"/>
              </w:rPr>
            </w:pPr>
            <w:r>
              <w:rPr>
                <w:rFonts w:ascii="Arial" w:hAnsi="Arial"/>
                <w:sz w:val="18"/>
              </w:rPr>
              <w:t>-</w:t>
            </w:r>
          </w:p>
        </w:tc>
      </w:tr>
      <w:tr w:rsidR="00455E7E" w:rsidRPr="001B1CBE" w14:paraId="18911967" w14:textId="77777777" w:rsidTr="00A72529">
        <w:trPr>
          <w:trHeight w:val="810"/>
        </w:trPr>
        <w:tc>
          <w:tcPr>
            <w:tcW w:w="1134" w:type="dxa"/>
          </w:tcPr>
          <w:p w14:paraId="4F6E0E5B" w14:textId="7E70A796" w:rsidR="00455E7E" w:rsidRPr="00B66CBC" w:rsidRDefault="00455E7E"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455E7E">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A72529"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6D2B34">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455E7E"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455E7E"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455E7E" w:rsidP="00B66CBC">
            <w:pPr>
              <w:spacing w:after="120"/>
              <w:rPr>
                <w:rFonts w:ascii="Arial" w:hAnsi="Arial" w:cs="Arial"/>
                <w:sz w:val="18"/>
                <w:szCs w:val="18"/>
              </w:rPr>
            </w:pPr>
            <w:r>
              <w:rPr>
                <w:rFonts w:ascii="Arial" w:hAnsi="Arial"/>
                <w:sz w:val="18"/>
              </w:rPr>
              <w:t>-</w:t>
            </w:r>
          </w:p>
        </w:tc>
      </w:tr>
      <w:tr w:rsidR="00545C97" w:rsidRPr="001B1CBE" w14:paraId="6A96D395" w14:textId="77777777" w:rsidTr="00A72529">
        <w:trPr>
          <w:trHeight w:val="810"/>
        </w:trPr>
        <w:tc>
          <w:tcPr>
            <w:tcW w:w="1134" w:type="dxa"/>
          </w:tcPr>
          <w:p w14:paraId="0FD4899B" w14:textId="64532A8D" w:rsidR="00545C97" w:rsidRDefault="00545C97" w:rsidP="00545C97">
            <w:pPr>
              <w:spacing w:after="120"/>
              <w:jc w:val="center"/>
              <w:rPr>
                <w:rFonts w:ascii="Arial" w:hAnsi="Arial"/>
                <w:sz w:val="18"/>
              </w:rPr>
            </w:pPr>
            <w:r>
              <w:rPr>
                <w:rFonts w:ascii="Arial" w:hAnsi="Arial" w:cs="Arial"/>
                <w:sz w:val="18"/>
                <w:szCs w:val="18"/>
              </w:rPr>
              <w:t>KZT/RUB</w:t>
            </w:r>
          </w:p>
        </w:tc>
        <w:tc>
          <w:tcPr>
            <w:tcW w:w="1560" w:type="dxa"/>
            <w:vAlign w:val="center"/>
          </w:tcPr>
          <w:p w14:paraId="67AFB57B" w14:textId="573FF32B" w:rsidR="00545C97" w:rsidRPr="007236B6" w:rsidRDefault="007236B6" w:rsidP="00545C97">
            <w:pPr>
              <w:spacing w:after="120"/>
              <w:rPr>
                <w:rFonts w:ascii="Arial" w:hAnsi="Arial" w:cs="Arial"/>
                <w:sz w:val="18"/>
                <w:szCs w:val="18"/>
              </w:rPr>
            </w:pPr>
            <w:r>
              <w:rPr>
                <w:rFonts w:ascii="Arial" w:hAnsi="Arial"/>
                <w:sz w:val="18"/>
                <w:lang w:val="en-US"/>
              </w:rPr>
              <w:t>Reference</w:t>
            </w:r>
            <w:r w:rsidR="00545C97" w:rsidRPr="00545C97">
              <w:rPr>
                <w:rFonts w:ascii="Arial" w:hAnsi="Arial"/>
                <w:sz w:val="18"/>
                <w:lang w:val="en-US"/>
              </w:rPr>
              <w:t xml:space="preserve"> exchange rate of Kazakhstani </w:t>
            </w:r>
            <w:proofErr w:type="spellStart"/>
            <w:r w:rsidR="00545C97" w:rsidRPr="00545C97">
              <w:rPr>
                <w:rFonts w:ascii="Arial" w:hAnsi="Arial"/>
                <w:sz w:val="18"/>
                <w:lang w:val="en-US"/>
              </w:rPr>
              <w:t>tenge</w:t>
            </w:r>
            <w:proofErr w:type="spellEnd"/>
            <w:r w:rsidR="00545C97" w:rsidRPr="00545C97">
              <w:rPr>
                <w:rFonts w:ascii="Arial" w:hAnsi="Arial"/>
                <w:sz w:val="18"/>
                <w:lang w:val="en-US"/>
              </w:rPr>
              <w:t xml:space="preserve"> to Russian </w:t>
            </w:r>
            <w:proofErr w:type="spellStart"/>
            <w:r w:rsidR="00545C97" w:rsidRPr="00545C97">
              <w:rPr>
                <w:rFonts w:ascii="Arial" w:hAnsi="Arial"/>
                <w:sz w:val="18"/>
                <w:lang w:val="en-US"/>
              </w:rPr>
              <w:t>rouble</w:t>
            </w:r>
            <w:proofErr w:type="spellEnd"/>
            <w:r w:rsidR="00545C97" w:rsidRPr="00545C97">
              <w:rPr>
                <w:rFonts w:ascii="Arial" w:hAnsi="Arial"/>
                <w:sz w:val="18"/>
                <w:lang w:val="en-US"/>
              </w:rPr>
              <w:t xml:space="preserve"> </w:t>
            </w:r>
          </w:p>
        </w:tc>
        <w:tc>
          <w:tcPr>
            <w:tcW w:w="1701" w:type="dxa"/>
          </w:tcPr>
          <w:p w14:paraId="5AD21609" w14:textId="51A358C4" w:rsidR="00545C97" w:rsidRDefault="00545C97" w:rsidP="00545C97">
            <w:pPr>
              <w:spacing w:after="120"/>
              <w:rPr>
                <w:rFonts w:ascii="Arial" w:hAnsi="Arial"/>
                <w:sz w:val="18"/>
              </w:rPr>
            </w:pPr>
            <w:r w:rsidRPr="004055D6">
              <w:rPr>
                <w:rFonts w:ascii="Arial" w:hAnsi="Arial"/>
                <w:sz w:val="18"/>
              </w:rPr>
              <w:t>MOEX Exchange Rate</w:t>
            </w:r>
            <w:bookmarkStart w:id="3" w:name="_GoBack"/>
            <w:bookmarkEnd w:id="3"/>
            <w:r w:rsidR="00F07BE6" w:rsidRPr="00545C97">
              <w:rPr>
                <w:rFonts w:ascii="Arial" w:hAnsi="Arial"/>
                <w:sz w:val="18"/>
                <w:lang w:val="en-US"/>
              </w:rPr>
              <w:t xml:space="preserve"> </w:t>
            </w:r>
            <w:r w:rsidR="00F07BE6" w:rsidRPr="00545C97">
              <w:rPr>
                <w:rFonts w:ascii="Arial" w:hAnsi="Arial"/>
                <w:sz w:val="18"/>
                <w:lang w:val="en-US"/>
              </w:rPr>
              <w:t>divided by 100</w:t>
            </w:r>
          </w:p>
        </w:tc>
        <w:tc>
          <w:tcPr>
            <w:tcW w:w="1559" w:type="dxa"/>
          </w:tcPr>
          <w:p w14:paraId="48A435C1" w14:textId="185E0E6D" w:rsidR="00545C97" w:rsidRDefault="00545C97" w:rsidP="00545C97">
            <w:pPr>
              <w:spacing w:after="120"/>
              <w:rPr>
                <w:rFonts w:ascii="Arial" w:hAnsi="Arial"/>
                <w:sz w:val="18"/>
              </w:rPr>
            </w:pPr>
            <w:r w:rsidRPr="00BC3E22">
              <w:rPr>
                <w:rFonts w:ascii="Arial" w:hAnsi="Arial" w:cs="Arial"/>
                <w:sz w:val="18"/>
                <w:szCs w:val="18"/>
                <w:lang w:val="ru-RU"/>
              </w:rPr>
              <w:t>KZT</w:t>
            </w:r>
            <w:r>
              <w:rPr>
                <w:rFonts w:ascii="Arial" w:hAnsi="Arial" w:cs="Arial"/>
                <w:sz w:val="18"/>
                <w:szCs w:val="18"/>
              </w:rPr>
              <w:t>RUB</w:t>
            </w:r>
            <w:r w:rsidRPr="00BC3E22">
              <w:rPr>
                <w:rFonts w:ascii="Arial" w:hAnsi="Arial" w:cs="Arial"/>
                <w:sz w:val="18"/>
                <w:szCs w:val="18"/>
                <w:lang w:val="ru-RU"/>
              </w:rPr>
              <w:t>_TOM</w:t>
            </w:r>
            <w:r>
              <w:rPr>
                <w:rFonts w:ascii="Arial" w:hAnsi="Arial" w:cs="Arial"/>
                <w:sz w:val="18"/>
                <w:szCs w:val="18"/>
                <w:lang w:val="ru-RU"/>
              </w:rPr>
              <w:t xml:space="preserve"> / 100</w:t>
            </w:r>
          </w:p>
        </w:tc>
        <w:tc>
          <w:tcPr>
            <w:tcW w:w="1276" w:type="dxa"/>
          </w:tcPr>
          <w:p w14:paraId="5EAF08D3" w14:textId="6B5C2810"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7BF26D13" w14:textId="4979DE0E"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1E4F7DB9" w14:textId="63489CD2" w:rsidR="00545C97" w:rsidRDefault="00545C97" w:rsidP="00545C97">
            <w:pPr>
              <w:spacing w:after="120"/>
              <w:rPr>
                <w:rFonts w:ascii="Arial" w:hAnsi="Arial"/>
                <w:sz w:val="18"/>
              </w:rPr>
            </w:pPr>
            <w:r w:rsidRPr="00B66CBC">
              <w:rPr>
                <w:rFonts w:ascii="Arial" w:hAnsi="Arial" w:cs="Arial"/>
                <w:sz w:val="18"/>
                <w:szCs w:val="18"/>
              </w:rPr>
              <w:t>60</w:t>
            </w:r>
          </w:p>
        </w:tc>
      </w:tr>
    </w:tbl>
    <w:p w14:paraId="4943279F" w14:textId="785BECD2" w:rsidR="00C53164" w:rsidRDefault="00C53164">
      <w:pPr>
        <w:spacing w:after="160" w:line="259" w:lineRule="auto"/>
        <w:rPr>
          <w:rFonts w:ascii="Arial" w:hAnsi="Arial" w:cs="Arial"/>
          <w:b/>
          <w:sz w:val="20"/>
          <w:szCs w:val="20"/>
        </w:rPr>
      </w:pPr>
      <w:bookmarkStart w:id="4" w:name="_Hlk16515426"/>
    </w:p>
    <w:p w14:paraId="186BEAA1" w14:textId="716EF894" w:rsidR="000978CA" w:rsidRPr="000969CE" w:rsidRDefault="000978CA"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A72529" w14:paraId="42275841" w14:textId="77777777" w:rsidTr="00BA5F98">
        <w:tc>
          <w:tcPr>
            <w:tcW w:w="1555" w:type="dxa"/>
          </w:tcPr>
          <w:bookmarkEnd w:id="4"/>
          <w:p w14:paraId="7F14F3A2" w14:textId="77777777" w:rsidR="000978CA" w:rsidRPr="00A72529" w:rsidRDefault="000978CA" w:rsidP="00BA5F98">
            <w:pPr>
              <w:spacing w:after="120"/>
              <w:rPr>
                <w:rFonts w:ascii="Arial" w:hAnsi="Arial" w:cs="Arial"/>
                <w:b/>
                <w:sz w:val="18"/>
                <w:szCs w:val="18"/>
              </w:rPr>
            </w:pPr>
            <w:r>
              <w:rPr>
                <w:rFonts w:ascii="Arial" w:hAnsi="Arial"/>
                <w:b/>
                <w:sz w:val="18"/>
              </w:rPr>
              <w:lastRenderedPageBreak/>
              <w:t>Code</w:t>
            </w:r>
          </w:p>
        </w:tc>
        <w:tc>
          <w:tcPr>
            <w:tcW w:w="3827" w:type="dxa"/>
          </w:tcPr>
          <w:p w14:paraId="61D38330" w14:textId="05F149C3" w:rsidR="000978CA" w:rsidRPr="00A72529" w:rsidRDefault="000978CA"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625F31AD"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0978CA" w:rsidRPr="00A72529" w14:paraId="409B663A" w14:textId="77777777" w:rsidTr="00BA5F98">
        <w:trPr>
          <w:trHeight w:val="527"/>
        </w:trPr>
        <w:tc>
          <w:tcPr>
            <w:tcW w:w="1555" w:type="dxa"/>
          </w:tcPr>
          <w:p w14:paraId="7A718E07" w14:textId="77777777" w:rsidR="000978CA" w:rsidRPr="00A72529" w:rsidRDefault="000978CA"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JPY/ RUB</w:t>
            </w:r>
          </w:p>
        </w:tc>
      </w:tr>
      <w:tr w:rsidR="000978CA" w:rsidRPr="00A72529" w14:paraId="5EF4C357" w14:textId="77777777" w:rsidTr="00BA5F98">
        <w:trPr>
          <w:trHeight w:val="527"/>
        </w:trPr>
        <w:tc>
          <w:tcPr>
            <w:tcW w:w="1555" w:type="dxa"/>
          </w:tcPr>
          <w:p w14:paraId="24AD962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USD/CHF</w:t>
            </w:r>
          </w:p>
        </w:tc>
        <w:tc>
          <w:tcPr>
            <w:tcW w:w="3827" w:type="dxa"/>
          </w:tcPr>
          <w:p w14:paraId="3265991A"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CHF/ RUB</w:t>
            </w:r>
          </w:p>
        </w:tc>
      </w:tr>
      <w:tr w:rsidR="000978CA" w:rsidRPr="00A72529" w14:paraId="535775A7" w14:textId="77777777" w:rsidTr="00BA5F98">
        <w:trPr>
          <w:trHeight w:val="527"/>
        </w:trPr>
        <w:tc>
          <w:tcPr>
            <w:tcW w:w="1555" w:type="dxa"/>
          </w:tcPr>
          <w:p w14:paraId="6EF6D50B"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USD/TRY</w:t>
            </w:r>
          </w:p>
        </w:tc>
        <w:tc>
          <w:tcPr>
            <w:tcW w:w="3827" w:type="dxa"/>
          </w:tcPr>
          <w:p w14:paraId="0E57EB2E"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TRY/ RUB</w:t>
            </w:r>
          </w:p>
        </w:tc>
      </w:tr>
      <w:tr w:rsidR="001236C1" w:rsidRPr="00A72529" w14:paraId="1A8D481C" w14:textId="77777777" w:rsidTr="00BA5F98">
        <w:trPr>
          <w:trHeight w:val="527"/>
        </w:trPr>
        <w:tc>
          <w:tcPr>
            <w:tcW w:w="1555" w:type="dxa"/>
          </w:tcPr>
          <w:p w14:paraId="5D496088"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895" w14:textId="77777777" w:rsidR="0067627A" w:rsidRDefault="0067627A" w:rsidP="00382378">
      <w:r>
        <w:separator/>
      </w:r>
    </w:p>
  </w:endnote>
  <w:endnote w:type="continuationSeparator" w:id="0">
    <w:p w14:paraId="6046C3A2" w14:textId="77777777" w:rsidR="0067627A" w:rsidRDefault="0067627A" w:rsidP="00382378">
      <w:r>
        <w:continuationSeparator/>
      </w:r>
    </w:p>
  </w:endnote>
  <w:endnote w:type="continuationNotice" w:id="1">
    <w:p w14:paraId="51D51A54" w14:textId="77777777" w:rsidR="0067627A" w:rsidRDefault="0067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22E46" w14:textId="77777777" w:rsidR="0067627A" w:rsidRDefault="0067627A" w:rsidP="00382378">
      <w:r>
        <w:separator/>
      </w:r>
    </w:p>
  </w:footnote>
  <w:footnote w:type="continuationSeparator" w:id="0">
    <w:p w14:paraId="4A449C31" w14:textId="77777777" w:rsidR="0067627A" w:rsidRDefault="0067627A" w:rsidP="00382378">
      <w:r>
        <w:continuationSeparator/>
      </w:r>
    </w:p>
  </w:footnote>
  <w:footnote w:type="continuationNotice" w:id="1">
    <w:p w14:paraId="4EF08A0A" w14:textId="77777777" w:rsidR="0067627A" w:rsidRDefault="0067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167FD"/>
    <w:rsid w:val="000220A3"/>
    <w:rsid w:val="000978CA"/>
    <w:rsid w:val="000C0D0D"/>
    <w:rsid w:val="001236C1"/>
    <w:rsid w:val="00134BD4"/>
    <w:rsid w:val="001838FF"/>
    <w:rsid w:val="002069DC"/>
    <w:rsid w:val="00320AC6"/>
    <w:rsid w:val="0036076A"/>
    <w:rsid w:val="00382378"/>
    <w:rsid w:val="00404519"/>
    <w:rsid w:val="00455E7E"/>
    <w:rsid w:val="00456C65"/>
    <w:rsid w:val="00545C97"/>
    <w:rsid w:val="00594DD8"/>
    <w:rsid w:val="005F6364"/>
    <w:rsid w:val="0067627A"/>
    <w:rsid w:val="00686304"/>
    <w:rsid w:val="006975DA"/>
    <w:rsid w:val="006D2B34"/>
    <w:rsid w:val="00702848"/>
    <w:rsid w:val="007236B6"/>
    <w:rsid w:val="00776334"/>
    <w:rsid w:val="007A1747"/>
    <w:rsid w:val="007F065E"/>
    <w:rsid w:val="0085228C"/>
    <w:rsid w:val="0096100E"/>
    <w:rsid w:val="00A20202"/>
    <w:rsid w:val="00A72529"/>
    <w:rsid w:val="00A76A4E"/>
    <w:rsid w:val="00A86F22"/>
    <w:rsid w:val="00AF6DD6"/>
    <w:rsid w:val="00B66CBC"/>
    <w:rsid w:val="00B8624F"/>
    <w:rsid w:val="00BC000B"/>
    <w:rsid w:val="00C53164"/>
    <w:rsid w:val="00C6424A"/>
    <w:rsid w:val="00CE46E3"/>
    <w:rsid w:val="00D1134C"/>
    <w:rsid w:val="00D84265"/>
    <w:rsid w:val="00D910A2"/>
    <w:rsid w:val="00DF07EC"/>
    <w:rsid w:val="00E31C83"/>
    <w:rsid w:val="00E36F0D"/>
    <w:rsid w:val="00F0322E"/>
    <w:rsid w:val="00F07BE6"/>
    <w:rsid w:val="00F07F63"/>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styleId="a9">
    <w:name w:val="Unresolved Mention"/>
    <w:basedOn w:val="a0"/>
    <w:uiPriority w:val="99"/>
    <w:semiHidden/>
    <w:unhideWhenUsed/>
    <w:rsid w:val="00E36F0D"/>
    <w:rPr>
      <w:color w:val="605E5C"/>
      <w:shd w:val="clear" w:color="auto" w:fill="E1DFDD"/>
    </w:rPr>
  </w:style>
  <w:style w:type="paragraph" w:styleId="aa">
    <w:name w:val="List Paragraph"/>
    <w:basedOn w:val="a"/>
    <w:uiPriority w:val="34"/>
    <w:qFormat/>
    <w:rsid w:val="000C0D0D"/>
    <w:pPr>
      <w:ind w:left="720"/>
      <w:contextualSpacing/>
    </w:pPr>
  </w:style>
  <w:style w:type="paragraph" w:styleId="ab">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currency_base/dai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F5885-ABE3-45A2-A9CE-9F878F8B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2026-03-04T11:02:00Z</dcterms:created>
  <dcterms:modified xsi:type="dcterms:W3CDTF">2026-03-04T11:02:00Z</dcterms:modified>
</cp:coreProperties>
</file>