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525" w:type="dxa"/>
        <w:jc w:val="center"/>
        <w:tblLook w:val="01E0" w:firstRow="1" w:lastRow="1" w:firstColumn="1" w:lastColumn="1" w:noHBand="0" w:noVBand="0"/>
      </w:tblPr>
      <w:tblGrid>
        <w:gridCol w:w="4202"/>
        <w:gridCol w:w="4323"/>
      </w:tblGrid>
      <w:tr w:rsidR="009B3F29" w:rsidRPr="009B3F29" w14:paraId="719F5FB3" w14:textId="77777777" w:rsidTr="00EB23B3">
        <w:trPr>
          <w:jc w:val="center"/>
        </w:trPr>
        <w:tc>
          <w:tcPr>
            <w:tcW w:w="4202" w:type="dxa"/>
          </w:tcPr>
          <w:p w14:paraId="1E35BB0A" w14:textId="77777777" w:rsidR="009B3F29" w:rsidRPr="009B3F29" w:rsidRDefault="009B3F29" w:rsidP="009B3F29">
            <w:pPr>
              <w:tabs>
                <w:tab w:val="left" w:pos="4253"/>
              </w:tabs>
              <w:spacing w:after="0" w:line="240" w:lineRule="auto"/>
              <w:rPr>
                <w:rFonts w:ascii="Tahoma" w:eastAsia="Times New Roman" w:hAnsi="Tahoma" w:cs="Tahoma"/>
                <w:sz w:val="20"/>
                <w:szCs w:val="20"/>
                <w:lang w:eastAsia="ru-RU"/>
              </w:rPr>
            </w:pPr>
          </w:p>
        </w:tc>
        <w:tc>
          <w:tcPr>
            <w:tcW w:w="4323" w:type="dxa"/>
          </w:tcPr>
          <w:p w14:paraId="0E5524E3" w14:textId="77777777" w:rsidR="009B3F29" w:rsidRPr="009B3F29" w:rsidRDefault="009B3F29" w:rsidP="009B3F29">
            <w:pPr>
              <w:spacing w:after="0" w:line="240" w:lineRule="auto"/>
              <w:rPr>
                <w:rFonts w:ascii="Tahoma" w:eastAsia="Times New Roman" w:hAnsi="Tahoma" w:cs="Tahoma"/>
                <w:b/>
                <w:sz w:val="20"/>
                <w:szCs w:val="20"/>
              </w:rPr>
            </w:pPr>
            <w:r>
              <w:rPr>
                <w:rFonts w:ascii="Tahoma" w:hAnsi="Tahoma"/>
                <w:b/>
                <w:sz w:val="20"/>
              </w:rPr>
              <w:t>APPROVED</w:t>
            </w:r>
          </w:p>
          <w:p w14:paraId="7374C48F" w14:textId="77777777" w:rsidR="009B3F29" w:rsidRPr="009B3F29" w:rsidRDefault="009B3F29" w:rsidP="009B3F29">
            <w:pPr>
              <w:spacing w:after="0" w:line="240" w:lineRule="auto"/>
              <w:rPr>
                <w:rFonts w:ascii="Tahoma" w:eastAsia="Times New Roman" w:hAnsi="Tahoma" w:cs="Tahoma"/>
                <w:b/>
                <w:sz w:val="20"/>
                <w:szCs w:val="20"/>
                <w:lang w:eastAsia="ru-RU"/>
              </w:rPr>
            </w:pPr>
          </w:p>
          <w:p w14:paraId="61A58AF6" w14:textId="77777777" w:rsidR="009B3F29" w:rsidRPr="009B3F29" w:rsidRDefault="009B3F29" w:rsidP="009B3F29">
            <w:pPr>
              <w:widowControl w:val="0"/>
              <w:spacing w:before="100" w:after="120" w:line="240" w:lineRule="auto"/>
              <w:ind w:left="68"/>
              <w:jc w:val="both"/>
              <w:rPr>
                <w:rFonts w:ascii="Tahoma" w:eastAsia="Times New Roman" w:hAnsi="Tahoma" w:cs="Tahoma"/>
                <w:sz w:val="20"/>
                <w:szCs w:val="20"/>
              </w:rPr>
            </w:pPr>
            <w:r>
              <w:rPr>
                <w:rFonts w:ascii="Tahoma" w:hAnsi="Tahoma"/>
                <w:sz w:val="20"/>
              </w:rPr>
              <w:t xml:space="preserve">by the Executive Board of Moscow Exchange </w:t>
            </w:r>
          </w:p>
          <w:p w14:paraId="26D0DBE8" w14:textId="44A6A808" w:rsidR="009B3F29" w:rsidRPr="009B3F29" w:rsidRDefault="009B3F29" w:rsidP="009B3F29">
            <w:pPr>
              <w:widowControl w:val="0"/>
              <w:spacing w:before="100" w:after="120" w:line="240" w:lineRule="auto"/>
              <w:ind w:left="68"/>
              <w:jc w:val="both"/>
              <w:rPr>
                <w:rFonts w:ascii="Tahoma" w:eastAsia="Times New Roman" w:hAnsi="Tahoma" w:cs="Tahoma"/>
                <w:sz w:val="20"/>
                <w:szCs w:val="20"/>
              </w:rPr>
            </w:pPr>
            <w:r>
              <w:rPr>
                <w:rFonts w:ascii="Tahoma" w:hAnsi="Tahoma"/>
                <w:sz w:val="20"/>
              </w:rPr>
              <w:t xml:space="preserve">___ ________2021. Minutes ___ </w:t>
            </w:r>
          </w:p>
          <w:p w14:paraId="35911345" w14:textId="77777777" w:rsidR="009B3F29" w:rsidRPr="009B3F29" w:rsidRDefault="009B3F29" w:rsidP="009B3F29">
            <w:pPr>
              <w:widowControl w:val="0"/>
              <w:spacing w:before="100" w:after="120" w:line="240" w:lineRule="auto"/>
              <w:ind w:left="68"/>
              <w:rPr>
                <w:rFonts w:ascii="Tahoma" w:eastAsia="Times New Roman" w:hAnsi="Tahoma" w:cs="Tahoma"/>
                <w:sz w:val="20"/>
                <w:szCs w:val="20"/>
              </w:rPr>
            </w:pPr>
            <w:r>
              <w:rPr>
                <w:rFonts w:ascii="Tahoma" w:hAnsi="Tahoma"/>
                <w:sz w:val="20"/>
              </w:rPr>
              <w:t>Chairman of the Executive Board</w:t>
            </w:r>
          </w:p>
          <w:p w14:paraId="199D1C8E" w14:textId="77777777" w:rsidR="009B3F29" w:rsidRPr="009B3F29" w:rsidRDefault="009B3F29" w:rsidP="009B3F29">
            <w:pPr>
              <w:widowControl w:val="0"/>
              <w:spacing w:before="100" w:after="120" w:line="240" w:lineRule="auto"/>
              <w:ind w:left="68"/>
              <w:rPr>
                <w:rFonts w:ascii="Tahoma" w:eastAsia="Times New Roman" w:hAnsi="Tahoma" w:cs="Tahoma"/>
                <w:sz w:val="20"/>
                <w:szCs w:val="20"/>
              </w:rPr>
            </w:pPr>
            <w:r>
              <w:rPr>
                <w:rFonts w:ascii="Tahoma" w:hAnsi="Tahoma"/>
                <w:sz w:val="20"/>
              </w:rPr>
              <w:t>Moscow Exchange</w:t>
            </w:r>
          </w:p>
          <w:p w14:paraId="3B5D28EF" w14:textId="77777777" w:rsidR="009B3F29" w:rsidRPr="009B3F29" w:rsidRDefault="009B3F29" w:rsidP="009B3F29">
            <w:pPr>
              <w:spacing w:after="0" w:line="240" w:lineRule="auto"/>
              <w:rPr>
                <w:rFonts w:ascii="Tahoma" w:eastAsia="Times New Roman" w:hAnsi="Tahoma" w:cs="Tahoma"/>
                <w:sz w:val="20"/>
                <w:szCs w:val="20"/>
              </w:rPr>
            </w:pPr>
            <w:r>
              <w:rPr>
                <w:rFonts w:ascii="Tahoma" w:hAnsi="Tahoma"/>
                <w:sz w:val="20"/>
              </w:rPr>
              <w:t>_______________</w:t>
            </w:r>
            <w:proofErr w:type="spellStart"/>
            <w:r>
              <w:rPr>
                <w:rFonts w:ascii="Tahoma" w:hAnsi="Tahoma"/>
                <w:sz w:val="20"/>
              </w:rPr>
              <w:t>Yu.O</w:t>
            </w:r>
            <w:proofErr w:type="spellEnd"/>
            <w:r>
              <w:rPr>
                <w:rFonts w:ascii="Tahoma" w:hAnsi="Tahoma"/>
                <w:sz w:val="20"/>
              </w:rPr>
              <w:t>. Denisov</w:t>
            </w:r>
          </w:p>
          <w:p w14:paraId="7FF83F3F" w14:textId="77777777" w:rsidR="009B3F29" w:rsidRPr="009B3F29" w:rsidRDefault="009B3F29" w:rsidP="009B3F29">
            <w:pPr>
              <w:spacing w:after="0" w:line="240" w:lineRule="auto"/>
              <w:rPr>
                <w:rFonts w:ascii="Tahoma" w:eastAsia="Times New Roman" w:hAnsi="Tahoma" w:cs="Tahoma"/>
                <w:b/>
                <w:sz w:val="20"/>
                <w:szCs w:val="20"/>
                <w:lang w:eastAsia="ru-RU"/>
              </w:rPr>
            </w:pPr>
          </w:p>
        </w:tc>
      </w:tr>
    </w:tbl>
    <w:p w14:paraId="0A275423" w14:textId="77777777" w:rsidR="009B3F29" w:rsidRPr="009B3F29" w:rsidRDefault="009B3F29" w:rsidP="009B3F29">
      <w:pPr>
        <w:spacing w:after="0" w:line="240" w:lineRule="auto"/>
        <w:rPr>
          <w:rFonts w:ascii="Tahoma" w:eastAsia="Times New Roman" w:hAnsi="Tahoma" w:cs="Tahoma"/>
          <w:sz w:val="20"/>
          <w:szCs w:val="20"/>
          <w:lang w:eastAsia="ru-RU"/>
        </w:rPr>
      </w:pPr>
    </w:p>
    <w:p w14:paraId="21D36ACE" w14:textId="77777777" w:rsidR="009B3F29" w:rsidRPr="009B3F29" w:rsidRDefault="009B3F29" w:rsidP="009B3F29">
      <w:pPr>
        <w:spacing w:after="0" w:line="240" w:lineRule="auto"/>
        <w:rPr>
          <w:rFonts w:ascii="Tahoma" w:eastAsia="Times New Roman" w:hAnsi="Tahoma" w:cs="Tahoma"/>
          <w:sz w:val="20"/>
          <w:szCs w:val="20"/>
          <w:lang w:eastAsia="ru-RU"/>
        </w:rPr>
      </w:pPr>
    </w:p>
    <w:p w14:paraId="46B51B21" w14:textId="77777777" w:rsidR="009B3F29" w:rsidRDefault="009B3F29" w:rsidP="009B3F29">
      <w:pPr>
        <w:spacing w:after="0" w:line="240" w:lineRule="auto"/>
        <w:rPr>
          <w:rFonts w:ascii="Tahoma" w:eastAsia="Times New Roman" w:hAnsi="Tahoma" w:cs="Tahoma"/>
          <w:sz w:val="20"/>
          <w:szCs w:val="20"/>
          <w:lang w:eastAsia="ru-RU"/>
        </w:rPr>
      </w:pPr>
    </w:p>
    <w:p w14:paraId="2CDEA6F8" w14:textId="77777777" w:rsidR="009B3F29" w:rsidRDefault="009B3F29" w:rsidP="009B3F29">
      <w:pPr>
        <w:spacing w:after="0" w:line="240" w:lineRule="auto"/>
        <w:rPr>
          <w:rFonts w:ascii="Tahoma" w:eastAsia="Times New Roman" w:hAnsi="Tahoma" w:cs="Tahoma"/>
          <w:sz w:val="20"/>
          <w:szCs w:val="20"/>
          <w:lang w:eastAsia="ru-RU"/>
        </w:rPr>
      </w:pPr>
    </w:p>
    <w:p w14:paraId="74B833BC" w14:textId="77777777" w:rsidR="009B3F29" w:rsidRDefault="009B3F29" w:rsidP="009B3F29">
      <w:pPr>
        <w:spacing w:after="0" w:line="240" w:lineRule="auto"/>
        <w:rPr>
          <w:rFonts w:ascii="Tahoma" w:eastAsia="Times New Roman" w:hAnsi="Tahoma" w:cs="Tahoma"/>
          <w:sz w:val="20"/>
          <w:szCs w:val="20"/>
          <w:lang w:eastAsia="ru-RU"/>
        </w:rPr>
      </w:pPr>
    </w:p>
    <w:p w14:paraId="59A5A39D" w14:textId="77777777" w:rsidR="009B3F29" w:rsidRDefault="009B3F29" w:rsidP="009B3F29">
      <w:pPr>
        <w:spacing w:after="0" w:line="240" w:lineRule="auto"/>
        <w:rPr>
          <w:rFonts w:ascii="Tahoma" w:eastAsia="Times New Roman" w:hAnsi="Tahoma" w:cs="Tahoma"/>
          <w:sz w:val="20"/>
          <w:szCs w:val="20"/>
          <w:lang w:eastAsia="ru-RU"/>
        </w:rPr>
      </w:pPr>
    </w:p>
    <w:p w14:paraId="4282A2AA" w14:textId="77777777" w:rsidR="009B3F29" w:rsidRDefault="009B3F29" w:rsidP="009B3F29">
      <w:pPr>
        <w:spacing w:after="0" w:line="240" w:lineRule="auto"/>
        <w:rPr>
          <w:rFonts w:ascii="Tahoma" w:eastAsia="Times New Roman" w:hAnsi="Tahoma" w:cs="Tahoma"/>
          <w:sz w:val="20"/>
          <w:szCs w:val="20"/>
          <w:lang w:eastAsia="ru-RU"/>
        </w:rPr>
      </w:pPr>
    </w:p>
    <w:p w14:paraId="28A72B6D" w14:textId="77777777" w:rsidR="009B3F29" w:rsidRPr="009B3F29" w:rsidRDefault="009B3F29" w:rsidP="009B3F29">
      <w:pPr>
        <w:spacing w:after="0" w:line="240" w:lineRule="auto"/>
        <w:rPr>
          <w:rFonts w:ascii="Tahoma" w:eastAsia="Times New Roman" w:hAnsi="Tahoma" w:cs="Tahoma"/>
          <w:sz w:val="20"/>
          <w:szCs w:val="20"/>
          <w:lang w:eastAsia="ru-RU"/>
        </w:rPr>
      </w:pPr>
    </w:p>
    <w:p w14:paraId="3039BC01" w14:textId="77777777" w:rsidR="009B3F29" w:rsidRPr="009B3F29" w:rsidRDefault="009B3F29" w:rsidP="009B3F29">
      <w:pPr>
        <w:spacing w:after="0" w:line="240" w:lineRule="auto"/>
        <w:rPr>
          <w:rFonts w:ascii="Tahoma" w:eastAsia="Times New Roman" w:hAnsi="Tahoma" w:cs="Tahoma"/>
          <w:sz w:val="20"/>
          <w:szCs w:val="20"/>
          <w:lang w:eastAsia="ru-RU"/>
        </w:rPr>
      </w:pPr>
    </w:p>
    <w:p w14:paraId="31EE502D" w14:textId="77777777" w:rsidR="009B3F29" w:rsidRDefault="009B3F29" w:rsidP="009B3F29">
      <w:pPr>
        <w:jc w:val="right"/>
        <w:rPr>
          <w:rFonts w:ascii="Tahoma" w:hAnsi="Tahoma" w:cs="Tahoma"/>
          <w:b/>
        </w:rPr>
      </w:pPr>
    </w:p>
    <w:p w14:paraId="1E8691B6" w14:textId="77777777" w:rsidR="009B3F29" w:rsidRDefault="009B3F29" w:rsidP="009B3F29">
      <w:pPr>
        <w:jc w:val="center"/>
        <w:rPr>
          <w:rFonts w:ascii="Tahoma" w:hAnsi="Tahoma" w:cs="Tahoma"/>
          <w:b/>
          <w:sz w:val="28"/>
          <w:szCs w:val="28"/>
        </w:rPr>
      </w:pPr>
      <w:r>
        <w:rPr>
          <w:rFonts w:ascii="Tahoma" w:hAnsi="Tahoma"/>
          <w:b/>
          <w:sz w:val="28"/>
        </w:rPr>
        <w:t>Calculation Methodology for</w:t>
      </w:r>
    </w:p>
    <w:p w14:paraId="2B90B1E9" w14:textId="77777777" w:rsidR="009B3F29" w:rsidRDefault="009B3F29" w:rsidP="009B3F29">
      <w:pPr>
        <w:jc w:val="center"/>
        <w:rPr>
          <w:rFonts w:ascii="Tahoma" w:hAnsi="Tahoma" w:cs="Tahoma"/>
          <w:b/>
          <w:sz w:val="28"/>
          <w:szCs w:val="28"/>
        </w:rPr>
      </w:pPr>
      <w:r>
        <w:rPr>
          <w:rFonts w:ascii="Tahoma" w:hAnsi="Tahoma"/>
          <w:b/>
          <w:sz w:val="28"/>
        </w:rPr>
        <w:t>MOEX DOM.RF MBS Index</w:t>
      </w:r>
    </w:p>
    <w:p w14:paraId="6905F35C" w14:textId="77777777" w:rsidR="009B3F29" w:rsidRDefault="009B3F29" w:rsidP="009B3F29">
      <w:pPr>
        <w:jc w:val="center"/>
        <w:rPr>
          <w:rFonts w:ascii="Tahoma" w:hAnsi="Tahoma" w:cs="Tahoma"/>
          <w:b/>
          <w:sz w:val="28"/>
          <w:szCs w:val="28"/>
        </w:rPr>
      </w:pPr>
    </w:p>
    <w:p w14:paraId="245607B6" w14:textId="77777777" w:rsidR="009B3F29" w:rsidRDefault="009B3F29" w:rsidP="009B3F29">
      <w:pPr>
        <w:jc w:val="center"/>
        <w:rPr>
          <w:rFonts w:ascii="Tahoma" w:hAnsi="Tahoma" w:cs="Tahoma"/>
          <w:b/>
          <w:sz w:val="28"/>
          <w:szCs w:val="28"/>
        </w:rPr>
      </w:pPr>
    </w:p>
    <w:p w14:paraId="13728B31" w14:textId="77777777" w:rsidR="009B3F29" w:rsidRDefault="009B3F29" w:rsidP="009B3F29">
      <w:pPr>
        <w:jc w:val="center"/>
        <w:rPr>
          <w:rFonts w:ascii="Tahoma" w:hAnsi="Tahoma" w:cs="Tahoma"/>
          <w:b/>
          <w:sz w:val="28"/>
          <w:szCs w:val="28"/>
        </w:rPr>
      </w:pPr>
    </w:p>
    <w:p w14:paraId="2C528183" w14:textId="77777777" w:rsidR="009B3F29" w:rsidRDefault="009B3F29" w:rsidP="009B3F29">
      <w:pPr>
        <w:jc w:val="center"/>
        <w:rPr>
          <w:rFonts w:ascii="Tahoma" w:hAnsi="Tahoma" w:cs="Tahoma"/>
          <w:b/>
          <w:sz w:val="28"/>
          <w:szCs w:val="28"/>
        </w:rPr>
      </w:pPr>
    </w:p>
    <w:p w14:paraId="743F4698" w14:textId="77777777" w:rsidR="009B3F29" w:rsidRDefault="009B3F29" w:rsidP="009B3F29">
      <w:pPr>
        <w:jc w:val="center"/>
        <w:rPr>
          <w:rFonts w:ascii="Tahoma" w:hAnsi="Tahoma" w:cs="Tahoma"/>
          <w:b/>
          <w:sz w:val="28"/>
          <w:szCs w:val="28"/>
        </w:rPr>
      </w:pPr>
    </w:p>
    <w:p w14:paraId="3A84246A" w14:textId="77777777" w:rsidR="009B3F29" w:rsidRDefault="009B3F29" w:rsidP="009B3F29">
      <w:pPr>
        <w:jc w:val="center"/>
        <w:rPr>
          <w:rFonts w:ascii="Tahoma" w:hAnsi="Tahoma" w:cs="Tahoma"/>
          <w:b/>
          <w:sz w:val="28"/>
          <w:szCs w:val="28"/>
        </w:rPr>
      </w:pPr>
    </w:p>
    <w:p w14:paraId="7A75BF43" w14:textId="77777777" w:rsidR="009B3F29" w:rsidRDefault="009B3F29" w:rsidP="009B3F29">
      <w:pPr>
        <w:jc w:val="center"/>
        <w:rPr>
          <w:rFonts w:ascii="Tahoma" w:hAnsi="Tahoma" w:cs="Tahoma"/>
          <w:b/>
          <w:sz w:val="28"/>
          <w:szCs w:val="28"/>
        </w:rPr>
      </w:pPr>
    </w:p>
    <w:p w14:paraId="1237557E" w14:textId="77777777" w:rsidR="009B3F29" w:rsidRDefault="009B3F29" w:rsidP="009B3F29">
      <w:pPr>
        <w:jc w:val="center"/>
        <w:rPr>
          <w:rFonts w:ascii="Tahoma" w:hAnsi="Tahoma" w:cs="Tahoma"/>
          <w:b/>
          <w:sz w:val="28"/>
          <w:szCs w:val="28"/>
        </w:rPr>
      </w:pPr>
    </w:p>
    <w:p w14:paraId="6FD788D4" w14:textId="77777777" w:rsidR="009B3F29" w:rsidRDefault="009B3F29" w:rsidP="009B3F29">
      <w:pPr>
        <w:jc w:val="center"/>
        <w:rPr>
          <w:rFonts w:ascii="Tahoma" w:hAnsi="Tahoma" w:cs="Tahoma"/>
          <w:b/>
          <w:sz w:val="28"/>
          <w:szCs w:val="28"/>
        </w:rPr>
      </w:pPr>
    </w:p>
    <w:p w14:paraId="3AA926DA" w14:textId="77777777" w:rsidR="009B3F29" w:rsidRDefault="009B3F29" w:rsidP="009B3F29">
      <w:pPr>
        <w:jc w:val="center"/>
        <w:rPr>
          <w:rFonts w:ascii="Tahoma" w:hAnsi="Tahoma" w:cs="Tahoma"/>
          <w:b/>
          <w:sz w:val="28"/>
          <w:szCs w:val="28"/>
        </w:rPr>
      </w:pPr>
    </w:p>
    <w:p w14:paraId="06443A29" w14:textId="77777777" w:rsidR="009B3F29" w:rsidRDefault="009B3F29" w:rsidP="009B3F29">
      <w:pPr>
        <w:jc w:val="center"/>
        <w:rPr>
          <w:rFonts w:ascii="Tahoma" w:hAnsi="Tahoma" w:cs="Tahoma"/>
          <w:b/>
          <w:sz w:val="28"/>
          <w:szCs w:val="28"/>
        </w:rPr>
      </w:pPr>
    </w:p>
    <w:p w14:paraId="0277FCE2" w14:textId="77777777" w:rsidR="009B3F29" w:rsidRDefault="009B3F29" w:rsidP="009B3F29">
      <w:pPr>
        <w:jc w:val="center"/>
        <w:rPr>
          <w:rFonts w:ascii="Tahoma" w:hAnsi="Tahoma" w:cs="Tahoma"/>
          <w:b/>
          <w:sz w:val="28"/>
          <w:szCs w:val="28"/>
        </w:rPr>
      </w:pPr>
    </w:p>
    <w:p w14:paraId="502D103D" w14:textId="77777777" w:rsidR="009B3F29" w:rsidRDefault="009B3F29" w:rsidP="009B3F29">
      <w:pPr>
        <w:jc w:val="center"/>
        <w:rPr>
          <w:rFonts w:ascii="Tahoma" w:hAnsi="Tahoma" w:cs="Tahoma"/>
          <w:b/>
          <w:sz w:val="28"/>
          <w:szCs w:val="28"/>
        </w:rPr>
      </w:pPr>
    </w:p>
    <w:p w14:paraId="6BD4DF75" w14:textId="77777777" w:rsidR="009B3F29" w:rsidRDefault="009B3F29" w:rsidP="009B3F29">
      <w:pPr>
        <w:jc w:val="center"/>
        <w:rPr>
          <w:rFonts w:ascii="Tahoma" w:hAnsi="Tahoma" w:cs="Tahoma"/>
          <w:b/>
          <w:sz w:val="28"/>
          <w:szCs w:val="28"/>
        </w:rPr>
      </w:pPr>
    </w:p>
    <w:p w14:paraId="608D808A" w14:textId="77777777" w:rsidR="009B3F29" w:rsidRPr="009B3F29" w:rsidRDefault="009B3F29" w:rsidP="009B3F29">
      <w:pPr>
        <w:spacing w:after="0" w:line="240" w:lineRule="auto"/>
        <w:jc w:val="center"/>
        <w:rPr>
          <w:rFonts w:ascii="Tahoma" w:eastAsia="Times New Roman" w:hAnsi="Tahoma" w:cs="Tahoma"/>
          <w:b/>
          <w:sz w:val="24"/>
          <w:szCs w:val="24"/>
        </w:rPr>
      </w:pPr>
      <w:r>
        <w:rPr>
          <w:rFonts w:ascii="Tahoma" w:hAnsi="Tahoma"/>
          <w:sz w:val="24"/>
        </w:rPr>
        <w:t>Moscow Exchange, 2021</w:t>
      </w:r>
    </w:p>
    <w:p w14:paraId="2F8923D9" w14:textId="77777777" w:rsidR="009B3F29" w:rsidRDefault="009B3F29" w:rsidP="009B3F29">
      <w:pPr>
        <w:jc w:val="center"/>
        <w:rPr>
          <w:rFonts w:ascii="Tahoma" w:hAnsi="Tahoma" w:cs="Tahoma"/>
          <w:b/>
          <w:sz w:val="28"/>
          <w:szCs w:val="28"/>
        </w:rPr>
      </w:pPr>
      <w:r>
        <w:br w:type="page"/>
      </w:r>
    </w:p>
    <w:p w14:paraId="3B30FD05" w14:textId="77777777" w:rsidR="009B3F29" w:rsidRPr="00646A6D" w:rsidRDefault="009B3F29" w:rsidP="009B3F29">
      <w:pPr>
        <w:pStyle w:val="1"/>
      </w:pPr>
      <w:r>
        <w:lastRenderedPageBreak/>
        <w:t>CONTENTS</w:t>
      </w:r>
    </w:p>
    <w:p w14:paraId="4D4B837E" w14:textId="15E9D8BA" w:rsidR="002E596C" w:rsidRDefault="009B3F29">
      <w:pPr>
        <w:pStyle w:val="1"/>
        <w:rPr>
          <w:rFonts w:asciiTheme="minorHAnsi" w:eastAsiaTheme="minorEastAsia" w:hAnsiTheme="minorHAnsi" w:cstheme="minorBidi"/>
          <w:b w:val="0"/>
          <w:bCs w:val="0"/>
          <w:caps w:val="0"/>
          <w:noProof/>
          <w:sz w:val="22"/>
          <w:szCs w:val="22"/>
          <w:lang w:val="ru-RU"/>
        </w:rPr>
      </w:pPr>
      <w:r w:rsidRPr="000258C8">
        <w:rPr>
          <w:rFonts w:ascii="Tahoma" w:hAnsi="Tahoma" w:cs="Tahoma"/>
          <w:sz w:val="20"/>
        </w:rPr>
        <w:fldChar w:fldCharType="begin"/>
      </w:r>
      <w:r w:rsidRPr="000258C8">
        <w:rPr>
          <w:rFonts w:ascii="Tahoma" w:hAnsi="Tahoma" w:cs="Tahoma"/>
          <w:sz w:val="20"/>
        </w:rPr>
        <w:instrText xml:space="preserve"> TOC \o "1-1" \h \z \u </w:instrText>
      </w:r>
      <w:r w:rsidRPr="000258C8">
        <w:rPr>
          <w:rFonts w:ascii="Tahoma" w:hAnsi="Tahoma" w:cs="Tahoma"/>
          <w:sz w:val="20"/>
        </w:rPr>
        <w:fldChar w:fldCharType="separate"/>
      </w:r>
      <w:hyperlink w:anchor="_Toc155943082" w:history="1">
        <w:r w:rsidR="002E596C" w:rsidRPr="002B325C">
          <w:rPr>
            <w:rStyle w:val="a4"/>
            <w:rFonts w:ascii="Tahoma" w:hAnsi="Tahoma" w:cs="Times New Roman"/>
            <w:noProof/>
          </w:rPr>
          <w:t>1.</w:t>
        </w:r>
        <w:r w:rsidR="002E596C">
          <w:rPr>
            <w:rFonts w:asciiTheme="minorHAnsi" w:eastAsiaTheme="minorEastAsia" w:hAnsiTheme="minorHAnsi" w:cstheme="minorBidi"/>
            <w:b w:val="0"/>
            <w:bCs w:val="0"/>
            <w:caps w:val="0"/>
            <w:noProof/>
            <w:sz w:val="22"/>
            <w:szCs w:val="22"/>
            <w:lang w:val="ru-RU"/>
          </w:rPr>
          <w:tab/>
        </w:r>
        <w:r w:rsidR="002E596C" w:rsidRPr="002B325C">
          <w:rPr>
            <w:rStyle w:val="a4"/>
            <w:rFonts w:ascii="Tahoma" w:hAnsi="Tahoma"/>
            <w:noProof/>
          </w:rPr>
          <w:t>General Provisions</w:t>
        </w:r>
        <w:r w:rsidR="002E596C">
          <w:rPr>
            <w:noProof/>
            <w:webHidden/>
          </w:rPr>
          <w:tab/>
        </w:r>
        <w:r w:rsidR="002E596C">
          <w:rPr>
            <w:noProof/>
            <w:webHidden/>
          </w:rPr>
          <w:fldChar w:fldCharType="begin"/>
        </w:r>
        <w:r w:rsidR="002E596C">
          <w:rPr>
            <w:noProof/>
            <w:webHidden/>
          </w:rPr>
          <w:instrText xml:space="preserve"> PAGEREF _Toc155943082 \h </w:instrText>
        </w:r>
        <w:r w:rsidR="002E596C">
          <w:rPr>
            <w:noProof/>
            <w:webHidden/>
          </w:rPr>
        </w:r>
        <w:r w:rsidR="002E596C">
          <w:rPr>
            <w:noProof/>
            <w:webHidden/>
          </w:rPr>
          <w:fldChar w:fldCharType="separate"/>
        </w:r>
        <w:r w:rsidR="002E596C">
          <w:rPr>
            <w:noProof/>
            <w:webHidden/>
          </w:rPr>
          <w:t>3</w:t>
        </w:r>
        <w:r w:rsidR="002E596C">
          <w:rPr>
            <w:noProof/>
            <w:webHidden/>
          </w:rPr>
          <w:fldChar w:fldCharType="end"/>
        </w:r>
      </w:hyperlink>
    </w:p>
    <w:p w14:paraId="650060FF" w14:textId="080EEAB5" w:rsidR="002E596C" w:rsidRDefault="002E596C">
      <w:pPr>
        <w:pStyle w:val="1"/>
        <w:rPr>
          <w:rFonts w:asciiTheme="minorHAnsi" w:eastAsiaTheme="minorEastAsia" w:hAnsiTheme="minorHAnsi" w:cstheme="minorBidi"/>
          <w:b w:val="0"/>
          <w:bCs w:val="0"/>
          <w:caps w:val="0"/>
          <w:noProof/>
          <w:sz w:val="22"/>
          <w:szCs w:val="22"/>
          <w:lang w:val="ru-RU"/>
        </w:rPr>
      </w:pPr>
      <w:hyperlink w:anchor="_Toc155943083" w:history="1">
        <w:r w:rsidRPr="002B325C">
          <w:rPr>
            <w:rStyle w:val="a4"/>
            <w:rFonts w:ascii="Tahoma" w:hAnsi="Tahoma" w:cs="Times New Roman"/>
            <w:noProof/>
          </w:rPr>
          <w:t>2.</w:t>
        </w:r>
        <w:r>
          <w:rPr>
            <w:rFonts w:asciiTheme="minorHAnsi" w:eastAsiaTheme="minorEastAsia" w:hAnsiTheme="minorHAnsi" w:cstheme="minorBidi"/>
            <w:b w:val="0"/>
            <w:bCs w:val="0"/>
            <w:caps w:val="0"/>
            <w:noProof/>
            <w:sz w:val="22"/>
            <w:szCs w:val="22"/>
            <w:lang w:val="ru-RU"/>
          </w:rPr>
          <w:tab/>
        </w:r>
        <w:r w:rsidRPr="002B325C">
          <w:rPr>
            <w:rStyle w:val="a4"/>
            <w:rFonts w:ascii="Tahoma" w:hAnsi="Tahoma"/>
            <w:noProof/>
          </w:rPr>
          <w:t>General Calculation Method</w:t>
        </w:r>
        <w:r>
          <w:rPr>
            <w:noProof/>
            <w:webHidden/>
          </w:rPr>
          <w:tab/>
        </w:r>
        <w:r>
          <w:rPr>
            <w:noProof/>
            <w:webHidden/>
          </w:rPr>
          <w:fldChar w:fldCharType="begin"/>
        </w:r>
        <w:r>
          <w:rPr>
            <w:noProof/>
            <w:webHidden/>
          </w:rPr>
          <w:instrText xml:space="preserve"> PAGEREF _Toc155943083 \h </w:instrText>
        </w:r>
        <w:r>
          <w:rPr>
            <w:noProof/>
            <w:webHidden/>
          </w:rPr>
        </w:r>
        <w:r>
          <w:rPr>
            <w:noProof/>
            <w:webHidden/>
          </w:rPr>
          <w:fldChar w:fldCharType="separate"/>
        </w:r>
        <w:r>
          <w:rPr>
            <w:noProof/>
            <w:webHidden/>
          </w:rPr>
          <w:t>3</w:t>
        </w:r>
        <w:r>
          <w:rPr>
            <w:noProof/>
            <w:webHidden/>
          </w:rPr>
          <w:fldChar w:fldCharType="end"/>
        </w:r>
      </w:hyperlink>
    </w:p>
    <w:p w14:paraId="5A9609E0" w14:textId="26B2DF12" w:rsidR="002E596C" w:rsidRDefault="002E596C">
      <w:pPr>
        <w:pStyle w:val="1"/>
        <w:rPr>
          <w:rFonts w:asciiTheme="minorHAnsi" w:eastAsiaTheme="minorEastAsia" w:hAnsiTheme="minorHAnsi" w:cstheme="minorBidi"/>
          <w:b w:val="0"/>
          <w:bCs w:val="0"/>
          <w:caps w:val="0"/>
          <w:noProof/>
          <w:sz w:val="22"/>
          <w:szCs w:val="22"/>
          <w:lang w:val="ru-RU"/>
        </w:rPr>
      </w:pPr>
      <w:hyperlink w:anchor="_Toc155943084" w:history="1">
        <w:r w:rsidRPr="002B325C">
          <w:rPr>
            <w:rStyle w:val="a4"/>
            <w:rFonts w:ascii="Tahoma" w:hAnsi="Tahoma" w:cs="Times New Roman"/>
            <w:noProof/>
          </w:rPr>
          <w:t>3.</w:t>
        </w:r>
        <w:r>
          <w:rPr>
            <w:rFonts w:asciiTheme="minorHAnsi" w:eastAsiaTheme="minorEastAsia" w:hAnsiTheme="minorHAnsi" w:cstheme="minorBidi"/>
            <w:b w:val="0"/>
            <w:bCs w:val="0"/>
            <w:caps w:val="0"/>
            <w:noProof/>
            <w:sz w:val="22"/>
            <w:szCs w:val="22"/>
            <w:lang w:val="ru-RU"/>
          </w:rPr>
          <w:tab/>
        </w:r>
        <w:r w:rsidRPr="002B325C">
          <w:rPr>
            <w:rStyle w:val="a4"/>
            <w:rFonts w:ascii="Tahoma" w:hAnsi="Tahoma"/>
            <w:noProof/>
          </w:rPr>
          <w:t>Index Construction and Review</w:t>
        </w:r>
        <w:r>
          <w:rPr>
            <w:noProof/>
            <w:webHidden/>
          </w:rPr>
          <w:tab/>
        </w:r>
        <w:r>
          <w:rPr>
            <w:noProof/>
            <w:webHidden/>
          </w:rPr>
          <w:fldChar w:fldCharType="begin"/>
        </w:r>
        <w:r>
          <w:rPr>
            <w:noProof/>
            <w:webHidden/>
          </w:rPr>
          <w:instrText xml:space="preserve"> PAGEREF _Toc155943084 \h </w:instrText>
        </w:r>
        <w:r>
          <w:rPr>
            <w:noProof/>
            <w:webHidden/>
          </w:rPr>
        </w:r>
        <w:r>
          <w:rPr>
            <w:noProof/>
            <w:webHidden/>
          </w:rPr>
          <w:fldChar w:fldCharType="separate"/>
        </w:r>
        <w:r>
          <w:rPr>
            <w:noProof/>
            <w:webHidden/>
          </w:rPr>
          <w:t>4</w:t>
        </w:r>
        <w:r>
          <w:rPr>
            <w:noProof/>
            <w:webHidden/>
          </w:rPr>
          <w:fldChar w:fldCharType="end"/>
        </w:r>
      </w:hyperlink>
    </w:p>
    <w:p w14:paraId="4905BE27" w14:textId="1B48BB68" w:rsidR="002E596C" w:rsidRDefault="002E596C">
      <w:pPr>
        <w:pStyle w:val="1"/>
        <w:rPr>
          <w:rFonts w:asciiTheme="minorHAnsi" w:eastAsiaTheme="minorEastAsia" w:hAnsiTheme="minorHAnsi" w:cstheme="minorBidi"/>
          <w:b w:val="0"/>
          <w:bCs w:val="0"/>
          <w:caps w:val="0"/>
          <w:noProof/>
          <w:sz w:val="22"/>
          <w:szCs w:val="22"/>
          <w:lang w:val="ru-RU"/>
        </w:rPr>
      </w:pPr>
      <w:hyperlink w:anchor="_Toc155943085" w:history="1">
        <w:r w:rsidRPr="002B325C">
          <w:rPr>
            <w:rStyle w:val="a4"/>
            <w:rFonts w:ascii="Tahoma" w:hAnsi="Tahoma" w:cs="Times New Roman"/>
            <w:noProof/>
          </w:rPr>
          <w:t>4.</w:t>
        </w:r>
        <w:r>
          <w:rPr>
            <w:rFonts w:asciiTheme="minorHAnsi" w:eastAsiaTheme="minorEastAsia" w:hAnsiTheme="minorHAnsi" w:cstheme="minorBidi"/>
            <w:b w:val="0"/>
            <w:bCs w:val="0"/>
            <w:caps w:val="0"/>
            <w:noProof/>
            <w:sz w:val="22"/>
            <w:szCs w:val="22"/>
            <w:lang w:val="ru-RU"/>
          </w:rPr>
          <w:tab/>
        </w:r>
        <w:r w:rsidRPr="002B325C">
          <w:rPr>
            <w:rStyle w:val="a4"/>
            <w:rFonts w:ascii="Tahoma" w:hAnsi="Tahoma"/>
            <w:noProof/>
          </w:rPr>
          <w:t>Limitation of the Bond Value in the Index</w:t>
        </w:r>
        <w:r>
          <w:rPr>
            <w:noProof/>
            <w:webHidden/>
          </w:rPr>
          <w:tab/>
        </w:r>
        <w:r>
          <w:rPr>
            <w:noProof/>
            <w:webHidden/>
          </w:rPr>
          <w:fldChar w:fldCharType="begin"/>
        </w:r>
        <w:r>
          <w:rPr>
            <w:noProof/>
            <w:webHidden/>
          </w:rPr>
          <w:instrText xml:space="preserve"> PAGEREF _Toc155943085 \h </w:instrText>
        </w:r>
        <w:r>
          <w:rPr>
            <w:noProof/>
            <w:webHidden/>
          </w:rPr>
        </w:r>
        <w:r>
          <w:rPr>
            <w:noProof/>
            <w:webHidden/>
          </w:rPr>
          <w:fldChar w:fldCharType="separate"/>
        </w:r>
        <w:r>
          <w:rPr>
            <w:noProof/>
            <w:webHidden/>
          </w:rPr>
          <w:t>5</w:t>
        </w:r>
        <w:r>
          <w:rPr>
            <w:noProof/>
            <w:webHidden/>
          </w:rPr>
          <w:fldChar w:fldCharType="end"/>
        </w:r>
      </w:hyperlink>
    </w:p>
    <w:p w14:paraId="7C5CA798" w14:textId="3E28A08C" w:rsidR="002E596C" w:rsidRDefault="002E596C">
      <w:pPr>
        <w:pStyle w:val="1"/>
        <w:rPr>
          <w:rFonts w:asciiTheme="minorHAnsi" w:eastAsiaTheme="minorEastAsia" w:hAnsiTheme="minorHAnsi" w:cstheme="minorBidi"/>
          <w:b w:val="0"/>
          <w:bCs w:val="0"/>
          <w:caps w:val="0"/>
          <w:noProof/>
          <w:sz w:val="22"/>
          <w:szCs w:val="22"/>
          <w:lang w:val="ru-RU"/>
        </w:rPr>
      </w:pPr>
      <w:hyperlink w:anchor="_Toc155943086" w:history="1">
        <w:r w:rsidRPr="002B325C">
          <w:rPr>
            <w:rStyle w:val="a4"/>
            <w:rFonts w:ascii="Tahoma" w:hAnsi="Tahoma" w:cs="Times New Roman"/>
            <w:noProof/>
          </w:rPr>
          <w:t>5.</w:t>
        </w:r>
        <w:r>
          <w:rPr>
            <w:rFonts w:asciiTheme="minorHAnsi" w:eastAsiaTheme="minorEastAsia" w:hAnsiTheme="minorHAnsi" w:cstheme="minorBidi"/>
            <w:b w:val="0"/>
            <w:bCs w:val="0"/>
            <w:caps w:val="0"/>
            <w:noProof/>
            <w:sz w:val="22"/>
            <w:szCs w:val="22"/>
            <w:lang w:val="ru-RU"/>
          </w:rPr>
          <w:tab/>
        </w:r>
        <w:r w:rsidRPr="002B325C">
          <w:rPr>
            <w:rStyle w:val="a4"/>
            <w:rFonts w:ascii="Tahoma" w:hAnsi="Tahoma"/>
            <w:noProof/>
          </w:rPr>
          <w:t>Index Calculation Control</w:t>
        </w:r>
        <w:r>
          <w:rPr>
            <w:noProof/>
            <w:webHidden/>
          </w:rPr>
          <w:tab/>
        </w:r>
        <w:r>
          <w:rPr>
            <w:noProof/>
            <w:webHidden/>
          </w:rPr>
          <w:fldChar w:fldCharType="begin"/>
        </w:r>
        <w:r>
          <w:rPr>
            <w:noProof/>
            <w:webHidden/>
          </w:rPr>
          <w:instrText xml:space="preserve"> PAGEREF _Toc155943086 \h </w:instrText>
        </w:r>
        <w:r>
          <w:rPr>
            <w:noProof/>
            <w:webHidden/>
          </w:rPr>
        </w:r>
        <w:r>
          <w:rPr>
            <w:noProof/>
            <w:webHidden/>
          </w:rPr>
          <w:fldChar w:fldCharType="separate"/>
        </w:r>
        <w:r>
          <w:rPr>
            <w:noProof/>
            <w:webHidden/>
          </w:rPr>
          <w:t>5</w:t>
        </w:r>
        <w:r>
          <w:rPr>
            <w:noProof/>
            <w:webHidden/>
          </w:rPr>
          <w:fldChar w:fldCharType="end"/>
        </w:r>
      </w:hyperlink>
    </w:p>
    <w:p w14:paraId="099672B9" w14:textId="211E258F" w:rsidR="002E596C" w:rsidRDefault="002E596C">
      <w:pPr>
        <w:pStyle w:val="1"/>
        <w:rPr>
          <w:rFonts w:asciiTheme="minorHAnsi" w:eastAsiaTheme="minorEastAsia" w:hAnsiTheme="minorHAnsi" w:cstheme="minorBidi"/>
          <w:b w:val="0"/>
          <w:bCs w:val="0"/>
          <w:caps w:val="0"/>
          <w:noProof/>
          <w:sz w:val="22"/>
          <w:szCs w:val="22"/>
          <w:lang w:val="ru-RU"/>
        </w:rPr>
      </w:pPr>
      <w:hyperlink w:anchor="_Toc155943087" w:history="1">
        <w:r w:rsidRPr="002B325C">
          <w:rPr>
            <w:rStyle w:val="a4"/>
            <w:rFonts w:ascii="Tahoma" w:hAnsi="Tahoma" w:cs="Times New Roman"/>
            <w:noProof/>
          </w:rPr>
          <w:t>6.</w:t>
        </w:r>
        <w:r>
          <w:rPr>
            <w:rFonts w:asciiTheme="minorHAnsi" w:eastAsiaTheme="minorEastAsia" w:hAnsiTheme="minorHAnsi" w:cstheme="minorBidi"/>
            <w:b w:val="0"/>
            <w:bCs w:val="0"/>
            <w:caps w:val="0"/>
            <w:noProof/>
            <w:sz w:val="22"/>
            <w:szCs w:val="22"/>
            <w:lang w:val="ru-RU"/>
          </w:rPr>
          <w:tab/>
        </w:r>
        <w:r w:rsidRPr="002B325C">
          <w:rPr>
            <w:rStyle w:val="a4"/>
            <w:rFonts w:ascii="Tahoma" w:hAnsi="Tahoma"/>
            <w:noProof/>
          </w:rPr>
          <w:t>Disclosure</w:t>
        </w:r>
        <w:r>
          <w:rPr>
            <w:noProof/>
            <w:webHidden/>
          </w:rPr>
          <w:tab/>
        </w:r>
        <w:r>
          <w:rPr>
            <w:noProof/>
            <w:webHidden/>
          </w:rPr>
          <w:fldChar w:fldCharType="begin"/>
        </w:r>
        <w:r>
          <w:rPr>
            <w:noProof/>
            <w:webHidden/>
          </w:rPr>
          <w:instrText xml:space="preserve"> PAGEREF _Toc155943087 \h </w:instrText>
        </w:r>
        <w:r>
          <w:rPr>
            <w:noProof/>
            <w:webHidden/>
          </w:rPr>
        </w:r>
        <w:r>
          <w:rPr>
            <w:noProof/>
            <w:webHidden/>
          </w:rPr>
          <w:fldChar w:fldCharType="separate"/>
        </w:r>
        <w:r>
          <w:rPr>
            <w:noProof/>
            <w:webHidden/>
          </w:rPr>
          <w:t>6</w:t>
        </w:r>
        <w:r>
          <w:rPr>
            <w:noProof/>
            <w:webHidden/>
          </w:rPr>
          <w:fldChar w:fldCharType="end"/>
        </w:r>
      </w:hyperlink>
    </w:p>
    <w:p w14:paraId="4581CCD0" w14:textId="77777777" w:rsidR="009B3F29" w:rsidRPr="00033C3D" w:rsidRDefault="009B3F29" w:rsidP="009B3F29">
      <w:pPr>
        <w:rPr>
          <w:rFonts w:ascii="Tahoma" w:hAnsi="Tahoma" w:cs="Tahoma"/>
          <w:sz w:val="20"/>
        </w:rPr>
      </w:pPr>
      <w:r w:rsidRPr="000258C8">
        <w:rPr>
          <w:rFonts w:ascii="Tahoma" w:hAnsi="Tahoma" w:cs="Tahoma"/>
          <w:sz w:val="20"/>
        </w:rPr>
        <w:fldChar w:fldCharType="end"/>
      </w:r>
    </w:p>
    <w:p w14:paraId="1F9B3230" w14:textId="77777777" w:rsidR="009B3F29" w:rsidRPr="00033C3D" w:rsidRDefault="009B3F29" w:rsidP="009B3F29">
      <w:pPr>
        <w:numPr>
          <w:ilvl w:val="0"/>
          <w:numId w:val="4"/>
        </w:numPr>
        <w:spacing w:after="0" w:line="240" w:lineRule="auto"/>
        <w:outlineLvl w:val="0"/>
        <w:rPr>
          <w:rFonts w:ascii="Tahoma" w:hAnsi="Tahoma" w:cs="Tahoma"/>
          <w:b/>
          <w:sz w:val="20"/>
          <w:szCs w:val="20"/>
        </w:rPr>
      </w:pPr>
      <w:r>
        <w:br w:type="page"/>
      </w:r>
      <w:bookmarkStart w:id="0" w:name="_Toc155943082"/>
      <w:r>
        <w:rPr>
          <w:rFonts w:ascii="Tahoma" w:hAnsi="Tahoma"/>
          <w:b/>
          <w:sz w:val="20"/>
        </w:rPr>
        <w:lastRenderedPageBreak/>
        <w:t>General Provisions</w:t>
      </w:r>
      <w:bookmarkEnd w:id="0"/>
    </w:p>
    <w:p w14:paraId="1FE12120" w14:textId="77777777" w:rsidR="009B3F29" w:rsidRPr="00033C3D" w:rsidRDefault="009B3F29" w:rsidP="009B3F29">
      <w:pPr>
        <w:pStyle w:val="3"/>
        <w:spacing w:before="0"/>
        <w:ind w:left="360"/>
        <w:rPr>
          <w:rFonts w:ascii="Tahoma" w:hAnsi="Tahoma" w:cs="Tahoma"/>
        </w:rPr>
      </w:pPr>
    </w:p>
    <w:p w14:paraId="1AC07942" w14:textId="77777777" w:rsidR="009B3F29" w:rsidRPr="00205E1D" w:rsidRDefault="009B3F29" w:rsidP="009B3F29">
      <w:pPr>
        <w:numPr>
          <w:ilvl w:val="1"/>
          <w:numId w:val="4"/>
        </w:numPr>
        <w:tabs>
          <w:tab w:val="num" w:pos="1000"/>
        </w:tabs>
        <w:spacing w:after="0" w:line="240" w:lineRule="auto"/>
        <w:jc w:val="both"/>
        <w:rPr>
          <w:rStyle w:val="a5"/>
          <w:rFonts w:ascii="Tahoma" w:hAnsi="Tahoma" w:cs="Tahoma"/>
        </w:rPr>
      </w:pPr>
      <w:bookmarkStart w:id="1" w:name="_Ref424309154"/>
      <w:r>
        <w:rPr>
          <w:rStyle w:val="a5"/>
          <w:rFonts w:ascii="Tahoma" w:hAnsi="Tahoma"/>
        </w:rPr>
        <w:t>For the purposes of this MOEX DOM.RF MBS Index Methodology (hereinafter, the “Methodology”), the following terms and definitions apply:</w:t>
      </w:r>
      <w:bookmarkEnd w:id="1"/>
    </w:p>
    <w:p w14:paraId="64F88808" w14:textId="77777777" w:rsidR="009B3F29" w:rsidRPr="00096842" w:rsidRDefault="009B3F29" w:rsidP="009B3F29">
      <w:pPr>
        <w:numPr>
          <w:ilvl w:val="0"/>
          <w:numId w:val="2"/>
        </w:numPr>
        <w:spacing w:after="0" w:line="240" w:lineRule="auto"/>
        <w:jc w:val="both"/>
        <w:rPr>
          <w:rFonts w:ascii="Tahoma" w:hAnsi="Tahoma" w:cs="Tahoma"/>
          <w:sz w:val="20"/>
          <w:szCs w:val="20"/>
        </w:rPr>
      </w:pPr>
      <w:r>
        <w:rPr>
          <w:rFonts w:ascii="Tahoma" w:hAnsi="Tahoma"/>
          <w:sz w:val="20"/>
        </w:rPr>
        <w:t>Index Constituents means a list of Bonds used to calculate the Index as approved by the Exchange in the manner outlined in the Methodology;</w:t>
      </w:r>
    </w:p>
    <w:p w14:paraId="2D877772" w14:textId="48891EC9" w:rsidR="009B3F29" w:rsidRPr="00096842" w:rsidRDefault="009B3F29" w:rsidP="009B3F29">
      <w:pPr>
        <w:numPr>
          <w:ilvl w:val="0"/>
          <w:numId w:val="2"/>
        </w:numPr>
        <w:spacing w:after="0" w:line="240" w:lineRule="auto"/>
        <w:jc w:val="both"/>
        <w:rPr>
          <w:rFonts w:ascii="Tahoma" w:hAnsi="Tahoma" w:cs="Tahoma"/>
          <w:sz w:val="20"/>
          <w:szCs w:val="20"/>
        </w:rPr>
      </w:pPr>
      <w:r>
        <w:rPr>
          <w:rFonts w:ascii="Tahoma" w:hAnsi="Tahoma"/>
          <w:sz w:val="20"/>
        </w:rPr>
        <w:t xml:space="preserve">Exchange, Moscow Exchange means Public Joint-Stock Company Moscow Exchange </w:t>
      </w:r>
      <w:r w:rsidR="002E596C">
        <w:rPr>
          <w:rFonts w:ascii="Tahoma" w:hAnsi="Tahoma"/>
          <w:sz w:val="20"/>
        </w:rPr>
        <w:br/>
      </w:r>
      <w:r>
        <w:rPr>
          <w:rFonts w:ascii="Tahoma" w:hAnsi="Tahoma"/>
          <w:sz w:val="20"/>
        </w:rPr>
        <w:t>MICEX-RTS;</w:t>
      </w:r>
    </w:p>
    <w:p w14:paraId="40FE1067" w14:textId="77777777" w:rsidR="009B3F29" w:rsidRPr="00096842" w:rsidRDefault="009B3F29" w:rsidP="009B3F29">
      <w:pPr>
        <w:numPr>
          <w:ilvl w:val="0"/>
          <w:numId w:val="2"/>
        </w:numPr>
        <w:spacing w:after="0" w:line="240" w:lineRule="auto"/>
        <w:jc w:val="both"/>
        <w:rPr>
          <w:rFonts w:ascii="Tahoma" w:hAnsi="Tahoma" w:cs="Tahoma"/>
          <w:sz w:val="20"/>
          <w:szCs w:val="20"/>
        </w:rPr>
      </w:pPr>
      <w:r>
        <w:rPr>
          <w:rFonts w:ascii="Tahoma" w:hAnsi="Tahoma"/>
          <w:sz w:val="20"/>
        </w:rPr>
        <w:t>Early Redemption means the expected date of exercise of the nearest put option or call option stipulated by the terms of Bonds issue;</w:t>
      </w:r>
    </w:p>
    <w:p w14:paraId="6DC81DE6" w14:textId="77777777" w:rsidR="009B3F29" w:rsidRPr="00096842" w:rsidRDefault="009B3F29" w:rsidP="009B3F29">
      <w:pPr>
        <w:numPr>
          <w:ilvl w:val="0"/>
          <w:numId w:val="2"/>
        </w:numPr>
        <w:spacing w:after="0" w:line="240" w:lineRule="auto"/>
        <w:jc w:val="both"/>
        <w:rPr>
          <w:rFonts w:ascii="Tahoma" w:hAnsi="Tahoma" w:cs="Tahoma"/>
          <w:sz w:val="20"/>
          <w:szCs w:val="20"/>
        </w:rPr>
      </w:pPr>
      <w:r>
        <w:rPr>
          <w:rFonts w:ascii="Tahoma" w:hAnsi="Tahoma"/>
          <w:sz w:val="20"/>
        </w:rPr>
        <w:t>Index Constituents Date means 15 February, 15 May. 15 August and 15 November. If any of those days is not a business day, the Index Constituents Date is set to be the first trading day following the 15th day of the given month;</w:t>
      </w:r>
    </w:p>
    <w:p w14:paraId="313002A2" w14:textId="77777777" w:rsidR="009B3F29" w:rsidRPr="00096842" w:rsidRDefault="009B3F29" w:rsidP="009B3F29">
      <w:pPr>
        <w:numPr>
          <w:ilvl w:val="0"/>
          <w:numId w:val="2"/>
        </w:numPr>
        <w:spacing w:after="0" w:line="240" w:lineRule="auto"/>
        <w:jc w:val="both"/>
        <w:rPr>
          <w:rFonts w:ascii="Tahoma" w:hAnsi="Tahoma" w:cs="Tahoma"/>
          <w:sz w:val="20"/>
          <w:szCs w:val="20"/>
        </w:rPr>
      </w:pPr>
      <w:r>
        <w:rPr>
          <w:rFonts w:ascii="Tahoma" w:hAnsi="Tahoma"/>
          <w:sz w:val="20"/>
        </w:rPr>
        <w:t>Accumulated Coupon Income, ACI means the coupon yield accumulated on the Bond, in RUB;</w:t>
      </w:r>
    </w:p>
    <w:p w14:paraId="19E1C0EB" w14:textId="77777777" w:rsidR="009B3F29" w:rsidRDefault="009B3F29" w:rsidP="009B3F29">
      <w:pPr>
        <w:numPr>
          <w:ilvl w:val="0"/>
          <w:numId w:val="2"/>
        </w:numPr>
        <w:spacing w:after="0" w:line="240" w:lineRule="auto"/>
        <w:jc w:val="both"/>
        <w:rPr>
          <w:rFonts w:ascii="Tahoma" w:hAnsi="Tahoma" w:cs="Tahoma"/>
          <w:sz w:val="20"/>
          <w:szCs w:val="20"/>
        </w:rPr>
      </w:pPr>
      <w:r>
        <w:rPr>
          <w:rFonts w:ascii="Tahoma" w:hAnsi="Tahoma"/>
          <w:sz w:val="20"/>
        </w:rPr>
        <w:t>Bonds means exchange-traded mortgage-backed bonds issued by DOM.RF Mortgage Agent with DOM.RF guarantee;</w:t>
      </w:r>
    </w:p>
    <w:p w14:paraId="04B2B677" w14:textId="77777777" w:rsidR="009B3F29" w:rsidRPr="00096842" w:rsidRDefault="009B3F29" w:rsidP="009B3F29">
      <w:pPr>
        <w:numPr>
          <w:ilvl w:val="0"/>
          <w:numId w:val="2"/>
        </w:numPr>
        <w:spacing w:after="0" w:line="240" w:lineRule="auto"/>
        <w:jc w:val="both"/>
        <w:rPr>
          <w:rFonts w:ascii="Tahoma" w:hAnsi="Tahoma" w:cs="Tahoma"/>
          <w:sz w:val="20"/>
          <w:szCs w:val="20"/>
        </w:rPr>
      </w:pPr>
      <w:r>
        <w:rPr>
          <w:rFonts w:ascii="Tahoma" w:hAnsi="Tahoma"/>
          <w:sz w:val="20"/>
        </w:rPr>
        <w:t xml:space="preserve">Trading Day shall mean a trading day on the Exchange (used in the meanings ascribed by the Rules of Trading on the Equity and Bonds Market, Deposit Market and Credit Market of </w:t>
      </w:r>
      <w:r>
        <w:rPr>
          <w:rStyle w:val="a5"/>
          <w:rFonts w:ascii="Tahoma" w:hAnsi="Tahoma"/>
        </w:rPr>
        <w:t>Public Joint-Stock Company Moscow Exchange MICEX-RTS</w:t>
      </w:r>
      <w:r>
        <w:rPr>
          <w:rFonts w:ascii="Tahoma" w:hAnsi="Tahoma"/>
          <w:sz w:val="20"/>
        </w:rPr>
        <w:t>);</w:t>
      </w:r>
    </w:p>
    <w:p w14:paraId="570EA475" w14:textId="78E2162E" w:rsidR="009B3F29" w:rsidRPr="00096842" w:rsidRDefault="009B3F29" w:rsidP="009B3F29">
      <w:pPr>
        <w:numPr>
          <w:ilvl w:val="0"/>
          <w:numId w:val="2"/>
        </w:numPr>
        <w:spacing w:after="0" w:line="240" w:lineRule="auto"/>
        <w:jc w:val="both"/>
        <w:rPr>
          <w:rFonts w:ascii="Tahoma" w:hAnsi="Tahoma" w:cs="Tahoma"/>
          <w:sz w:val="20"/>
          <w:szCs w:val="20"/>
        </w:rPr>
      </w:pPr>
      <w:r>
        <w:rPr>
          <w:rFonts w:ascii="Tahoma" w:hAnsi="Tahoma"/>
          <w:sz w:val="20"/>
        </w:rPr>
        <w:t>Bond Price means a weighted average price at the main trading session closing, in RUB.</w:t>
      </w:r>
    </w:p>
    <w:p w14:paraId="67C8034E" w14:textId="77777777" w:rsidR="009B3F29" w:rsidRPr="003500CE" w:rsidRDefault="009B3F29" w:rsidP="009B3F29">
      <w:pPr>
        <w:numPr>
          <w:ilvl w:val="1"/>
          <w:numId w:val="4"/>
        </w:numPr>
        <w:spacing w:after="0" w:line="240" w:lineRule="auto"/>
        <w:jc w:val="both"/>
        <w:rPr>
          <w:rFonts w:ascii="Tahoma" w:hAnsi="Tahoma" w:cs="Tahoma"/>
          <w:sz w:val="20"/>
          <w:szCs w:val="20"/>
        </w:rPr>
      </w:pPr>
      <w:r>
        <w:rPr>
          <w:rFonts w:ascii="Tahoma" w:hAnsi="Tahoma"/>
          <w:sz w:val="20"/>
        </w:rPr>
        <w:t xml:space="preserve">The terms not defined herein are used in the meanings ascribed to them in the internal documents of the Exchange, the </w:t>
      </w:r>
      <w:proofErr w:type="gramStart"/>
      <w:r>
        <w:rPr>
          <w:rFonts w:ascii="Tahoma" w:hAnsi="Tahoma"/>
          <w:sz w:val="20"/>
        </w:rPr>
        <w:t>law</w:t>
      </w:r>
      <w:proofErr w:type="gramEnd"/>
      <w:r>
        <w:rPr>
          <w:rFonts w:ascii="Tahoma" w:hAnsi="Tahoma"/>
          <w:sz w:val="20"/>
        </w:rPr>
        <w:t xml:space="preserve"> and regulatory acts of the Bank of Russia.</w:t>
      </w:r>
    </w:p>
    <w:p w14:paraId="7F33A944" w14:textId="77777777" w:rsidR="009B3F29" w:rsidRDefault="009B3F29" w:rsidP="009B3F29">
      <w:pPr>
        <w:numPr>
          <w:ilvl w:val="1"/>
          <w:numId w:val="4"/>
        </w:numPr>
        <w:spacing w:after="0" w:line="240" w:lineRule="auto"/>
        <w:jc w:val="both"/>
        <w:rPr>
          <w:rFonts w:ascii="Tahoma" w:hAnsi="Tahoma" w:cs="Tahoma"/>
          <w:sz w:val="20"/>
          <w:szCs w:val="20"/>
        </w:rPr>
      </w:pPr>
      <w:r>
        <w:rPr>
          <w:rFonts w:ascii="Tahoma" w:hAnsi="Tahoma"/>
          <w:sz w:val="20"/>
        </w:rPr>
        <w:t>The Index calculated under this Methodology has the following names:</w:t>
      </w:r>
    </w:p>
    <w:p w14:paraId="7BF17F0D" w14:textId="77777777" w:rsidR="009B3F29" w:rsidRDefault="009B3F29" w:rsidP="009B3F29">
      <w:pPr>
        <w:numPr>
          <w:ilvl w:val="0"/>
          <w:numId w:val="2"/>
        </w:numPr>
        <w:spacing w:after="0" w:line="240" w:lineRule="auto"/>
        <w:jc w:val="both"/>
        <w:rPr>
          <w:rFonts w:ascii="Tahoma" w:hAnsi="Tahoma" w:cs="Tahoma"/>
          <w:sz w:val="20"/>
          <w:szCs w:val="20"/>
        </w:rPr>
      </w:pPr>
      <w:r>
        <w:rPr>
          <w:rFonts w:ascii="Tahoma" w:hAnsi="Tahoma"/>
          <w:sz w:val="20"/>
        </w:rPr>
        <w:t>The Index’s name in Russian: «</w:t>
      </w:r>
      <w:proofErr w:type="spellStart"/>
      <w:r>
        <w:rPr>
          <w:rFonts w:ascii="Tahoma" w:hAnsi="Tahoma"/>
          <w:sz w:val="20"/>
        </w:rPr>
        <w:t>Индекс</w:t>
      </w:r>
      <w:proofErr w:type="spellEnd"/>
      <w:r>
        <w:rPr>
          <w:rFonts w:ascii="Tahoma" w:hAnsi="Tahoma"/>
          <w:sz w:val="20"/>
        </w:rPr>
        <w:t xml:space="preserve"> </w:t>
      </w:r>
      <w:proofErr w:type="spellStart"/>
      <w:r>
        <w:rPr>
          <w:rFonts w:ascii="Tahoma" w:hAnsi="Tahoma"/>
          <w:sz w:val="20"/>
        </w:rPr>
        <w:t>МосБиржи</w:t>
      </w:r>
      <w:proofErr w:type="spellEnd"/>
      <w:r>
        <w:rPr>
          <w:rFonts w:ascii="Tahoma" w:hAnsi="Tahoma"/>
          <w:sz w:val="20"/>
        </w:rPr>
        <w:t xml:space="preserve"> </w:t>
      </w:r>
      <w:proofErr w:type="spellStart"/>
      <w:r>
        <w:rPr>
          <w:rFonts w:ascii="Tahoma" w:hAnsi="Tahoma"/>
          <w:sz w:val="20"/>
        </w:rPr>
        <w:t>ипотечных</w:t>
      </w:r>
      <w:proofErr w:type="spellEnd"/>
      <w:r>
        <w:rPr>
          <w:rFonts w:ascii="Tahoma" w:hAnsi="Tahoma"/>
          <w:sz w:val="20"/>
        </w:rPr>
        <w:t xml:space="preserve"> </w:t>
      </w:r>
      <w:proofErr w:type="spellStart"/>
      <w:r>
        <w:rPr>
          <w:rFonts w:ascii="Tahoma" w:hAnsi="Tahoma"/>
          <w:sz w:val="20"/>
        </w:rPr>
        <w:t>облигаций</w:t>
      </w:r>
      <w:proofErr w:type="spellEnd"/>
      <w:r>
        <w:rPr>
          <w:rFonts w:ascii="Tahoma" w:hAnsi="Tahoma"/>
          <w:sz w:val="20"/>
        </w:rPr>
        <w:t xml:space="preserve"> ДОМ.РФ»;</w:t>
      </w:r>
    </w:p>
    <w:p w14:paraId="7AA3FE8B" w14:textId="77777777" w:rsidR="009B3F29" w:rsidRDefault="009B3F29" w:rsidP="009B3F29">
      <w:pPr>
        <w:numPr>
          <w:ilvl w:val="0"/>
          <w:numId w:val="2"/>
        </w:numPr>
        <w:spacing w:after="0" w:line="240" w:lineRule="auto"/>
        <w:jc w:val="both"/>
        <w:rPr>
          <w:rFonts w:ascii="Tahoma" w:hAnsi="Tahoma" w:cs="Tahoma"/>
          <w:sz w:val="20"/>
          <w:szCs w:val="20"/>
        </w:rPr>
      </w:pPr>
      <w:r>
        <w:rPr>
          <w:rFonts w:ascii="Tahoma" w:hAnsi="Tahoma"/>
          <w:sz w:val="20"/>
        </w:rPr>
        <w:t>The Index's name in English: «MOEX DOM.RF MBS Index».</w:t>
      </w:r>
    </w:p>
    <w:p w14:paraId="00691F33" w14:textId="77777777" w:rsidR="009B3F29" w:rsidRDefault="009B3F29" w:rsidP="009B3F29">
      <w:pPr>
        <w:numPr>
          <w:ilvl w:val="1"/>
          <w:numId w:val="4"/>
        </w:numPr>
        <w:tabs>
          <w:tab w:val="num" w:pos="1000"/>
        </w:tabs>
        <w:spacing w:after="0" w:line="240" w:lineRule="auto"/>
        <w:jc w:val="both"/>
        <w:rPr>
          <w:rFonts w:ascii="Tahoma" w:hAnsi="Tahoma" w:cs="Tahoma"/>
          <w:sz w:val="20"/>
          <w:szCs w:val="20"/>
        </w:rPr>
      </w:pPr>
      <w:r>
        <w:rPr>
          <w:rFonts w:ascii="Tahoma" w:hAnsi="Tahoma"/>
          <w:sz w:val="20"/>
        </w:rPr>
        <w:t>The wording “</w:t>
      </w:r>
      <w:proofErr w:type="spellStart"/>
      <w:r>
        <w:rPr>
          <w:rFonts w:ascii="Tahoma" w:hAnsi="Tahoma"/>
          <w:sz w:val="20"/>
        </w:rPr>
        <w:t>Индекс</w:t>
      </w:r>
      <w:proofErr w:type="spellEnd"/>
      <w:r>
        <w:rPr>
          <w:rFonts w:ascii="Tahoma" w:hAnsi="Tahoma"/>
          <w:sz w:val="20"/>
        </w:rPr>
        <w:t xml:space="preserve"> </w:t>
      </w:r>
      <w:proofErr w:type="spellStart"/>
      <w:r>
        <w:rPr>
          <w:rFonts w:ascii="Tahoma" w:hAnsi="Tahoma"/>
          <w:sz w:val="20"/>
        </w:rPr>
        <w:t>МосБиржи</w:t>
      </w:r>
      <w:proofErr w:type="spellEnd"/>
      <w:r>
        <w:rPr>
          <w:rFonts w:ascii="Tahoma" w:hAnsi="Tahoma"/>
          <w:sz w:val="20"/>
        </w:rPr>
        <w:t>” in the Index name is a trademark of Moscow Exchange registered by the Federal Service for Intellectual Property in the Russian Public Register of Trademarks and Service Marks on 18 September 2017 (trademark certificate No. 630519). The wording “MOEX” in the Index name is a trademark of Moscow Exchange registered by the Federal Service for Intellectual Property in the Russian Public Register of Trademarks and Service Marks on 29 September 2014 (trademark certificate No. 521450).</w:t>
      </w:r>
    </w:p>
    <w:p w14:paraId="5BDE8F03" w14:textId="77777777" w:rsidR="009B3F29" w:rsidRPr="00033C3D" w:rsidRDefault="009B3F29" w:rsidP="009B3F29">
      <w:pPr>
        <w:numPr>
          <w:ilvl w:val="1"/>
          <w:numId w:val="4"/>
        </w:numPr>
        <w:tabs>
          <w:tab w:val="num" w:pos="1000"/>
        </w:tabs>
        <w:spacing w:after="0" w:line="240" w:lineRule="auto"/>
        <w:jc w:val="both"/>
        <w:rPr>
          <w:rFonts w:ascii="Tahoma" w:hAnsi="Tahoma" w:cs="Tahoma"/>
          <w:sz w:val="20"/>
          <w:szCs w:val="20"/>
        </w:rPr>
      </w:pPr>
      <w:r>
        <w:rPr>
          <w:rFonts w:ascii="Tahoma" w:hAnsi="Tahoma"/>
          <w:sz w:val="20"/>
        </w:rPr>
        <w:t>The Exchange shall approve this Methodology and any amendments and supplements thereto and they shall come into effect on the date determined by the Exchange. Amendments and supplements to this Methodology may be made once a quarter at latest.</w:t>
      </w:r>
    </w:p>
    <w:p w14:paraId="04215BBC" w14:textId="77777777" w:rsidR="009B3F29" w:rsidRPr="00033C3D" w:rsidRDefault="009B3F29" w:rsidP="009B3F29">
      <w:pPr>
        <w:rPr>
          <w:rFonts w:ascii="Tahoma" w:hAnsi="Tahoma" w:cs="Tahoma"/>
          <w:sz w:val="20"/>
          <w:szCs w:val="20"/>
        </w:rPr>
      </w:pPr>
    </w:p>
    <w:p w14:paraId="0EC8DD8B" w14:textId="77777777" w:rsidR="009B3F29" w:rsidRDefault="009B3F29" w:rsidP="009B3F29">
      <w:pPr>
        <w:numPr>
          <w:ilvl w:val="0"/>
          <w:numId w:val="4"/>
        </w:numPr>
        <w:spacing w:after="0" w:line="240" w:lineRule="auto"/>
        <w:outlineLvl w:val="0"/>
        <w:rPr>
          <w:rFonts w:ascii="Tahoma" w:hAnsi="Tahoma" w:cs="Tahoma"/>
          <w:b/>
          <w:sz w:val="20"/>
          <w:szCs w:val="20"/>
        </w:rPr>
      </w:pPr>
      <w:bookmarkStart w:id="2" w:name="_Toc155943083"/>
      <w:r>
        <w:rPr>
          <w:rFonts w:ascii="Tahoma" w:hAnsi="Tahoma"/>
          <w:b/>
          <w:sz w:val="20"/>
        </w:rPr>
        <w:t>General Calculation Method</w:t>
      </w:r>
      <w:bookmarkEnd w:id="2"/>
    </w:p>
    <w:p w14:paraId="4AE7D159" w14:textId="77777777" w:rsidR="009B3F29" w:rsidRPr="00033C3D" w:rsidRDefault="009B3F29" w:rsidP="009B3F29">
      <w:pPr>
        <w:ind w:left="360"/>
        <w:outlineLvl w:val="0"/>
        <w:rPr>
          <w:rFonts w:ascii="Tahoma" w:hAnsi="Tahoma" w:cs="Tahoma"/>
          <w:b/>
          <w:sz w:val="20"/>
          <w:szCs w:val="20"/>
        </w:rPr>
      </w:pPr>
    </w:p>
    <w:p w14:paraId="3A57117C" w14:textId="77777777" w:rsidR="009B3F29" w:rsidRPr="002E596C" w:rsidRDefault="009B3F29" w:rsidP="00145F2E">
      <w:pPr>
        <w:numPr>
          <w:ilvl w:val="1"/>
          <w:numId w:val="4"/>
        </w:numPr>
        <w:spacing w:after="0" w:line="240" w:lineRule="auto"/>
        <w:jc w:val="both"/>
        <w:rPr>
          <w:rFonts w:ascii="Tahoma" w:hAnsi="Tahoma" w:cs="Tahoma"/>
          <w:sz w:val="20"/>
          <w:szCs w:val="20"/>
        </w:rPr>
      </w:pPr>
      <w:bookmarkStart w:id="3" w:name="_Ref323386348"/>
      <w:bookmarkStart w:id="4" w:name="п_2_1"/>
      <w:bookmarkEnd w:id="3"/>
      <w:r w:rsidRPr="002E596C">
        <w:rPr>
          <w:rFonts w:ascii="Tahoma" w:hAnsi="Tahoma" w:cs="Tahoma"/>
          <w:sz w:val="20"/>
          <w:szCs w:val="20"/>
        </w:rPr>
        <w:t>The Index is calculated every trading day after closing of the main trading session. The Exchange may change the Index calculation frequency.</w:t>
      </w:r>
    </w:p>
    <w:p w14:paraId="394686D5" w14:textId="77777777" w:rsidR="009B3F29" w:rsidRPr="00033C3D" w:rsidRDefault="009B3F29" w:rsidP="009B3F29">
      <w:pPr>
        <w:numPr>
          <w:ilvl w:val="1"/>
          <w:numId w:val="4"/>
        </w:numPr>
        <w:spacing w:after="0" w:line="240" w:lineRule="auto"/>
        <w:jc w:val="both"/>
        <w:rPr>
          <w:rFonts w:ascii="Tahoma" w:hAnsi="Tahoma" w:cs="Tahoma"/>
          <w:sz w:val="20"/>
          <w:szCs w:val="20"/>
        </w:rPr>
      </w:pPr>
      <w:r>
        <w:rPr>
          <w:rFonts w:ascii="Tahoma" w:hAnsi="Tahoma"/>
          <w:sz w:val="20"/>
        </w:rPr>
        <w:t>The Methodology sets out the following methods to calculate the Index:</w:t>
      </w:r>
    </w:p>
    <w:p w14:paraId="61AF697A" w14:textId="4DAD6B74" w:rsidR="009B3F29" w:rsidRPr="00033C3D" w:rsidRDefault="009B3F29" w:rsidP="009B3F29">
      <w:pPr>
        <w:numPr>
          <w:ilvl w:val="1"/>
          <w:numId w:val="5"/>
        </w:numPr>
        <w:tabs>
          <w:tab w:val="clear" w:pos="792"/>
        </w:tabs>
        <w:spacing w:after="0" w:line="240" w:lineRule="auto"/>
        <w:ind w:left="1418" w:hanging="431"/>
        <w:jc w:val="both"/>
        <w:rPr>
          <w:rFonts w:ascii="Tahoma" w:hAnsi="Tahoma" w:cs="Tahoma"/>
          <w:sz w:val="20"/>
          <w:szCs w:val="20"/>
        </w:rPr>
      </w:pPr>
      <w:r>
        <w:rPr>
          <w:rFonts w:ascii="Tahoma" w:hAnsi="Tahoma"/>
          <w:sz w:val="20"/>
        </w:rPr>
        <w:t>based on the prices of Bonds net of ACI and net of ACI or coupon payments reinvestment (the “Price Index</w:t>
      </w:r>
      <w:r w:rsidR="002E596C">
        <w:rPr>
          <w:rFonts w:ascii="Tahoma" w:hAnsi="Tahoma"/>
          <w:sz w:val="20"/>
        </w:rPr>
        <w:t>”</w:t>
      </w:r>
      <w:r>
        <w:rPr>
          <w:rFonts w:ascii="Tahoma" w:hAnsi="Tahoma"/>
          <w:sz w:val="20"/>
        </w:rPr>
        <w:t>);</w:t>
      </w:r>
    </w:p>
    <w:p w14:paraId="216E4DD5" w14:textId="77777777" w:rsidR="009B3F29" w:rsidRDefault="009B3F29" w:rsidP="009B3F29">
      <w:pPr>
        <w:numPr>
          <w:ilvl w:val="1"/>
          <w:numId w:val="5"/>
        </w:numPr>
        <w:tabs>
          <w:tab w:val="clear" w:pos="792"/>
        </w:tabs>
        <w:spacing w:after="0" w:line="240" w:lineRule="auto"/>
        <w:ind w:left="1418" w:hanging="431"/>
        <w:jc w:val="both"/>
        <w:rPr>
          <w:rFonts w:ascii="Tahoma" w:hAnsi="Tahoma" w:cs="Tahoma"/>
          <w:sz w:val="20"/>
          <w:szCs w:val="20"/>
        </w:rPr>
      </w:pPr>
      <w:r>
        <w:rPr>
          <w:rFonts w:ascii="Tahoma" w:hAnsi="Tahoma"/>
          <w:sz w:val="20"/>
        </w:rPr>
        <w:t>based on the value of the Bonds, determined as the sum of the price and the Accumulated Coupon Income of the Bond, subject to coupon payments reinvestment (hereinafter the “Total Return Index”).</w:t>
      </w:r>
    </w:p>
    <w:p w14:paraId="1FAC960F" w14:textId="77777777" w:rsidR="009B3F29" w:rsidRPr="00C74192" w:rsidRDefault="009B3F29" w:rsidP="009B3F29">
      <w:pPr>
        <w:numPr>
          <w:ilvl w:val="3"/>
          <w:numId w:val="4"/>
        </w:numPr>
        <w:spacing w:after="0" w:line="240" w:lineRule="auto"/>
        <w:jc w:val="both"/>
        <w:rPr>
          <w:rFonts w:ascii="Tahoma" w:hAnsi="Tahoma" w:cs="Tahoma"/>
          <w:sz w:val="20"/>
          <w:szCs w:val="20"/>
        </w:rPr>
      </w:pPr>
      <w:r>
        <w:rPr>
          <w:rFonts w:ascii="Tahoma" w:hAnsi="Tahoma"/>
          <w:sz w:val="20"/>
        </w:rPr>
        <w:t>The Price Index is calculated according to the following formula:</w:t>
      </w:r>
    </w:p>
    <w:p w14:paraId="3B058156" w14:textId="77777777" w:rsidR="009B3F29" w:rsidRDefault="009B3F29" w:rsidP="009B3F29">
      <w:pPr>
        <w:jc w:val="both"/>
        <w:rPr>
          <w:rStyle w:val="a5"/>
          <w:rFonts w:ascii="Tahoma" w:hAnsi="Tahoma" w:cs="Tahoma"/>
        </w:rPr>
      </w:pPr>
    </w:p>
    <w:p w14:paraId="5D3F8972" w14:textId="77777777" w:rsidR="009B3F29" w:rsidRDefault="002E596C" w:rsidP="009B3F29">
      <w:pPr>
        <w:ind w:left="972"/>
        <w:jc w:val="center"/>
      </w:pPr>
      <m:oMathPara>
        <m:oMath>
          <m:sSub>
            <m:sSubPr>
              <m:ctrlPr>
                <w:rPr>
                  <w:rFonts w:ascii="Cambria Math" w:hAnsi="Cambria Math" w:cs="Tahoma"/>
                  <w:i/>
                  <w:lang w:val="en-US"/>
                </w:rPr>
              </m:ctrlPr>
            </m:sSubPr>
            <m:e>
              <m:r>
                <w:rPr>
                  <w:rFonts w:ascii="Cambria Math" w:hAnsi="Cambria Math"/>
                  <w:lang w:val="en-US"/>
                </w:rPr>
                <m:t>PI</m:t>
              </m:r>
            </m:e>
            <m:sub>
              <m:r>
                <w:rPr>
                  <w:rFonts w:ascii="Cambria Math" w:hAnsi="Cambria Math" w:cs="Tahoma"/>
                  <w:lang w:val="en-US"/>
                </w:rPr>
                <m:t>n</m:t>
              </m:r>
            </m:sub>
          </m:sSub>
          <m:r>
            <w:rPr>
              <w:rFonts w:ascii="Cambria Math" w:hAnsi="Cambria Math"/>
            </w:rPr>
            <m:t>=</m:t>
          </m:r>
          <m:sSub>
            <m:sSubPr>
              <m:ctrlPr>
                <w:rPr>
                  <w:rFonts w:ascii="Cambria Math" w:hAnsi="Cambria Math" w:cs="Tahoma"/>
                  <w:i/>
                  <w:lang w:val="en-US"/>
                </w:rPr>
              </m:ctrlPr>
            </m:sSubPr>
            <m:e>
              <m:r>
                <w:rPr>
                  <w:rFonts w:ascii="Cambria Math" w:hAnsi="Cambria Math"/>
                </w:rPr>
                <m:t>P</m:t>
              </m:r>
              <m:r>
                <w:rPr>
                  <w:rFonts w:ascii="Cambria Math" w:hAnsi="Cambria Math"/>
                  <w:lang w:val="en-US"/>
                </w:rPr>
                <m:t>I</m:t>
              </m:r>
            </m:e>
            <m:sub>
              <m:r>
                <w:rPr>
                  <w:rFonts w:ascii="Cambria Math" w:hAnsi="Cambria Math" w:cs="Tahoma"/>
                  <w:lang w:val="en-US"/>
                </w:rPr>
                <m:t>n-1</m:t>
              </m:r>
            </m:sub>
          </m:sSub>
          <m:r>
            <w:rPr>
              <w:rFonts w:ascii="Cambria Math" w:hAnsi="Cambria Math"/>
            </w:rPr>
            <m:t xml:space="preserve"> ∙</m:t>
          </m:r>
          <m:f>
            <m:fPr>
              <m:ctrlPr>
                <w:rPr>
                  <w:rFonts w:ascii="Cambria Math" w:hAnsi="Cambria Math"/>
                  <w:i/>
                </w:rPr>
              </m:ctrlPr>
            </m:fPr>
            <m:num>
              <m:nary>
                <m:naryPr>
                  <m:chr m:val="∑"/>
                  <m:limLoc m:val="undOvr"/>
                  <m:ctrlPr>
                    <w:rPr>
                      <w:rFonts w:ascii="Cambria Math" w:hAnsi="Cambria Math" w:cs="Tahoma"/>
                    </w:rPr>
                  </m:ctrlPr>
                </m:naryPr>
                <m:sub>
                  <m:r>
                    <w:rPr>
                      <w:rFonts w:ascii="Cambria Math" w:hAnsi="Cambria Math" w:cs="Tahoma"/>
                    </w:rPr>
                    <m:t>i=1</m:t>
                  </m:r>
                </m:sub>
                <m:sup>
                  <m:r>
                    <w:rPr>
                      <w:rFonts w:ascii="Cambria Math" w:hAnsi="Cambria Math" w:cs="Tahoma"/>
                    </w:rPr>
                    <m:t>N</m:t>
                  </m:r>
                </m:sup>
                <m:e>
                  <m:f>
                    <m:fPr>
                      <m:ctrlPr>
                        <w:rPr>
                          <w:rFonts w:ascii="Cambria Math" w:hAnsi="Cambria Math" w:cs="Tahoma"/>
                          <w:i/>
                        </w:rPr>
                      </m:ctrlPr>
                    </m:fPr>
                    <m:num>
                      <m:sSub>
                        <m:sSubPr>
                          <m:ctrlPr>
                            <w:rPr>
                              <w:rFonts w:ascii="Cambria Math" w:hAnsi="Cambria Math" w:cs="Tahoma"/>
                              <w:i/>
                              <w:lang w:val="en-US"/>
                            </w:rPr>
                          </m:ctrlPr>
                        </m:sSubPr>
                        <m:e>
                          <m:r>
                            <w:rPr>
                              <w:rFonts w:ascii="Cambria Math" w:hAnsi="Cambria Math" w:cs="Tahoma"/>
                              <w:lang w:val="en-US"/>
                            </w:rPr>
                            <m:t>P</m:t>
                          </m:r>
                        </m:e>
                        <m:sub>
                          <m:r>
                            <w:rPr>
                              <w:rFonts w:ascii="Cambria Math" w:hAnsi="Cambria Math" w:cs="Tahoma"/>
                              <w:lang w:val="en-US"/>
                            </w:rPr>
                            <m:t>i,n</m:t>
                          </m:r>
                        </m:sub>
                      </m:sSub>
                    </m:num>
                    <m:den>
                      <m:r>
                        <w:rPr>
                          <w:rFonts w:ascii="Cambria Math" w:hAnsi="Cambria Math" w:cs="Tahoma"/>
                        </w:rPr>
                        <m:t>100</m:t>
                      </m:r>
                    </m:den>
                  </m:f>
                  <m:r>
                    <w:rPr>
                      <w:rFonts w:ascii="Cambria Math" w:hAnsi="Cambria Math" w:cs="Tahoma"/>
                    </w:rPr>
                    <m:t>∙</m:t>
                  </m:r>
                  <m:sSub>
                    <m:sSubPr>
                      <m:ctrlPr>
                        <w:rPr>
                          <w:rFonts w:ascii="Cambria Math" w:hAnsi="Cambria Math" w:cs="Tahoma"/>
                          <w:i/>
                          <w:lang w:val="en-US"/>
                        </w:rPr>
                      </m:ctrlPr>
                    </m:sSubPr>
                    <m:e>
                      <m:r>
                        <w:rPr>
                          <w:rFonts w:ascii="Cambria Math" w:hAnsi="Cambria Math" w:cs="Tahoma"/>
                          <w:lang w:val="en-US"/>
                        </w:rPr>
                        <m:t>FV</m:t>
                      </m:r>
                    </m:e>
                    <m:sub>
                      <m:r>
                        <w:rPr>
                          <w:rFonts w:ascii="Cambria Math" w:hAnsi="Cambria Math" w:cs="Tahoma"/>
                          <w:lang w:val="en-US"/>
                        </w:rPr>
                        <m:t>i,n</m:t>
                      </m:r>
                    </m:sub>
                  </m:sSub>
                  <m:r>
                    <w:rPr>
                      <w:rFonts w:ascii="Cambria Math" w:hAnsi="Cambria Math" w:cs="Tahoma"/>
                    </w:rPr>
                    <m:t xml:space="preserve">∙ </m:t>
                  </m:r>
                  <m:sSub>
                    <m:sSubPr>
                      <m:ctrlPr>
                        <w:rPr>
                          <w:rFonts w:ascii="Cambria Math" w:hAnsi="Cambria Math" w:cs="Tahoma"/>
                          <w:i/>
                          <w:lang w:val="en-US"/>
                        </w:rPr>
                      </m:ctrlPr>
                    </m:sSubPr>
                    <m:e>
                      <m:r>
                        <w:rPr>
                          <w:rFonts w:ascii="Cambria Math" w:hAnsi="Cambria Math" w:cs="Tahoma"/>
                          <w:lang w:val="en-US"/>
                        </w:rPr>
                        <m:t>N</m:t>
                      </m:r>
                    </m:e>
                    <m:sub>
                      <m:r>
                        <w:rPr>
                          <w:rFonts w:ascii="Cambria Math" w:hAnsi="Cambria Math" w:cs="Tahoma"/>
                          <w:lang w:val="en-US"/>
                        </w:rPr>
                        <m:t>i,n</m:t>
                      </m:r>
                    </m:sub>
                  </m:sSub>
                  <m:r>
                    <w:rPr>
                      <w:rFonts w:ascii="Cambria Math" w:hAnsi="Cambria Math" w:cs="Tahoma"/>
                    </w:rPr>
                    <m:t xml:space="preserve">∙ </m:t>
                  </m:r>
                  <m:sSub>
                    <m:sSubPr>
                      <m:ctrlPr>
                        <w:rPr>
                          <w:rFonts w:ascii="Cambria Math" w:hAnsi="Cambria Math" w:cs="Tahoma"/>
                          <w:i/>
                          <w:lang w:val="en-US"/>
                        </w:rPr>
                      </m:ctrlPr>
                    </m:sSubPr>
                    <m:e>
                      <m:r>
                        <w:rPr>
                          <w:rFonts w:ascii="Cambria Math" w:hAnsi="Cambria Math" w:cs="Tahoma"/>
                          <w:lang w:val="en-US"/>
                        </w:rPr>
                        <m:t>W</m:t>
                      </m:r>
                    </m:e>
                    <m:sub>
                      <m:r>
                        <w:rPr>
                          <w:rFonts w:ascii="Cambria Math" w:hAnsi="Cambria Math" w:cs="Tahoma"/>
                          <w:lang w:val="en-US"/>
                        </w:rPr>
                        <m:t>i,n</m:t>
                      </m:r>
                    </m:sub>
                  </m:sSub>
                  <m:r>
                    <w:rPr>
                      <w:rFonts w:ascii="Cambria Math" w:hAnsi="Cambria Math" w:cs="Tahoma"/>
                    </w:rPr>
                    <m:t>,</m:t>
                  </m:r>
                </m:e>
              </m:nary>
            </m:num>
            <m:den>
              <m:nary>
                <m:naryPr>
                  <m:chr m:val="∑"/>
                  <m:limLoc m:val="undOvr"/>
                  <m:ctrlPr>
                    <w:rPr>
                      <w:rFonts w:ascii="Cambria Math" w:hAnsi="Cambria Math" w:cs="Tahoma"/>
                    </w:rPr>
                  </m:ctrlPr>
                </m:naryPr>
                <m:sub>
                  <m:r>
                    <w:rPr>
                      <w:rFonts w:ascii="Cambria Math" w:hAnsi="Cambria Math" w:cs="Tahoma"/>
                    </w:rPr>
                    <m:t>i=1</m:t>
                  </m:r>
                </m:sub>
                <m:sup>
                  <m:r>
                    <w:rPr>
                      <w:rFonts w:ascii="Cambria Math" w:hAnsi="Cambria Math" w:cs="Tahoma"/>
                    </w:rPr>
                    <m:t>N</m:t>
                  </m:r>
                </m:sup>
                <m:e>
                  <m:f>
                    <m:fPr>
                      <m:ctrlPr>
                        <w:rPr>
                          <w:rFonts w:ascii="Cambria Math" w:hAnsi="Cambria Math" w:cs="Tahoma"/>
                          <w:i/>
                        </w:rPr>
                      </m:ctrlPr>
                    </m:fPr>
                    <m:num>
                      <m:sSub>
                        <m:sSubPr>
                          <m:ctrlPr>
                            <w:rPr>
                              <w:rFonts w:ascii="Cambria Math" w:hAnsi="Cambria Math" w:cs="Tahoma"/>
                              <w:i/>
                              <w:lang w:val="en-US"/>
                            </w:rPr>
                          </m:ctrlPr>
                        </m:sSubPr>
                        <m:e>
                          <m:r>
                            <w:rPr>
                              <w:rFonts w:ascii="Cambria Math" w:hAnsi="Cambria Math" w:cs="Tahoma"/>
                              <w:lang w:val="en-US"/>
                            </w:rPr>
                            <m:t>P</m:t>
                          </m:r>
                        </m:e>
                        <m:sub>
                          <m:r>
                            <w:rPr>
                              <w:rFonts w:ascii="Cambria Math" w:hAnsi="Cambria Math" w:cs="Tahoma"/>
                              <w:lang w:val="en-US"/>
                            </w:rPr>
                            <m:t>i,n-1</m:t>
                          </m:r>
                        </m:sub>
                      </m:sSub>
                    </m:num>
                    <m:den>
                      <m:r>
                        <w:rPr>
                          <w:rFonts w:ascii="Cambria Math" w:hAnsi="Cambria Math" w:cs="Tahoma"/>
                        </w:rPr>
                        <m:t>100</m:t>
                      </m:r>
                    </m:den>
                  </m:f>
                  <m:r>
                    <w:rPr>
                      <w:rFonts w:ascii="Cambria Math" w:hAnsi="Cambria Math" w:cs="Tahoma"/>
                    </w:rPr>
                    <m:t>∙</m:t>
                  </m:r>
                  <m:sSub>
                    <m:sSubPr>
                      <m:ctrlPr>
                        <w:rPr>
                          <w:rFonts w:ascii="Cambria Math" w:hAnsi="Cambria Math" w:cs="Tahoma"/>
                          <w:i/>
                          <w:lang w:val="en-US"/>
                        </w:rPr>
                      </m:ctrlPr>
                    </m:sSubPr>
                    <m:e>
                      <m:r>
                        <w:rPr>
                          <w:rFonts w:ascii="Cambria Math" w:hAnsi="Cambria Math" w:cs="Tahoma"/>
                          <w:lang w:val="en-US"/>
                        </w:rPr>
                        <m:t>FV</m:t>
                      </m:r>
                    </m:e>
                    <m:sub>
                      <m:r>
                        <w:rPr>
                          <w:rFonts w:ascii="Cambria Math" w:hAnsi="Cambria Math" w:cs="Tahoma"/>
                          <w:lang w:val="en-US"/>
                        </w:rPr>
                        <m:t>i,n-1</m:t>
                      </m:r>
                    </m:sub>
                  </m:sSub>
                  <m:r>
                    <w:rPr>
                      <w:rFonts w:ascii="Cambria Math" w:hAnsi="Cambria Math" w:cs="Tahoma"/>
                    </w:rPr>
                    <m:t xml:space="preserve">∙ </m:t>
                  </m:r>
                  <m:sSub>
                    <m:sSubPr>
                      <m:ctrlPr>
                        <w:rPr>
                          <w:rFonts w:ascii="Cambria Math" w:hAnsi="Cambria Math" w:cs="Tahoma"/>
                          <w:i/>
                          <w:lang w:val="en-US"/>
                        </w:rPr>
                      </m:ctrlPr>
                    </m:sSubPr>
                    <m:e>
                      <m:r>
                        <w:rPr>
                          <w:rFonts w:ascii="Cambria Math" w:hAnsi="Cambria Math" w:cs="Tahoma"/>
                          <w:lang w:val="en-US"/>
                        </w:rPr>
                        <m:t>N</m:t>
                      </m:r>
                    </m:e>
                    <m:sub>
                      <m:r>
                        <w:rPr>
                          <w:rFonts w:ascii="Cambria Math" w:hAnsi="Cambria Math" w:cs="Tahoma"/>
                          <w:lang w:val="en-US"/>
                        </w:rPr>
                        <m:t>i,n</m:t>
                      </m:r>
                    </m:sub>
                  </m:sSub>
                  <m:r>
                    <w:rPr>
                      <w:rFonts w:ascii="Cambria Math" w:hAnsi="Cambria Math" w:cs="Tahoma"/>
                    </w:rPr>
                    <m:t xml:space="preserve">,∙ </m:t>
                  </m:r>
                  <m:sSub>
                    <m:sSubPr>
                      <m:ctrlPr>
                        <w:rPr>
                          <w:rFonts w:ascii="Cambria Math" w:hAnsi="Cambria Math" w:cs="Tahoma"/>
                          <w:i/>
                          <w:lang w:val="en-US"/>
                        </w:rPr>
                      </m:ctrlPr>
                    </m:sSubPr>
                    <m:e>
                      <m:r>
                        <w:rPr>
                          <w:rFonts w:ascii="Cambria Math" w:hAnsi="Cambria Math" w:cs="Tahoma"/>
                          <w:lang w:val="en-US"/>
                        </w:rPr>
                        <m:t>W</m:t>
                      </m:r>
                    </m:e>
                    <m:sub>
                      <m:r>
                        <w:rPr>
                          <w:rFonts w:ascii="Cambria Math" w:hAnsi="Cambria Math" w:cs="Tahoma"/>
                          <w:lang w:val="en-US"/>
                        </w:rPr>
                        <m:t>i,n</m:t>
                      </m:r>
                    </m:sub>
                  </m:sSub>
                </m:e>
              </m:nary>
            </m:den>
          </m:f>
        </m:oMath>
      </m:oMathPara>
    </w:p>
    <w:p w14:paraId="6988C602" w14:textId="77777777" w:rsidR="009B3F29" w:rsidRDefault="009B3F29" w:rsidP="009B3F29">
      <w:pPr>
        <w:pStyle w:val="a6"/>
        <w:rPr>
          <w:rFonts w:cs="Tahoma"/>
        </w:rPr>
      </w:pPr>
      <w:r>
        <w:t>where:</w:t>
      </w:r>
    </w:p>
    <w:p w14:paraId="3F2134A3" w14:textId="77777777" w:rsidR="009B3F29" w:rsidRDefault="009B3F29" w:rsidP="009B3F29">
      <w:pPr>
        <w:pStyle w:val="a6"/>
        <w:rPr>
          <w:rFonts w:cs="Tahoma"/>
        </w:rPr>
      </w:pPr>
      <w:proofErr w:type="spellStart"/>
      <w:r>
        <w:t>PI</w:t>
      </w:r>
      <w:r>
        <w:rPr>
          <w:vertAlign w:val="subscript"/>
        </w:rPr>
        <w:t>n</w:t>
      </w:r>
      <w:proofErr w:type="spellEnd"/>
      <w:r>
        <w:t xml:space="preserve"> – the Price Index value on day n;</w:t>
      </w:r>
    </w:p>
    <w:p w14:paraId="77ED18FE" w14:textId="77777777" w:rsidR="009B3F29" w:rsidRDefault="009B3F29" w:rsidP="009B3F29">
      <w:pPr>
        <w:pStyle w:val="a6"/>
        <w:rPr>
          <w:rFonts w:cs="Tahoma"/>
        </w:rPr>
      </w:pPr>
      <w:proofErr w:type="spellStart"/>
      <w:proofErr w:type="gramStart"/>
      <w:r>
        <w:t>P</w:t>
      </w:r>
      <w:r>
        <w:rPr>
          <w:vertAlign w:val="subscript"/>
        </w:rPr>
        <w:t>i,n</w:t>
      </w:r>
      <w:proofErr w:type="spellEnd"/>
      <w:proofErr w:type="gramEnd"/>
      <w:r>
        <w:t xml:space="preserve"> – the average weighted price of the </w:t>
      </w:r>
      <w:proofErr w:type="spellStart"/>
      <w:r>
        <w:t>i-th</w:t>
      </w:r>
      <w:proofErr w:type="spellEnd"/>
      <w:r>
        <w:t xml:space="preserve"> Bond issue calculated on day n, in per cent of the par value;</w:t>
      </w:r>
    </w:p>
    <w:p w14:paraId="5DE4C8EC" w14:textId="77777777" w:rsidR="009B3F29" w:rsidRDefault="009B3F29" w:rsidP="009B3F29">
      <w:pPr>
        <w:pStyle w:val="a6"/>
        <w:rPr>
          <w:rFonts w:cs="Tahoma"/>
        </w:rPr>
      </w:pPr>
      <w:proofErr w:type="spellStart"/>
      <w:proofErr w:type="gramStart"/>
      <w:r>
        <w:lastRenderedPageBreak/>
        <w:t>FV</w:t>
      </w:r>
      <w:r>
        <w:rPr>
          <w:vertAlign w:val="subscript"/>
        </w:rPr>
        <w:t>i,n</w:t>
      </w:r>
      <w:proofErr w:type="spellEnd"/>
      <w:proofErr w:type="gramEnd"/>
      <w:r>
        <w:t xml:space="preserve"> – the average par value of the </w:t>
      </w:r>
      <w:proofErr w:type="spellStart"/>
      <w:r>
        <w:t>i-th</w:t>
      </w:r>
      <w:proofErr w:type="spellEnd"/>
      <w:r>
        <w:t xml:space="preserve"> Bond issue calculated on day n, in RUB;</w:t>
      </w:r>
    </w:p>
    <w:p w14:paraId="2CFD014B" w14:textId="77777777" w:rsidR="009B3F29" w:rsidRDefault="009B3F29" w:rsidP="009B3F29">
      <w:pPr>
        <w:pStyle w:val="a6"/>
        <w:rPr>
          <w:rFonts w:cs="Tahoma"/>
        </w:rPr>
      </w:pPr>
      <w:proofErr w:type="spellStart"/>
      <w:proofErr w:type="gramStart"/>
      <w:r>
        <w:t>N</w:t>
      </w:r>
      <w:r>
        <w:rPr>
          <w:vertAlign w:val="subscript"/>
        </w:rPr>
        <w:t>i,n</w:t>
      </w:r>
      <w:proofErr w:type="spellEnd"/>
      <w:proofErr w:type="gramEnd"/>
      <w:r>
        <w:t xml:space="preserve"> – the volume of </w:t>
      </w:r>
      <w:proofErr w:type="spellStart"/>
      <w:r>
        <w:t>i-th</w:t>
      </w:r>
      <w:proofErr w:type="spellEnd"/>
      <w:r>
        <w:t xml:space="preserve"> Bond issue on day n, in securities units;</w:t>
      </w:r>
    </w:p>
    <w:p w14:paraId="012761E2" w14:textId="77777777" w:rsidR="009B3F29" w:rsidRDefault="009B3F29" w:rsidP="009B3F29">
      <w:pPr>
        <w:pStyle w:val="a6"/>
        <w:rPr>
          <w:rFonts w:cs="Tahoma"/>
        </w:rPr>
      </w:pPr>
      <w:proofErr w:type="spellStart"/>
      <w:proofErr w:type="gramStart"/>
      <w:r>
        <w:t>W</w:t>
      </w:r>
      <w:r>
        <w:rPr>
          <w:vertAlign w:val="subscript"/>
        </w:rPr>
        <w:t>i,n</w:t>
      </w:r>
      <w:proofErr w:type="spellEnd"/>
      <w:proofErr w:type="gramEnd"/>
      <w:r>
        <w:t xml:space="preserve"> – the coefficient limiting the share of capitalisation of the </w:t>
      </w:r>
      <w:proofErr w:type="spellStart"/>
      <w:r>
        <w:t>i-th</w:t>
      </w:r>
      <w:proofErr w:type="spellEnd"/>
      <w:r>
        <w:t xml:space="preserve"> Bond (“Weighting Coefficient”). It is equal to 1, unless otherwise is provided in clause 4.1 hereof. </w:t>
      </w:r>
    </w:p>
    <w:p w14:paraId="5EE2C117" w14:textId="77777777" w:rsidR="009B3F29" w:rsidRPr="00C74192" w:rsidRDefault="009B3F29" w:rsidP="009B3F29">
      <w:pPr>
        <w:numPr>
          <w:ilvl w:val="3"/>
          <w:numId w:val="4"/>
        </w:numPr>
        <w:spacing w:after="0" w:line="240" w:lineRule="auto"/>
        <w:jc w:val="both"/>
        <w:rPr>
          <w:rFonts w:ascii="Tahoma" w:hAnsi="Tahoma" w:cs="Tahoma"/>
          <w:sz w:val="20"/>
          <w:szCs w:val="20"/>
        </w:rPr>
      </w:pPr>
      <w:r>
        <w:rPr>
          <w:rFonts w:ascii="Tahoma" w:hAnsi="Tahoma"/>
          <w:sz w:val="20"/>
        </w:rPr>
        <w:t>The Total Return Index is calculated according to the following formula:</w:t>
      </w:r>
    </w:p>
    <w:p w14:paraId="3C166CB8" w14:textId="77777777" w:rsidR="009B3F29" w:rsidRDefault="009B3F29" w:rsidP="009B3F29">
      <w:pPr>
        <w:ind w:left="1224"/>
        <w:jc w:val="both"/>
        <w:rPr>
          <w:rStyle w:val="a5"/>
          <w:rFonts w:ascii="Tahoma" w:hAnsi="Tahoma" w:cs="Tahoma"/>
        </w:rPr>
      </w:pPr>
    </w:p>
    <w:p w14:paraId="43559A39" w14:textId="77777777" w:rsidR="009B3F29" w:rsidRDefault="002E596C" w:rsidP="009B3F29">
      <w:pPr>
        <w:ind w:left="1224"/>
        <w:jc w:val="center"/>
      </w:pPr>
      <m:oMathPara>
        <m:oMath>
          <m:sSub>
            <m:sSubPr>
              <m:ctrlPr>
                <w:rPr>
                  <w:rFonts w:ascii="Cambria Math" w:hAnsi="Cambria Math" w:cs="Tahoma"/>
                  <w:i/>
                  <w:lang w:val="en-US"/>
                </w:rPr>
              </m:ctrlPr>
            </m:sSubPr>
            <m:e>
              <m:r>
                <w:rPr>
                  <w:rFonts w:ascii="Cambria Math" w:hAnsi="Cambria Math" w:cs="Tahoma"/>
                </w:rPr>
                <m:t>C</m:t>
              </m:r>
              <m:r>
                <w:rPr>
                  <w:rFonts w:ascii="Cambria Math" w:hAnsi="Cambria Math" w:cs="Tahoma"/>
                  <w:lang w:val="en-US"/>
                </w:rPr>
                <m:t>I</m:t>
              </m:r>
            </m:e>
            <m:sub>
              <m:r>
                <w:rPr>
                  <w:rFonts w:ascii="Cambria Math" w:hAnsi="Cambria Math" w:cs="Tahoma"/>
                  <w:lang w:val="en-US"/>
                </w:rPr>
                <m:t>n</m:t>
              </m:r>
            </m:sub>
          </m:sSub>
          <m:r>
            <w:rPr>
              <w:rFonts w:ascii="Cambria Math" w:hAnsi="Cambria Math" w:cs="Tahoma"/>
            </w:rPr>
            <m:t>=</m:t>
          </m:r>
          <m:sSub>
            <m:sSubPr>
              <m:ctrlPr>
                <w:rPr>
                  <w:rFonts w:ascii="Cambria Math" w:hAnsi="Cambria Math" w:cs="Tahoma"/>
                  <w:i/>
                  <w:lang w:val="en-US"/>
                </w:rPr>
              </m:ctrlPr>
            </m:sSubPr>
            <m:e>
              <m:r>
                <w:rPr>
                  <w:rFonts w:ascii="Cambria Math" w:hAnsi="Cambria Math" w:cs="Tahoma"/>
                </w:rPr>
                <m:t>C</m:t>
              </m:r>
              <m:r>
                <w:rPr>
                  <w:rFonts w:ascii="Cambria Math" w:hAnsi="Cambria Math" w:cs="Tahoma"/>
                  <w:lang w:val="en-US"/>
                </w:rPr>
                <m:t>I</m:t>
              </m:r>
            </m:e>
            <m:sub>
              <m:r>
                <w:rPr>
                  <w:rFonts w:ascii="Cambria Math" w:hAnsi="Cambria Math" w:cs="Tahoma"/>
                  <w:lang w:val="en-US"/>
                </w:rPr>
                <m:t>n-1</m:t>
              </m:r>
            </m:sub>
          </m:sSub>
          <m:r>
            <w:rPr>
              <w:rFonts w:ascii="Cambria Math" w:hAnsi="Cambria Math" w:cs="Tahoma"/>
            </w:rPr>
            <m:t xml:space="preserve"> ∙</m:t>
          </m:r>
          <m:f>
            <m:fPr>
              <m:ctrlPr>
                <w:rPr>
                  <w:rFonts w:ascii="Cambria Math" w:hAnsi="Cambria Math" w:cs="Tahoma"/>
                  <w:i/>
                </w:rPr>
              </m:ctrlPr>
            </m:fPr>
            <m:num>
              <m:nary>
                <m:naryPr>
                  <m:chr m:val="∑"/>
                  <m:limLoc m:val="undOvr"/>
                  <m:ctrlPr>
                    <w:rPr>
                      <w:rFonts w:ascii="Cambria Math" w:hAnsi="Cambria Math" w:cs="Tahoma"/>
                    </w:rPr>
                  </m:ctrlPr>
                </m:naryPr>
                <m:sub>
                  <m:r>
                    <w:rPr>
                      <w:rFonts w:ascii="Cambria Math" w:hAnsi="Cambria Math" w:cs="Tahoma"/>
                    </w:rPr>
                    <m:t>i=1</m:t>
                  </m:r>
                </m:sub>
                <m:sup>
                  <m:r>
                    <w:rPr>
                      <w:rFonts w:ascii="Cambria Math" w:hAnsi="Cambria Math" w:cs="Tahoma"/>
                    </w:rPr>
                    <m:t>N</m:t>
                  </m:r>
                </m:sup>
                <m:e>
                  <m:r>
                    <w:rPr>
                      <w:rFonts w:ascii="Cambria Math" w:hAnsi="Cambria Math" w:cs="Tahoma"/>
                    </w:rPr>
                    <m:t>(</m:t>
                  </m:r>
                  <m:f>
                    <m:fPr>
                      <m:ctrlPr>
                        <w:rPr>
                          <w:rFonts w:ascii="Cambria Math" w:hAnsi="Cambria Math" w:cs="Tahoma"/>
                          <w:i/>
                        </w:rPr>
                      </m:ctrlPr>
                    </m:fPr>
                    <m:num>
                      <m:sSub>
                        <m:sSubPr>
                          <m:ctrlPr>
                            <w:rPr>
                              <w:rFonts w:ascii="Cambria Math" w:hAnsi="Cambria Math" w:cs="Tahoma"/>
                              <w:i/>
                              <w:lang w:val="en-US"/>
                            </w:rPr>
                          </m:ctrlPr>
                        </m:sSubPr>
                        <m:e>
                          <m:r>
                            <w:rPr>
                              <w:rFonts w:ascii="Cambria Math" w:hAnsi="Cambria Math" w:cs="Tahoma"/>
                              <w:lang w:val="en-US"/>
                            </w:rPr>
                            <m:t>P</m:t>
                          </m:r>
                        </m:e>
                        <m:sub>
                          <m:r>
                            <w:rPr>
                              <w:rFonts w:ascii="Cambria Math" w:hAnsi="Cambria Math" w:cs="Tahoma"/>
                              <w:lang w:val="en-US"/>
                            </w:rPr>
                            <m:t>i,n</m:t>
                          </m:r>
                        </m:sub>
                      </m:sSub>
                    </m:num>
                    <m:den>
                      <m:r>
                        <w:rPr>
                          <w:rFonts w:ascii="Cambria Math" w:hAnsi="Cambria Math" w:cs="Tahoma"/>
                        </w:rPr>
                        <m:t>100</m:t>
                      </m:r>
                    </m:den>
                  </m:f>
                  <m:r>
                    <w:rPr>
                      <w:rFonts w:ascii="Cambria Math" w:hAnsi="Cambria Math" w:cs="Tahoma"/>
                    </w:rPr>
                    <m:t>∙</m:t>
                  </m:r>
                  <m:sSub>
                    <m:sSubPr>
                      <m:ctrlPr>
                        <w:rPr>
                          <w:rFonts w:ascii="Cambria Math" w:hAnsi="Cambria Math" w:cs="Tahoma"/>
                          <w:i/>
                          <w:lang w:val="en-US"/>
                        </w:rPr>
                      </m:ctrlPr>
                    </m:sSubPr>
                    <m:e>
                      <m:r>
                        <w:rPr>
                          <w:rFonts w:ascii="Cambria Math" w:hAnsi="Cambria Math" w:cs="Tahoma"/>
                          <w:lang w:val="en-US"/>
                        </w:rPr>
                        <m:t>FV</m:t>
                      </m:r>
                    </m:e>
                    <m:sub>
                      <m:r>
                        <w:rPr>
                          <w:rFonts w:ascii="Cambria Math" w:hAnsi="Cambria Math" w:cs="Tahoma"/>
                          <w:lang w:val="en-US"/>
                        </w:rPr>
                        <m:t>i,n</m:t>
                      </m:r>
                    </m:sub>
                  </m:sSub>
                  <m:r>
                    <w:rPr>
                      <w:rFonts w:ascii="Cambria Math" w:hAnsi="Cambria Math" w:cs="Tahoma"/>
                    </w:rPr>
                    <m:t>+</m:t>
                  </m:r>
                  <m:sSub>
                    <m:sSubPr>
                      <m:ctrlPr>
                        <w:rPr>
                          <w:rFonts w:ascii="Cambria Math" w:hAnsi="Cambria Math" w:cs="Tahoma"/>
                          <w:i/>
                          <w:lang w:val="en-US"/>
                        </w:rPr>
                      </m:ctrlPr>
                    </m:sSubPr>
                    <m:e>
                      <m:r>
                        <w:rPr>
                          <w:rFonts w:ascii="Cambria Math" w:hAnsi="Cambria Math" w:cs="Tahoma"/>
                          <w:lang w:val="en-US"/>
                        </w:rPr>
                        <m:t>A</m:t>
                      </m:r>
                    </m:e>
                    <m:sub>
                      <m:r>
                        <w:rPr>
                          <w:rFonts w:ascii="Cambria Math" w:hAnsi="Cambria Math" w:cs="Tahoma"/>
                          <w:lang w:val="en-US"/>
                        </w:rPr>
                        <m:t>i,n</m:t>
                      </m:r>
                    </m:sub>
                  </m:sSub>
                  <m:r>
                    <w:rPr>
                      <w:rFonts w:ascii="Cambria Math" w:hAnsi="Cambria Math" w:cs="Tahoma"/>
                    </w:rPr>
                    <m:t>+</m:t>
                  </m:r>
                  <m:sSub>
                    <m:sSubPr>
                      <m:ctrlPr>
                        <w:rPr>
                          <w:rFonts w:ascii="Cambria Math" w:hAnsi="Cambria Math" w:cs="Tahoma"/>
                          <w:i/>
                          <w:lang w:val="en-US"/>
                        </w:rPr>
                      </m:ctrlPr>
                    </m:sSubPr>
                    <m:e>
                      <m:r>
                        <w:rPr>
                          <w:rFonts w:ascii="Cambria Math" w:hAnsi="Cambria Math" w:cs="Tahoma"/>
                          <w:lang w:val="en-US"/>
                        </w:rPr>
                        <m:t>G</m:t>
                      </m:r>
                    </m:e>
                    <m:sub>
                      <m:r>
                        <w:rPr>
                          <w:rFonts w:ascii="Cambria Math" w:hAnsi="Cambria Math" w:cs="Tahoma"/>
                          <w:lang w:val="en-US"/>
                        </w:rPr>
                        <m:t>i,n</m:t>
                      </m:r>
                    </m:sub>
                  </m:sSub>
                  <m:r>
                    <w:rPr>
                      <w:rFonts w:ascii="Cambria Math" w:hAnsi="Cambria Math" w:cs="Tahoma"/>
                    </w:rPr>
                    <m:t xml:space="preserve">)∙ </m:t>
                  </m:r>
                  <m:sSub>
                    <m:sSubPr>
                      <m:ctrlPr>
                        <w:rPr>
                          <w:rFonts w:ascii="Cambria Math" w:hAnsi="Cambria Math" w:cs="Tahoma"/>
                          <w:i/>
                          <w:lang w:val="en-US"/>
                        </w:rPr>
                      </m:ctrlPr>
                    </m:sSubPr>
                    <m:e>
                      <m:r>
                        <w:rPr>
                          <w:rFonts w:ascii="Cambria Math" w:hAnsi="Cambria Math" w:cs="Tahoma"/>
                          <w:lang w:val="en-US"/>
                        </w:rPr>
                        <m:t>N</m:t>
                      </m:r>
                    </m:e>
                    <m:sub>
                      <m:r>
                        <w:rPr>
                          <w:rFonts w:ascii="Cambria Math" w:hAnsi="Cambria Math" w:cs="Tahoma"/>
                          <w:lang w:val="en-US"/>
                        </w:rPr>
                        <m:t>i,n</m:t>
                      </m:r>
                    </m:sub>
                  </m:sSub>
                  <m:r>
                    <w:rPr>
                      <w:rFonts w:ascii="Cambria Math" w:hAnsi="Cambria Math" w:cs="Tahoma"/>
                    </w:rPr>
                    <m:t xml:space="preserve">∙ </m:t>
                  </m:r>
                  <m:sSub>
                    <m:sSubPr>
                      <m:ctrlPr>
                        <w:rPr>
                          <w:rFonts w:ascii="Cambria Math" w:hAnsi="Cambria Math" w:cs="Tahoma"/>
                          <w:i/>
                          <w:lang w:val="en-US"/>
                        </w:rPr>
                      </m:ctrlPr>
                    </m:sSubPr>
                    <m:e>
                      <m:r>
                        <w:rPr>
                          <w:rFonts w:ascii="Cambria Math" w:hAnsi="Cambria Math" w:cs="Tahoma"/>
                          <w:lang w:val="en-US"/>
                        </w:rPr>
                        <m:t>W</m:t>
                      </m:r>
                    </m:e>
                    <m:sub>
                      <m:r>
                        <w:rPr>
                          <w:rFonts w:ascii="Cambria Math" w:hAnsi="Cambria Math" w:cs="Tahoma"/>
                          <w:lang w:val="en-US"/>
                        </w:rPr>
                        <m:t>i,n</m:t>
                      </m:r>
                    </m:sub>
                  </m:sSub>
                  <m:r>
                    <w:rPr>
                      <w:rFonts w:ascii="Cambria Math" w:hAnsi="Cambria Math" w:cs="Tahoma"/>
                    </w:rPr>
                    <m:t>,</m:t>
                  </m:r>
                </m:e>
              </m:nary>
            </m:num>
            <m:den>
              <m:nary>
                <m:naryPr>
                  <m:chr m:val="∑"/>
                  <m:limLoc m:val="undOvr"/>
                  <m:ctrlPr>
                    <w:rPr>
                      <w:rFonts w:ascii="Cambria Math" w:hAnsi="Cambria Math" w:cs="Tahoma"/>
                    </w:rPr>
                  </m:ctrlPr>
                </m:naryPr>
                <m:sub>
                  <m:r>
                    <w:rPr>
                      <w:rFonts w:ascii="Cambria Math" w:hAnsi="Cambria Math" w:cs="Tahoma"/>
                    </w:rPr>
                    <m:t>i=1</m:t>
                  </m:r>
                </m:sub>
                <m:sup>
                  <m:r>
                    <w:rPr>
                      <w:rFonts w:ascii="Cambria Math" w:hAnsi="Cambria Math" w:cs="Tahoma"/>
                    </w:rPr>
                    <m:t>N</m:t>
                  </m:r>
                </m:sup>
                <m:e>
                  <m:r>
                    <w:rPr>
                      <w:rFonts w:ascii="Cambria Math" w:hAnsi="Cambria Math" w:cs="Tahoma"/>
                    </w:rPr>
                    <m:t>(</m:t>
                  </m:r>
                  <m:f>
                    <m:fPr>
                      <m:ctrlPr>
                        <w:rPr>
                          <w:rFonts w:ascii="Cambria Math" w:hAnsi="Cambria Math" w:cs="Tahoma"/>
                          <w:i/>
                        </w:rPr>
                      </m:ctrlPr>
                    </m:fPr>
                    <m:num>
                      <m:sSub>
                        <m:sSubPr>
                          <m:ctrlPr>
                            <w:rPr>
                              <w:rFonts w:ascii="Cambria Math" w:hAnsi="Cambria Math" w:cs="Tahoma"/>
                              <w:i/>
                              <w:lang w:val="en-US"/>
                            </w:rPr>
                          </m:ctrlPr>
                        </m:sSubPr>
                        <m:e>
                          <m:r>
                            <w:rPr>
                              <w:rFonts w:ascii="Cambria Math" w:hAnsi="Cambria Math" w:cs="Tahoma"/>
                              <w:lang w:val="en-US"/>
                            </w:rPr>
                            <m:t>P</m:t>
                          </m:r>
                        </m:e>
                        <m:sub>
                          <m:r>
                            <w:rPr>
                              <w:rFonts w:ascii="Cambria Math" w:hAnsi="Cambria Math" w:cs="Tahoma"/>
                              <w:lang w:val="en-US"/>
                            </w:rPr>
                            <m:t>i,n-1</m:t>
                          </m:r>
                        </m:sub>
                      </m:sSub>
                    </m:num>
                    <m:den>
                      <m:r>
                        <w:rPr>
                          <w:rFonts w:ascii="Cambria Math" w:hAnsi="Cambria Math" w:cs="Tahoma"/>
                        </w:rPr>
                        <m:t>100</m:t>
                      </m:r>
                    </m:den>
                  </m:f>
                  <m:r>
                    <w:rPr>
                      <w:rFonts w:ascii="Cambria Math" w:hAnsi="Cambria Math" w:cs="Tahoma"/>
                    </w:rPr>
                    <m:t>∙</m:t>
                  </m:r>
                  <m:sSub>
                    <m:sSubPr>
                      <m:ctrlPr>
                        <w:rPr>
                          <w:rFonts w:ascii="Cambria Math" w:hAnsi="Cambria Math" w:cs="Tahoma"/>
                          <w:i/>
                          <w:lang w:val="en-US"/>
                        </w:rPr>
                      </m:ctrlPr>
                    </m:sSubPr>
                    <m:e>
                      <m:r>
                        <w:rPr>
                          <w:rFonts w:ascii="Cambria Math" w:hAnsi="Cambria Math" w:cs="Tahoma"/>
                          <w:lang w:val="en-US"/>
                        </w:rPr>
                        <m:t>FV</m:t>
                      </m:r>
                    </m:e>
                    <m:sub>
                      <m:r>
                        <w:rPr>
                          <w:rFonts w:ascii="Cambria Math" w:hAnsi="Cambria Math" w:cs="Tahoma"/>
                          <w:lang w:val="en-US"/>
                        </w:rPr>
                        <m:t>i,n-1</m:t>
                      </m:r>
                    </m:sub>
                  </m:sSub>
                  <m:r>
                    <w:rPr>
                      <w:rFonts w:ascii="Cambria Math" w:hAnsi="Cambria Math" w:cs="Tahoma"/>
                    </w:rPr>
                    <m:t>+</m:t>
                  </m:r>
                  <m:sSub>
                    <m:sSubPr>
                      <m:ctrlPr>
                        <w:rPr>
                          <w:rFonts w:ascii="Cambria Math" w:hAnsi="Cambria Math" w:cs="Tahoma"/>
                          <w:i/>
                          <w:lang w:val="en-US"/>
                        </w:rPr>
                      </m:ctrlPr>
                    </m:sSubPr>
                    <m:e>
                      <m:r>
                        <w:rPr>
                          <w:rFonts w:ascii="Cambria Math" w:hAnsi="Cambria Math" w:cs="Tahoma"/>
                          <w:lang w:val="en-US"/>
                        </w:rPr>
                        <m:t>A</m:t>
                      </m:r>
                    </m:e>
                    <m:sub>
                      <m:r>
                        <w:rPr>
                          <w:rFonts w:ascii="Cambria Math" w:hAnsi="Cambria Math" w:cs="Tahoma"/>
                          <w:lang w:val="en-US"/>
                        </w:rPr>
                        <m:t>i,n-1</m:t>
                      </m:r>
                    </m:sub>
                  </m:sSub>
                  <m:r>
                    <w:rPr>
                      <w:rFonts w:ascii="Cambria Math" w:hAnsi="Cambria Math" w:cs="Tahoma"/>
                    </w:rPr>
                    <m:t xml:space="preserve">)∙ </m:t>
                  </m:r>
                  <m:sSub>
                    <m:sSubPr>
                      <m:ctrlPr>
                        <w:rPr>
                          <w:rFonts w:ascii="Cambria Math" w:hAnsi="Cambria Math" w:cs="Tahoma"/>
                          <w:i/>
                          <w:lang w:val="en-US"/>
                        </w:rPr>
                      </m:ctrlPr>
                    </m:sSubPr>
                    <m:e>
                      <m:r>
                        <w:rPr>
                          <w:rFonts w:ascii="Cambria Math" w:hAnsi="Cambria Math" w:cs="Tahoma"/>
                          <w:lang w:val="en-US"/>
                        </w:rPr>
                        <m:t>N</m:t>
                      </m:r>
                    </m:e>
                    <m:sub>
                      <m:r>
                        <w:rPr>
                          <w:rFonts w:ascii="Cambria Math" w:hAnsi="Cambria Math" w:cs="Tahoma"/>
                          <w:lang w:val="en-US"/>
                        </w:rPr>
                        <m:t>i,n</m:t>
                      </m:r>
                    </m:sub>
                  </m:sSub>
                  <m:r>
                    <w:rPr>
                      <w:rFonts w:ascii="Cambria Math" w:hAnsi="Cambria Math" w:cs="Tahoma"/>
                    </w:rPr>
                    <m:t xml:space="preserve">,∙ </m:t>
                  </m:r>
                  <m:sSub>
                    <m:sSubPr>
                      <m:ctrlPr>
                        <w:rPr>
                          <w:rFonts w:ascii="Cambria Math" w:hAnsi="Cambria Math" w:cs="Tahoma"/>
                          <w:i/>
                          <w:lang w:val="en-US"/>
                        </w:rPr>
                      </m:ctrlPr>
                    </m:sSubPr>
                    <m:e>
                      <m:r>
                        <w:rPr>
                          <w:rFonts w:ascii="Cambria Math" w:hAnsi="Cambria Math" w:cs="Tahoma"/>
                          <w:lang w:val="en-US"/>
                        </w:rPr>
                        <m:t>W</m:t>
                      </m:r>
                    </m:e>
                    <m:sub>
                      <m:r>
                        <w:rPr>
                          <w:rFonts w:ascii="Cambria Math" w:hAnsi="Cambria Math" w:cs="Tahoma"/>
                          <w:lang w:val="en-US"/>
                        </w:rPr>
                        <m:t>i,n</m:t>
                      </m:r>
                    </m:sub>
                  </m:sSub>
                </m:e>
              </m:nary>
            </m:den>
          </m:f>
        </m:oMath>
      </m:oMathPara>
    </w:p>
    <w:p w14:paraId="460A4C35" w14:textId="77777777" w:rsidR="009B3F29" w:rsidRDefault="009B3F29" w:rsidP="009B3F29">
      <w:pPr>
        <w:ind w:left="1559"/>
        <w:jc w:val="both"/>
        <w:rPr>
          <w:rFonts w:ascii="Tahoma" w:hAnsi="Tahoma" w:cs="Tahoma"/>
          <w:sz w:val="20"/>
          <w:szCs w:val="20"/>
        </w:rPr>
      </w:pPr>
      <w:r>
        <w:rPr>
          <w:rFonts w:ascii="Tahoma" w:hAnsi="Tahoma"/>
          <w:sz w:val="20"/>
        </w:rPr>
        <w:t>where:</w:t>
      </w:r>
    </w:p>
    <w:p w14:paraId="141A5C62" w14:textId="77777777" w:rsidR="009B3F29" w:rsidRDefault="009B3F29" w:rsidP="009B3F29">
      <w:pPr>
        <w:pStyle w:val="a6"/>
      </w:pPr>
      <w:proofErr w:type="spellStart"/>
      <w:r>
        <w:t>CIn</w:t>
      </w:r>
      <w:proofErr w:type="spellEnd"/>
      <w:r>
        <w:t xml:space="preserve"> – Total Return Index value at time n;</w:t>
      </w:r>
    </w:p>
    <w:p w14:paraId="5256C7E2" w14:textId="77777777" w:rsidR="009B3F29" w:rsidRDefault="009B3F29" w:rsidP="009B3F29">
      <w:pPr>
        <w:pStyle w:val="a6"/>
      </w:pPr>
      <w:proofErr w:type="spellStart"/>
      <w:proofErr w:type="gramStart"/>
      <w:r>
        <w:t>Pi,n</w:t>
      </w:r>
      <w:proofErr w:type="spellEnd"/>
      <w:proofErr w:type="gramEnd"/>
      <w:r>
        <w:t xml:space="preserve"> – the average weighted price of the </w:t>
      </w:r>
      <w:proofErr w:type="spellStart"/>
      <w:r>
        <w:t>i-th</w:t>
      </w:r>
      <w:proofErr w:type="spellEnd"/>
      <w:r>
        <w:t xml:space="preserve"> Bond issue calculated on day n, in per cent of the par value;</w:t>
      </w:r>
    </w:p>
    <w:p w14:paraId="663F105A" w14:textId="77777777" w:rsidR="009B3F29" w:rsidRDefault="009B3F29" w:rsidP="009B3F29">
      <w:pPr>
        <w:pStyle w:val="a6"/>
      </w:pPr>
      <w:proofErr w:type="spellStart"/>
      <w:proofErr w:type="gramStart"/>
      <w:r>
        <w:t>FVi,n</w:t>
      </w:r>
      <w:proofErr w:type="spellEnd"/>
      <w:proofErr w:type="gramEnd"/>
      <w:r>
        <w:t xml:space="preserve"> – the par value of the </w:t>
      </w:r>
      <w:proofErr w:type="spellStart"/>
      <w:r>
        <w:t>i-th</w:t>
      </w:r>
      <w:proofErr w:type="spellEnd"/>
      <w:r>
        <w:t xml:space="preserve"> Bond issue calculated at day n, in RUB;</w:t>
      </w:r>
    </w:p>
    <w:p w14:paraId="1C633213" w14:textId="77777777" w:rsidR="009B3F29" w:rsidRDefault="009B3F29" w:rsidP="009B3F29">
      <w:pPr>
        <w:pStyle w:val="a6"/>
      </w:pPr>
      <w:proofErr w:type="spellStart"/>
      <w:proofErr w:type="gramStart"/>
      <w:r>
        <w:t>Ai,n</w:t>
      </w:r>
      <w:proofErr w:type="spellEnd"/>
      <w:proofErr w:type="gramEnd"/>
      <w:r>
        <w:t xml:space="preserve"> – the Accumulated Coupon Income on the </w:t>
      </w:r>
      <w:proofErr w:type="spellStart"/>
      <w:r>
        <w:t>i-th</w:t>
      </w:r>
      <w:proofErr w:type="spellEnd"/>
      <w:r>
        <w:t xml:space="preserve"> Bond issue calculated on day n, in RUB;</w:t>
      </w:r>
    </w:p>
    <w:p w14:paraId="2484D387" w14:textId="77777777" w:rsidR="009B3F29" w:rsidRDefault="009B3F29" w:rsidP="009B3F29">
      <w:pPr>
        <w:pStyle w:val="a6"/>
      </w:pPr>
      <w:proofErr w:type="spellStart"/>
      <w:proofErr w:type="gramStart"/>
      <w:r>
        <w:t>Gi,n</w:t>
      </w:r>
      <w:proofErr w:type="spellEnd"/>
      <w:proofErr w:type="gramEnd"/>
      <w:r>
        <w:t xml:space="preserve"> – the coupon income paid on the </w:t>
      </w:r>
      <w:proofErr w:type="spellStart"/>
      <w:r>
        <w:t>i-th</w:t>
      </w:r>
      <w:proofErr w:type="spellEnd"/>
      <w:r>
        <w:t xml:space="preserve"> Bond issue on day n, in RUB;</w:t>
      </w:r>
    </w:p>
    <w:p w14:paraId="16B3A69B" w14:textId="77777777" w:rsidR="009B3F29" w:rsidRDefault="009B3F29" w:rsidP="009B3F29">
      <w:pPr>
        <w:pStyle w:val="a6"/>
      </w:pPr>
      <w:proofErr w:type="spellStart"/>
      <w:proofErr w:type="gramStart"/>
      <w:r>
        <w:t>Ni,n</w:t>
      </w:r>
      <w:proofErr w:type="spellEnd"/>
      <w:proofErr w:type="gramEnd"/>
      <w:r>
        <w:t xml:space="preserve"> – the volume of </w:t>
      </w:r>
      <w:proofErr w:type="spellStart"/>
      <w:r>
        <w:t>i-th</w:t>
      </w:r>
      <w:proofErr w:type="spellEnd"/>
      <w:r>
        <w:t xml:space="preserve"> Bond issue on day n, in securities units;</w:t>
      </w:r>
    </w:p>
    <w:p w14:paraId="050B4382" w14:textId="77777777" w:rsidR="009B3F29" w:rsidRDefault="009B3F29" w:rsidP="009B3F29">
      <w:pPr>
        <w:pStyle w:val="a6"/>
      </w:pPr>
      <w:proofErr w:type="spellStart"/>
      <w:proofErr w:type="gramStart"/>
      <w:r>
        <w:t>Wi,n</w:t>
      </w:r>
      <w:proofErr w:type="spellEnd"/>
      <w:proofErr w:type="gramEnd"/>
      <w:r>
        <w:t xml:space="preserve"> – the coefficient limiting the share of capitalisation of the </w:t>
      </w:r>
      <w:proofErr w:type="spellStart"/>
      <w:r>
        <w:t>i-th</w:t>
      </w:r>
      <w:proofErr w:type="spellEnd"/>
      <w:r>
        <w:t xml:space="preserve"> Bond (“Weighting Coefficient”). It is equal to 1, unless otherwise is provided in clause 4.1 hereof.</w:t>
      </w:r>
    </w:p>
    <w:p w14:paraId="1C297260" w14:textId="4F707A51" w:rsidR="009B3F29" w:rsidRDefault="009B3F29" w:rsidP="009B3F29">
      <w:pPr>
        <w:numPr>
          <w:ilvl w:val="1"/>
          <w:numId w:val="4"/>
        </w:numPr>
        <w:spacing w:after="0" w:line="240" w:lineRule="auto"/>
        <w:jc w:val="both"/>
        <w:rPr>
          <w:rFonts w:ascii="Tahoma" w:hAnsi="Tahoma" w:cs="Tahoma"/>
          <w:sz w:val="20"/>
          <w:szCs w:val="20"/>
        </w:rPr>
      </w:pPr>
      <w:r>
        <w:rPr>
          <w:rFonts w:ascii="Tahoma" w:hAnsi="Tahoma"/>
          <w:sz w:val="20"/>
        </w:rPr>
        <w:t xml:space="preserve">If Bond price is not available, the last available price of </w:t>
      </w:r>
      <w:r w:rsidR="002E596C">
        <w:rPr>
          <w:rFonts w:ascii="Tahoma" w:hAnsi="Tahoma"/>
          <w:sz w:val="20"/>
        </w:rPr>
        <w:t>such</w:t>
      </w:r>
      <w:r>
        <w:rPr>
          <w:rFonts w:ascii="Tahoma" w:hAnsi="Tahoma"/>
          <w:sz w:val="20"/>
        </w:rPr>
        <w:t xml:space="preserve"> Bond issue is used for the Index calculation.</w:t>
      </w:r>
    </w:p>
    <w:bookmarkEnd w:id="4"/>
    <w:p w14:paraId="7D157D6D" w14:textId="77777777" w:rsidR="009B3F29" w:rsidRPr="00033C3D" w:rsidRDefault="009B3F29" w:rsidP="009B3F29">
      <w:pPr>
        <w:numPr>
          <w:ilvl w:val="1"/>
          <w:numId w:val="4"/>
        </w:numPr>
        <w:spacing w:after="0" w:line="240" w:lineRule="auto"/>
        <w:jc w:val="both"/>
        <w:rPr>
          <w:rFonts w:ascii="Tahoma" w:hAnsi="Tahoma" w:cs="Tahoma"/>
          <w:sz w:val="20"/>
          <w:szCs w:val="20"/>
        </w:rPr>
      </w:pPr>
      <w:r>
        <w:rPr>
          <w:rFonts w:ascii="Tahoma" w:hAnsi="Tahoma"/>
          <w:sz w:val="20"/>
        </w:rPr>
        <w:t>The Index is calculated to two decimal places subject to mathematical rounding.</w:t>
      </w:r>
    </w:p>
    <w:p w14:paraId="3C79B369" w14:textId="77777777" w:rsidR="009B3F29" w:rsidRPr="00033C3D" w:rsidRDefault="009B3F29" w:rsidP="009B3F29">
      <w:pPr>
        <w:numPr>
          <w:ilvl w:val="1"/>
          <w:numId w:val="4"/>
        </w:numPr>
        <w:spacing w:after="0" w:line="240" w:lineRule="auto"/>
        <w:jc w:val="both"/>
        <w:rPr>
          <w:rFonts w:ascii="Tahoma" w:hAnsi="Tahoma" w:cs="Tahoma"/>
          <w:sz w:val="20"/>
          <w:szCs w:val="20"/>
        </w:rPr>
      </w:pPr>
      <w:r>
        <w:rPr>
          <w:rFonts w:ascii="Tahoma" w:hAnsi="Tahoma"/>
          <w:sz w:val="20"/>
        </w:rPr>
        <w:t xml:space="preserve">Index inception date is 4 February 2019. Index inception value is 100. </w:t>
      </w:r>
    </w:p>
    <w:p w14:paraId="23E4A3E1" w14:textId="77777777" w:rsidR="009B3F29" w:rsidRPr="00033C3D" w:rsidRDefault="009B3F29" w:rsidP="009B3F29">
      <w:pPr>
        <w:rPr>
          <w:rFonts w:ascii="Tahoma" w:hAnsi="Tahoma" w:cs="Tahoma"/>
          <w:sz w:val="20"/>
          <w:szCs w:val="20"/>
        </w:rPr>
      </w:pPr>
    </w:p>
    <w:p w14:paraId="156FB553" w14:textId="77777777" w:rsidR="009B3F29" w:rsidRPr="00033C3D" w:rsidRDefault="009B3F29" w:rsidP="009B3F29">
      <w:pPr>
        <w:numPr>
          <w:ilvl w:val="0"/>
          <w:numId w:val="4"/>
        </w:numPr>
        <w:spacing w:after="0" w:line="240" w:lineRule="auto"/>
        <w:outlineLvl w:val="0"/>
        <w:rPr>
          <w:rFonts w:ascii="Tahoma" w:hAnsi="Tahoma" w:cs="Tahoma"/>
          <w:b/>
          <w:sz w:val="20"/>
          <w:szCs w:val="20"/>
        </w:rPr>
      </w:pPr>
      <w:bookmarkStart w:id="5" w:name="Р_4"/>
      <w:bookmarkStart w:id="6" w:name="_Toc155943084"/>
      <w:r>
        <w:rPr>
          <w:rFonts w:ascii="Tahoma" w:hAnsi="Tahoma"/>
          <w:b/>
          <w:sz w:val="20"/>
        </w:rPr>
        <w:t>Index Construction and Review</w:t>
      </w:r>
      <w:bookmarkEnd w:id="6"/>
    </w:p>
    <w:p w14:paraId="798BE8AC" w14:textId="06E92580" w:rsidR="009B3F29" w:rsidRPr="00F77E97" w:rsidRDefault="009B3F29" w:rsidP="009B3F29">
      <w:pPr>
        <w:numPr>
          <w:ilvl w:val="1"/>
          <w:numId w:val="3"/>
        </w:numPr>
        <w:tabs>
          <w:tab w:val="left" w:pos="567"/>
          <w:tab w:val="left" w:pos="1560"/>
        </w:tabs>
        <w:spacing w:after="0" w:line="240" w:lineRule="auto"/>
        <w:jc w:val="both"/>
        <w:rPr>
          <w:rFonts w:ascii="Tahoma" w:hAnsi="Tahoma" w:cs="Tahoma"/>
          <w:sz w:val="20"/>
          <w:szCs w:val="20"/>
        </w:rPr>
      </w:pPr>
      <w:bookmarkStart w:id="7" w:name="п_4_7"/>
      <w:bookmarkStart w:id="8" w:name="_Ref181774352"/>
      <w:bookmarkEnd w:id="5"/>
      <w:r>
        <w:rPr>
          <w:rFonts w:ascii="Tahoma" w:hAnsi="Tahoma"/>
          <w:sz w:val="20"/>
        </w:rPr>
        <w:t xml:space="preserve">The number of Bonds included in the Index Constituents has no upper cap. The minimum number of Bonds in the Index Constituents is two (2). Should the number of Bond issues </w:t>
      </w:r>
      <w:r w:rsidR="002E596C">
        <w:rPr>
          <w:rFonts w:ascii="Tahoma" w:hAnsi="Tahoma"/>
          <w:sz w:val="20"/>
        </w:rPr>
        <w:t>be</w:t>
      </w:r>
      <w:r>
        <w:rPr>
          <w:rFonts w:ascii="Tahoma" w:hAnsi="Tahoma"/>
          <w:sz w:val="20"/>
        </w:rPr>
        <w:t xml:space="preserve"> less than two, the Index is not calculated in the period until the regular Index review and implementation of the new Index Constituents. In that </w:t>
      </w:r>
      <w:r w:rsidR="002E596C">
        <w:rPr>
          <w:rFonts w:ascii="Tahoma" w:hAnsi="Tahoma"/>
          <w:sz w:val="20"/>
        </w:rPr>
        <w:t>case,</w:t>
      </w:r>
      <w:r>
        <w:rPr>
          <w:rFonts w:ascii="Tahoma" w:hAnsi="Tahoma"/>
          <w:sz w:val="20"/>
        </w:rPr>
        <w:t xml:space="preserve"> the Index value calculated as of the last effective date of the previous Index Constituents remains unchanged until the next Index revision.</w:t>
      </w:r>
    </w:p>
    <w:p w14:paraId="0769FF2E" w14:textId="77777777" w:rsidR="009B3F29" w:rsidRDefault="009B3F29" w:rsidP="009B3F29">
      <w:pPr>
        <w:numPr>
          <w:ilvl w:val="1"/>
          <w:numId w:val="3"/>
        </w:numPr>
        <w:tabs>
          <w:tab w:val="left" w:pos="567"/>
          <w:tab w:val="left" w:pos="1560"/>
        </w:tabs>
        <w:spacing w:after="0" w:line="240" w:lineRule="auto"/>
        <w:jc w:val="both"/>
        <w:rPr>
          <w:rFonts w:ascii="Tahoma" w:hAnsi="Tahoma" w:cs="Tahoma"/>
          <w:sz w:val="20"/>
          <w:szCs w:val="20"/>
        </w:rPr>
      </w:pPr>
      <w:r>
        <w:rPr>
          <w:rFonts w:ascii="Tahoma" w:hAnsi="Tahoma"/>
          <w:sz w:val="20"/>
        </w:rPr>
        <w:t>Bonds which meet the following requirements shall be included in the Index:</w:t>
      </w:r>
    </w:p>
    <w:p w14:paraId="086F4262" w14:textId="77777777" w:rsidR="009B3F29" w:rsidRDefault="009B3F29" w:rsidP="009B3F29">
      <w:pPr>
        <w:numPr>
          <w:ilvl w:val="2"/>
          <w:numId w:val="3"/>
        </w:numPr>
        <w:tabs>
          <w:tab w:val="clear" w:pos="504"/>
          <w:tab w:val="left" w:pos="567"/>
          <w:tab w:val="left" w:pos="1560"/>
        </w:tabs>
        <w:spacing w:after="0" w:line="240" w:lineRule="auto"/>
        <w:ind w:left="1560" w:hanging="567"/>
        <w:jc w:val="both"/>
        <w:rPr>
          <w:rFonts w:ascii="Tahoma" w:hAnsi="Tahoma" w:cs="Tahoma"/>
          <w:sz w:val="20"/>
          <w:szCs w:val="20"/>
        </w:rPr>
      </w:pPr>
      <w:r>
        <w:rPr>
          <w:rFonts w:ascii="Tahoma" w:hAnsi="Tahoma"/>
          <w:sz w:val="20"/>
        </w:rPr>
        <w:t>The Bond issue is denominated in RUB.</w:t>
      </w:r>
    </w:p>
    <w:p w14:paraId="2F5265B2" w14:textId="77777777" w:rsidR="009B3F29" w:rsidRPr="003E2DCD" w:rsidRDefault="009B3F29" w:rsidP="009B3F29">
      <w:pPr>
        <w:numPr>
          <w:ilvl w:val="2"/>
          <w:numId w:val="3"/>
        </w:numPr>
        <w:tabs>
          <w:tab w:val="clear" w:pos="504"/>
          <w:tab w:val="left" w:pos="567"/>
          <w:tab w:val="left" w:pos="1560"/>
        </w:tabs>
        <w:spacing w:after="0" w:line="240" w:lineRule="auto"/>
        <w:ind w:left="1560" w:hanging="567"/>
        <w:jc w:val="both"/>
        <w:rPr>
          <w:rFonts w:ascii="Tahoma" w:hAnsi="Tahoma" w:cs="Tahoma"/>
          <w:sz w:val="20"/>
          <w:szCs w:val="20"/>
        </w:rPr>
      </w:pPr>
      <w:r>
        <w:rPr>
          <w:rFonts w:ascii="Tahoma" w:hAnsi="Tahoma"/>
          <w:sz w:val="20"/>
        </w:rPr>
        <w:t>Bonds have a fixed coupon rate.</w:t>
      </w:r>
    </w:p>
    <w:p w14:paraId="07142B12" w14:textId="77777777" w:rsidR="009B3F29" w:rsidRPr="003E2DCD" w:rsidRDefault="009B3F29" w:rsidP="009B3F29">
      <w:pPr>
        <w:numPr>
          <w:ilvl w:val="2"/>
          <w:numId w:val="3"/>
        </w:numPr>
        <w:tabs>
          <w:tab w:val="clear" w:pos="504"/>
          <w:tab w:val="left" w:pos="567"/>
          <w:tab w:val="left" w:pos="1560"/>
        </w:tabs>
        <w:spacing w:after="0" w:line="240" w:lineRule="auto"/>
        <w:ind w:left="1560" w:hanging="567"/>
        <w:jc w:val="both"/>
        <w:rPr>
          <w:rFonts w:ascii="Tahoma" w:hAnsi="Tahoma" w:cs="Tahoma"/>
          <w:sz w:val="20"/>
          <w:szCs w:val="20"/>
        </w:rPr>
      </w:pPr>
      <w:r>
        <w:rPr>
          <w:rFonts w:ascii="Tahoma" w:hAnsi="Tahoma"/>
          <w:sz w:val="20"/>
        </w:rPr>
        <w:t>The period to maturity and to the expected date of the nearer early redemption of the Bond Issue on the Index Constituents Date is at least 6 months. The expected date for the nearer early redemption is calculated according to the Pricing Convention for mortgage-backed securities approved by the Fixed Income Securities Committee of Moscow Exchange.</w:t>
      </w:r>
    </w:p>
    <w:p w14:paraId="2BC4F701" w14:textId="77777777" w:rsidR="009B3F29" w:rsidRDefault="009B3F29" w:rsidP="009B3F29">
      <w:pPr>
        <w:numPr>
          <w:ilvl w:val="2"/>
          <w:numId w:val="3"/>
        </w:numPr>
        <w:tabs>
          <w:tab w:val="clear" w:pos="504"/>
          <w:tab w:val="left" w:pos="567"/>
          <w:tab w:val="left" w:pos="1560"/>
        </w:tabs>
        <w:spacing w:after="0" w:line="240" w:lineRule="auto"/>
        <w:ind w:left="1560" w:hanging="567"/>
        <w:jc w:val="both"/>
        <w:rPr>
          <w:rFonts w:ascii="Tahoma" w:hAnsi="Tahoma" w:cs="Tahoma"/>
          <w:sz w:val="20"/>
          <w:szCs w:val="20"/>
        </w:rPr>
      </w:pPr>
      <w:r>
        <w:rPr>
          <w:rFonts w:ascii="Tahoma" w:hAnsi="Tahoma"/>
          <w:sz w:val="20"/>
        </w:rPr>
        <w:t>A market-maker programme is in effect for the Bond issue as of the Index Constituents Date.</w:t>
      </w:r>
    </w:p>
    <w:p w14:paraId="3E44B44F" w14:textId="77777777" w:rsidR="009B3F29" w:rsidRDefault="009B3F29" w:rsidP="009B3F29">
      <w:pPr>
        <w:numPr>
          <w:ilvl w:val="2"/>
          <w:numId w:val="3"/>
        </w:numPr>
        <w:tabs>
          <w:tab w:val="clear" w:pos="504"/>
          <w:tab w:val="left" w:pos="567"/>
          <w:tab w:val="left" w:pos="1560"/>
        </w:tabs>
        <w:spacing w:after="0" w:line="240" w:lineRule="auto"/>
        <w:ind w:left="1560" w:hanging="567"/>
        <w:jc w:val="both"/>
        <w:rPr>
          <w:rFonts w:ascii="Tahoma" w:hAnsi="Tahoma" w:cs="Tahoma"/>
          <w:sz w:val="20"/>
          <w:szCs w:val="20"/>
        </w:rPr>
      </w:pPr>
      <w:r>
        <w:rPr>
          <w:rFonts w:ascii="Tahoma" w:hAnsi="Tahoma"/>
          <w:sz w:val="20"/>
        </w:rPr>
        <w:t xml:space="preserve">The number of Trading Days for 3 months preceding 1 February, 1 May, 1 </w:t>
      </w:r>
      <w:proofErr w:type="gramStart"/>
      <w:r>
        <w:rPr>
          <w:rFonts w:ascii="Tahoma" w:hAnsi="Tahoma"/>
          <w:sz w:val="20"/>
        </w:rPr>
        <w:t>August</w:t>
      </w:r>
      <w:proofErr w:type="gramEnd"/>
      <w:r>
        <w:rPr>
          <w:rFonts w:ascii="Tahoma" w:hAnsi="Tahoma"/>
          <w:sz w:val="20"/>
        </w:rPr>
        <w:t xml:space="preserve"> and 1 November in which the price of the Bond issue has been identified is not less than 5.</w:t>
      </w:r>
    </w:p>
    <w:p w14:paraId="6CC61775" w14:textId="77777777" w:rsidR="009B3F29" w:rsidRDefault="009B3F29" w:rsidP="009B3F29">
      <w:pPr>
        <w:numPr>
          <w:ilvl w:val="1"/>
          <w:numId w:val="3"/>
        </w:numPr>
        <w:tabs>
          <w:tab w:val="left" w:pos="567"/>
          <w:tab w:val="left" w:pos="1560"/>
        </w:tabs>
        <w:spacing w:after="0" w:line="240" w:lineRule="auto"/>
        <w:jc w:val="both"/>
        <w:rPr>
          <w:rFonts w:ascii="Tahoma" w:hAnsi="Tahoma" w:cs="Tahoma"/>
          <w:sz w:val="20"/>
          <w:szCs w:val="20"/>
        </w:rPr>
      </w:pPr>
      <w:bookmarkStart w:id="9" w:name="_Toc372540155"/>
      <w:bookmarkStart w:id="10" w:name="_Toc372540156"/>
      <w:bookmarkEnd w:id="7"/>
      <w:bookmarkEnd w:id="8"/>
      <w:bookmarkEnd w:id="9"/>
      <w:bookmarkEnd w:id="10"/>
      <w:r>
        <w:rPr>
          <w:rFonts w:ascii="Tahoma" w:hAnsi="Tahoma"/>
          <w:sz w:val="20"/>
        </w:rPr>
        <w:t>For the purposes of clause 3.1 of the Methodology, the Exchange may decide to include in the Index the Bonds that do not meet requirements specified in clauses 3.2.4-3.2.5 of this Methodology.</w:t>
      </w:r>
    </w:p>
    <w:p w14:paraId="067EDEC4" w14:textId="77777777" w:rsidR="009B3F29" w:rsidRPr="00D55270" w:rsidRDefault="009B3F29" w:rsidP="009B3F29">
      <w:pPr>
        <w:numPr>
          <w:ilvl w:val="1"/>
          <w:numId w:val="3"/>
        </w:numPr>
        <w:tabs>
          <w:tab w:val="left" w:pos="567"/>
          <w:tab w:val="left" w:pos="1560"/>
        </w:tabs>
        <w:spacing w:after="0" w:line="240" w:lineRule="auto"/>
        <w:jc w:val="both"/>
        <w:rPr>
          <w:rFonts w:ascii="Tahoma" w:hAnsi="Tahoma" w:cs="Tahoma"/>
          <w:sz w:val="20"/>
          <w:szCs w:val="20"/>
        </w:rPr>
      </w:pPr>
      <w:r>
        <w:rPr>
          <w:rFonts w:ascii="Tahoma" w:hAnsi="Tahoma"/>
          <w:sz w:val="20"/>
        </w:rPr>
        <w:t>Bonds shall be included in or removed from the Index Constituents when the Index Constituents are reviewed.</w:t>
      </w:r>
    </w:p>
    <w:p w14:paraId="4C34B109" w14:textId="77777777" w:rsidR="009B3F29" w:rsidRPr="00D55270" w:rsidRDefault="009B3F29" w:rsidP="009B3F29">
      <w:pPr>
        <w:numPr>
          <w:ilvl w:val="1"/>
          <w:numId w:val="3"/>
        </w:numPr>
        <w:tabs>
          <w:tab w:val="left" w:pos="567"/>
          <w:tab w:val="left" w:pos="1560"/>
        </w:tabs>
        <w:spacing w:after="0" w:line="240" w:lineRule="auto"/>
        <w:jc w:val="both"/>
        <w:rPr>
          <w:rFonts w:ascii="Tahoma" w:hAnsi="Tahoma" w:cs="Tahoma"/>
          <w:sz w:val="20"/>
          <w:szCs w:val="20"/>
        </w:rPr>
      </w:pPr>
      <w:r>
        <w:rPr>
          <w:rFonts w:ascii="Tahoma" w:hAnsi="Tahoma"/>
          <w:sz w:val="20"/>
        </w:rPr>
        <w:t xml:space="preserve">Normally, the list of Index Constituents is reviewed at most on a quarterly basis, unless otherwise is indicated in the Methodology. The new Index Constituents shall come into effect from the beginning of the main trading session on the first trading day of March, June, </w:t>
      </w:r>
      <w:proofErr w:type="gramStart"/>
      <w:r>
        <w:rPr>
          <w:rFonts w:ascii="Tahoma" w:hAnsi="Tahoma"/>
          <w:sz w:val="20"/>
        </w:rPr>
        <w:t>September</w:t>
      </w:r>
      <w:proofErr w:type="gramEnd"/>
      <w:r>
        <w:rPr>
          <w:rFonts w:ascii="Tahoma" w:hAnsi="Tahoma"/>
          <w:sz w:val="20"/>
        </w:rPr>
        <w:t xml:space="preserve"> and December. The Exchange may decide on other dates for the reviewed Index Constituents to come into effect.</w:t>
      </w:r>
    </w:p>
    <w:p w14:paraId="1C788A14" w14:textId="77777777" w:rsidR="009B3F29" w:rsidRPr="00D55270" w:rsidRDefault="009B3F29" w:rsidP="009B3F29">
      <w:pPr>
        <w:numPr>
          <w:ilvl w:val="1"/>
          <w:numId w:val="3"/>
        </w:numPr>
        <w:tabs>
          <w:tab w:val="left" w:pos="567"/>
          <w:tab w:val="left" w:pos="1560"/>
        </w:tabs>
        <w:spacing w:after="0" w:line="240" w:lineRule="auto"/>
        <w:jc w:val="both"/>
        <w:rPr>
          <w:rFonts w:ascii="Tahoma" w:hAnsi="Tahoma" w:cs="Tahoma"/>
          <w:sz w:val="20"/>
          <w:szCs w:val="20"/>
        </w:rPr>
      </w:pPr>
      <w:r>
        <w:rPr>
          <w:rFonts w:ascii="Tahoma" w:hAnsi="Tahoma"/>
          <w:sz w:val="20"/>
        </w:rPr>
        <w:lastRenderedPageBreak/>
        <w:t>The Exchange may decide to exclude Bonds from the Index Constituents on the date decided by the Exchange if the following occurs:</w:t>
      </w:r>
    </w:p>
    <w:p w14:paraId="5755D2A4" w14:textId="77777777" w:rsidR="009B3F29" w:rsidRDefault="009B3F29" w:rsidP="009B3F29">
      <w:pPr>
        <w:numPr>
          <w:ilvl w:val="2"/>
          <w:numId w:val="3"/>
        </w:numPr>
        <w:tabs>
          <w:tab w:val="clear" w:pos="504"/>
          <w:tab w:val="left" w:pos="567"/>
          <w:tab w:val="left" w:pos="1560"/>
        </w:tabs>
        <w:spacing w:after="0" w:line="240" w:lineRule="auto"/>
        <w:ind w:left="1560" w:hanging="567"/>
        <w:rPr>
          <w:rFonts w:ascii="Tahoma" w:hAnsi="Tahoma" w:cs="Tahoma"/>
          <w:sz w:val="20"/>
          <w:szCs w:val="20"/>
        </w:rPr>
      </w:pPr>
      <w:r>
        <w:rPr>
          <w:rFonts w:ascii="Tahoma" w:hAnsi="Tahoma"/>
          <w:sz w:val="20"/>
        </w:rPr>
        <w:t>trading in a Bond issue on the Exchange is terminated;</w:t>
      </w:r>
    </w:p>
    <w:p w14:paraId="127ED252" w14:textId="77777777" w:rsidR="009B3F29" w:rsidRDefault="009B3F29" w:rsidP="009B3F29">
      <w:pPr>
        <w:numPr>
          <w:ilvl w:val="2"/>
          <w:numId w:val="3"/>
        </w:numPr>
        <w:tabs>
          <w:tab w:val="clear" w:pos="504"/>
          <w:tab w:val="left" w:pos="567"/>
          <w:tab w:val="left" w:pos="1560"/>
        </w:tabs>
        <w:spacing w:after="0" w:line="240" w:lineRule="auto"/>
        <w:ind w:left="1560" w:hanging="567"/>
        <w:rPr>
          <w:rFonts w:ascii="Tahoma" w:hAnsi="Tahoma" w:cs="Tahoma"/>
          <w:sz w:val="20"/>
          <w:szCs w:val="20"/>
        </w:rPr>
      </w:pPr>
      <w:r>
        <w:rPr>
          <w:rFonts w:ascii="Tahoma" w:hAnsi="Tahoma"/>
          <w:sz w:val="20"/>
        </w:rPr>
        <w:t>a Bond issue is not compliant with clause 3.2.5. of the Methodology;</w:t>
      </w:r>
    </w:p>
    <w:p w14:paraId="2657471E" w14:textId="77777777" w:rsidR="009B3F29" w:rsidRDefault="009B3F29" w:rsidP="009B3F29">
      <w:pPr>
        <w:numPr>
          <w:ilvl w:val="2"/>
          <w:numId w:val="3"/>
        </w:numPr>
        <w:tabs>
          <w:tab w:val="clear" w:pos="504"/>
          <w:tab w:val="left" w:pos="567"/>
          <w:tab w:val="left" w:pos="1560"/>
        </w:tabs>
        <w:spacing w:after="0" w:line="240" w:lineRule="auto"/>
        <w:ind w:left="1560" w:hanging="567"/>
        <w:rPr>
          <w:rFonts w:ascii="Tahoma" w:hAnsi="Tahoma" w:cs="Tahoma"/>
          <w:sz w:val="20"/>
          <w:szCs w:val="20"/>
        </w:rPr>
      </w:pPr>
      <w:r>
        <w:rPr>
          <w:rFonts w:ascii="Tahoma" w:hAnsi="Tahoma"/>
          <w:sz w:val="20"/>
        </w:rPr>
        <w:t>in other events not covered by the Methodology, which may substantially impact the Index calculation.</w:t>
      </w:r>
    </w:p>
    <w:p w14:paraId="7D500DA1" w14:textId="77777777" w:rsidR="009B3F29" w:rsidRDefault="009B3F29" w:rsidP="009B3F29">
      <w:pPr>
        <w:tabs>
          <w:tab w:val="left" w:pos="567"/>
          <w:tab w:val="left" w:pos="1560"/>
        </w:tabs>
        <w:rPr>
          <w:rFonts w:ascii="Tahoma" w:hAnsi="Tahoma" w:cs="Tahoma"/>
          <w:sz w:val="20"/>
          <w:szCs w:val="20"/>
        </w:rPr>
      </w:pPr>
    </w:p>
    <w:p w14:paraId="0327E17D" w14:textId="77777777" w:rsidR="009B3F29" w:rsidRDefault="009B3F29" w:rsidP="009B3F29">
      <w:pPr>
        <w:numPr>
          <w:ilvl w:val="0"/>
          <w:numId w:val="4"/>
        </w:numPr>
        <w:spacing w:after="0" w:line="240" w:lineRule="auto"/>
        <w:outlineLvl w:val="0"/>
        <w:rPr>
          <w:rFonts w:ascii="Tahoma" w:hAnsi="Tahoma" w:cs="Tahoma"/>
          <w:b/>
          <w:sz w:val="20"/>
          <w:szCs w:val="20"/>
        </w:rPr>
      </w:pPr>
      <w:bookmarkStart w:id="11" w:name="_Toc527625987"/>
      <w:bookmarkStart w:id="12" w:name="_Toc155943085"/>
      <w:r>
        <w:rPr>
          <w:rFonts w:ascii="Tahoma" w:hAnsi="Tahoma"/>
          <w:b/>
          <w:sz w:val="20"/>
        </w:rPr>
        <w:t xml:space="preserve">Limitation of the Bond Value in the </w:t>
      </w:r>
      <w:bookmarkEnd w:id="11"/>
      <w:r>
        <w:rPr>
          <w:rFonts w:ascii="Tahoma" w:hAnsi="Tahoma"/>
          <w:b/>
          <w:sz w:val="20"/>
        </w:rPr>
        <w:t>Index</w:t>
      </w:r>
      <w:bookmarkEnd w:id="12"/>
    </w:p>
    <w:p w14:paraId="2C021F99" w14:textId="77777777" w:rsidR="009B3F29" w:rsidRDefault="009B3F29" w:rsidP="009B3F29">
      <w:pPr>
        <w:ind w:left="360"/>
        <w:outlineLvl w:val="0"/>
        <w:rPr>
          <w:rFonts w:ascii="Tahoma" w:hAnsi="Tahoma" w:cs="Tahoma"/>
          <w:b/>
          <w:sz w:val="20"/>
          <w:szCs w:val="20"/>
        </w:rPr>
      </w:pPr>
    </w:p>
    <w:p w14:paraId="68830A59" w14:textId="58460408" w:rsidR="009B3F29" w:rsidRDefault="009B3F29" w:rsidP="009B3F29">
      <w:pPr>
        <w:numPr>
          <w:ilvl w:val="1"/>
          <w:numId w:val="1"/>
        </w:numPr>
        <w:spacing w:after="0" w:line="240" w:lineRule="auto"/>
        <w:jc w:val="both"/>
        <w:rPr>
          <w:rFonts w:ascii="Tahoma" w:hAnsi="Tahoma" w:cs="Tahoma"/>
          <w:sz w:val="20"/>
          <w:szCs w:val="20"/>
        </w:rPr>
      </w:pPr>
      <w:r>
        <w:rPr>
          <w:rFonts w:ascii="Tahoma" w:hAnsi="Tahoma"/>
          <w:sz w:val="20"/>
        </w:rPr>
        <w:t>If the number of Bonds included in the Index is 7 to 11 inclusive, the maximum weight of the capitalisation of the Bond issue in the total capitalization of the Bonds included in the Index is limited to 20%. If the number of Bonds included in the Index is 12 to 14 inclusive, the maximum weight of the capitalisation of the Bond issue in the total capitalization of the Bonds included in the Index is limited to 15%. If the number of Bonds included in the Index is more than 14, the maximum weight of the capitalisation of the Bond issue in the total capitalisation of the Bonds included in the Index is limited to 10%.</w:t>
      </w:r>
    </w:p>
    <w:p w14:paraId="0630DA0B" w14:textId="77777777" w:rsidR="009B3F29" w:rsidRDefault="009B3F29" w:rsidP="009B3F29">
      <w:pPr>
        <w:numPr>
          <w:ilvl w:val="1"/>
          <w:numId w:val="1"/>
        </w:numPr>
        <w:spacing w:after="0" w:line="240" w:lineRule="auto"/>
        <w:jc w:val="both"/>
        <w:rPr>
          <w:rFonts w:ascii="Tahoma" w:hAnsi="Tahoma" w:cs="Tahoma"/>
          <w:sz w:val="20"/>
          <w:szCs w:val="20"/>
        </w:rPr>
      </w:pPr>
      <w:r>
        <w:rPr>
          <w:rFonts w:ascii="Tahoma" w:hAnsi="Tahoma"/>
          <w:sz w:val="20"/>
        </w:rPr>
        <w:t xml:space="preserve">The weight of the </w:t>
      </w:r>
      <w:proofErr w:type="spellStart"/>
      <w:r>
        <w:rPr>
          <w:rFonts w:ascii="Tahoma" w:hAnsi="Tahoma"/>
          <w:sz w:val="20"/>
        </w:rPr>
        <w:t>i-th</w:t>
      </w:r>
      <w:proofErr w:type="spellEnd"/>
      <w:r>
        <w:rPr>
          <w:rFonts w:ascii="Tahoma" w:hAnsi="Tahoma"/>
          <w:sz w:val="20"/>
        </w:rPr>
        <w:t xml:space="preserve"> Bond in the Index is calculated as follows:</w:t>
      </w:r>
    </w:p>
    <w:p w14:paraId="1B298614" w14:textId="77777777" w:rsidR="009B3F29" w:rsidRDefault="009B3F29" w:rsidP="009B3F29">
      <w:pPr>
        <w:pStyle w:val="a9"/>
        <w:jc w:val="center"/>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23097BF1" w14:textId="77777777" w:rsidR="009B3F29" w:rsidRDefault="009B3F29" w:rsidP="009B3F29">
      <w:pPr>
        <w:pStyle w:val="a6"/>
        <w:rPr>
          <w:rFonts w:cs="Tahoma"/>
        </w:rPr>
      </w:pPr>
      <w:r>
        <w:t>where:</w:t>
      </w:r>
    </w:p>
    <w:p w14:paraId="3DE49BC0" w14:textId="77777777" w:rsidR="009B3F29" w:rsidRDefault="009B3F29" w:rsidP="009B3F29">
      <w:pPr>
        <w:pStyle w:val="a6"/>
        <w:rPr>
          <w:rFonts w:cs="Tahoma"/>
        </w:rPr>
      </w:pPr>
      <w:proofErr w:type="spellStart"/>
      <w:r>
        <w:t>Wght</w:t>
      </w:r>
      <w:r>
        <w:rPr>
          <w:vertAlign w:val="subscript"/>
        </w:rPr>
        <w:t>i</w:t>
      </w:r>
      <w:proofErr w:type="spellEnd"/>
      <w:r>
        <w:t xml:space="preserve"> – the Weight of </w:t>
      </w:r>
      <w:proofErr w:type="spellStart"/>
      <w:r>
        <w:t>i-th</w:t>
      </w:r>
      <w:proofErr w:type="spellEnd"/>
      <w:r>
        <w:t xml:space="preserve"> Bond;</w:t>
      </w:r>
    </w:p>
    <w:p w14:paraId="0637EE5E" w14:textId="77777777" w:rsidR="009B3F29" w:rsidRDefault="009B3F29" w:rsidP="009B3F29">
      <w:pPr>
        <w:pStyle w:val="a6"/>
        <w:rPr>
          <w:rFonts w:cs="Tahoma"/>
        </w:rPr>
      </w:pPr>
      <w:proofErr w:type="spellStart"/>
      <w:r>
        <w:t>MC</w:t>
      </w:r>
      <w:r>
        <w:rPr>
          <w:vertAlign w:val="subscript"/>
        </w:rPr>
        <w:t>i</w:t>
      </w:r>
      <w:proofErr w:type="spellEnd"/>
      <w:r>
        <w:t xml:space="preserve"> – the capitalisation of </w:t>
      </w:r>
      <w:proofErr w:type="spellStart"/>
      <w:r>
        <w:t>i-th</w:t>
      </w:r>
      <w:proofErr w:type="spellEnd"/>
      <w:r>
        <w:t xml:space="preserve"> Bond calculated using the formula:</w:t>
      </w:r>
    </w:p>
    <w:p w14:paraId="2AC048EB" w14:textId="77777777" w:rsidR="009B3F29" w:rsidRDefault="002E596C" w:rsidP="009B3F29">
      <w:pPr>
        <w:ind w:left="972"/>
        <w:jc w:val="center"/>
        <w:rPr>
          <w:rFonts w:cs="Tahoma"/>
        </w:rPr>
      </w:pPr>
      <m:oMathPara>
        <m:oMath>
          <m:sSub>
            <m:sSubPr>
              <m:ctrlPr>
                <w:rPr>
                  <w:rFonts w:ascii="Cambria Math" w:hAnsi="Cambria Math" w:cs="Tahoma"/>
                  <w:i/>
                  <w:lang w:val="en-US"/>
                </w:rPr>
              </m:ctrlPr>
            </m:sSubPr>
            <m:e>
              <m:r>
                <w:rPr>
                  <w:rFonts w:ascii="Cambria Math" w:hAnsi="Cambria Math" w:cs="Tahoma"/>
                  <w:lang w:val="en-US"/>
                </w:rPr>
                <m:t>MC</m:t>
              </m:r>
            </m:e>
            <m:sub>
              <m:r>
                <w:rPr>
                  <w:rFonts w:ascii="Cambria Math" w:hAnsi="Cambria Math" w:cs="Tahoma"/>
                  <w:lang w:val="en-US"/>
                </w:rPr>
                <m:t>i</m:t>
              </m:r>
            </m:sub>
          </m:sSub>
          <m:r>
            <w:rPr>
              <w:rFonts w:ascii="Cambria Math" w:hAnsi="Cambria Math"/>
            </w:rPr>
            <m:t>=(</m:t>
          </m:r>
          <m:f>
            <m:fPr>
              <m:ctrlPr>
                <w:rPr>
                  <w:rFonts w:ascii="Cambria Math" w:hAnsi="Cambria Math" w:cs="Tahoma"/>
                  <w:i/>
                </w:rPr>
              </m:ctrlPr>
            </m:fPr>
            <m:num>
              <m:sSub>
                <m:sSubPr>
                  <m:ctrlPr>
                    <w:rPr>
                      <w:rFonts w:ascii="Cambria Math" w:hAnsi="Cambria Math" w:cs="Tahoma"/>
                      <w:i/>
                      <w:lang w:val="en-US"/>
                    </w:rPr>
                  </m:ctrlPr>
                </m:sSubPr>
                <m:e>
                  <m:r>
                    <w:rPr>
                      <w:rFonts w:ascii="Cambria Math" w:hAnsi="Cambria Math" w:cs="Tahoma"/>
                      <w:lang w:val="en-US"/>
                    </w:rPr>
                    <m:t>P</m:t>
                  </m:r>
                </m:e>
                <m:sub>
                  <m:r>
                    <w:rPr>
                      <w:rFonts w:ascii="Cambria Math" w:hAnsi="Cambria Math" w:cs="Tahoma"/>
                      <w:lang w:val="en-US"/>
                    </w:rPr>
                    <m:t>i</m:t>
                  </m:r>
                </m:sub>
              </m:sSub>
            </m:num>
            <m:den>
              <m:r>
                <w:rPr>
                  <w:rFonts w:ascii="Cambria Math" w:hAnsi="Cambria Math" w:cs="Tahoma"/>
                </w:rPr>
                <m:t>100</m:t>
              </m:r>
            </m:den>
          </m:f>
          <m:r>
            <w:rPr>
              <w:rFonts w:ascii="Cambria Math" w:hAnsi="Cambria Math" w:cs="Tahoma"/>
            </w:rPr>
            <m:t>∙</m:t>
          </m:r>
          <m:sSub>
            <m:sSubPr>
              <m:ctrlPr>
                <w:rPr>
                  <w:rFonts w:ascii="Cambria Math" w:hAnsi="Cambria Math" w:cs="Tahoma"/>
                  <w:i/>
                  <w:lang w:val="en-US"/>
                </w:rPr>
              </m:ctrlPr>
            </m:sSubPr>
            <m:e>
              <m:r>
                <w:rPr>
                  <w:rFonts w:ascii="Cambria Math" w:hAnsi="Cambria Math" w:cs="Tahoma"/>
                  <w:lang w:val="en-US"/>
                </w:rPr>
                <m:t>FV</m:t>
              </m:r>
            </m:e>
            <m:sub>
              <m:r>
                <w:rPr>
                  <w:rFonts w:ascii="Cambria Math" w:hAnsi="Cambria Math" w:cs="Tahoma"/>
                  <w:lang w:val="en-US"/>
                </w:rPr>
                <m:t>i</m:t>
              </m:r>
            </m:sub>
          </m:sSub>
          <m:r>
            <w:rPr>
              <w:rFonts w:ascii="Cambria Math" w:hAnsi="Cambria Math" w:cs="Tahoma"/>
            </w:rPr>
            <m:t>+</m:t>
          </m:r>
          <m:sSub>
            <m:sSubPr>
              <m:ctrlPr>
                <w:rPr>
                  <w:rFonts w:ascii="Cambria Math" w:hAnsi="Cambria Math" w:cs="Tahoma"/>
                  <w:i/>
                  <w:lang w:val="en-US"/>
                </w:rPr>
              </m:ctrlPr>
            </m:sSubPr>
            <m:e>
              <m:r>
                <w:rPr>
                  <w:rFonts w:ascii="Cambria Math" w:hAnsi="Cambria Math" w:cs="Tahoma"/>
                  <w:lang w:val="en-US"/>
                </w:rPr>
                <m:t>A</m:t>
              </m:r>
            </m:e>
            <m:sub>
              <m:r>
                <w:rPr>
                  <w:rFonts w:ascii="Cambria Math" w:hAnsi="Cambria Math" w:cs="Tahoma"/>
                  <w:lang w:val="en-US"/>
                </w:rPr>
                <m:t>i</m:t>
              </m:r>
            </m:sub>
          </m:sSub>
          <m:r>
            <w:rPr>
              <w:rFonts w:ascii="Cambria Math" w:hAnsi="Cambria Math" w:cs="Tahoma"/>
            </w:rPr>
            <m:t xml:space="preserve">)∙ </m:t>
          </m:r>
          <m:sSub>
            <m:sSubPr>
              <m:ctrlPr>
                <w:rPr>
                  <w:rFonts w:ascii="Cambria Math" w:hAnsi="Cambria Math" w:cs="Tahoma"/>
                  <w:i/>
                  <w:lang w:val="en-US"/>
                </w:rPr>
              </m:ctrlPr>
            </m:sSubPr>
            <m:e>
              <m:r>
                <w:rPr>
                  <w:rFonts w:ascii="Cambria Math" w:hAnsi="Cambria Math" w:cs="Tahoma"/>
                  <w:lang w:val="en-US"/>
                </w:rPr>
                <m:t>N</m:t>
              </m:r>
            </m:e>
            <m:sub>
              <m:r>
                <w:rPr>
                  <w:rFonts w:ascii="Cambria Math" w:hAnsi="Cambria Math" w:cs="Tahoma"/>
                  <w:lang w:val="en-US"/>
                </w:rPr>
                <m:t>i</m:t>
              </m:r>
            </m:sub>
          </m:sSub>
          <m:r>
            <w:rPr>
              <w:rFonts w:ascii="Cambria Math" w:hAnsi="Cambria Math" w:cs="Tahoma"/>
            </w:rPr>
            <m:t xml:space="preserve">∙ </m:t>
          </m:r>
          <m:sSub>
            <m:sSubPr>
              <m:ctrlPr>
                <w:rPr>
                  <w:rFonts w:ascii="Cambria Math" w:hAnsi="Cambria Math" w:cs="Tahoma"/>
                  <w:i/>
                  <w:lang w:val="en-US"/>
                </w:rPr>
              </m:ctrlPr>
            </m:sSubPr>
            <m:e>
              <m:r>
                <w:rPr>
                  <w:rFonts w:ascii="Cambria Math" w:hAnsi="Cambria Math" w:cs="Tahoma"/>
                  <w:lang w:val="en-US"/>
                </w:rPr>
                <m:t>W</m:t>
              </m:r>
            </m:e>
            <m:sub>
              <m:r>
                <w:rPr>
                  <w:rFonts w:ascii="Cambria Math" w:hAnsi="Cambria Math" w:cs="Tahoma"/>
                  <w:lang w:val="en-US"/>
                </w:rPr>
                <m:t>i</m:t>
              </m:r>
            </m:sub>
          </m:sSub>
        </m:oMath>
      </m:oMathPara>
    </w:p>
    <w:p w14:paraId="2DBA1EC3" w14:textId="77777777" w:rsidR="009B3F29" w:rsidRPr="00C74192" w:rsidRDefault="009B3F29" w:rsidP="009B3F29">
      <w:pPr>
        <w:pStyle w:val="a6"/>
        <w:rPr>
          <w:rFonts w:cs="Tahoma"/>
        </w:rPr>
      </w:pPr>
      <w:r>
        <w:t xml:space="preserve">Pi – the average weighted price of the </w:t>
      </w:r>
      <w:proofErr w:type="spellStart"/>
      <w:r>
        <w:t>i</w:t>
      </w:r>
      <w:proofErr w:type="spellEnd"/>
      <w:r>
        <w:t>-the Bonds, in per cent of par value;</w:t>
      </w:r>
    </w:p>
    <w:p w14:paraId="583AEBF1" w14:textId="77777777" w:rsidR="009B3F29" w:rsidRPr="00C74192" w:rsidRDefault="009B3F29" w:rsidP="009B3F29">
      <w:pPr>
        <w:pStyle w:val="a6"/>
        <w:rPr>
          <w:rFonts w:cs="Tahoma"/>
        </w:rPr>
      </w:pPr>
      <w:proofErr w:type="spellStart"/>
      <w:r>
        <w:t>FVi</w:t>
      </w:r>
      <w:proofErr w:type="spellEnd"/>
      <w:r>
        <w:t xml:space="preserve"> – the par value of the </w:t>
      </w:r>
      <w:proofErr w:type="spellStart"/>
      <w:r>
        <w:t>i-th</w:t>
      </w:r>
      <w:proofErr w:type="spellEnd"/>
      <w:r>
        <w:t xml:space="preserve"> Bond, in RUB;</w:t>
      </w:r>
    </w:p>
    <w:p w14:paraId="677A52DE" w14:textId="77777777" w:rsidR="009B3F29" w:rsidRDefault="009B3F29" w:rsidP="009B3F29">
      <w:pPr>
        <w:pStyle w:val="a6"/>
        <w:rPr>
          <w:rFonts w:cs="Tahoma"/>
        </w:rPr>
      </w:pPr>
      <w:r>
        <w:t xml:space="preserve">Ni – the volume of </w:t>
      </w:r>
      <w:proofErr w:type="spellStart"/>
      <w:r>
        <w:t>i-th</w:t>
      </w:r>
      <w:proofErr w:type="spellEnd"/>
      <w:r>
        <w:t xml:space="preserve"> Bond issue, in securities units;</w:t>
      </w:r>
    </w:p>
    <w:p w14:paraId="5AC9F214" w14:textId="77777777" w:rsidR="009B3F29" w:rsidRPr="00DB49EC" w:rsidRDefault="009B3F29" w:rsidP="009B3F29">
      <w:pPr>
        <w:pStyle w:val="a6"/>
        <w:rPr>
          <w:rFonts w:cs="Tahoma"/>
        </w:rPr>
      </w:pPr>
      <w:r>
        <w:t xml:space="preserve">Ai – the Accumulated Coupon Income on the </w:t>
      </w:r>
      <w:proofErr w:type="spellStart"/>
      <w:r>
        <w:t>i-th</w:t>
      </w:r>
      <w:proofErr w:type="spellEnd"/>
      <w:r>
        <w:t xml:space="preserve"> Bond issue, in RUB;</w:t>
      </w:r>
    </w:p>
    <w:p w14:paraId="1058C488" w14:textId="77777777" w:rsidR="009B3F29" w:rsidRPr="0049027D" w:rsidRDefault="009B3F29" w:rsidP="009B3F29">
      <w:pPr>
        <w:pStyle w:val="a6"/>
        <w:rPr>
          <w:rFonts w:cs="Tahoma"/>
        </w:rPr>
      </w:pPr>
      <w:r>
        <w:t xml:space="preserve">Wi – the coefficient limiting the share of capitalisation of the </w:t>
      </w:r>
      <w:proofErr w:type="spellStart"/>
      <w:r>
        <w:t>i-th</w:t>
      </w:r>
      <w:proofErr w:type="spellEnd"/>
      <w:r>
        <w:t xml:space="preserve"> Bond (“Weighting Coefficient”) varying from 0 to 1 with seven decimal places accuracy subject to mathematical rounding.</w:t>
      </w:r>
    </w:p>
    <w:p w14:paraId="38785206" w14:textId="77777777" w:rsidR="009B3F29" w:rsidRPr="00DB49EC" w:rsidRDefault="009B3F29" w:rsidP="009B3F29">
      <w:pPr>
        <w:pStyle w:val="a6"/>
        <w:rPr>
          <w:rFonts w:cs="Tahoma"/>
        </w:rPr>
      </w:pPr>
    </w:p>
    <w:p w14:paraId="7AEF87FE" w14:textId="77777777" w:rsidR="009B3F29" w:rsidRDefault="009B3F29" w:rsidP="009B3F29">
      <w:pPr>
        <w:numPr>
          <w:ilvl w:val="1"/>
          <w:numId w:val="1"/>
        </w:numPr>
        <w:spacing w:after="0" w:line="240" w:lineRule="auto"/>
        <w:jc w:val="both"/>
        <w:rPr>
          <w:rFonts w:ascii="Tahoma" w:hAnsi="Tahoma" w:cs="Tahoma"/>
          <w:sz w:val="20"/>
          <w:szCs w:val="20"/>
        </w:rPr>
      </w:pPr>
      <w:r>
        <w:rPr>
          <w:rFonts w:ascii="Tahoma" w:hAnsi="Tahoma"/>
          <w:sz w:val="20"/>
        </w:rPr>
        <w:t>To meet the cap provided for in clause 4.1 hereof, the Weights of Bonds shall be adjusted as follows:</w:t>
      </w:r>
    </w:p>
    <w:p w14:paraId="524116FB" w14:textId="77777777" w:rsidR="009B3F29" w:rsidRDefault="009B3F29" w:rsidP="009B3F29">
      <w:pPr>
        <w:pStyle w:val="a3"/>
        <w:numPr>
          <w:ilvl w:val="4"/>
          <w:numId w:val="6"/>
        </w:numPr>
        <w:spacing w:after="0" w:line="240" w:lineRule="auto"/>
        <w:ind w:left="1843" w:hanging="403"/>
        <w:jc w:val="both"/>
        <w:rPr>
          <w:rFonts w:ascii="Tahoma" w:hAnsi="Tahoma" w:cs="Tahoma"/>
          <w:sz w:val="20"/>
          <w:szCs w:val="20"/>
        </w:rPr>
      </w:pPr>
      <w:r>
        <w:rPr>
          <w:rFonts w:ascii="Tahoma" w:hAnsi="Tahoma"/>
          <w:sz w:val="20"/>
        </w:rPr>
        <w:t>If the Weight of the Bond issue in the Index exceeds the value set out in clause 4.1 hereof, then the applicable Weight shall be deemed to be equal to such value.</w:t>
      </w:r>
    </w:p>
    <w:p w14:paraId="261B70D4" w14:textId="77777777" w:rsidR="009B3F29" w:rsidRDefault="009B3F29" w:rsidP="009B3F29">
      <w:pPr>
        <w:pStyle w:val="a3"/>
        <w:numPr>
          <w:ilvl w:val="4"/>
          <w:numId w:val="6"/>
        </w:numPr>
        <w:spacing w:after="0" w:line="240" w:lineRule="auto"/>
        <w:ind w:left="1843" w:hanging="403"/>
        <w:jc w:val="both"/>
        <w:rPr>
          <w:rFonts w:ascii="Tahoma" w:hAnsi="Tahoma" w:cs="Tahoma"/>
          <w:sz w:val="20"/>
          <w:szCs w:val="20"/>
        </w:rPr>
      </w:pPr>
      <w:bookmarkStart w:id="13" w:name="_Hlk31212518"/>
      <w:r>
        <w:rPr>
          <w:rFonts w:ascii="Tahoma" w:hAnsi="Tahoma"/>
          <w:sz w:val="20"/>
        </w:rPr>
        <w:t>The difference between the Weights before and after the cap adjustment is prorated between the Bonds, whose Weights were not subjected to cap adjustment.</w:t>
      </w:r>
    </w:p>
    <w:bookmarkEnd w:id="13"/>
    <w:p w14:paraId="05C44019" w14:textId="77777777" w:rsidR="009B3F29" w:rsidRDefault="009B3F29" w:rsidP="009B3F29">
      <w:pPr>
        <w:pStyle w:val="a3"/>
        <w:numPr>
          <w:ilvl w:val="4"/>
          <w:numId w:val="6"/>
        </w:numPr>
        <w:spacing w:after="0" w:line="240" w:lineRule="auto"/>
        <w:ind w:left="1843" w:hanging="403"/>
        <w:jc w:val="both"/>
        <w:rPr>
          <w:rFonts w:ascii="Tahoma" w:hAnsi="Tahoma" w:cs="Tahoma"/>
          <w:sz w:val="20"/>
          <w:szCs w:val="20"/>
        </w:rPr>
      </w:pPr>
      <w:r>
        <w:rPr>
          <w:rFonts w:ascii="Tahoma" w:hAnsi="Tahoma"/>
          <w:sz w:val="20"/>
        </w:rPr>
        <w:t xml:space="preserve">The above actions are repeated iteratively </w:t>
      </w:r>
      <w:proofErr w:type="gramStart"/>
      <w:r>
        <w:rPr>
          <w:rFonts w:ascii="Tahoma" w:hAnsi="Tahoma"/>
          <w:sz w:val="20"/>
        </w:rPr>
        <w:t>as long as</w:t>
      </w:r>
      <w:proofErr w:type="gramEnd"/>
      <w:r>
        <w:rPr>
          <w:rFonts w:ascii="Tahoma" w:hAnsi="Tahoma"/>
          <w:sz w:val="20"/>
        </w:rPr>
        <w:t xml:space="preserve"> there are Bonds having Weights exceeding the value set out in clause 4.1. hereof.</w:t>
      </w:r>
    </w:p>
    <w:p w14:paraId="54DBB2B5" w14:textId="77777777" w:rsidR="009B3F29" w:rsidRDefault="009B3F29" w:rsidP="009B3F29">
      <w:pPr>
        <w:numPr>
          <w:ilvl w:val="1"/>
          <w:numId w:val="1"/>
        </w:numPr>
        <w:spacing w:after="0" w:line="240" w:lineRule="auto"/>
        <w:jc w:val="both"/>
        <w:rPr>
          <w:rFonts w:ascii="Tahoma" w:hAnsi="Tahoma" w:cs="Tahoma"/>
          <w:sz w:val="20"/>
          <w:szCs w:val="20"/>
        </w:rPr>
      </w:pPr>
      <w:r>
        <w:rPr>
          <w:rFonts w:ascii="Tahoma" w:hAnsi="Tahoma"/>
          <w:sz w:val="20"/>
        </w:rPr>
        <w:t xml:space="preserve">If the share of the Bonds issue value on the date of review of the Index Constituents does not meet the requirements of clause 4.1 hereof, the Exchange has the right to set the Bond issue volume </w:t>
      </w:r>
      <w:proofErr w:type="gramStart"/>
      <w:r>
        <w:rPr>
          <w:rFonts w:ascii="Tahoma" w:hAnsi="Tahoma"/>
          <w:sz w:val="20"/>
        </w:rPr>
        <w:t>N</w:t>
      </w:r>
      <w:r>
        <w:rPr>
          <w:rFonts w:ascii="Tahoma" w:hAnsi="Tahoma"/>
          <w:sz w:val="20"/>
          <w:vertAlign w:val="subscript"/>
        </w:rPr>
        <w:t>i,t</w:t>
      </w:r>
      <w:proofErr w:type="gramEnd"/>
      <w:r>
        <w:rPr>
          <w:rFonts w:ascii="Tahoma" w:hAnsi="Tahoma"/>
          <w:sz w:val="20"/>
          <w:vertAlign w:val="subscript"/>
        </w:rPr>
        <w:t>-1</w:t>
      </w:r>
      <w:r>
        <w:rPr>
          <w:rFonts w:ascii="Tahoma" w:hAnsi="Tahoma"/>
          <w:sz w:val="20"/>
        </w:rPr>
        <w:t>, used to calculate the Indices in accordance with section 2 hereof, so that the share of the Bonds issue value does not exceed the value established by clause 4.1.</w:t>
      </w:r>
    </w:p>
    <w:p w14:paraId="0B63A95E" w14:textId="77777777" w:rsidR="009B3F29" w:rsidRDefault="009B3F29" w:rsidP="009B3F29">
      <w:pPr>
        <w:tabs>
          <w:tab w:val="left" w:pos="567"/>
          <w:tab w:val="left" w:pos="1560"/>
        </w:tabs>
        <w:rPr>
          <w:rFonts w:ascii="Tahoma" w:hAnsi="Tahoma" w:cs="Tahoma"/>
          <w:sz w:val="20"/>
          <w:szCs w:val="20"/>
        </w:rPr>
      </w:pPr>
    </w:p>
    <w:p w14:paraId="096525F0" w14:textId="77777777" w:rsidR="009B3F29" w:rsidRDefault="009B3F29" w:rsidP="009B3F29">
      <w:pPr>
        <w:tabs>
          <w:tab w:val="left" w:pos="567"/>
          <w:tab w:val="left" w:pos="1560"/>
        </w:tabs>
        <w:rPr>
          <w:rFonts w:ascii="Tahoma" w:hAnsi="Tahoma" w:cs="Tahoma"/>
          <w:sz w:val="20"/>
          <w:szCs w:val="20"/>
        </w:rPr>
      </w:pPr>
    </w:p>
    <w:p w14:paraId="086D10CD" w14:textId="77777777" w:rsidR="009B3F29" w:rsidRPr="00572289" w:rsidRDefault="009B3F29" w:rsidP="009B3F29">
      <w:pPr>
        <w:numPr>
          <w:ilvl w:val="0"/>
          <w:numId w:val="4"/>
        </w:numPr>
        <w:spacing w:after="0" w:line="240" w:lineRule="auto"/>
        <w:outlineLvl w:val="0"/>
        <w:rPr>
          <w:rFonts w:ascii="Tahoma" w:hAnsi="Tahoma" w:cs="Tahoma"/>
          <w:b/>
          <w:sz w:val="20"/>
          <w:szCs w:val="20"/>
        </w:rPr>
      </w:pPr>
      <w:bookmarkStart w:id="14" w:name="_Toc315171333"/>
      <w:bookmarkStart w:id="15" w:name="_Ref272826482"/>
      <w:bookmarkStart w:id="16" w:name="п_6_1"/>
      <w:bookmarkStart w:id="17" w:name="_Toc155943086"/>
      <w:r>
        <w:rPr>
          <w:rFonts w:ascii="Tahoma" w:hAnsi="Tahoma"/>
          <w:b/>
          <w:sz w:val="20"/>
        </w:rPr>
        <w:t>Index Calculation Control</w:t>
      </w:r>
      <w:bookmarkEnd w:id="14"/>
      <w:bookmarkEnd w:id="17"/>
    </w:p>
    <w:p w14:paraId="5B2A4D2E" w14:textId="77777777" w:rsidR="009B3F29" w:rsidRPr="00572289" w:rsidRDefault="009B3F29" w:rsidP="009B3F29">
      <w:pPr>
        <w:numPr>
          <w:ilvl w:val="1"/>
          <w:numId w:val="3"/>
        </w:numPr>
        <w:tabs>
          <w:tab w:val="left" w:pos="567"/>
          <w:tab w:val="left" w:pos="1560"/>
        </w:tabs>
        <w:spacing w:after="0" w:line="240" w:lineRule="auto"/>
        <w:jc w:val="both"/>
        <w:rPr>
          <w:rFonts w:ascii="Tahoma" w:hAnsi="Tahoma" w:cs="Tahoma"/>
          <w:sz w:val="20"/>
          <w:szCs w:val="20"/>
        </w:rPr>
      </w:pPr>
      <w:bookmarkStart w:id="18" w:name="_Toc13582203"/>
      <w:r>
        <w:rPr>
          <w:rFonts w:ascii="Tahoma" w:hAnsi="Tahoma"/>
          <w:sz w:val="20"/>
        </w:rPr>
        <w:t xml:space="preserve">In the event of circumstances that cause negative effect on the adequacy of the disclosure by Indices of the real state of the market, the Exchange may take any actions to ensure adequacy of the Index, </w:t>
      </w:r>
      <w:proofErr w:type="gramStart"/>
      <w:r>
        <w:rPr>
          <w:rFonts w:ascii="Tahoma" w:hAnsi="Tahoma"/>
          <w:sz w:val="20"/>
        </w:rPr>
        <w:t>e.g.</w:t>
      </w:r>
      <w:proofErr w:type="gramEnd"/>
      <w:r>
        <w:rPr>
          <w:rFonts w:ascii="Tahoma" w:hAnsi="Tahoma"/>
          <w:sz w:val="20"/>
        </w:rPr>
        <w:t xml:space="preserve"> remove Bonds from Index Constituents.</w:t>
      </w:r>
      <w:bookmarkEnd w:id="18"/>
    </w:p>
    <w:p w14:paraId="00DFCD35" w14:textId="77777777" w:rsidR="009B3F29" w:rsidRPr="00033C3D" w:rsidRDefault="009B3F29" w:rsidP="009B3F29">
      <w:pPr>
        <w:widowControl w:val="0"/>
        <w:spacing w:before="100" w:after="120" w:line="276" w:lineRule="auto"/>
        <w:jc w:val="both"/>
        <w:rPr>
          <w:rFonts w:ascii="Tahoma" w:hAnsi="Tahoma" w:cs="Tahoma"/>
          <w:sz w:val="20"/>
          <w:szCs w:val="20"/>
        </w:rPr>
      </w:pPr>
    </w:p>
    <w:p w14:paraId="24D02885" w14:textId="77777777" w:rsidR="009B3F29" w:rsidRPr="00AD56BB" w:rsidRDefault="009B3F29" w:rsidP="009B3F29">
      <w:pPr>
        <w:numPr>
          <w:ilvl w:val="0"/>
          <w:numId w:val="4"/>
        </w:numPr>
        <w:spacing w:after="0" w:line="240" w:lineRule="auto"/>
        <w:outlineLvl w:val="0"/>
        <w:rPr>
          <w:rFonts w:ascii="Tahoma" w:hAnsi="Tahoma" w:cs="Tahoma"/>
          <w:b/>
          <w:sz w:val="20"/>
          <w:szCs w:val="20"/>
        </w:rPr>
      </w:pPr>
      <w:bookmarkStart w:id="19" w:name="_Toc155943087"/>
      <w:bookmarkEnd w:id="15"/>
      <w:bookmarkEnd w:id="16"/>
      <w:r>
        <w:rPr>
          <w:rFonts w:ascii="Tahoma" w:hAnsi="Tahoma"/>
          <w:b/>
          <w:sz w:val="20"/>
        </w:rPr>
        <w:lastRenderedPageBreak/>
        <w:t>Disclosure</w:t>
      </w:r>
      <w:bookmarkEnd w:id="19"/>
    </w:p>
    <w:p w14:paraId="60AF4DFB" w14:textId="77777777" w:rsidR="009B3F29" w:rsidRDefault="009B3F29" w:rsidP="009B3F29">
      <w:pPr>
        <w:numPr>
          <w:ilvl w:val="1"/>
          <w:numId w:val="3"/>
        </w:numPr>
        <w:tabs>
          <w:tab w:val="left" w:pos="567"/>
          <w:tab w:val="left" w:pos="1560"/>
        </w:tabs>
        <w:spacing w:after="0" w:line="240" w:lineRule="auto"/>
        <w:jc w:val="both"/>
        <w:rPr>
          <w:rFonts w:ascii="Tahoma" w:hAnsi="Tahoma" w:cs="Tahoma"/>
          <w:sz w:val="20"/>
          <w:szCs w:val="20"/>
        </w:rPr>
      </w:pPr>
      <w:r>
        <w:rPr>
          <w:rFonts w:ascii="Tahoma" w:hAnsi="Tahoma"/>
          <w:sz w:val="20"/>
        </w:rPr>
        <w:t>Information disclosure stipulated in this Methodology is performed on the Exchange’s website.</w:t>
      </w:r>
    </w:p>
    <w:p w14:paraId="404F8F75" w14:textId="77777777" w:rsidR="009B3F29" w:rsidRPr="00FD04CE" w:rsidRDefault="009B3F29" w:rsidP="009B3F29">
      <w:pPr>
        <w:numPr>
          <w:ilvl w:val="1"/>
          <w:numId w:val="3"/>
        </w:numPr>
        <w:tabs>
          <w:tab w:val="left" w:pos="567"/>
          <w:tab w:val="left" w:pos="1560"/>
        </w:tabs>
        <w:spacing w:after="0" w:line="240" w:lineRule="auto"/>
        <w:jc w:val="both"/>
        <w:rPr>
          <w:rFonts w:ascii="Tahoma" w:hAnsi="Tahoma" w:cs="Tahoma"/>
          <w:sz w:val="20"/>
          <w:szCs w:val="20"/>
        </w:rPr>
      </w:pPr>
      <w:r>
        <w:rPr>
          <w:rFonts w:ascii="Tahoma" w:hAnsi="Tahoma"/>
          <w:sz w:val="20"/>
        </w:rPr>
        <w:t>The Exchange discloses the Index value for the previous trading day every trading day no later than 12:00 MSK.</w:t>
      </w:r>
    </w:p>
    <w:p w14:paraId="473F41A3" w14:textId="77777777" w:rsidR="009B3F29" w:rsidRPr="00434DA7" w:rsidRDefault="009B3F29" w:rsidP="009B3F29">
      <w:pPr>
        <w:numPr>
          <w:ilvl w:val="1"/>
          <w:numId w:val="3"/>
        </w:numPr>
        <w:tabs>
          <w:tab w:val="left" w:pos="567"/>
          <w:tab w:val="left" w:pos="1560"/>
        </w:tabs>
        <w:spacing w:after="0" w:line="240" w:lineRule="auto"/>
        <w:jc w:val="both"/>
        <w:rPr>
          <w:rFonts w:ascii="Tahoma" w:hAnsi="Tahoma" w:cs="Tahoma"/>
          <w:sz w:val="20"/>
          <w:szCs w:val="20"/>
        </w:rPr>
      </w:pPr>
      <w:r>
        <w:rPr>
          <w:rFonts w:ascii="Tahoma" w:hAnsi="Tahoma"/>
          <w:sz w:val="20"/>
        </w:rPr>
        <w:t xml:space="preserve">The text of this Methodology is disclosed on the official website of the Exchange on the Internet no later than three (3) working days before its effective </w:t>
      </w:r>
      <w:proofErr w:type="gramStart"/>
      <w:r>
        <w:rPr>
          <w:rFonts w:ascii="Tahoma" w:hAnsi="Tahoma"/>
          <w:sz w:val="20"/>
        </w:rPr>
        <w:t>date, unless</w:t>
      </w:r>
      <w:proofErr w:type="gramEnd"/>
      <w:r>
        <w:rPr>
          <w:rFonts w:ascii="Tahoma" w:hAnsi="Tahoma"/>
          <w:sz w:val="20"/>
        </w:rPr>
        <w:t xml:space="preserve"> the Exchange's resolution stipulates otherwise.</w:t>
      </w:r>
    </w:p>
    <w:p w14:paraId="60C5E4A7" w14:textId="77777777" w:rsidR="009B3F29" w:rsidRPr="00456EEF" w:rsidRDefault="009B3F29" w:rsidP="009B3F29">
      <w:pPr>
        <w:numPr>
          <w:ilvl w:val="1"/>
          <w:numId w:val="3"/>
        </w:numPr>
        <w:tabs>
          <w:tab w:val="left" w:pos="567"/>
          <w:tab w:val="left" w:pos="1560"/>
        </w:tabs>
        <w:spacing w:after="0" w:line="240" w:lineRule="auto"/>
        <w:jc w:val="both"/>
        <w:rPr>
          <w:rFonts w:ascii="Tahoma" w:hAnsi="Tahoma" w:cs="Tahoma"/>
          <w:sz w:val="20"/>
          <w:szCs w:val="20"/>
        </w:rPr>
      </w:pPr>
      <w:r>
        <w:rPr>
          <w:rFonts w:ascii="Tahoma" w:hAnsi="Tahoma"/>
          <w:sz w:val="20"/>
        </w:rPr>
        <w:t>Announcements on regular index reviews are posted on the Exchange’s official website no later than two (2) weeks before the Exchange's resolution about approval of the new Index Constituents becomes effective.</w:t>
      </w:r>
    </w:p>
    <w:p w14:paraId="22E1BDBA" w14:textId="77777777" w:rsidR="009B3F29" w:rsidRPr="00456EEF" w:rsidRDefault="009B3F29" w:rsidP="009B3F29">
      <w:pPr>
        <w:numPr>
          <w:ilvl w:val="1"/>
          <w:numId w:val="3"/>
        </w:numPr>
        <w:tabs>
          <w:tab w:val="left" w:pos="567"/>
          <w:tab w:val="left" w:pos="1560"/>
        </w:tabs>
        <w:spacing w:after="0" w:line="240" w:lineRule="auto"/>
        <w:jc w:val="both"/>
        <w:rPr>
          <w:rFonts w:ascii="Tahoma" w:hAnsi="Tahoma" w:cs="Tahoma"/>
          <w:sz w:val="20"/>
          <w:szCs w:val="20"/>
        </w:rPr>
      </w:pPr>
      <w:r>
        <w:rPr>
          <w:rFonts w:ascii="Tahoma" w:hAnsi="Tahoma"/>
          <w:sz w:val="20"/>
        </w:rPr>
        <w:t>Announcements of the index extraordinary reviews are posted on the Exchange’s official website no later than on the trading day preceding the day on which a resolution about approval of new List of Constituents becomes effective.</w:t>
      </w:r>
    </w:p>
    <w:p w14:paraId="493840FE" w14:textId="77777777" w:rsidR="009B3F29" w:rsidRDefault="009B3F29" w:rsidP="009B3F29">
      <w:pPr>
        <w:numPr>
          <w:ilvl w:val="1"/>
          <w:numId w:val="3"/>
        </w:numPr>
        <w:tabs>
          <w:tab w:val="left" w:pos="567"/>
          <w:tab w:val="left" w:pos="1560"/>
        </w:tabs>
        <w:spacing w:after="0" w:line="240" w:lineRule="auto"/>
        <w:jc w:val="both"/>
        <w:rPr>
          <w:rFonts w:ascii="Tahoma" w:hAnsi="Tahoma" w:cs="Tahoma"/>
          <w:sz w:val="20"/>
          <w:szCs w:val="20"/>
        </w:rPr>
      </w:pPr>
      <w:r>
        <w:rPr>
          <w:rFonts w:ascii="Tahoma" w:hAnsi="Tahoma"/>
          <w:sz w:val="20"/>
        </w:rPr>
        <w:t xml:space="preserve">Information to be disclosed according to the Methodology on the website of the Exchange may also be disseminated in other ways, </w:t>
      </w:r>
      <w:proofErr w:type="gramStart"/>
      <w:r>
        <w:rPr>
          <w:rFonts w:ascii="Tahoma" w:hAnsi="Tahoma"/>
          <w:sz w:val="20"/>
        </w:rPr>
        <w:t>e.g.</w:t>
      </w:r>
      <w:proofErr w:type="gramEnd"/>
      <w:r>
        <w:rPr>
          <w:rFonts w:ascii="Tahoma" w:hAnsi="Tahoma"/>
          <w:sz w:val="20"/>
        </w:rPr>
        <w:t xml:space="preserve"> through information agencies spreading information about on-Exchange trades in securities.</w:t>
      </w:r>
    </w:p>
    <w:p w14:paraId="0E222180" w14:textId="77777777" w:rsidR="005D2665" w:rsidRDefault="002E596C"/>
    <w:sectPr w:rsidR="005D26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E210D"/>
    <w:multiLevelType w:val="multilevel"/>
    <w:tmpl w:val="4612B39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3ED4F3E"/>
    <w:multiLevelType w:val="multilevel"/>
    <w:tmpl w:val="76D2C37E"/>
    <w:lvl w:ilvl="0">
      <w:start w:val="1"/>
      <w:numFmt w:val="decimal"/>
      <w:lvlText w:val="%1."/>
      <w:lvlJc w:val="left"/>
      <w:pPr>
        <w:tabs>
          <w:tab w:val="num" w:pos="0"/>
        </w:tabs>
        <w:ind w:left="0" w:firstLine="0"/>
      </w:pPr>
      <w:rPr>
        <w:rFonts w:ascii="Arial" w:hAnsi="Arial" w:hint="default"/>
        <w:b/>
        <w:i w:val="0"/>
        <w:sz w:val="24"/>
        <w:szCs w:val="24"/>
      </w:rPr>
    </w:lvl>
    <w:lvl w:ilvl="1">
      <w:start w:val="1"/>
      <w:numFmt w:val="bullet"/>
      <w:lvlText w:val=""/>
      <w:lvlJc w:val="left"/>
      <w:pPr>
        <w:tabs>
          <w:tab w:val="num" w:pos="792"/>
        </w:tabs>
        <w:ind w:left="792" w:hanging="432"/>
      </w:pPr>
      <w:rPr>
        <w:rFonts w:ascii="Symbol" w:hAnsi="Symbol" w:hint="default"/>
        <w:sz w:val="24"/>
        <w:szCs w:val="24"/>
      </w:rPr>
    </w:lvl>
    <w:lvl w:ilvl="2">
      <w:start w:val="1"/>
      <w:numFmt w:val="decimal"/>
      <w:lvlText w:val="%1.%2.%3."/>
      <w:lvlJc w:val="left"/>
      <w:pPr>
        <w:tabs>
          <w:tab w:val="num" w:pos="1440"/>
        </w:tabs>
        <w:ind w:left="1440" w:hanging="720"/>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540C289A"/>
    <w:multiLevelType w:val="multilevel"/>
    <w:tmpl w:val="708C4DF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Tahoma" w:hAnsi="Tahoma" w:cs="Tahoma" w:hint="default"/>
        <w:b w:val="0"/>
        <w:sz w:val="22"/>
        <w:szCs w:val="20"/>
      </w:rPr>
    </w:lvl>
    <w:lvl w:ilvl="2">
      <w:start w:val="1"/>
      <w:numFmt w:val="decimal"/>
      <w:lvlText w:val="%1.%2.%3."/>
      <w:lvlJc w:val="left"/>
      <w:pPr>
        <w:tabs>
          <w:tab w:val="num" w:pos="504"/>
        </w:tabs>
        <w:ind w:left="50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5F6740AD"/>
    <w:multiLevelType w:val="hybridMultilevel"/>
    <w:tmpl w:val="B6BE399C"/>
    <w:lvl w:ilvl="0" w:tplc="04190001">
      <w:start w:val="1"/>
      <w:numFmt w:val="bullet"/>
      <w:lvlText w:val=""/>
      <w:lvlJc w:val="left"/>
      <w:pPr>
        <w:ind w:left="1332" w:hanging="360"/>
      </w:pPr>
      <w:rPr>
        <w:rFonts w:ascii="Symbol" w:hAnsi="Symbol" w:hint="default"/>
      </w:rPr>
    </w:lvl>
    <w:lvl w:ilvl="1" w:tplc="04190003">
      <w:start w:val="1"/>
      <w:numFmt w:val="bullet"/>
      <w:lvlText w:val="o"/>
      <w:lvlJc w:val="left"/>
      <w:pPr>
        <w:ind w:left="2052" w:hanging="360"/>
      </w:pPr>
      <w:rPr>
        <w:rFonts w:ascii="Courier New" w:hAnsi="Courier New" w:cs="Courier New" w:hint="default"/>
      </w:rPr>
    </w:lvl>
    <w:lvl w:ilvl="2" w:tplc="04190005">
      <w:start w:val="1"/>
      <w:numFmt w:val="bullet"/>
      <w:lvlText w:val=""/>
      <w:lvlJc w:val="left"/>
      <w:pPr>
        <w:ind w:left="2772" w:hanging="360"/>
      </w:pPr>
      <w:rPr>
        <w:rFonts w:ascii="Wingdings" w:hAnsi="Wingdings" w:hint="default"/>
      </w:rPr>
    </w:lvl>
    <w:lvl w:ilvl="3" w:tplc="04190001">
      <w:start w:val="1"/>
      <w:numFmt w:val="bullet"/>
      <w:lvlText w:val=""/>
      <w:lvlJc w:val="left"/>
      <w:pPr>
        <w:ind w:left="3492" w:hanging="360"/>
      </w:pPr>
      <w:rPr>
        <w:rFonts w:ascii="Symbol" w:hAnsi="Symbol" w:hint="default"/>
      </w:rPr>
    </w:lvl>
    <w:lvl w:ilvl="4" w:tplc="04190003">
      <w:start w:val="1"/>
      <w:numFmt w:val="bullet"/>
      <w:lvlText w:val="o"/>
      <w:lvlJc w:val="left"/>
      <w:pPr>
        <w:ind w:left="4212" w:hanging="360"/>
      </w:pPr>
      <w:rPr>
        <w:rFonts w:ascii="Courier New" w:hAnsi="Courier New" w:cs="Courier New" w:hint="default"/>
      </w:rPr>
    </w:lvl>
    <w:lvl w:ilvl="5" w:tplc="04190005">
      <w:start w:val="1"/>
      <w:numFmt w:val="bullet"/>
      <w:lvlText w:val=""/>
      <w:lvlJc w:val="left"/>
      <w:pPr>
        <w:ind w:left="4932" w:hanging="360"/>
      </w:pPr>
      <w:rPr>
        <w:rFonts w:ascii="Wingdings" w:hAnsi="Wingdings" w:hint="default"/>
      </w:rPr>
    </w:lvl>
    <w:lvl w:ilvl="6" w:tplc="04190001">
      <w:start w:val="1"/>
      <w:numFmt w:val="bullet"/>
      <w:lvlText w:val=""/>
      <w:lvlJc w:val="left"/>
      <w:pPr>
        <w:ind w:left="5652" w:hanging="360"/>
      </w:pPr>
      <w:rPr>
        <w:rFonts w:ascii="Symbol" w:hAnsi="Symbol" w:hint="default"/>
      </w:rPr>
    </w:lvl>
    <w:lvl w:ilvl="7" w:tplc="04190003">
      <w:start w:val="1"/>
      <w:numFmt w:val="bullet"/>
      <w:lvlText w:val="o"/>
      <w:lvlJc w:val="left"/>
      <w:pPr>
        <w:ind w:left="6372" w:hanging="360"/>
      </w:pPr>
      <w:rPr>
        <w:rFonts w:ascii="Courier New" w:hAnsi="Courier New" w:cs="Courier New" w:hint="default"/>
      </w:rPr>
    </w:lvl>
    <w:lvl w:ilvl="8" w:tplc="04190005">
      <w:start w:val="1"/>
      <w:numFmt w:val="bullet"/>
      <w:lvlText w:val=""/>
      <w:lvlJc w:val="left"/>
      <w:pPr>
        <w:ind w:left="7092"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lvlOverride w:ilvl="0">
      <w:lvl w:ilvl="0">
        <w:start w:val="1"/>
        <w:numFmt w:val="decimal"/>
        <w:lvlText w:val="%1."/>
        <w:lvlJc w:val="left"/>
        <w:pPr>
          <w:tabs>
            <w:tab w:val="num" w:pos="360"/>
          </w:tabs>
          <w:ind w:left="360" w:hanging="360"/>
        </w:pPr>
        <w:rPr>
          <w:rFonts w:cs="Times New Roman"/>
        </w:rPr>
      </w:lvl>
    </w:lvlOverride>
    <w:lvlOverride w:ilvl="1">
      <w:lvl w:ilvl="1">
        <w:start w:val="1"/>
        <w:numFmt w:val="decimal"/>
        <w:lvlText w:val="%1.%2."/>
        <w:lvlJc w:val="left"/>
        <w:pPr>
          <w:tabs>
            <w:tab w:val="num" w:pos="972"/>
          </w:tabs>
          <w:ind w:left="972" w:hanging="432"/>
        </w:pPr>
        <w:rPr>
          <w:rFonts w:ascii="Arial" w:hAnsi="Arial" w:cs="Arial" w:hint="default"/>
          <w:b w:val="0"/>
          <w:sz w:val="20"/>
          <w:szCs w:val="20"/>
        </w:rPr>
      </w:lvl>
    </w:lvlOverride>
    <w:lvlOverride w:ilvl="2">
      <w:lvl w:ilvl="2">
        <w:start w:val="1"/>
        <w:numFmt w:val="decimal"/>
        <w:lvlText w:val="%1.%2.%3."/>
        <w:lvlJc w:val="left"/>
        <w:pPr>
          <w:tabs>
            <w:tab w:val="num" w:pos="504"/>
          </w:tabs>
          <w:ind w:left="504" w:hanging="504"/>
        </w:pPr>
        <w:rPr>
          <w:rFonts w:cs="Times New Roman"/>
        </w:rPr>
      </w:lvl>
    </w:lvlOverride>
    <w:lvlOverride w:ilvl="3">
      <w:lvl w:ilvl="3">
        <w:start w:val="1"/>
        <w:numFmt w:val="decimal"/>
        <w:lvlText w:val="%1.%2.%3.%4."/>
        <w:lvlJc w:val="left"/>
        <w:pPr>
          <w:tabs>
            <w:tab w:val="num" w:pos="1800"/>
          </w:tabs>
          <w:ind w:left="1728" w:hanging="648"/>
        </w:pPr>
        <w:rPr>
          <w:rFonts w:cs="Times New Roman"/>
        </w:rPr>
      </w:lvl>
    </w:lvlOverride>
    <w:lvlOverride w:ilvl="4">
      <w:lvl w:ilvl="4">
        <w:start w:val="1"/>
        <w:numFmt w:val="decimal"/>
        <w:lvlText w:val="%1.%2.%3.%4.%5."/>
        <w:lvlJc w:val="left"/>
        <w:pPr>
          <w:tabs>
            <w:tab w:val="num" w:pos="2520"/>
          </w:tabs>
          <w:ind w:left="2232" w:hanging="792"/>
        </w:pPr>
        <w:rPr>
          <w:rFonts w:cs="Times New Roman"/>
        </w:rPr>
      </w:lvl>
    </w:lvlOverride>
    <w:lvlOverride w:ilvl="5">
      <w:lvl w:ilvl="5">
        <w:start w:val="1"/>
        <w:numFmt w:val="decimal"/>
        <w:lvlText w:val="%1.%2.%3.%4.%5.%6."/>
        <w:lvlJc w:val="left"/>
        <w:pPr>
          <w:tabs>
            <w:tab w:val="num" w:pos="2880"/>
          </w:tabs>
          <w:ind w:left="2736" w:hanging="936"/>
        </w:pPr>
        <w:rPr>
          <w:rFonts w:cs="Times New Roman"/>
        </w:rPr>
      </w:lvl>
    </w:lvlOverride>
    <w:lvlOverride w:ilvl="6">
      <w:lvl w:ilvl="6">
        <w:start w:val="1"/>
        <w:numFmt w:val="decimal"/>
        <w:lvlText w:val="%1.%2.%3.%4.%5.%6.%7."/>
        <w:lvlJc w:val="left"/>
        <w:pPr>
          <w:tabs>
            <w:tab w:val="num" w:pos="3600"/>
          </w:tabs>
          <w:ind w:left="3240" w:hanging="1080"/>
        </w:pPr>
        <w:rPr>
          <w:rFonts w:cs="Times New Roman"/>
        </w:rPr>
      </w:lvl>
    </w:lvlOverride>
    <w:lvlOverride w:ilvl="7">
      <w:lvl w:ilvl="7">
        <w:start w:val="1"/>
        <w:numFmt w:val="decimal"/>
        <w:lvlText w:val="%1.%2.%3.%4.%5.%6.%7.%8."/>
        <w:lvlJc w:val="left"/>
        <w:pPr>
          <w:tabs>
            <w:tab w:val="num" w:pos="3960"/>
          </w:tabs>
          <w:ind w:left="3744" w:hanging="1224"/>
        </w:pPr>
        <w:rPr>
          <w:rFonts w:cs="Times New Roman"/>
        </w:rPr>
      </w:lvl>
    </w:lvlOverride>
    <w:lvlOverride w:ilvl="8">
      <w:lvl w:ilvl="8">
        <w:start w:val="1"/>
        <w:numFmt w:val="decimal"/>
        <w:lvlText w:val="%1.%2.%3.%4.%5.%6.%7.%8.%9."/>
        <w:lvlJc w:val="left"/>
        <w:pPr>
          <w:tabs>
            <w:tab w:val="num" w:pos="4680"/>
          </w:tabs>
          <w:ind w:left="4320" w:hanging="1440"/>
        </w:pPr>
        <w:rPr>
          <w:rFonts w:cs="Times New Roman"/>
        </w:rPr>
      </w:lvl>
    </w:lvlOverride>
  </w:num>
  <w:num w:numId="4">
    <w:abstractNumId w:val="2"/>
  </w:num>
  <w:num w:numId="5">
    <w:abstractNumId w:val="1"/>
  </w:num>
  <w:num w:numId="6">
    <w:abstractNumId w:val="0"/>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F29"/>
    <w:rsid w:val="00145F2E"/>
    <w:rsid w:val="002E596C"/>
    <w:rsid w:val="003B255E"/>
    <w:rsid w:val="006520F2"/>
    <w:rsid w:val="007E6E48"/>
    <w:rsid w:val="009B3F29"/>
    <w:rsid w:val="00DA567F"/>
    <w:rsid w:val="00DB7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07538"/>
  <w15:chartTrackingRefBased/>
  <w15:docId w15:val="{C0FA81C9-AC53-4F67-9D3C-3F7FF2D63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F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3F29"/>
    <w:pPr>
      <w:ind w:left="720"/>
      <w:contextualSpacing/>
    </w:pPr>
  </w:style>
  <w:style w:type="character" w:styleId="a4">
    <w:name w:val="Hyperlink"/>
    <w:uiPriority w:val="99"/>
    <w:rsid w:val="009B3F29"/>
    <w:rPr>
      <w:color w:val="0000FF"/>
      <w:u w:val="single"/>
    </w:rPr>
  </w:style>
  <w:style w:type="character" w:styleId="a5">
    <w:name w:val="Emphasis"/>
    <w:aliases w:val="Глава 3"/>
    <w:qFormat/>
    <w:rsid w:val="009B3F29"/>
    <w:rPr>
      <w:rFonts w:ascii="Arial" w:hAnsi="Arial" w:cs="Arial" w:hint="default"/>
      <w:i w:val="0"/>
      <w:iCs w:val="0"/>
      <w:sz w:val="20"/>
      <w:szCs w:val="20"/>
    </w:rPr>
  </w:style>
  <w:style w:type="paragraph" w:styleId="3">
    <w:name w:val="Body Text 3"/>
    <w:basedOn w:val="a"/>
    <w:link w:val="30"/>
    <w:unhideWhenUsed/>
    <w:rsid w:val="009B3F29"/>
    <w:pPr>
      <w:spacing w:before="120" w:after="0" w:line="240" w:lineRule="auto"/>
      <w:jc w:val="both"/>
    </w:pPr>
    <w:rPr>
      <w:rFonts w:ascii="Arial" w:eastAsia="Times New Roman" w:hAnsi="Arial" w:cs="Arial"/>
      <w:sz w:val="20"/>
      <w:szCs w:val="20"/>
      <w:lang w:eastAsia="ru-RU"/>
    </w:rPr>
  </w:style>
  <w:style w:type="character" w:customStyle="1" w:styleId="30">
    <w:name w:val="Основной текст 3 Знак"/>
    <w:basedOn w:val="a0"/>
    <w:link w:val="3"/>
    <w:rsid w:val="009B3F29"/>
    <w:rPr>
      <w:rFonts w:ascii="Arial" w:eastAsia="Times New Roman" w:hAnsi="Arial" w:cs="Arial"/>
      <w:sz w:val="20"/>
      <w:szCs w:val="20"/>
      <w:lang w:eastAsia="ru-RU"/>
    </w:rPr>
  </w:style>
  <w:style w:type="paragraph" w:customStyle="1" w:styleId="a6">
    <w:name w:val="Уровень Формул текст"/>
    <w:basedOn w:val="a"/>
    <w:link w:val="a7"/>
    <w:qFormat/>
    <w:rsid w:val="009B3F29"/>
    <w:pPr>
      <w:spacing w:after="120" w:line="240" w:lineRule="auto"/>
      <w:ind w:left="1559"/>
      <w:contextualSpacing/>
      <w:jc w:val="both"/>
    </w:pPr>
    <w:rPr>
      <w:rFonts w:ascii="Tahoma" w:eastAsia="Times New Roman" w:hAnsi="Tahoma" w:cs="Arial"/>
      <w:sz w:val="20"/>
      <w:szCs w:val="20"/>
      <w:lang w:eastAsia="ru-RU"/>
    </w:rPr>
  </w:style>
  <w:style w:type="character" w:customStyle="1" w:styleId="a7">
    <w:name w:val="Уровень Формул текст Знак"/>
    <w:link w:val="a6"/>
    <w:rsid w:val="009B3F29"/>
    <w:rPr>
      <w:rFonts w:ascii="Tahoma" w:eastAsia="Times New Roman" w:hAnsi="Tahoma" w:cs="Arial"/>
      <w:sz w:val="20"/>
      <w:szCs w:val="20"/>
      <w:lang w:eastAsia="ru-RU"/>
    </w:rPr>
  </w:style>
  <w:style w:type="paragraph" w:styleId="1">
    <w:name w:val="toc 1"/>
    <w:basedOn w:val="a"/>
    <w:next w:val="a"/>
    <w:autoRedefine/>
    <w:uiPriority w:val="39"/>
    <w:rsid w:val="009B3F29"/>
    <w:pPr>
      <w:widowControl w:val="0"/>
      <w:tabs>
        <w:tab w:val="left" w:pos="480"/>
        <w:tab w:val="right" w:leader="dot" w:pos="9344"/>
      </w:tabs>
      <w:spacing w:before="120" w:after="120" w:line="240" w:lineRule="auto"/>
      <w:ind w:left="68"/>
    </w:pPr>
    <w:rPr>
      <w:rFonts w:ascii="Arial" w:eastAsia="Times New Roman" w:hAnsi="Arial" w:cs="Arial"/>
      <w:b/>
      <w:bCs/>
      <w:caps/>
      <w:sz w:val="24"/>
      <w:szCs w:val="24"/>
      <w:lang w:eastAsia="ru-RU"/>
    </w:rPr>
  </w:style>
  <w:style w:type="character" w:customStyle="1" w:styleId="a8">
    <w:name w:val="Уровень Формул Знак"/>
    <w:link w:val="a9"/>
    <w:locked/>
    <w:rsid w:val="009B3F29"/>
    <w:rPr>
      <w:rFonts w:ascii="Cambria Math" w:hAnsi="Cambria Math" w:cs="Arial"/>
      <w:i/>
      <w:sz w:val="24"/>
      <w:lang w:val="en-GB"/>
    </w:rPr>
  </w:style>
  <w:style w:type="paragraph" w:customStyle="1" w:styleId="a9">
    <w:name w:val="Уровень Формул"/>
    <w:basedOn w:val="a"/>
    <w:link w:val="a8"/>
    <w:qFormat/>
    <w:rsid w:val="009B3F29"/>
    <w:pPr>
      <w:spacing w:before="240" w:after="240" w:line="240" w:lineRule="auto"/>
      <w:jc w:val="both"/>
    </w:pPr>
    <w:rPr>
      <w:rFonts w:ascii="Cambria Math" w:hAnsi="Cambria Math" w:cs="Arial"/>
      <w:i/>
      <w:sz w:val="24"/>
    </w:rPr>
  </w:style>
  <w:style w:type="paragraph" w:styleId="aa">
    <w:name w:val="Body Text"/>
    <w:basedOn w:val="a"/>
    <w:link w:val="ab"/>
    <w:uiPriority w:val="99"/>
    <w:semiHidden/>
    <w:unhideWhenUsed/>
    <w:rsid w:val="009B3F29"/>
    <w:pPr>
      <w:spacing w:after="120"/>
    </w:pPr>
  </w:style>
  <w:style w:type="character" w:customStyle="1" w:styleId="ab">
    <w:name w:val="Основной текст Знак"/>
    <w:basedOn w:val="a0"/>
    <w:link w:val="aa"/>
    <w:uiPriority w:val="99"/>
    <w:semiHidden/>
    <w:rsid w:val="009B3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1506</Words>
  <Characters>10143</Characters>
  <Application>Microsoft Office Word</Application>
  <DocSecurity>0</DocSecurity>
  <Lines>266</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Губин Денис Борисович</dc:creator>
  <cp:keywords/>
  <dc:description/>
  <cp:lastModifiedBy>Силаева Светлана Викторовна</cp:lastModifiedBy>
  <cp:revision>3</cp:revision>
  <dcterms:created xsi:type="dcterms:W3CDTF">2021-09-14T14:10:00Z</dcterms:created>
  <dcterms:modified xsi:type="dcterms:W3CDTF">2024-01-12T06:13:00Z</dcterms:modified>
</cp:coreProperties>
</file>