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F4B10" w:rsidRPr="004D0EA6" w:rsidRDefault="00CF4B10" w:rsidP="00216059">
      <w:pPr>
        <w:spacing w:after="60"/>
        <w:rPr>
          <w:rFonts w:ascii="Tahoma" w:hAnsi="Tahoma" w:cs="Tahoma"/>
          <w:b/>
          <w:lang w:val="en-GB"/>
        </w:rPr>
      </w:pPr>
      <w:r w:rsidRPr="004D0EA6">
        <w:rPr>
          <w:rFonts w:ascii="Tahoma" w:hAnsi="Tahoma" w:cs="Tahoma"/>
          <w:b/>
          <w:lang w:val="en-GB"/>
        </w:rPr>
        <w:t xml:space="preserve">Approved </w:t>
      </w:r>
    </w:p>
    <w:p w:rsidR="00CF4B10" w:rsidRPr="004D0EA6" w:rsidRDefault="00CF4B10" w:rsidP="00216059">
      <w:pPr>
        <w:spacing w:after="60"/>
        <w:rPr>
          <w:rFonts w:ascii="Tahoma" w:hAnsi="Tahoma" w:cs="Tahoma"/>
          <w:b/>
          <w:lang w:val="en-GB"/>
        </w:rPr>
      </w:pPr>
      <w:r w:rsidRPr="004D0EA6">
        <w:rPr>
          <w:rFonts w:ascii="Tahoma" w:hAnsi="Tahoma" w:cs="Tahoma"/>
          <w:b/>
          <w:lang w:val="en-GB"/>
        </w:rPr>
        <w:t xml:space="preserve">by the </w:t>
      </w:r>
      <w:r w:rsidR="00216059" w:rsidRPr="004D0EA6">
        <w:rPr>
          <w:rFonts w:ascii="Tahoma" w:hAnsi="Tahoma" w:cs="Tahoma"/>
          <w:b/>
          <w:lang w:val="en-GB"/>
        </w:rPr>
        <w:t>E</w:t>
      </w:r>
      <w:r w:rsidRPr="004D0EA6">
        <w:rPr>
          <w:rFonts w:ascii="Tahoma" w:hAnsi="Tahoma" w:cs="Tahoma"/>
          <w:b/>
          <w:lang w:val="en-GB"/>
        </w:rPr>
        <w:t xml:space="preserve">xecutive Board </w:t>
      </w:r>
    </w:p>
    <w:p w:rsidR="00216059" w:rsidRPr="004D0EA6" w:rsidRDefault="00216059" w:rsidP="00216059">
      <w:pPr>
        <w:spacing w:after="60"/>
        <w:rPr>
          <w:rFonts w:ascii="Tahoma" w:hAnsi="Tahoma" w:cs="Tahoma"/>
          <w:b/>
          <w:lang w:val="en-GB"/>
        </w:rPr>
      </w:pPr>
      <w:r w:rsidRPr="004D0EA6">
        <w:rPr>
          <w:rFonts w:ascii="Tahoma" w:hAnsi="Tahoma" w:cs="Tahoma"/>
          <w:b/>
          <w:lang w:val="en-GB"/>
        </w:rPr>
        <w:t>Moscow Exchange</w:t>
      </w:r>
    </w:p>
    <w:p w:rsidR="00216059" w:rsidRPr="004D0EA6" w:rsidRDefault="00855609" w:rsidP="00216059">
      <w:pPr>
        <w:spacing w:after="60"/>
        <w:rPr>
          <w:rFonts w:ascii="Tahoma" w:hAnsi="Tahoma" w:cs="Tahoma"/>
          <w:b/>
          <w:lang w:val="en-US"/>
        </w:rPr>
      </w:pPr>
      <w:r>
        <w:rPr>
          <w:rFonts w:ascii="Tahoma" w:hAnsi="Tahoma" w:cs="Tahoma"/>
          <w:b/>
          <w:lang w:val="en-US"/>
        </w:rPr>
        <w:t>August 19,</w:t>
      </w:r>
      <w:r w:rsidR="00CF4B10" w:rsidRPr="004D0EA6">
        <w:rPr>
          <w:rFonts w:ascii="Tahoma" w:hAnsi="Tahoma" w:cs="Tahoma"/>
          <w:b/>
          <w:lang w:val="en-GB"/>
        </w:rPr>
        <w:t xml:space="preserve"> 201</w:t>
      </w:r>
      <w:r w:rsidR="00216059" w:rsidRPr="004D0EA6">
        <w:rPr>
          <w:rFonts w:ascii="Tahoma" w:hAnsi="Tahoma" w:cs="Tahoma"/>
          <w:b/>
        </w:rPr>
        <w:t>6</w:t>
      </w:r>
    </w:p>
    <w:p w:rsidR="00216059" w:rsidRPr="004D0EA6" w:rsidRDefault="00216059" w:rsidP="00855609">
      <w:pPr>
        <w:pBdr>
          <w:bottom w:val="single" w:sz="12" w:space="1" w:color="auto"/>
        </w:pBdr>
        <w:spacing w:after="60"/>
        <w:rPr>
          <w:rFonts w:ascii="Tahoma" w:hAnsi="Tahoma" w:cs="Tahoma"/>
          <w:b/>
          <w:lang w:val="en-GB"/>
        </w:rPr>
      </w:pPr>
      <w:r w:rsidRPr="004D0EA6">
        <w:rPr>
          <w:rFonts w:ascii="Tahoma" w:hAnsi="Tahoma" w:cs="Tahoma"/>
          <w:b/>
          <w:lang w:val="en-US"/>
        </w:rPr>
        <w:t xml:space="preserve">Minutes </w:t>
      </w:r>
      <w:r w:rsidR="00CF4B10" w:rsidRPr="004D0EA6">
        <w:rPr>
          <w:rFonts w:ascii="Tahoma" w:hAnsi="Tahoma" w:cs="Tahoma"/>
          <w:b/>
          <w:lang w:val="en-GB"/>
        </w:rPr>
        <w:t xml:space="preserve">No </w:t>
      </w:r>
      <w:r w:rsidR="00855609">
        <w:rPr>
          <w:rFonts w:ascii="Tahoma" w:hAnsi="Tahoma" w:cs="Tahoma"/>
          <w:b/>
          <w:lang w:val="en-GB"/>
        </w:rPr>
        <w:t>46</w:t>
      </w:r>
      <w:bookmarkStart w:id="0" w:name="_GoBack"/>
      <w:bookmarkEnd w:id="0"/>
    </w:p>
    <w:p w:rsidR="00216059" w:rsidRPr="004D0EA6" w:rsidRDefault="00216059" w:rsidP="00216059">
      <w:pPr>
        <w:pBdr>
          <w:bottom w:val="single" w:sz="12" w:space="1" w:color="auto"/>
        </w:pBdr>
        <w:spacing w:after="60"/>
        <w:rPr>
          <w:rFonts w:ascii="Tahoma" w:hAnsi="Tahoma" w:cs="Tahoma"/>
          <w:b/>
          <w:lang w:val="en-GB"/>
        </w:rPr>
      </w:pPr>
      <w:r w:rsidRPr="004D0EA6">
        <w:rPr>
          <w:rFonts w:ascii="Tahoma" w:hAnsi="Tahoma" w:cs="Tahoma"/>
          <w:b/>
          <w:lang w:val="en-GB"/>
        </w:rPr>
        <w:t>A.Afanasiev</w:t>
      </w:r>
    </w:p>
    <w:p w:rsidR="00216059" w:rsidRPr="004D0EA6" w:rsidRDefault="00216059" w:rsidP="00216059">
      <w:pPr>
        <w:pBdr>
          <w:bottom w:val="single" w:sz="12" w:space="1" w:color="auto"/>
        </w:pBdr>
        <w:spacing w:after="60"/>
        <w:rPr>
          <w:rFonts w:ascii="Tahoma" w:hAnsi="Tahoma" w:cs="Tahoma"/>
          <w:b/>
          <w:lang w:val="en-GB"/>
        </w:rPr>
      </w:pPr>
      <w:r w:rsidRPr="004D0EA6">
        <w:rPr>
          <w:rFonts w:ascii="Tahoma" w:hAnsi="Tahoma" w:cs="Tahoma"/>
          <w:b/>
          <w:lang w:val="en-GB"/>
        </w:rPr>
        <w:t>Chairman</w:t>
      </w:r>
    </w:p>
    <w:p w:rsidR="00216059" w:rsidRPr="004D0EA6" w:rsidRDefault="00216059" w:rsidP="00216059">
      <w:pPr>
        <w:pBdr>
          <w:bottom w:val="single" w:sz="12" w:space="1" w:color="auto"/>
        </w:pBdr>
        <w:spacing w:after="60"/>
        <w:rPr>
          <w:rFonts w:ascii="Tahoma" w:hAnsi="Tahoma" w:cs="Tahoma"/>
          <w:b/>
          <w:lang w:val="en-GB"/>
        </w:rPr>
      </w:pPr>
    </w:p>
    <w:p w:rsidR="00216059" w:rsidRPr="004D0EA6" w:rsidRDefault="00216059" w:rsidP="00CF4B10">
      <w:pPr>
        <w:spacing w:after="60"/>
        <w:jc w:val="center"/>
        <w:rPr>
          <w:rFonts w:ascii="Tahoma" w:hAnsi="Tahoma" w:cs="Tahoma"/>
          <w:b/>
          <w:lang w:val="en-GB"/>
        </w:rPr>
      </w:pPr>
    </w:p>
    <w:p w:rsidR="00CF4B10" w:rsidRPr="004D0EA6" w:rsidRDefault="00CF4B10" w:rsidP="00CF4B10">
      <w:pPr>
        <w:spacing w:after="60"/>
        <w:jc w:val="center"/>
        <w:rPr>
          <w:rFonts w:ascii="Tahoma" w:hAnsi="Tahoma" w:cs="Tahoma"/>
          <w:b/>
          <w:lang w:val="en-GB"/>
        </w:rPr>
      </w:pPr>
      <w:r w:rsidRPr="004D0EA6">
        <w:rPr>
          <w:rFonts w:ascii="Tahoma" w:hAnsi="Tahoma" w:cs="Tahoma"/>
          <w:b/>
          <w:lang w:val="en-GB"/>
        </w:rPr>
        <w:t xml:space="preserve">Specifications for deliverable FX and precious metals swap contracts </w:t>
      </w:r>
    </w:p>
    <w:p w:rsidR="00CF4B10" w:rsidRPr="004D0EA6" w:rsidRDefault="00CF4B10" w:rsidP="00CF4B10">
      <w:pPr>
        <w:spacing w:after="60"/>
        <w:ind w:firstLine="720"/>
        <w:jc w:val="both"/>
        <w:rPr>
          <w:rFonts w:ascii="Tahoma" w:hAnsi="Tahoma" w:cs="Tahoma"/>
          <w:bCs/>
          <w:lang w:val="en-GB"/>
        </w:rPr>
      </w:pPr>
    </w:p>
    <w:p w:rsidR="00CF4B10" w:rsidRPr="004D0EA6" w:rsidRDefault="00CF4B10" w:rsidP="00CF4B10">
      <w:pPr>
        <w:pStyle w:val="a8"/>
        <w:spacing w:after="120"/>
        <w:ind w:right="57"/>
        <w:jc w:val="both"/>
        <w:rPr>
          <w:rFonts w:ascii="Tahoma" w:hAnsi="Tahoma" w:cs="Tahoma"/>
          <w:sz w:val="24"/>
          <w:szCs w:val="24"/>
          <w:lang w:val="en-GB"/>
        </w:rPr>
      </w:pPr>
      <w:r w:rsidRPr="004D0EA6">
        <w:rPr>
          <w:rFonts w:ascii="Tahoma" w:hAnsi="Tahoma" w:cs="Tahoma"/>
          <w:sz w:val="24"/>
          <w:szCs w:val="24"/>
          <w:lang w:val="en-GB"/>
        </w:rPr>
        <w:t xml:space="preserve">These specifications (the “Specifications”) define terms for executing deliverable FX and precious metals swap contracts (the “swap contracts”) on Moscow Exchange’s FX and Precious Metals Markets. </w:t>
      </w:r>
    </w:p>
    <w:p w:rsidR="00CF4B10" w:rsidRPr="004D0EA6" w:rsidRDefault="00CF4B10" w:rsidP="00CF4B10">
      <w:pPr>
        <w:pStyle w:val="a8"/>
        <w:spacing w:after="120"/>
        <w:ind w:right="57"/>
        <w:jc w:val="both"/>
        <w:rPr>
          <w:rFonts w:ascii="Tahoma" w:hAnsi="Tahoma" w:cs="Tahoma"/>
          <w:sz w:val="24"/>
          <w:szCs w:val="24"/>
          <w:lang w:val="en-GB"/>
        </w:rPr>
      </w:pPr>
      <w:r w:rsidRPr="004D0EA6">
        <w:rPr>
          <w:rFonts w:ascii="Tahoma" w:hAnsi="Tahoma" w:cs="Tahoma"/>
          <w:sz w:val="24"/>
          <w:szCs w:val="24"/>
          <w:lang w:val="en-GB"/>
        </w:rPr>
        <w:t xml:space="preserve">The specifications, along with the </w:t>
      </w:r>
      <w:r w:rsidR="00216059" w:rsidRPr="004D0EA6">
        <w:rPr>
          <w:rFonts w:ascii="Tahoma" w:hAnsi="Tahoma" w:cs="Tahoma"/>
          <w:sz w:val="24"/>
          <w:szCs w:val="24"/>
          <w:lang w:val="en-GB"/>
        </w:rPr>
        <w:t xml:space="preserve">NCC Clearing Bank </w:t>
      </w:r>
      <w:r w:rsidRPr="004D0EA6">
        <w:rPr>
          <w:rFonts w:ascii="Tahoma" w:hAnsi="Tahoma" w:cs="Tahoma"/>
          <w:sz w:val="24"/>
          <w:szCs w:val="24"/>
          <w:lang w:val="en-GB"/>
        </w:rPr>
        <w:t xml:space="preserve">clearing rules </w:t>
      </w:r>
      <w:r w:rsidR="00216059" w:rsidRPr="004D0EA6">
        <w:rPr>
          <w:rFonts w:ascii="Tahoma" w:hAnsi="Tahoma" w:cs="Tahoma"/>
          <w:sz w:val="24"/>
          <w:szCs w:val="24"/>
          <w:lang w:val="en-GB"/>
        </w:rPr>
        <w:t xml:space="preserve">establishing how trades executed on the FX and Precious Metals Markets are cleared </w:t>
      </w:r>
      <w:r w:rsidRPr="004D0EA6">
        <w:rPr>
          <w:rFonts w:ascii="Tahoma" w:hAnsi="Tahoma" w:cs="Tahoma"/>
          <w:sz w:val="24"/>
          <w:szCs w:val="24"/>
          <w:lang w:val="en-GB"/>
        </w:rPr>
        <w:t xml:space="preserve">(the “Clearing Rules”) and the trading rules for Moscow Exchange’s FX and Precious Metals Markets (the “Trading Rules”), define the procedure for the emergence, alteration, fulfilment, and termination of obligations under swap contracts, as well as other provisions thereof pursuant to the </w:t>
      </w:r>
      <w:r w:rsidR="00216059" w:rsidRPr="004D0EA6">
        <w:rPr>
          <w:rFonts w:ascii="Tahoma" w:hAnsi="Tahoma" w:cs="Tahoma"/>
          <w:sz w:val="24"/>
          <w:szCs w:val="24"/>
          <w:lang w:val="en-GB"/>
        </w:rPr>
        <w:t xml:space="preserve">Bank of Russia’s </w:t>
      </w:r>
      <w:r w:rsidRPr="004D0EA6">
        <w:rPr>
          <w:rFonts w:ascii="Tahoma" w:hAnsi="Tahoma" w:cs="Tahoma"/>
          <w:sz w:val="24"/>
          <w:szCs w:val="24"/>
          <w:lang w:val="en-GB"/>
        </w:rPr>
        <w:t xml:space="preserve">regulatory acts. </w:t>
      </w:r>
    </w:p>
    <w:p w:rsidR="00CF4B10" w:rsidRPr="004D0EA6" w:rsidRDefault="00CF4B10" w:rsidP="00CF4B10">
      <w:pPr>
        <w:pStyle w:val="a8"/>
        <w:spacing w:after="120"/>
        <w:ind w:right="57"/>
        <w:jc w:val="both"/>
        <w:rPr>
          <w:rFonts w:ascii="Tahoma" w:hAnsi="Tahoma" w:cs="Tahoma"/>
          <w:sz w:val="24"/>
          <w:szCs w:val="24"/>
          <w:lang w:val="en-GB"/>
        </w:rPr>
      </w:pPr>
      <w:r w:rsidRPr="004D0EA6">
        <w:rPr>
          <w:rFonts w:ascii="Tahoma" w:hAnsi="Tahoma" w:cs="Tahoma"/>
          <w:sz w:val="24"/>
          <w:szCs w:val="24"/>
          <w:lang w:val="en-GB"/>
        </w:rPr>
        <w:t>The terms and definitions used herein are to be construed in accordance with Russian law and the trading and clearing rules.</w:t>
      </w:r>
    </w:p>
    <w:p w:rsidR="00CF4B10" w:rsidRPr="004D0EA6" w:rsidRDefault="00CF4B10" w:rsidP="00CF4B10">
      <w:pPr>
        <w:pStyle w:val="a8"/>
        <w:spacing w:after="120"/>
        <w:ind w:right="57"/>
        <w:jc w:val="both"/>
        <w:rPr>
          <w:rFonts w:ascii="Tahoma" w:hAnsi="Tahoma" w:cs="Tahoma"/>
          <w:sz w:val="24"/>
          <w:szCs w:val="24"/>
          <w:lang w:val="en-GB"/>
        </w:rPr>
      </w:pPr>
      <w:r w:rsidRPr="004D0EA6">
        <w:rPr>
          <w:rFonts w:ascii="Tahoma" w:hAnsi="Tahoma" w:cs="Tahoma"/>
          <w:sz w:val="24"/>
          <w:szCs w:val="24"/>
          <w:lang w:val="en-GB"/>
        </w:rPr>
        <w:t>For specification purposes, the buyer means the party to the swap contract that is obliged to pay for the contract underlying asset in the second part of the contract, and the seller means the party obliged to transfer the contract underlying asset in the second part of the contract.</w:t>
      </w:r>
    </w:p>
    <w:p w:rsidR="00CF4B10" w:rsidRPr="004D0EA6" w:rsidRDefault="00CF4B10" w:rsidP="00CF4B10">
      <w:pPr>
        <w:pStyle w:val="a"/>
        <w:tabs>
          <w:tab w:val="clear" w:pos="644"/>
          <w:tab w:val="clear" w:pos="9000"/>
        </w:tabs>
        <w:spacing w:before="360"/>
        <w:ind w:left="0" w:firstLine="0"/>
        <w:rPr>
          <w:rFonts w:ascii="Tahoma" w:hAnsi="Tahoma" w:cs="Tahoma"/>
          <w:lang w:val="en-GB"/>
        </w:rPr>
      </w:pPr>
      <w:r w:rsidRPr="004D0EA6">
        <w:rPr>
          <w:rFonts w:ascii="Tahoma" w:hAnsi="Tahoma" w:cs="Tahoma"/>
          <w:lang w:val="en-GB"/>
        </w:rPr>
        <w:t>General provisions</w:t>
      </w:r>
    </w:p>
    <w:p w:rsidR="00CF4B10" w:rsidRPr="004D0EA6" w:rsidRDefault="00CF4B10" w:rsidP="00CF4B10">
      <w:pPr>
        <w:pStyle w:val="a0"/>
        <w:tabs>
          <w:tab w:val="clear" w:pos="1353"/>
          <w:tab w:val="num" w:pos="-1985"/>
          <w:tab w:val="left" w:pos="851"/>
        </w:tabs>
        <w:spacing w:before="0" w:afterLines="60" w:after="144"/>
        <w:ind w:left="567" w:hanging="567"/>
        <w:rPr>
          <w:rFonts w:ascii="Tahoma" w:hAnsi="Tahoma" w:cs="Tahoma"/>
          <w:lang w:val="en-GB"/>
        </w:rPr>
      </w:pPr>
      <w:r w:rsidRPr="004D0EA6">
        <w:rPr>
          <w:rFonts w:ascii="Tahoma" w:hAnsi="Tahoma" w:cs="Tahoma"/>
          <w:lang w:val="en-GB"/>
        </w:rPr>
        <w:t>These Specifications are designed for deliverable futures contracts that are derivative financial instruments.</w:t>
      </w:r>
    </w:p>
    <w:p w:rsidR="00CF4B10" w:rsidRPr="004D0EA6" w:rsidRDefault="00CF4B10" w:rsidP="00CF4B10">
      <w:pPr>
        <w:pStyle w:val="a0"/>
        <w:tabs>
          <w:tab w:val="clear" w:pos="1353"/>
          <w:tab w:val="num" w:pos="-1985"/>
          <w:tab w:val="left" w:pos="851"/>
        </w:tabs>
        <w:spacing w:before="0" w:afterLines="60" w:after="144"/>
        <w:ind w:left="567" w:hanging="567"/>
        <w:rPr>
          <w:rFonts w:ascii="Tahoma" w:hAnsi="Tahoma" w:cs="Tahoma"/>
          <w:lang w:val="en-GB"/>
        </w:rPr>
      </w:pPr>
      <w:r w:rsidRPr="004D0EA6">
        <w:rPr>
          <w:rFonts w:ascii="Tahoma" w:hAnsi="Tahoma" w:cs="Tahoma"/>
          <w:lang w:val="en-GB"/>
        </w:rPr>
        <w:t xml:space="preserve">The swap contract code is formed </w:t>
      </w:r>
      <w:r w:rsidR="00CA7F90" w:rsidRPr="004D0EA6">
        <w:rPr>
          <w:rFonts w:ascii="Tahoma" w:hAnsi="Tahoma" w:cs="Tahoma"/>
          <w:lang w:val="en-GB"/>
        </w:rPr>
        <w:t>as follows</w:t>
      </w:r>
      <w:r w:rsidRPr="004D0EA6">
        <w:rPr>
          <w:rFonts w:ascii="Tahoma" w:hAnsi="Tahoma" w:cs="Tahoma"/>
          <w:lang w:val="en-GB"/>
        </w:rPr>
        <w:t>:</w:t>
      </w:r>
    </w:p>
    <w:p w:rsidR="00CA7F90" w:rsidRPr="004D0EA6" w:rsidRDefault="00CA7F90" w:rsidP="009509E7">
      <w:pPr>
        <w:pStyle w:val="1"/>
        <w:rPr>
          <w:rFonts w:ascii="Tahoma" w:hAnsi="Tahoma" w:cs="Tahoma"/>
          <w:lang w:val="en-US"/>
        </w:rPr>
      </w:pPr>
      <w:r w:rsidRPr="004D0EA6">
        <w:rPr>
          <w:rFonts w:ascii="Tahoma" w:hAnsi="Tahoma" w:cs="Tahoma"/>
          <w:lang w:val="en-GB"/>
        </w:rPr>
        <w:t>The</w:t>
      </w:r>
      <w:r w:rsidRPr="004D0EA6">
        <w:rPr>
          <w:rFonts w:ascii="Tahoma" w:hAnsi="Tahoma" w:cs="Tahoma"/>
          <w:lang w:val="en-US"/>
        </w:rPr>
        <w:t xml:space="preserve"> swap contract with </w:t>
      </w:r>
      <w:r w:rsidR="00E3488A" w:rsidRPr="004D0EA6">
        <w:rPr>
          <w:rFonts w:ascii="Tahoma" w:hAnsi="Tahoma" w:cs="Tahoma"/>
          <w:lang w:val="en-US"/>
        </w:rPr>
        <w:t>a</w:t>
      </w:r>
      <w:r w:rsidRPr="004D0EA6">
        <w:rPr>
          <w:rFonts w:ascii="Tahoma" w:hAnsi="Tahoma" w:cs="Tahoma"/>
          <w:lang w:val="en-US"/>
        </w:rPr>
        <w:t xml:space="preserve"> regular </w:t>
      </w:r>
      <w:r w:rsidR="00E3488A" w:rsidRPr="004D0EA6">
        <w:rPr>
          <w:rFonts w:ascii="Tahoma" w:hAnsi="Tahoma" w:cs="Tahoma"/>
          <w:lang w:val="en-US"/>
        </w:rPr>
        <w:t>settlement</w:t>
      </w:r>
      <w:r w:rsidRPr="004D0EA6">
        <w:rPr>
          <w:rFonts w:ascii="Tahoma" w:hAnsi="Tahoma" w:cs="Tahoma"/>
          <w:lang w:val="en-US"/>
        </w:rPr>
        <w:t xml:space="preserve"> date (the “regular swap contract”):</w:t>
      </w:r>
    </w:p>
    <w:p w:rsidR="00CA7F90" w:rsidRPr="004D0EA6" w:rsidRDefault="00CA7F90" w:rsidP="00CA7F90">
      <w:pPr>
        <w:pStyle w:val="1"/>
        <w:numPr>
          <w:ilvl w:val="0"/>
          <w:numId w:val="0"/>
        </w:numPr>
        <w:ind w:left="720"/>
        <w:rPr>
          <w:rFonts w:ascii="Tahoma" w:hAnsi="Tahoma" w:cs="Tahoma"/>
          <w:lang w:val="en-US"/>
        </w:rPr>
      </w:pPr>
    </w:p>
    <w:p w:rsidR="00CF4B10" w:rsidRPr="004D0EA6" w:rsidRDefault="00CF4B10" w:rsidP="009509E7">
      <w:pPr>
        <w:pStyle w:val="a8"/>
        <w:spacing w:after="120"/>
        <w:ind w:right="57" w:firstLine="644"/>
        <w:rPr>
          <w:rFonts w:ascii="Tahoma" w:hAnsi="Tahoma" w:cs="Tahoma"/>
          <w:sz w:val="24"/>
          <w:szCs w:val="24"/>
          <w:lang w:val="en-GB"/>
        </w:rPr>
      </w:pPr>
      <w:r w:rsidRPr="004D0EA6">
        <w:rPr>
          <w:rFonts w:ascii="Tahoma" w:hAnsi="Tahoma" w:cs="Tahoma"/>
          <w:sz w:val="24"/>
          <w:szCs w:val="24"/>
          <w:lang w:val="en-US"/>
        </w:rPr>
        <w:t>XXX_TOMNZ</w:t>
      </w:r>
      <w:r w:rsidRPr="004D0EA6">
        <w:rPr>
          <w:rFonts w:ascii="Tahoma" w:hAnsi="Tahoma" w:cs="Tahoma"/>
          <w:sz w:val="24"/>
          <w:szCs w:val="24"/>
          <w:lang w:val="en-GB"/>
        </w:rPr>
        <w:t>, where</w:t>
      </w:r>
    </w:p>
    <w:p w:rsidR="00CF4B10" w:rsidRPr="004D0EA6" w:rsidRDefault="00CF4B10" w:rsidP="00CF4B10">
      <w:pPr>
        <w:pStyle w:val="a8"/>
        <w:spacing w:after="120"/>
        <w:ind w:right="57" w:firstLine="644"/>
        <w:rPr>
          <w:rFonts w:ascii="Tahoma" w:hAnsi="Tahoma" w:cs="Tahoma"/>
          <w:sz w:val="24"/>
          <w:szCs w:val="24"/>
          <w:lang w:val="en-GB"/>
        </w:rPr>
      </w:pPr>
      <w:r w:rsidRPr="004D0EA6">
        <w:rPr>
          <w:rFonts w:ascii="Tahoma" w:hAnsi="Tahoma" w:cs="Tahoma"/>
          <w:sz w:val="24"/>
          <w:szCs w:val="24"/>
          <w:lang w:val="en-GB"/>
        </w:rPr>
        <w:t>XXX – underlying asset code,</w:t>
      </w:r>
    </w:p>
    <w:p w:rsidR="00CF4B10" w:rsidRPr="004D0EA6" w:rsidRDefault="00CF4B10" w:rsidP="00CF4B10">
      <w:pPr>
        <w:pStyle w:val="a"/>
        <w:numPr>
          <w:ilvl w:val="0"/>
          <w:numId w:val="0"/>
        </w:numPr>
        <w:ind w:left="644"/>
        <w:rPr>
          <w:rFonts w:ascii="Tahoma" w:hAnsi="Tahoma" w:cs="Tahoma"/>
          <w:b w:val="0"/>
          <w:lang w:val="en-GB"/>
        </w:rPr>
      </w:pPr>
      <w:r w:rsidRPr="004D0EA6">
        <w:rPr>
          <w:rFonts w:ascii="Tahoma" w:hAnsi="Tahoma" w:cs="Tahoma"/>
          <w:b w:val="0"/>
          <w:lang w:val="en-GB"/>
        </w:rPr>
        <w:t xml:space="preserve">TOM is the code specifying the settlement date of the first part of the </w:t>
      </w:r>
      <w:r w:rsidR="009509E7" w:rsidRPr="004D0EA6">
        <w:rPr>
          <w:rFonts w:ascii="Tahoma" w:hAnsi="Tahoma" w:cs="Tahoma"/>
          <w:b w:val="0"/>
          <w:lang w:val="en-GB"/>
        </w:rPr>
        <w:t xml:space="preserve">regular </w:t>
      </w:r>
      <w:r w:rsidRPr="004D0EA6">
        <w:rPr>
          <w:rFonts w:ascii="Tahoma" w:hAnsi="Tahoma" w:cs="Tahoma"/>
          <w:b w:val="0"/>
          <w:lang w:val="en-GB"/>
        </w:rPr>
        <w:t xml:space="preserve">swap contract that comes on the first operating day following the </w:t>
      </w:r>
      <w:r w:rsidR="009509E7" w:rsidRPr="004D0EA6">
        <w:rPr>
          <w:rFonts w:ascii="Tahoma" w:hAnsi="Tahoma" w:cs="Tahoma"/>
          <w:b w:val="0"/>
          <w:lang w:val="en-GB"/>
        </w:rPr>
        <w:t xml:space="preserve">regular </w:t>
      </w:r>
      <w:r w:rsidRPr="004D0EA6">
        <w:rPr>
          <w:rFonts w:ascii="Tahoma" w:hAnsi="Tahoma" w:cs="Tahoma"/>
          <w:b w:val="0"/>
          <w:lang w:val="en-GB"/>
        </w:rPr>
        <w:t>contract date,</w:t>
      </w:r>
    </w:p>
    <w:p w:rsidR="00CF4B10" w:rsidRPr="004D0EA6" w:rsidRDefault="00CF4B10" w:rsidP="00CF4B10">
      <w:pPr>
        <w:pStyle w:val="a"/>
        <w:numPr>
          <w:ilvl w:val="0"/>
          <w:numId w:val="0"/>
        </w:numPr>
        <w:ind w:left="644"/>
        <w:rPr>
          <w:rFonts w:ascii="Tahoma" w:hAnsi="Tahoma" w:cs="Tahoma"/>
          <w:b w:val="0"/>
          <w:lang w:val="en-GB"/>
        </w:rPr>
      </w:pPr>
      <w:r w:rsidRPr="004D0EA6">
        <w:rPr>
          <w:rFonts w:ascii="Tahoma" w:hAnsi="Tahoma" w:cs="Tahoma"/>
          <w:b w:val="0"/>
          <w:lang w:val="en-GB"/>
        </w:rPr>
        <w:t>NZ is the code specifying the settlement date of the second part of the</w:t>
      </w:r>
      <w:r w:rsidR="009509E7" w:rsidRPr="004D0EA6">
        <w:rPr>
          <w:rFonts w:ascii="Tahoma" w:hAnsi="Tahoma" w:cs="Tahoma"/>
          <w:b w:val="0"/>
          <w:lang w:val="en-GB"/>
        </w:rPr>
        <w:t xml:space="preserve"> regular</w:t>
      </w:r>
      <w:r w:rsidRPr="004D0EA6">
        <w:rPr>
          <w:rFonts w:ascii="Tahoma" w:hAnsi="Tahoma" w:cs="Tahoma"/>
          <w:b w:val="0"/>
          <w:lang w:val="en-GB"/>
        </w:rPr>
        <w:t xml:space="preserve"> swap contract where N is the number of weeks, months or years, Z is the code specifying weeks, that is W for weeks, M for months and Y for years.</w:t>
      </w:r>
    </w:p>
    <w:p w:rsidR="00CF4B10" w:rsidRPr="004D0EA6" w:rsidRDefault="00CF4B10" w:rsidP="00CF4B10">
      <w:pPr>
        <w:pStyle w:val="a"/>
        <w:numPr>
          <w:ilvl w:val="0"/>
          <w:numId w:val="0"/>
        </w:numPr>
        <w:ind w:left="644"/>
        <w:rPr>
          <w:rFonts w:ascii="Tahoma" w:hAnsi="Tahoma" w:cs="Tahoma"/>
          <w:b w:val="0"/>
          <w:lang w:val="en-GB"/>
        </w:rPr>
      </w:pPr>
      <w:r w:rsidRPr="004D0EA6">
        <w:rPr>
          <w:rFonts w:ascii="Tahoma" w:hAnsi="Tahoma" w:cs="Tahoma"/>
          <w:b w:val="0"/>
          <w:lang w:val="en-GB"/>
        </w:rPr>
        <w:lastRenderedPageBreak/>
        <w:t xml:space="preserve">The settlement date of the second part of a </w:t>
      </w:r>
      <w:r w:rsidR="009509E7" w:rsidRPr="004D0EA6">
        <w:rPr>
          <w:rFonts w:ascii="Tahoma" w:hAnsi="Tahoma" w:cs="Tahoma"/>
          <w:b w:val="0"/>
          <w:lang w:val="en-GB"/>
        </w:rPr>
        <w:t xml:space="preserve">regular </w:t>
      </w:r>
      <w:r w:rsidRPr="004D0EA6">
        <w:rPr>
          <w:rFonts w:ascii="Tahoma" w:hAnsi="Tahoma" w:cs="Tahoma"/>
          <w:b w:val="0"/>
          <w:lang w:val="en-GB"/>
        </w:rPr>
        <w:t>swap contract is defined as follows:</w:t>
      </w:r>
    </w:p>
    <w:p w:rsidR="00CF4B10" w:rsidRPr="004D0EA6" w:rsidRDefault="00CF4B10" w:rsidP="00CF4B10">
      <w:pPr>
        <w:pStyle w:val="a"/>
        <w:numPr>
          <w:ilvl w:val="0"/>
          <w:numId w:val="3"/>
        </w:numPr>
        <w:rPr>
          <w:rFonts w:ascii="Tahoma" w:hAnsi="Tahoma" w:cs="Tahoma"/>
          <w:b w:val="0"/>
          <w:lang w:val="en-GB"/>
        </w:rPr>
      </w:pPr>
      <w:r w:rsidRPr="004D0EA6">
        <w:rPr>
          <w:rFonts w:ascii="Tahoma" w:hAnsi="Tahoma" w:cs="Tahoma"/>
          <w:b w:val="0"/>
          <w:lang w:val="en-GB"/>
        </w:rPr>
        <w:t>NW specifies the date coming (N) weeks (W) after the settlement date of the first date of the swap contract;</w:t>
      </w:r>
    </w:p>
    <w:p w:rsidR="00CF4B10" w:rsidRPr="004D0EA6" w:rsidRDefault="00CF4B10" w:rsidP="006A23D6">
      <w:pPr>
        <w:pStyle w:val="a"/>
        <w:numPr>
          <w:ilvl w:val="0"/>
          <w:numId w:val="3"/>
        </w:numPr>
        <w:spacing w:before="0" w:after="0"/>
        <w:rPr>
          <w:rFonts w:ascii="Tahoma" w:hAnsi="Tahoma" w:cs="Tahoma"/>
          <w:b w:val="0"/>
          <w:lang w:val="en-GB"/>
        </w:rPr>
      </w:pPr>
      <w:r w:rsidRPr="004D0EA6">
        <w:rPr>
          <w:rFonts w:ascii="Tahoma" w:hAnsi="Tahoma" w:cs="Tahoma"/>
          <w:b w:val="0"/>
          <w:lang w:val="en-GB"/>
        </w:rPr>
        <w:t xml:space="preserve">NM specifies the date with the day coinciding with the day of the settlement date of the first date of the swap contract in the calendar month coming (N) months (M) after the settlement month of the first date of the swap contract; </w:t>
      </w:r>
    </w:p>
    <w:p w:rsidR="00CF4B10" w:rsidRPr="004D0EA6" w:rsidRDefault="00CF4B10" w:rsidP="006A23D6">
      <w:pPr>
        <w:pStyle w:val="a"/>
        <w:numPr>
          <w:ilvl w:val="0"/>
          <w:numId w:val="3"/>
        </w:numPr>
        <w:spacing w:before="0" w:after="0"/>
        <w:rPr>
          <w:rFonts w:ascii="Tahoma" w:hAnsi="Tahoma" w:cs="Tahoma"/>
          <w:b w:val="0"/>
          <w:lang w:val="en-GB"/>
        </w:rPr>
      </w:pPr>
      <w:r w:rsidRPr="004D0EA6">
        <w:rPr>
          <w:rFonts w:ascii="Tahoma" w:hAnsi="Tahoma" w:cs="Tahoma"/>
          <w:b w:val="0"/>
          <w:lang w:val="en-GB"/>
        </w:rPr>
        <w:t>NY specifies the date with the day coinciding with the day of the settlement date of the first date of the swap contract in the calendar month coming 12 months multiplied by a relevant number (N) of years (Y) after the settlement month of the first date of the swap contract.</w:t>
      </w:r>
    </w:p>
    <w:p w:rsidR="006A23D6" w:rsidRPr="004D0EA6" w:rsidRDefault="006A23D6" w:rsidP="006A23D6">
      <w:pPr>
        <w:pStyle w:val="a"/>
        <w:numPr>
          <w:ilvl w:val="0"/>
          <w:numId w:val="0"/>
        </w:numPr>
        <w:spacing w:before="0" w:after="0"/>
        <w:ind w:left="1364"/>
        <w:rPr>
          <w:rFonts w:ascii="Tahoma" w:hAnsi="Tahoma" w:cs="Tahoma"/>
          <w:b w:val="0"/>
          <w:lang w:val="en-GB"/>
        </w:rPr>
      </w:pPr>
    </w:p>
    <w:p w:rsidR="009509E7" w:rsidRPr="004D0EA6" w:rsidRDefault="009509E7" w:rsidP="006A23D6">
      <w:pPr>
        <w:pStyle w:val="1"/>
        <w:spacing w:before="0"/>
        <w:rPr>
          <w:rFonts w:ascii="Tahoma" w:hAnsi="Tahoma" w:cs="Tahoma"/>
          <w:lang w:val="en-US"/>
        </w:rPr>
      </w:pPr>
      <w:r w:rsidRPr="004D0EA6">
        <w:rPr>
          <w:rFonts w:ascii="Tahoma" w:hAnsi="Tahoma" w:cs="Tahoma"/>
          <w:lang w:val="en-GB"/>
        </w:rPr>
        <w:t>The</w:t>
      </w:r>
      <w:r w:rsidRPr="004D0EA6">
        <w:rPr>
          <w:rFonts w:ascii="Tahoma" w:hAnsi="Tahoma" w:cs="Tahoma"/>
          <w:lang w:val="en-US"/>
        </w:rPr>
        <w:t xml:space="preserve"> swap contract with </w:t>
      </w:r>
      <w:r w:rsidR="00E3488A" w:rsidRPr="004D0EA6">
        <w:rPr>
          <w:rFonts w:ascii="Tahoma" w:hAnsi="Tahoma" w:cs="Tahoma"/>
          <w:lang w:val="en-US"/>
        </w:rPr>
        <w:t>a</w:t>
      </w:r>
      <w:r w:rsidRPr="004D0EA6">
        <w:rPr>
          <w:rFonts w:ascii="Tahoma" w:hAnsi="Tahoma" w:cs="Tahoma"/>
          <w:lang w:val="en-US"/>
        </w:rPr>
        <w:t xml:space="preserve"> </w:t>
      </w:r>
      <w:r w:rsidR="00F10E0D" w:rsidRPr="004D0EA6">
        <w:rPr>
          <w:rFonts w:ascii="Tahoma" w:hAnsi="Tahoma" w:cs="Tahoma"/>
          <w:lang w:val="en-US"/>
        </w:rPr>
        <w:t>fixed</w:t>
      </w:r>
      <w:r w:rsidRPr="004D0EA6">
        <w:rPr>
          <w:rFonts w:ascii="Tahoma" w:hAnsi="Tahoma" w:cs="Tahoma"/>
          <w:lang w:val="en-US"/>
        </w:rPr>
        <w:t xml:space="preserve"> </w:t>
      </w:r>
      <w:r w:rsidR="00E3488A" w:rsidRPr="004D0EA6">
        <w:rPr>
          <w:rFonts w:ascii="Tahoma" w:hAnsi="Tahoma" w:cs="Tahoma"/>
          <w:lang w:val="en-US"/>
        </w:rPr>
        <w:t>settlement</w:t>
      </w:r>
      <w:r w:rsidRPr="004D0EA6">
        <w:rPr>
          <w:rFonts w:ascii="Tahoma" w:hAnsi="Tahoma" w:cs="Tahoma"/>
          <w:lang w:val="en-US"/>
        </w:rPr>
        <w:t xml:space="preserve"> date (the “</w:t>
      </w:r>
      <w:r w:rsidR="00F10E0D" w:rsidRPr="004D0EA6">
        <w:rPr>
          <w:rFonts w:ascii="Tahoma" w:hAnsi="Tahoma" w:cs="Tahoma"/>
          <w:lang w:val="en-US"/>
        </w:rPr>
        <w:t>fixed</w:t>
      </w:r>
      <w:r w:rsidRPr="004D0EA6">
        <w:rPr>
          <w:rFonts w:ascii="Tahoma" w:hAnsi="Tahoma" w:cs="Tahoma"/>
          <w:lang w:val="en-US"/>
        </w:rPr>
        <w:t xml:space="preserve"> swap contract”):</w:t>
      </w:r>
    </w:p>
    <w:p w:rsidR="006A23D6" w:rsidRPr="004D0EA6" w:rsidRDefault="006A23D6" w:rsidP="006A23D6">
      <w:pPr>
        <w:pStyle w:val="a8"/>
        <w:spacing w:afterLines="60" w:after="144"/>
        <w:ind w:left="851" w:right="57"/>
        <w:rPr>
          <w:rFonts w:ascii="Tahoma" w:hAnsi="Tahoma" w:cs="Tahoma"/>
          <w:sz w:val="24"/>
          <w:szCs w:val="24"/>
          <w:lang w:val="en-US"/>
        </w:rPr>
      </w:pPr>
    </w:p>
    <w:p w:rsidR="009509E7" w:rsidRPr="004D0EA6" w:rsidRDefault="009509E7" w:rsidP="006A23D6">
      <w:pPr>
        <w:pStyle w:val="a8"/>
        <w:spacing w:afterLines="60" w:after="144"/>
        <w:ind w:left="851" w:right="57"/>
        <w:rPr>
          <w:rFonts w:ascii="Tahoma" w:hAnsi="Tahoma" w:cs="Tahoma"/>
          <w:sz w:val="24"/>
          <w:szCs w:val="24"/>
          <w:lang w:val="en-US"/>
        </w:rPr>
      </w:pPr>
      <w:r w:rsidRPr="004D0EA6">
        <w:rPr>
          <w:rFonts w:ascii="Tahoma" w:hAnsi="Tahoma" w:cs="Tahoma"/>
          <w:sz w:val="24"/>
          <w:szCs w:val="24"/>
          <w:lang w:val="en-US"/>
        </w:rPr>
        <w:t>XXXTOM</w:t>
      </w:r>
      <w:r w:rsidR="00F10E0D" w:rsidRPr="004D0EA6">
        <w:rPr>
          <w:rFonts w:ascii="Tahoma" w:hAnsi="Tahoma" w:cs="Tahoma"/>
          <w:sz w:val="24"/>
          <w:szCs w:val="24"/>
          <w:lang w:val="en-US"/>
        </w:rPr>
        <w:t>MMYY, where</w:t>
      </w:r>
    </w:p>
    <w:p w:rsidR="009509E7" w:rsidRPr="004D0EA6" w:rsidRDefault="009509E7" w:rsidP="006A23D6">
      <w:pPr>
        <w:pStyle w:val="a8"/>
        <w:spacing w:afterLines="60" w:after="144"/>
        <w:ind w:left="851" w:right="57"/>
        <w:rPr>
          <w:rFonts w:ascii="Tahoma" w:hAnsi="Tahoma" w:cs="Tahoma"/>
          <w:sz w:val="24"/>
          <w:szCs w:val="24"/>
          <w:lang w:val="en-US"/>
        </w:rPr>
      </w:pPr>
      <w:r w:rsidRPr="004D0EA6">
        <w:rPr>
          <w:rFonts w:ascii="Tahoma" w:hAnsi="Tahoma" w:cs="Tahoma"/>
          <w:sz w:val="24"/>
          <w:szCs w:val="24"/>
          <w:lang w:val="en-US"/>
        </w:rPr>
        <w:t xml:space="preserve">XXX – </w:t>
      </w:r>
      <w:r w:rsidR="00F10E0D" w:rsidRPr="004D0EA6">
        <w:rPr>
          <w:rFonts w:ascii="Tahoma" w:hAnsi="Tahoma" w:cs="Tahoma"/>
          <w:sz w:val="24"/>
          <w:szCs w:val="24"/>
          <w:lang w:val="en-US"/>
        </w:rPr>
        <w:t>the underlying asset code</w:t>
      </w:r>
      <w:r w:rsidRPr="004D0EA6">
        <w:rPr>
          <w:rFonts w:ascii="Tahoma" w:hAnsi="Tahoma" w:cs="Tahoma"/>
          <w:sz w:val="24"/>
          <w:szCs w:val="24"/>
          <w:lang w:val="en-US"/>
        </w:rPr>
        <w:t>,</w:t>
      </w:r>
    </w:p>
    <w:p w:rsidR="00F10E0D" w:rsidRPr="004D0EA6" w:rsidRDefault="009509E7" w:rsidP="006A23D6">
      <w:pPr>
        <w:pStyle w:val="a8"/>
        <w:spacing w:afterLines="60" w:after="144"/>
        <w:ind w:left="851" w:right="57"/>
        <w:rPr>
          <w:rFonts w:ascii="Tahoma" w:hAnsi="Tahoma" w:cs="Tahoma"/>
          <w:sz w:val="24"/>
          <w:szCs w:val="24"/>
          <w:lang w:val="en-US"/>
        </w:rPr>
      </w:pPr>
      <w:r w:rsidRPr="004D0EA6">
        <w:rPr>
          <w:rFonts w:ascii="Tahoma" w:hAnsi="Tahoma" w:cs="Tahoma"/>
          <w:sz w:val="24"/>
          <w:szCs w:val="24"/>
          <w:lang w:val="en-US"/>
        </w:rPr>
        <w:t xml:space="preserve">TOM – </w:t>
      </w:r>
      <w:r w:rsidR="00F10E0D" w:rsidRPr="004D0EA6">
        <w:rPr>
          <w:rFonts w:ascii="Tahoma" w:hAnsi="Tahoma" w:cs="Tahoma"/>
          <w:sz w:val="24"/>
          <w:szCs w:val="24"/>
          <w:lang w:val="en-US"/>
        </w:rPr>
        <w:t>the code specifying the settlement date of the first part of the contract on the first settlement day following the trade date,</w:t>
      </w:r>
    </w:p>
    <w:p w:rsidR="00F10E0D" w:rsidRPr="004D0EA6" w:rsidRDefault="009509E7" w:rsidP="006A23D6">
      <w:pPr>
        <w:pStyle w:val="a8"/>
        <w:spacing w:afterLines="60" w:after="144"/>
        <w:ind w:left="851" w:right="57"/>
        <w:rPr>
          <w:rFonts w:ascii="Tahoma" w:hAnsi="Tahoma" w:cs="Tahoma"/>
          <w:sz w:val="24"/>
          <w:szCs w:val="24"/>
          <w:lang w:val="en-US"/>
        </w:rPr>
      </w:pPr>
      <w:r w:rsidRPr="004D0EA6">
        <w:rPr>
          <w:rFonts w:ascii="Tahoma" w:hAnsi="Tahoma" w:cs="Tahoma"/>
          <w:sz w:val="24"/>
          <w:szCs w:val="24"/>
          <w:lang w:val="en-US"/>
        </w:rPr>
        <w:t xml:space="preserve">MMYY – </w:t>
      </w:r>
      <w:r w:rsidR="00F10E0D" w:rsidRPr="004D0EA6">
        <w:rPr>
          <w:rFonts w:ascii="Tahoma" w:hAnsi="Tahoma" w:cs="Tahoma"/>
          <w:sz w:val="24"/>
          <w:szCs w:val="24"/>
          <w:lang w:val="en-US"/>
        </w:rPr>
        <w:t xml:space="preserve">the month and the year of </w:t>
      </w:r>
      <w:r w:rsidR="006A23D6" w:rsidRPr="004D0EA6">
        <w:rPr>
          <w:rFonts w:ascii="Tahoma" w:hAnsi="Tahoma" w:cs="Tahoma"/>
          <w:sz w:val="24"/>
          <w:szCs w:val="24"/>
          <w:lang w:val="en-US"/>
        </w:rPr>
        <w:t xml:space="preserve">the </w:t>
      </w:r>
      <w:r w:rsidR="00F10E0D" w:rsidRPr="004D0EA6">
        <w:rPr>
          <w:rFonts w:ascii="Tahoma" w:hAnsi="Tahoma" w:cs="Tahoma"/>
          <w:sz w:val="24"/>
          <w:szCs w:val="24"/>
          <w:lang w:val="en-US"/>
        </w:rPr>
        <w:t xml:space="preserve">settlement </w:t>
      </w:r>
      <w:r w:rsidR="006A23D6" w:rsidRPr="004D0EA6">
        <w:rPr>
          <w:rFonts w:ascii="Tahoma" w:hAnsi="Tahoma" w:cs="Tahoma"/>
          <w:sz w:val="24"/>
          <w:szCs w:val="24"/>
          <w:lang w:val="en-US"/>
        </w:rPr>
        <w:t>date for the contract’s second part (in Arabic numerals).</w:t>
      </w:r>
    </w:p>
    <w:p w:rsidR="00CF4B10" w:rsidRPr="004D0EA6" w:rsidRDefault="00CF4B10" w:rsidP="006A23D6">
      <w:pPr>
        <w:pStyle w:val="a0"/>
        <w:tabs>
          <w:tab w:val="clear" w:pos="1353"/>
          <w:tab w:val="num" w:pos="-1985"/>
          <w:tab w:val="left" w:pos="851"/>
        </w:tabs>
        <w:spacing w:before="0" w:afterLines="60" w:after="144"/>
        <w:ind w:left="567" w:hanging="567"/>
        <w:rPr>
          <w:rFonts w:ascii="Tahoma" w:hAnsi="Tahoma" w:cs="Tahoma"/>
          <w:lang w:val="en-GB"/>
        </w:rPr>
      </w:pPr>
      <w:r w:rsidRPr="004D0EA6">
        <w:rPr>
          <w:rFonts w:ascii="Tahoma" w:hAnsi="Tahoma" w:cs="Tahoma"/>
          <w:lang w:val="en-GB"/>
        </w:rPr>
        <w:t>The underlying asset of swap contracts is foreign currency or a precious metal.</w:t>
      </w:r>
    </w:p>
    <w:p w:rsidR="00CF4B10" w:rsidRPr="004D0EA6" w:rsidRDefault="00CF4B10" w:rsidP="00E3488A">
      <w:pPr>
        <w:pStyle w:val="a0"/>
        <w:tabs>
          <w:tab w:val="clear" w:pos="1353"/>
          <w:tab w:val="num" w:pos="-1985"/>
          <w:tab w:val="left" w:pos="851"/>
        </w:tabs>
        <w:spacing w:before="0" w:afterLines="60" w:after="144"/>
        <w:ind w:left="567" w:hanging="567"/>
        <w:rPr>
          <w:rFonts w:ascii="Tahoma" w:hAnsi="Tahoma" w:cs="Tahoma"/>
          <w:lang w:val="en-GB"/>
        </w:rPr>
      </w:pPr>
      <w:r w:rsidRPr="004D0EA6">
        <w:rPr>
          <w:rFonts w:ascii="Tahoma" w:hAnsi="Tahoma" w:cs="Tahoma"/>
          <w:lang w:val="en-GB"/>
        </w:rPr>
        <w:t xml:space="preserve">The Exchange sets </w:t>
      </w:r>
      <w:r w:rsidR="00E3488A" w:rsidRPr="004D0EA6">
        <w:rPr>
          <w:rFonts w:ascii="Tahoma" w:hAnsi="Tahoma" w:cs="Tahoma"/>
          <w:lang w:val="en-GB"/>
        </w:rPr>
        <w:t>the List of Parameters for Deliverable Swap Contracts on Foreign Currency and Precious Metals with a regular settlement date. Such list includes the following parameters</w:t>
      </w:r>
      <w:r w:rsidRPr="004D0EA6">
        <w:rPr>
          <w:rFonts w:ascii="Tahoma" w:hAnsi="Tahoma" w:cs="Tahoma"/>
          <w:lang w:val="en-GB"/>
        </w:rPr>
        <w:t>:</w:t>
      </w:r>
    </w:p>
    <w:p w:rsidR="00CF4B10" w:rsidRPr="004D0EA6" w:rsidRDefault="00CF4B10" w:rsidP="00CF4B10">
      <w:pPr>
        <w:numPr>
          <w:ilvl w:val="0"/>
          <w:numId w:val="2"/>
        </w:numPr>
        <w:tabs>
          <w:tab w:val="left" w:pos="9000"/>
        </w:tabs>
        <w:autoSpaceDE w:val="0"/>
        <w:autoSpaceDN w:val="0"/>
        <w:spacing w:after="120"/>
        <w:ind w:left="1276" w:right="57" w:hanging="567"/>
        <w:jc w:val="both"/>
        <w:rPr>
          <w:rFonts w:ascii="Tahoma" w:hAnsi="Tahoma" w:cs="Tahoma"/>
          <w:lang w:val="en-GB"/>
        </w:rPr>
      </w:pPr>
      <w:r w:rsidRPr="004D0EA6">
        <w:rPr>
          <w:rFonts w:ascii="Tahoma" w:hAnsi="Tahoma" w:cs="Tahoma"/>
          <w:lang w:val="en-GB"/>
        </w:rPr>
        <w:t>Swap contract code;</w:t>
      </w:r>
    </w:p>
    <w:p w:rsidR="00CF4B10" w:rsidRPr="004D0EA6" w:rsidRDefault="00CF4B10" w:rsidP="00CF4B10">
      <w:pPr>
        <w:numPr>
          <w:ilvl w:val="0"/>
          <w:numId w:val="2"/>
        </w:numPr>
        <w:tabs>
          <w:tab w:val="left" w:pos="9000"/>
        </w:tabs>
        <w:autoSpaceDE w:val="0"/>
        <w:autoSpaceDN w:val="0"/>
        <w:spacing w:after="120"/>
        <w:ind w:left="1276" w:right="57" w:hanging="567"/>
        <w:jc w:val="both"/>
        <w:rPr>
          <w:rFonts w:ascii="Tahoma" w:hAnsi="Tahoma" w:cs="Tahoma"/>
          <w:lang w:val="en-GB"/>
        </w:rPr>
      </w:pPr>
      <w:r w:rsidRPr="004D0EA6">
        <w:rPr>
          <w:rFonts w:ascii="Tahoma" w:hAnsi="Tahoma" w:cs="Tahoma"/>
          <w:lang w:val="en-GB"/>
        </w:rPr>
        <w:t>Underlying asset code;</w:t>
      </w:r>
    </w:p>
    <w:p w:rsidR="00CF4B10" w:rsidRPr="004D0EA6" w:rsidRDefault="00CF4B10" w:rsidP="00CF4B10">
      <w:pPr>
        <w:numPr>
          <w:ilvl w:val="0"/>
          <w:numId w:val="2"/>
        </w:numPr>
        <w:tabs>
          <w:tab w:val="left" w:pos="9000"/>
        </w:tabs>
        <w:autoSpaceDE w:val="0"/>
        <w:autoSpaceDN w:val="0"/>
        <w:spacing w:after="120"/>
        <w:ind w:left="1276" w:right="57" w:hanging="567"/>
        <w:jc w:val="both"/>
        <w:rPr>
          <w:rFonts w:ascii="Tahoma" w:hAnsi="Tahoma" w:cs="Tahoma"/>
          <w:lang w:val="en-GB"/>
        </w:rPr>
      </w:pPr>
      <w:r w:rsidRPr="004D0EA6">
        <w:rPr>
          <w:rFonts w:ascii="Tahoma" w:hAnsi="Tahoma" w:cs="Tahoma"/>
          <w:lang w:val="en-GB"/>
        </w:rPr>
        <w:t>Underlying asset name;</w:t>
      </w:r>
    </w:p>
    <w:p w:rsidR="00CF4B10" w:rsidRPr="004D0EA6" w:rsidRDefault="00CF4B10" w:rsidP="00CF4B10">
      <w:pPr>
        <w:numPr>
          <w:ilvl w:val="0"/>
          <w:numId w:val="2"/>
        </w:numPr>
        <w:tabs>
          <w:tab w:val="left" w:pos="9000"/>
        </w:tabs>
        <w:autoSpaceDE w:val="0"/>
        <w:autoSpaceDN w:val="0"/>
        <w:spacing w:after="120"/>
        <w:ind w:left="1276" w:right="57" w:hanging="567"/>
        <w:jc w:val="both"/>
        <w:rPr>
          <w:rFonts w:ascii="Tahoma" w:hAnsi="Tahoma" w:cs="Tahoma"/>
          <w:lang w:val="en-GB"/>
        </w:rPr>
      </w:pPr>
      <w:r w:rsidRPr="004D0EA6">
        <w:rPr>
          <w:rFonts w:ascii="Tahoma" w:hAnsi="Tahoma" w:cs="Tahoma"/>
          <w:lang w:val="en-GB"/>
        </w:rPr>
        <w:t>Swap contract lot;</w:t>
      </w:r>
    </w:p>
    <w:p w:rsidR="00CF4B10" w:rsidRPr="004D0EA6" w:rsidRDefault="00CF4B10" w:rsidP="00CF4B10">
      <w:pPr>
        <w:numPr>
          <w:ilvl w:val="0"/>
          <w:numId w:val="2"/>
        </w:numPr>
        <w:tabs>
          <w:tab w:val="left" w:pos="9000"/>
        </w:tabs>
        <w:autoSpaceDE w:val="0"/>
        <w:autoSpaceDN w:val="0"/>
        <w:spacing w:after="120"/>
        <w:ind w:left="1276" w:right="57" w:hanging="567"/>
        <w:jc w:val="both"/>
        <w:rPr>
          <w:rFonts w:ascii="Tahoma" w:hAnsi="Tahoma" w:cs="Tahoma"/>
          <w:lang w:val="en-GB"/>
        </w:rPr>
      </w:pPr>
      <w:r w:rsidRPr="004D0EA6">
        <w:rPr>
          <w:rFonts w:ascii="Tahoma" w:hAnsi="Tahoma" w:cs="Tahoma"/>
          <w:lang w:val="en-GB"/>
        </w:rPr>
        <w:t>Price tick;</w:t>
      </w:r>
    </w:p>
    <w:p w:rsidR="00CF4B10" w:rsidRPr="004D0EA6" w:rsidRDefault="00CF4B10" w:rsidP="00CF4B10">
      <w:pPr>
        <w:numPr>
          <w:ilvl w:val="0"/>
          <w:numId w:val="2"/>
        </w:numPr>
        <w:tabs>
          <w:tab w:val="left" w:pos="9000"/>
        </w:tabs>
        <w:autoSpaceDE w:val="0"/>
        <w:autoSpaceDN w:val="0"/>
        <w:spacing w:after="120"/>
        <w:ind w:left="1276" w:right="57" w:hanging="567"/>
        <w:jc w:val="both"/>
        <w:rPr>
          <w:rFonts w:ascii="Tahoma" w:hAnsi="Tahoma" w:cs="Tahoma"/>
          <w:lang w:val="en-GB"/>
        </w:rPr>
      </w:pPr>
      <w:r w:rsidRPr="004D0EA6">
        <w:rPr>
          <w:rFonts w:ascii="Tahoma" w:hAnsi="Tahoma" w:cs="Tahoma"/>
          <w:lang w:val="en-GB"/>
        </w:rPr>
        <w:t>Code specifying the settlement date for the second part of the contract.</w:t>
      </w:r>
    </w:p>
    <w:p w:rsidR="009509E7" w:rsidRPr="004D0EA6" w:rsidRDefault="009509E7" w:rsidP="009509E7">
      <w:pPr>
        <w:pStyle w:val="a0"/>
        <w:tabs>
          <w:tab w:val="clear" w:pos="1353"/>
          <w:tab w:val="num" w:pos="-1985"/>
          <w:tab w:val="left" w:pos="851"/>
        </w:tabs>
        <w:spacing w:before="0" w:afterLines="60" w:after="144"/>
        <w:ind w:left="567" w:hanging="567"/>
        <w:rPr>
          <w:rFonts w:ascii="Tahoma" w:hAnsi="Tahoma" w:cs="Tahoma"/>
          <w:lang w:val="en-GB"/>
        </w:rPr>
      </w:pPr>
      <w:r w:rsidRPr="004D0EA6">
        <w:rPr>
          <w:rFonts w:ascii="Tahoma" w:hAnsi="Tahoma" w:cs="Tahoma"/>
          <w:lang w:val="en-GB"/>
        </w:rPr>
        <w:t xml:space="preserve">The Exchange </w:t>
      </w:r>
      <w:r w:rsidR="00E3488A" w:rsidRPr="004D0EA6">
        <w:rPr>
          <w:rFonts w:ascii="Tahoma" w:hAnsi="Tahoma" w:cs="Tahoma"/>
          <w:lang w:val="en-GB"/>
        </w:rPr>
        <w:t>sets</w:t>
      </w:r>
      <w:r w:rsidRPr="004D0EA6">
        <w:rPr>
          <w:rFonts w:ascii="Tahoma" w:hAnsi="Tahoma" w:cs="Tahoma"/>
          <w:lang w:val="en-GB"/>
        </w:rPr>
        <w:t xml:space="preserve"> </w:t>
      </w:r>
      <w:r w:rsidR="006A23D6" w:rsidRPr="004D0EA6">
        <w:rPr>
          <w:rFonts w:ascii="Tahoma" w:hAnsi="Tahoma" w:cs="Tahoma"/>
          <w:lang w:val="en-GB"/>
        </w:rPr>
        <w:t>the List of P</w:t>
      </w:r>
      <w:r w:rsidR="00E3488A" w:rsidRPr="004D0EA6">
        <w:rPr>
          <w:rFonts w:ascii="Tahoma" w:hAnsi="Tahoma" w:cs="Tahoma"/>
          <w:lang w:val="en-GB"/>
        </w:rPr>
        <w:t>arameters for D</w:t>
      </w:r>
      <w:r w:rsidR="006A23D6" w:rsidRPr="004D0EA6">
        <w:rPr>
          <w:rFonts w:ascii="Tahoma" w:hAnsi="Tahoma" w:cs="Tahoma"/>
          <w:lang w:val="en-GB"/>
        </w:rPr>
        <w:t xml:space="preserve">eliverable </w:t>
      </w:r>
      <w:r w:rsidR="00E3488A" w:rsidRPr="004D0EA6">
        <w:rPr>
          <w:rFonts w:ascii="Tahoma" w:hAnsi="Tahoma" w:cs="Tahoma"/>
          <w:lang w:val="en-GB"/>
        </w:rPr>
        <w:t>S</w:t>
      </w:r>
      <w:r w:rsidR="006A23D6" w:rsidRPr="004D0EA6">
        <w:rPr>
          <w:rFonts w:ascii="Tahoma" w:hAnsi="Tahoma" w:cs="Tahoma"/>
          <w:lang w:val="en-GB"/>
        </w:rPr>
        <w:t xml:space="preserve">wap </w:t>
      </w:r>
      <w:r w:rsidR="00E3488A" w:rsidRPr="004D0EA6">
        <w:rPr>
          <w:rFonts w:ascii="Tahoma" w:hAnsi="Tahoma" w:cs="Tahoma"/>
          <w:lang w:val="en-GB"/>
        </w:rPr>
        <w:t>C</w:t>
      </w:r>
      <w:r w:rsidR="006A23D6" w:rsidRPr="004D0EA6">
        <w:rPr>
          <w:rFonts w:ascii="Tahoma" w:hAnsi="Tahoma" w:cs="Tahoma"/>
          <w:lang w:val="en-GB"/>
        </w:rPr>
        <w:t xml:space="preserve">ontracts on </w:t>
      </w:r>
      <w:r w:rsidR="00E3488A" w:rsidRPr="004D0EA6">
        <w:rPr>
          <w:rFonts w:ascii="Tahoma" w:hAnsi="Tahoma" w:cs="Tahoma"/>
          <w:lang w:val="en-GB"/>
        </w:rPr>
        <w:t>F</w:t>
      </w:r>
      <w:r w:rsidR="006A23D6" w:rsidRPr="004D0EA6">
        <w:rPr>
          <w:rFonts w:ascii="Tahoma" w:hAnsi="Tahoma" w:cs="Tahoma"/>
          <w:lang w:val="en-GB"/>
        </w:rPr>
        <w:t xml:space="preserve">oreign </w:t>
      </w:r>
      <w:r w:rsidR="00E3488A" w:rsidRPr="004D0EA6">
        <w:rPr>
          <w:rFonts w:ascii="Tahoma" w:hAnsi="Tahoma" w:cs="Tahoma"/>
          <w:lang w:val="en-GB"/>
        </w:rPr>
        <w:t>C</w:t>
      </w:r>
      <w:r w:rsidR="006A23D6" w:rsidRPr="004D0EA6">
        <w:rPr>
          <w:rFonts w:ascii="Tahoma" w:hAnsi="Tahoma" w:cs="Tahoma"/>
          <w:lang w:val="en-GB"/>
        </w:rPr>
        <w:t>urrency</w:t>
      </w:r>
      <w:r w:rsidR="00E3488A" w:rsidRPr="004D0EA6">
        <w:rPr>
          <w:rFonts w:ascii="Tahoma" w:hAnsi="Tahoma" w:cs="Tahoma"/>
          <w:lang w:val="en-GB"/>
        </w:rPr>
        <w:t xml:space="preserve"> and Precious Metals with a fixed settlement date (the “List of Parameters for Fixed Swap Contracts”). Such list includes the following parameters:   </w:t>
      </w:r>
    </w:p>
    <w:p w:rsidR="00E3488A" w:rsidRPr="004D0EA6" w:rsidRDefault="00E3488A" w:rsidP="00E3488A">
      <w:pPr>
        <w:numPr>
          <w:ilvl w:val="0"/>
          <w:numId w:val="2"/>
        </w:numPr>
        <w:tabs>
          <w:tab w:val="left" w:pos="9000"/>
        </w:tabs>
        <w:autoSpaceDE w:val="0"/>
        <w:autoSpaceDN w:val="0"/>
        <w:spacing w:after="120"/>
        <w:ind w:left="1276" w:right="57" w:hanging="567"/>
        <w:jc w:val="both"/>
        <w:rPr>
          <w:rFonts w:ascii="Tahoma" w:hAnsi="Tahoma" w:cs="Tahoma"/>
          <w:lang w:val="en-GB"/>
        </w:rPr>
      </w:pPr>
      <w:r w:rsidRPr="004D0EA6">
        <w:rPr>
          <w:rFonts w:ascii="Tahoma" w:hAnsi="Tahoma" w:cs="Tahoma"/>
          <w:lang w:val="en-GB"/>
        </w:rPr>
        <w:t>Swap contract code;</w:t>
      </w:r>
    </w:p>
    <w:p w:rsidR="00E3488A" w:rsidRPr="004D0EA6" w:rsidRDefault="00E3488A" w:rsidP="00E3488A">
      <w:pPr>
        <w:numPr>
          <w:ilvl w:val="0"/>
          <w:numId w:val="2"/>
        </w:numPr>
        <w:tabs>
          <w:tab w:val="left" w:pos="9000"/>
        </w:tabs>
        <w:autoSpaceDE w:val="0"/>
        <w:autoSpaceDN w:val="0"/>
        <w:spacing w:after="120"/>
        <w:ind w:left="1276" w:right="57" w:hanging="567"/>
        <w:jc w:val="both"/>
        <w:rPr>
          <w:rFonts w:ascii="Tahoma" w:hAnsi="Tahoma" w:cs="Tahoma"/>
          <w:lang w:val="en-GB"/>
        </w:rPr>
      </w:pPr>
      <w:r w:rsidRPr="004D0EA6">
        <w:rPr>
          <w:rFonts w:ascii="Tahoma" w:hAnsi="Tahoma" w:cs="Tahoma"/>
          <w:lang w:val="en-GB"/>
        </w:rPr>
        <w:t>Underlying asset code;</w:t>
      </w:r>
    </w:p>
    <w:p w:rsidR="00E3488A" w:rsidRPr="004D0EA6" w:rsidRDefault="00E3488A" w:rsidP="00E3488A">
      <w:pPr>
        <w:numPr>
          <w:ilvl w:val="0"/>
          <w:numId w:val="2"/>
        </w:numPr>
        <w:tabs>
          <w:tab w:val="left" w:pos="9000"/>
        </w:tabs>
        <w:autoSpaceDE w:val="0"/>
        <w:autoSpaceDN w:val="0"/>
        <w:spacing w:after="120"/>
        <w:ind w:left="1276" w:right="57" w:hanging="567"/>
        <w:jc w:val="both"/>
        <w:rPr>
          <w:rFonts w:ascii="Tahoma" w:hAnsi="Tahoma" w:cs="Tahoma"/>
          <w:lang w:val="en-GB"/>
        </w:rPr>
      </w:pPr>
      <w:r w:rsidRPr="004D0EA6">
        <w:rPr>
          <w:rFonts w:ascii="Tahoma" w:hAnsi="Tahoma" w:cs="Tahoma"/>
          <w:lang w:val="en-GB"/>
        </w:rPr>
        <w:t>Underlying asset name;</w:t>
      </w:r>
    </w:p>
    <w:p w:rsidR="00E3488A" w:rsidRPr="004D0EA6" w:rsidRDefault="00E3488A" w:rsidP="00E3488A">
      <w:pPr>
        <w:numPr>
          <w:ilvl w:val="0"/>
          <w:numId w:val="2"/>
        </w:numPr>
        <w:tabs>
          <w:tab w:val="left" w:pos="9000"/>
        </w:tabs>
        <w:autoSpaceDE w:val="0"/>
        <w:autoSpaceDN w:val="0"/>
        <w:spacing w:after="120"/>
        <w:ind w:left="1276" w:right="57" w:hanging="567"/>
        <w:jc w:val="both"/>
        <w:rPr>
          <w:rFonts w:ascii="Tahoma" w:hAnsi="Tahoma" w:cs="Tahoma"/>
          <w:lang w:val="en-GB"/>
        </w:rPr>
      </w:pPr>
      <w:r w:rsidRPr="004D0EA6">
        <w:rPr>
          <w:rFonts w:ascii="Tahoma" w:hAnsi="Tahoma" w:cs="Tahoma"/>
          <w:lang w:val="en-GB"/>
        </w:rPr>
        <w:t>Swap contract lot;</w:t>
      </w:r>
    </w:p>
    <w:p w:rsidR="00E3488A" w:rsidRPr="004D0EA6" w:rsidRDefault="00E3488A" w:rsidP="00E3488A">
      <w:pPr>
        <w:numPr>
          <w:ilvl w:val="0"/>
          <w:numId w:val="2"/>
        </w:numPr>
        <w:tabs>
          <w:tab w:val="left" w:pos="9000"/>
        </w:tabs>
        <w:autoSpaceDE w:val="0"/>
        <w:autoSpaceDN w:val="0"/>
        <w:spacing w:after="120"/>
        <w:ind w:left="1276" w:right="57" w:hanging="567"/>
        <w:jc w:val="both"/>
        <w:rPr>
          <w:rFonts w:ascii="Tahoma" w:hAnsi="Tahoma" w:cs="Tahoma"/>
          <w:lang w:val="en-GB"/>
        </w:rPr>
      </w:pPr>
      <w:r w:rsidRPr="004D0EA6">
        <w:rPr>
          <w:rFonts w:ascii="Tahoma" w:hAnsi="Tahoma" w:cs="Tahoma"/>
          <w:lang w:val="en-GB"/>
        </w:rPr>
        <w:t>Price tick;</w:t>
      </w:r>
    </w:p>
    <w:p w:rsidR="00E3488A" w:rsidRPr="004D0EA6" w:rsidRDefault="00E3488A" w:rsidP="00E3488A">
      <w:pPr>
        <w:numPr>
          <w:ilvl w:val="0"/>
          <w:numId w:val="2"/>
        </w:numPr>
        <w:tabs>
          <w:tab w:val="left" w:pos="9000"/>
        </w:tabs>
        <w:autoSpaceDE w:val="0"/>
        <w:autoSpaceDN w:val="0"/>
        <w:spacing w:after="120"/>
        <w:ind w:left="1276" w:right="57" w:hanging="567"/>
        <w:jc w:val="both"/>
        <w:rPr>
          <w:rFonts w:ascii="Tahoma" w:hAnsi="Tahoma" w:cs="Tahoma"/>
          <w:lang w:val="en-GB"/>
        </w:rPr>
      </w:pPr>
      <w:r w:rsidRPr="004D0EA6">
        <w:rPr>
          <w:rFonts w:ascii="Tahoma" w:hAnsi="Tahoma" w:cs="Tahoma"/>
          <w:lang w:val="en-GB"/>
        </w:rPr>
        <w:lastRenderedPageBreak/>
        <w:t>The first trading day of the contract;</w:t>
      </w:r>
    </w:p>
    <w:p w:rsidR="00E3488A" w:rsidRPr="004D0EA6" w:rsidRDefault="00E3488A" w:rsidP="00E3488A">
      <w:pPr>
        <w:numPr>
          <w:ilvl w:val="0"/>
          <w:numId w:val="2"/>
        </w:numPr>
        <w:tabs>
          <w:tab w:val="left" w:pos="9000"/>
        </w:tabs>
        <w:autoSpaceDE w:val="0"/>
        <w:autoSpaceDN w:val="0"/>
        <w:spacing w:after="120"/>
        <w:ind w:left="1276" w:right="57" w:hanging="567"/>
        <w:jc w:val="both"/>
        <w:rPr>
          <w:rFonts w:ascii="Tahoma" w:hAnsi="Tahoma" w:cs="Tahoma"/>
          <w:lang w:val="en-GB"/>
        </w:rPr>
      </w:pPr>
      <w:r w:rsidRPr="004D0EA6">
        <w:rPr>
          <w:rFonts w:ascii="Tahoma" w:hAnsi="Tahoma" w:cs="Tahoma"/>
          <w:lang w:val="en-GB"/>
        </w:rPr>
        <w:t>The last trading day of the contracts;</w:t>
      </w:r>
    </w:p>
    <w:p w:rsidR="00E3488A" w:rsidRPr="004D0EA6" w:rsidRDefault="00E3488A" w:rsidP="00E3488A">
      <w:pPr>
        <w:numPr>
          <w:ilvl w:val="0"/>
          <w:numId w:val="2"/>
        </w:numPr>
        <w:tabs>
          <w:tab w:val="left" w:pos="9000"/>
        </w:tabs>
        <w:autoSpaceDE w:val="0"/>
        <w:autoSpaceDN w:val="0"/>
        <w:spacing w:after="120"/>
        <w:ind w:left="1276" w:right="57" w:hanging="567"/>
        <w:jc w:val="both"/>
        <w:rPr>
          <w:rFonts w:ascii="Tahoma" w:hAnsi="Tahoma" w:cs="Tahoma"/>
          <w:lang w:val="en-GB"/>
        </w:rPr>
      </w:pPr>
      <w:r w:rsidRPr="004D0EA6">
        <w:rPr>
          <w:rFonts w:ascii="Tahoma" w:hAnsi="Tahoma" w:cs="Tahoma"/>
          <w:lang w:val="en-GB"/>
        </w:rPr>
        <w:t>The settlement date.</w:t>
      </w:r>
    </w:p>
    <w:p w:rsidR="00E3488A" w:rsidRPr="004D0EA6" w:rsidRDefault="00E3488A" w:rsidP="004D0EA6">
      <w:pPr>
        <w:pStyle w:val="a0"/>
        <w:numPr>
          <w:ilvl w:val="0"/>
          <w:numId w:val="0"/>
        </w:numPr>
        <w:tabs>
          <w:tab w:val="num" w:pos="1353"/>
        </w:tabs>
        <w:spacing w:before="0" w:after="120"/>
        <w:ind w:left="567"/>
        <w:rPr>
          <w:rFonts w:ascii="Tahoma" w:hAnsi="Tahoma" w:cs="Tahoma"/>
          <w:lang w:val="en-GB"/>
        </w:rPr>
      </w:pPr>
      <w:r w:rsidRPr="004D0EA6">
        <w:rPr>
          <w:rFonts w:ascii="Tahoma" w:hAnsi="Tahoma" w:cs="Tahoma"/>
          <w:lang w:val="en-GB"/>
        </w:rPr>
        <w:t xml:space="preserve">The first trading day on which </w:t>
      </w:r>
      <w:r w:rsidR="004D0EA6" w:rsidRPr="004D0EA6">
        <w:rPr>
          <w:rFonts w:ascii="Tahoma" w:hAnsi="Tahoma" w:cs="Tahoma"/>
          <w:lang w:val="en-GB"/>
        </w:rPr>
        <w:t>a</w:t>
      </w:r>
      <w:r w:rsidRPr="004D0EA6">
        <w:rPr>
          <w:rFonts w:ascii="Tahoma" w:hAnsi="Tahoma" w:cs="Tahoma"/>
          <w:lang w:val="en-GB"/>
        </w:rPr>
        <w:t xml:space="preserve"> regular swap contract is available for execution is the effective date of the Specifications unless otherwise set out by the Exchange.</w:t>
      </w:r>
    </w:p>
    <w:p w:rsidR="004D0EA6" w:rsidRPr="004D0EA6" w:rsidRDefault="004D0EA6" w:rsidP="004D0EA6">
      <w:pPr>
        <w:pStyle w:val="a0"/>
        <w:numPr>
          <w:ilvl w:val="0"/>
          <w:numId w:val="0"/>
        </w:numPr>
        <w:tabs>
          <w:tab w:val="num" w:pos="1353"/>
        </w:tabs>
        <w:spacing w:before="0" w:after="120"/>
        <w:ind w:left="567"/>
        <w:rPr>
          <w:rFonts w:ascii="Tahoma" w:hAnsi="Tahoma" w:cs="Tahoma"/>
          <w:lang w:val="en-GB"/>
        </w:rPr>
      </w:pPr>
      <w:r w:rsidRPr="004D0EA6">
        <w:rPr>
          <w:rFonts w:ascii="Tahoma" w:hAnsi="Tahoma" w:cs="Tahoma"/>
          <w:lang w:val="en-GB"/>
        </w:rPr>
        <w:t>The last trading day on which a regular swap contract is available for execution is the last business day the date of which immediately precedes the expiry date of the Specifications unless otherwise set out by the Exchange.</w:t>
      </w:r>
    </w:p>
    <w:p w:rsidR="004D0EA6" w:rsidRPr="004D0EA6" w:rsidRDefault="004D0EA6" w:rsidP="004D0EA6">
      <w:pPr>
        <w:pStyle w:val="a0"/>
        <w:numPr>
          <w:ilvl w:val="0"/>
          <w:numId w:val="0"/>
        </w:numPr>
        <w:tabs>
          <w:tab w:val="num" w:pos="1353"/>
        </w:tabs>
        <w:spacing w:before="0" w:after="120"/>
        <w:ind w:left="567"/>
        <w:rPr>
          <w:rFonts w:ascii="Tahoma" w:hAnsi="Tahoma" w:cs="Tahoma"/>
          <w:lang w:val="en-GB"/>
        </w:rPr>
      </w:pPr>
      <w:r w:rsidRPr="004D0EA6">
        <w:rPr>
          <w:rFonts w:ascii="Tahoma" w:hAnsi="Tahoma" w:cs="Tahoma"/>
          <w:lang w:val="en-GB"/>
        </w:rPr>
        <w:t>The first trading day on which a fixed swap contract is available for execution is the date specified as such in the List of Parameters for Fixed Swap Contracts.</w:t>
      </w:r>
    </w:p>
    <w:p w:rsidR="004D0EA6" w:rsidRPr="004D0EA6" w:rsidRDefault="004D0EA6" w:rsidP="004D0EA6">
      <w:pPr>
        <w:pStyle w:val="a0"/>
        <w:numPr>
          <w:ilvl w:val="0"/>
          <w:numId w:val="0"/>
        </w:numPr>
        <w:tabs>
          <w:tab w:val="num" w:pos="1353"/>
        </w:tabs>
        <w:spacing w:before="0" w:after="120"/>
        <w:ind w:left="567"/>
        <w:rPr>
          <w:rFonts w:ascii="Tahoma" w:hAnsi="Tahoma" w:cs="Tahoma"/>
          <w:lang w:val="en-GB"/>
        </w:rPr>
      </w:pPr>
      <w:r w:rsidRPr="004D0EA6">
        <w:rPr>
          <w:rFonts w:ascii="Tahoma" w:hAnsi="Tahoma" w:cs="Tahoma"/>
          <w:lang w:val="en-GB"/>
        </w:rPr>
        <w:t>The last trading day on which a fixed swap contract is available for execution is the date specified as such in the List of Parameters for Fixed Swap Contracts.</w:t>
      </w:r>
    </w:p>
    <w:p w:rsidR="00CF4B10" w:rsidRPr="004D0EA6" w:rsidRDefault="00CF4B10" w:rsidP="00CF4B10">
      <w:pPr>
        <w:pStyle w:val="a"/>
        <w:tabs>
          <w:tab w:val="clear" w:pos="644"/>
          <w:tab w:val="clear" w:pos="9000"/>
        </w:tabs>
        <w:spacing w:before="360"/>
        <w:ind w:left="0" w:firstLine="0"/>
        <w:rPr>
          <w:rFonts w:ascii="Tahoma" w:hAnsi="Tahoma" w:cs="Tahoma"/>
          <w:lang w:val="en-GB"/>
        </w:rPr>
      </w:pPr>
      <w:r w:rsidRPr="004D0EA6">
        <w:rPr>
          <w:rFonts w:ascii="Tahoma" w:hAnsi="Tahoma" w:cs="Tahoma"/>
          <w:lang w:val="en-GB"/>
        </w:rPr>
        <w:t xml:space="preserve">Obligations under futures contracts; </w:t>
      </w:r>
      <w:r w:rsidR="009509E7" w:rsidRPr="004D0EA6">
        <w:rPr>
          <w:rFonts w:ascii="Tahoma" w:hAnsi="Tahoma" w:cs="Tahoma"/>
          <w:lang w:val="en-GB"/>
        </w:rPr>
        <w:t xml:space="preserve">termination </w:t>
      </w:r>
      <w:r w:rsidRPr="004D0EA6">
        <w:rPr>
          <w:rFonts w:ascii="Tahoma" w:hAnsi="Tahoma" w:cs="Tahoma"/>
          <w:lang w:val="en-GB"/>
        </w:rPr>
        <w:t xml:space="preserve">procedure </w:t>
      </w:r>
    </w:p>
    <w:p w:rsidR="00CF4B10" w:rsidRPr="004D0EA6" w:rsidRDefault="00CF4B10" w:rsidP="00CF4B10">
      <w:pPr>
        <w:pStyle w:val="a0"/>
        <w:tabs>
          <w:tab w:val="clear" w:pos="1353"/>
          <w:tab w:val="num" w:pos="-1985"/>
          <w:tab w:val="left" w:pos="851"/>
        </w:tabs>
        <w:spacing w:before="0" w:afterLines="60" w:after="144"/>
        <w:ind w:left="567" w:hanging="567"/>
        <w:rPr>
          <w:rFonts w:ascii="Tahoma" w:hAnsi="Tahoma" w:cs="Tahoma"/>
          <w:lang w:val="en-GB"/>
        </w:rPr>
      </w:pPr>
      <w:r w:rsidRPr="004D0EA6">
        <w:rPr>
          <w:rFonts w:ascii="Tahoma" w:hAnsi="Tahoma" w:cs="Tahoma"/>
          <w:lang w:val="en-GB"/>
        </w:rPr>
        <w:t xml:space="preserve">Parties of a futures contract must pay funds in RUB (a variation margin) to each other from time to time subject to the underlying asset price change. Variation margin is calculated and paid from the operating day following the contract date to the contract settlement day stated in the order, inclusive thereof. The variation margin calculation and payment is governed by the Clearing Rules. </w:t>
      </w:r>
    </w:p>
    <w:p w:rsidR="00CF4B10" w:rsidRPr="004D0EA6" w:rsidRDefault="00CF4B10" w:rsidP="00CF4B10">
      <w:pPr>
        <w:pStyle w:val="a0"/>
        <w:tabs>
          <w:tab w:val="clear" w:pos="1353"/>
          <w:tab w:val="num" w:pos="-1985"/>
          <w:tab w:val="left" w:pos="851"/>
        </w:tabs>
        <w:spacing w:before="0" w:afterLines="60" w:after="144"/>
        <w:ind w:left="567" w:hanging="567"/>
        <w:rPr>
          <w:rFonts w:ascii="Tahoma" w:hAnsi="Tahoma" w:cs="Tahoma"/>
          <w:lang w:val="en-GB"/>
        </w:rPr>
      </w:pPr>
      <w:r w:rsidRPr="004D0EA6">
        <w:rPr>
          <w:rFonts w:ascii="Tahoma" w:hAnsi="Tahoma" w:cs="Tahoma"/>
          <w:b/>
          <w:lang w:val="en-GB"/>
        </w:rPr>
        <w:t xml:space="preserve">Obligations under the first part of a swap contract. </w:t>
      </w:r>
      <w:r w:rsidRPr="004D0EA6">
        <w:rPr>
          <w:rFonts w:ascii="Tahoma" w:hAnsi="Tahoma" w:cs="Tahoma"/>
          <w:lang w:val="en-GB"/>
        </w:rPr>
        <w:t xml:space="preserve">On the settlement day following the swap contract date, the buyer must transfer the underlying FX/precious metals to the seller in an amount of the contract lot, and the seller must accept the underlying asset and pay the amount in RUB, equalling the product of the contract lot and the contract’s base rate, as set forth in the Clearing Rules, to the buyer.  </w:t>
      </w:r>
    </w:p>
    <w:p w:rsidR="00CF4B10" w:rsidRPr="004D0EA6" w:rsidRDefault="00CF4B10" w:rsidP="00CF4B10">
      <w:pPr>
        <w:pStyle w:val="a0"/>
        <w:numPr>
          <w:ilvl w:val="0"/>
          <w:numId w:val="0"/>
        </w:numPr>
        <w:spacing w:before="0" w:after="120"/>
        <w:ind w:left="567"/>
        <w:rPr>
          <w:rFonts w:ascii="Tahoma" w:hAnsi="Tahoma" w:cs="Tahoma"/>
          <w:lang w:val="en-GB"/>
        </w:rPr>
      </w:pPr>
      <w:r w:rsidRPr="004D0EA6">
        <w:rPr>
          <w:rFonts w:ascii="Tahoma" w:hAnsi="Tahoma" w:cs="Tahoma"/>
          <w:lang w:val="en-GB"/>
        </w:rPr>
        <w:t>The swap contract’s base rate is the central rate for the relevant FX/precious metal which is determined on the swap contract date.</w:t>
      </w:r>
    </w:p>
    <w:p w:rsidR="00CF4B10" w:rsidRPr="004D0EA6" w:rsidRDefault="00CF4B10" w:rsidP="00CF4B10">
      <w:pPr>
        <w:pStyle w:val="a0"/>
        <w:numPr>
          <w:ilvl w:val="0"/>
          <w:numId w:val="0"/>
        </w:numPr>
        <w:spacing w:before="0" w:after="120"/>
        <w:ind w:left="567"/>
        <w:rPr>
          <w:rFonts w:ascii="Tahoma" w:hAnsi="Tahoma" w:cs="Tahoma"/>
          <w:lang w:val="en-GB"/>
        </w:rPr>
      </w:pPr>
      <w:r w:rsidRPr="004D0EA6">
        <w:rPr>
          <w:rFonts w:ascii="Tahoma" w:hAnsi="Tahoma" w:cs="Tahoma"/>
          <w:lang w:val="en-GB"/>
        </w:rPr>
        <w:t xml:space="preserve">The base rate for off-book swap contract is agreed by the brokers who are the end counterparties. </w:t>
      </w:r>
    </w:p>
    <w:p w:rsidR="00CF4B10" w:rsidRPr="004D0EA6" w:rsidRDefault="00CF4B10" w:rsidP="00CF4B10">
      <w:pPr>
        <w:pStyle w:val="a0"/>
        <w:tabs>
          <w:tab w:val="clear" w:pos="1353"/>
          <w:tab w:val="num" w:pos="-1985"/>
          <w:tab w:val="left" w:pos="851"/>
        </w:tabs>
        <w:spacing w:before="0" w:afterLines="60" w:after="144"/>
        <w:ind w:left="567" w:hanging="567"/>
        <w:rPr>
          <w:rFonts w:ascii="Tahoma" w:hAnsi="Tahoma" w:cs="Tahoma"/>
          <w:lang w:val="en-GB"/>
        </w:rPr>
      </w:pPr>
      <w:r w:rsidRPr="004D0EA6">
        <w:rPr>
          <w:rFonts w:ascii="Tahoma" w:hAnsi="Tahoma" w:cs="Tahoma"/>
          <w:b/>
          <w:lang w:val="en-GB"/>
        </w:rPr>
        <w:t xml:space="preserve">Obligations under the second part of a swap contract. </w:t>
      </w:r>
      <w:r w:rsidRPr="004D0EA6">
        <w:rPr>
          <w:rFonts w:ascii="Tahoma" w:hAnsi="Tahoma" w:cs="Tahoma"/>
          <w:lang w:val="en-GB"/>
        </w:rPr>
        <w:t xml:space="preserve">On the settlement day of the second part of the contract, the seller should transfer the underlying FX/precious metals to the buyer in the amount of the contract lot, and the buyer must accept the underlying asset and pay the amount in RUB as determined by the Clearing Rules, to the seller.  </w:t>
      </w:r>
    </w:p>
    <w:p w:rsidR="00CF4B10" w:rsidRPr="004D0EA6" w:rsidRDefault="00CF4B10" w:rsidP="00CF4B10">
      <w:pPr>
        <w:pStyle w:val="a0"/>
        <w:numPr>
          <w:ilvl w:val="0"/>
          <w:numId w:val="0"/>
        </w:numPr>
        <w:tabs>
          <w:tab w:val="num" w:pos="1353"/>
        </w:tabs>
        <w:spacing w:before="0" w:after="120"/>
        <w:ind w:left="567"/>
        <w:rPr>
          <w:rFonts w:ascii="Tahoma" w:hAnsi="Tahoma" w:cs="Tahoma"/>
          <w:lang w:val="en-GB"/>
        </w:rPr>
      </w:pPr>
      <w:r w:rsidRPr="004D0EA6">
        <w:rPr>
          <w:rFonts w:ascii="Tahoma" w:hAnsi="Tahoma" w:cs="Tahoma"/>
          <w:lang w:val="en-GB"/>
        </w:rPr>
        <w:t xml:space="preserve">If the settlement date of the second part of a </w:t>
      </w:r>
      <w:r w:rsidR="009509E7" w:rsidRPr="004D0EA6">
        <w:rPr>
          <w:rFonts w:ascii="Tahoma" w:hAnsi="Tahoma" w:cs="Tahoma"/>
          <w:lang w:val="en-GB"/>
        </w:rPr>
        <w:t xml:space="preserve">regular </w:t>
      </w:r>
      <w:r w:rsidRPr="004D0EA6">
        <w:rPr>
          <w:rFonts w:ascii="Tahoma" w:hAnsi="Tahoma" w:cs="Tahoma"/>
          <w:lang w:val="en-GB"/>
        </w:rPr>
        <w:t xml:space="preserve">swap contract that is determined as per the rule NW falls on a non-operating day with regard to a relevant </w:t>
      </w:r>
      <w:r w:rsidR="009509E7" w:rsidRPr="004D0EA6">
        <w:rPr>
          <w:rFonts w:ascii="Tahoma" w:hAnsi="Tahoma" w:cs="Tahoma"/>
          <w:lang w:val="en-GB"/>
        </w:rPr>
        <w:t xml:space="preserve">regular </w:t>
      </w:r>
      <w:r w:rsidRPr="004D0EA6">
        <w:rPr>
          <w:rFonts w:ascii="Tahoma" w:hAnsi="Tahoma" w:cs="Tahoma"/>
          <w:lang w:val="en-GB"/>
        </w:rPr>
        <w:t xml:space="preserve">swap contract underlying asset, the settlement date of the second part of the contract is the next operating day for this underlying asset.  </w:t>
      </w:r>
    </w:p>
    <w:p w:rsidR="00CF4B10" w:rsidRPr="004D0EA6" w:rsidRDefault="00CF4B10" w:rsidP="00CF4B10">
      <w:pPr>
        <w:pStyle w:val="a0"/>
        <w:numPr>
          <w:ilvl w:val="0"/>
          <w:numId w:val="0"/>
        </w:numPr>
        <w:tabs>
          <w:tab w:val="num" w:pos="1353"/>
        </w:tabs>
        <w:spacing w:before="0" w:after="120"/>
        <w:ind w:left="567"/>
        <w:rPr>
          <w:rFonts w:ascii="Tahoma" w:hAnsi="Tahoma" w:cs="Tahoma"/>
          <w:lang w:val="en-GB"/>
        </w:rPr>
      </w:pPr>
      <w:r w:rsidRPr="004D0EA6">
        <w:rPr>
          <w:rFonts w:ascii="Tahoma" w:hAnsi="Tahoma" w:cs="Tahoma"/>
          <w:lang w:val="en-GB"/>
        </w:rPr>
        <w:t xml:space="preserve">If the settlement date of the second part of a </w:t>
      </w:r>
      <w:r w:rsidR="009509E7" w:rsidRPr="004D0EA6">
        <w:rPr>
          <w:rFonts w:ascii="Tahoma" w:hAnsi="Tahoma" w:cs="Tahoma"/>
          <w:lang w:val="en-GB"/>
        </w:rPr>
        <w:t xml:space="preserve">regular </w:t>
      </w:r>
      <w:r w:rsidRPr="004D0EA6">
        <w:rPr>
          <w:rFonts w:ascii="Tahoma" w:hAnsi="Tahoma" w:cs="Tahoma"/>
          <w:lang w:val="en-GB"/>
        </w:rPr>
        <w:t xml:space="preserve">swap contract that is determined as per the rule NM falls on a day that is absent in a given calendar month, the settlement date of the second part of the contract is the last operating day for the relevant underlying asset.  </w:t>
      </w:r>
    </w:p>
    <w:p w:rsidR="00CF4B10" w:rsidRPr="004D0EA6" w:rsidRDefault="00CF4B10" w:rsidP="00CF4B10">
      <w:pPr>
        <w:pStyle w:val="a0"/>
        <w:numPr>
          <w:ilvl w:val="0"/>
          <w:numId w:val="0"/>
        </w:numPr>
        <w:tabs>
          <w:tab w:val="num" w:pos="1353"/>
        </w:tabs>
        <w:spacing w:before="0" w:after="120"/>
        <w:ind w:left="567"/>
        <w:rPr>
          <w:rFonts w:ascii="Tahoma" w:hAnsi="Tahoma" w:cs="Tahoma"/>
          <w:lang w:val="en-GB"/>
        </w:rPr>
      </w:pPr>
      <w:r w:rsidRPr="004D0EA6">
        <w:rPr>
          <w:rFonts w:ascii="Tahoma" w:hAnsi="Tahoma" w:cs="Tahoma"/>
          <w:lang w:val="en-GB"/>
        </w:rPr>
        <w:lastRenderedPageBreak/>
        <w:t xml:space="preserve">If the settlement date of the second part of a </w:t>
      </w:r>
      <w:r w:rsidR="009509E7" w:rsidRPr="004D0EA6">
        <w:rPr>
          <w:rFonts w:ascii="Tahoma" w:hAnsi="Tahoma" w:cs="Tahoma"/>
          <w:lang w:val="en-GB"/>
        </w:rPr>
        <w:t xml:space="preserve">regular </w:t>
      </w:r>
      <w:r w:rsidRPr="004D0EA6">
        <w:rPr>
          <w:rFonts w:ascii="Tahoma" w:hAnsi="Tahoma" w:cs="Tahoma"/>
          <w:lang w:val="en-GB"/>
        </w:rPr>
        <w:t xml:space="preserve">swap contract that is determined as per the rule NM or NY falls on a non-operating day with regard to a relevant swap contract underlying asset, the settlement date of the second part is the next operating day for this underlying asset in the same calendar month; if such day comes in the next calendar month, the settlement date of the second part is the last operating day for a relevant underlying asset of the calendar month determined as per the rule NM or NY.   </w:t>
      </w:r>
    </w:p>
    <w:p w:rsidR="004D0EA6" w:rsidRPr="004D0EA6" w:rsidRDefault="004D0EA6" w:rsidP="004D0EA6">
      <w:pPr>
        <w:pStyle w:val="a0"/>
        <w:numPr>
          <w:ilvl w:val="0"/>
          <w:numId w:val="0"/>
        </w:numPr>
        <w:tabs>
          <w:tab w:val="num" w:pos="1353"/>
        </w:tabs>
        <w:spacing w:before="0" w:after="120"/>
        <w:ind w:left="567"/>
        <w:rPr>
          <w:rFonts w:ascii="Tahoma" w:hAnsi="Tahoma" w:cs="Tahoma"/>
          <w:highlight w:val="yellow"/>
          <w:lang w:val="en-US"/>
        </w:rPr>
      </w:pPr>
      <w:r w:rsidRPr="004D0EA6">
        <w:rPr>
          <w:rFonts w:ascii="Tahoma" w:hAnsi="Tahoma" w:cs="Tahoma"/>
          <w:lang w:val="en-GB"/>
        </w:rPr>
        <w:t>The settlement date of the second part of a fixed swap contract which is specified as MMYY is the date stated as such in the List of Parameters.</w:t>
      </w:r>
    </w:p>
    <w:p w:rsidR="00CF4B10" w:rsidRPr="004D0EA6" w:rsidRDefault="00CF4B10" w:rsidP="00CF4B10">
      <w:pPr>
        <w:pStyle w:val="a0"/>
        <w:tabs>
          <w:tab w:val="clear" w:pos="1353"/>
          <w:tab w:val="num" w:pos="-1985"/>
          <w:tab w:val="left" w:pos="851"/>
        </w:tabs>
        <w:spacing w:before="0" w:afterLines="60" w:after="144"/>
        <w:ind w:left="567" w:hanging="567"/>
        <w:rPr>
          <w:rFonts w:ascii="Tahoma" w:hAnsi="Tahoma" w:cs="Tahoma"/>
          <w:lang w:val="en-GB"/>
        </w:rPr>
      </w:pPr>
      <w:r w:rsidRPr="004D0EA6">
        <w:rPr>
          <w:rFonts w:ascii="Tahoma" w:hAnsi="Tahoma" w:cs="Tahoma"/>
          <w:lang w:val="en-GB"/>
        </w:rPr>
        <w:t>The termination of obligations under swap contracts is governed by the Clearing Rules.</w:t>
      </w:r>
    </w:p>
    <w:p w:rsidR="00CF4B10" w:rsidRPr="004D0EA6" w:rsidRDefault="00CF4B10" w:rsidP="00CF4B10">
      <w:pPr>
        <w:pStyle w:val="a0"/>
        <w:tabs>
          <w:tab w:val="clear" w:pos="1353"/>
          <w:tab w:val="num" w:pos="-1985"/>
          <w:tab w:val="left" w:pos="851"/>
        </w:tabs>
        <w:spacing w:before="0" w:afterLines="60" w:after="144"/>
        <w:ind w:left="567" w:hanging="567"/>
        <w:rPr>
          <w:rFonts w:ascii="Tahoma" w:hAnsi="Tahoma" w:cs="Tahoma"/>
          <w:lang w:val="en-GB"/>
        </w:rPr>
      </w:pPr>
      <w:r w:rsidRPr="004D0EA6">
        <w:rPr>
          <w:rFonts w:ascii="Tahoma" w:hAnsi="Tahoma" w:cs="Tahoma"/>
          <w:lang w:val="en-GB"/>
        </w:rPr>
        <w:t>The parties are responsible for failure to fulfil obligations under swap contracts and for improper fulfilment of such obligations in accordance with Russian law and the clearing rules.</w:t>
      </w:r>
    </w:p>
    <w:p w:rsidR="00CF4B10" w:rsidRPr="004D0EA6" w:rsidRDefault="00CF4B10" w:rsidP="00CF4B10">
      <w:pPr>
        <w:pStyle w:val="a"/>
        <w:tabs>
          <w:tab w:val="clear" w:pos="644"/>
          <w:tab w:val="clear" w:pos="9000"/>
        </w:tabs>
        <w:spacing w:before="360"/>
        <w:ind w:left="0" w:firstLine="0"/>
        <w:rPr>
          <w:rFonts w:ascii="Tahoma" w:hAnsi="Tahoma" w:cs="Tahoma"/>
          <w:lang w:val="en-GB"/>
        </w:rPr>
      </w:pPr>
      <w:r w:rsidRPr="004D0EA6">
        <w:rPr>
          <w:rFonts w:ascii="Tahoma" w:hAnsi="Tahoma" w:cs="Tahoma"/>
          <w:lang w:val="en-GB"/>
        </w:rPr>
        <w:t>Special provisions</w:t>
      </w:r>
    </w:p>
    <w:p w:rsidR="00CF4B10" w:rsidRPr="004D0EA6" w:rsidRDefault="00CF4B10" w:rsidP="00CF4B10">
      <w:pPr>
        <w:pStyle w:val="a0"/>
        <w:tabs>
          <w:tab w:val="clear" w:pos="1353"/>
          <w:tab w:val="num" w:pos="-1985"/>
          <w:tab w:val="left" w:pos="851"/>
        </w:tabs>
        <w:spacing w:before="0" w:afterLines="60" w:after="144"/>
        <w:ind w:left="567" w:hanging="567"/>
        <w:rPr>
          <w:rFonts w:ascii="Tahoma" w:hAnsi="Tahoma" w:cs="Tahoma"/>
          <w:lang w:val="en-GB"/>
        </w:rPr>
      </w:pPr>
      <w:bookmarkStart w:id="1" w:name="_Ref381700088"/>
      <w:r w:rsidRPr="004D0EA6">
        <w:rPr>
          <w:rFonts w:ascii="Tahoma" w:hAnsi="Tahoma" w:cs="Tahoma"/>
          <w:lang w:val="en-GB"/>
        </w:rPr>
        <w:t>If execution of swap contracts is suspended/cancelled, including due to restrictions imposed on the contract underlying asset, the exchange and/or clearing centre is entitled take one or more of the following actions if agreed with the other:</w:t>
      </w:r>
    </w:p>
    <w:bookmarkEnd w:id="1"/>
    <w:p w:rsidR="00CF4B10" w:rsidRPr="004D0EA6" w:rsidRDefault="00CF4B10" w:rsidP="00CF4B10">
      <w:pPr>
        <w:pStyle w:val="1"/>
        <w:tabs>
          <w:tab w:val="num" w:pos="851"/>
        </w:tabs>
        <w:spacing w:before="0" w:after="120"/>
        <w:ind w:left="284" w:firstLine="0"/>
        <w:rPr>
          <w:rFonts w:ascii="Tahoma" w:hAnsi="Tahoma" w:cs="Tahoma"/>
          <w:lang w:val="en-GB"/>
        </w:rPr>
      </w:pPr>
      <w:r w:rsidRPr="004D0EA6">
        <w:rPr>
          <w:rFonts w:ascii="Tahoma" w:hAnsi="Tahoma" w:cs="Tahoma"/>
          <w:lang w:val="en-GB"/>
        </w:rPr>
        <w:t>To change the settlement date of a swap contract;</w:t>
      </w:r>
    </w:p>
    <w:p w:rsidR="00CF4B10" w:rsidRPr="004D0EA6" w:rsidRDefault="00CF4B10" w:rsidP="00CF4B10">
      <w:pPr>
        <w:pStyle w:val="1"/>
        <w:tabs>
          <w:tab w:val="num" w:pos="851"/>
        </w:tabs>
        <w:spacing w:before="0" w:after="120"/>
        <w:ind w:left="284" w:firstLine="0"/>
        <w:rPr>
          <w:rFonts w:ascii="Tahoma" w:hAnsi="Tahoma" w:cs="Tahoma"/>
          <w:lang w:val="en-GB"/>
        </w:rPr>
      </w:pPr>
      <w:r w:rsidRPr="004D0EA6">
        <w:rPr>
          <w:rFonts w:ascii="Tahoma" w:hAnsi="Tahoma" w:cs="Tahoma"/>
          <w:lang w:val="en-GB"/>
        </w:rPr>
        <w:t>To discharge obligations of a swap contract;</w:t>
      </w:r>
    </w:p>
    <w:p w:rsidR="00CF4B10" w:rsidRPr="004D0EA6" w:rsidRDefault="00CF4B10" w:rsidP="00CF4B10">
      <w:pPr>
        <w:pStyle w:val="1"/>
        <w:tabs>
          <w:tab w:val="num" w:pos="851"/>
        </w:tabs>
        <w:spacing w:before="0" w:after="60"/>
        <w:ind w:left="284" w:firstLine="0"/>
        <w:rPr>
          <w:rFonts w:ascii="Tahoma" w:hAnsi="Tahoma" w:cs="Tahoma"/>
          <w:lang w:val="en-US"/>
        </w:rPr>
      </w:pPr>
      <w:r w:rsidRPr="004D0EA6">
        <w:rPr>
          <w:rFonts w:ascii="Tahoma" w:hAnsi="Tahoma" w:cs="Tahoma"/>
          <w:lang w:val="en-US"/>
        </w:rPr>
        <w:t>To change the procedure for calculating and transferring variation margin;</w:t>
      </w:r>
    </w:p>
    <w:p w:rsidR="00CF4B10" w:rsidRPr="004D0EA6" w:rsidRDefault="00CF4B10" w:rsidP="00CF4B10">
      <w:pPr>
        <w:pStyle w:val="1"/>
        <w:tabs>
          <w:tab w:val="num" w:pos="851"/>
        </w:tabs>
        <w:spacing w:before="0" w:after="120"/>
        <w:ind w:left="284" w:firstLine="0"/>
        <w:rPr>
          <w:rFonts w:ascii="Tahoma" w:hAnsi="Tahoma" w:cs="Tahoma"/>
          <w:lang w:val="en-GB"/>
        </w:rPr>
      </w:pPr>
      <w:r w:rsidRPr="004D0EA6">
        <w:rPr>
          <w:rFonts w:ascii="Tahoma" w:hAnsi="Tahoma" w:cs="Tahoma"/>
          <w:lang w:val="en-GB"/>
        </w:rPr>
        <w:t>Other actions specified in the trading and/or clearing rules.</w:t>
      </w:r>
    </w:p>
    <w:p w:rsidR="00CF4B10" w:rsidRPr="004D0EA6" w:rsidRDefault="00CF4B10" w:rsidP="00CF4B10">
      <w:pPr>
        <w:pStyle w:val="a0"/>
        <w:tabs>
          <w:tab w:val="clear" w:pos="1353"/>
          <w:tab w:val="num" w:pos="-1985"/>
          <w:tab w:val="left" w:pos="851"/>
        </w:tabs>
        <w:spacing w:before="0" w:afterLines="60" w:after="144"/>
        <w:ind w:left="567" w:hanging="567"/>
        <w:rPr>
          <w:rFonts w:ascii="Tahoma" w:hAnsi="Tahoma" w:cs="Tahoma"/>
          <w:lang w:val="en-GB"/>
        </w:rPr>
      </w:pPr>
      <w:r w:rsidRPr="004D0EA6">
        <w:rPr>
          <w:rFonts w:ascii="Tahoma" w:hAnsi="Tahoma" w:cs="Tahoma"/>
          <w:lang w:val="en-GB"/>
        </w:rPr>
        <w:t>Any decision regarding action made by the exchange and/or clearing centre as per clause 3.1 hereof is to be posted on the exchange’s and/or clearing centre’s website at least three business days before coming into force unless a different date has been established by the exchange and/or the clearing centre.</w:t>
      </w:r>
    </w:p>
    <w:p w:rsidR="00CF4B10" w:rsidRPr="004D0EA6" w:rsidRDefault="00CF4B10" w:rsidP="00CF4B10">
      <w:pPr>
        <w:pStyle w:val="a"/>
        <w:tabs>
          <w:tab w:val="clear" w:pos="644"/>
          <w:tab w:val="clear" w:pos="9000"/>
        </w:tabs>
        <w:spacing w:before="360"/>
        <w:ind w:left="0" w:firstLine="0"/>
        <w:rPr>
          <w:rFonts w:ascii="Tahoma" w:hAnsi="Tahoma" w:cs="Tahoma"/>
          <w:lang w:val="en-GB"/>
        </w:rPr>
      </w:pPr>
      <w:r w:rsidRPr="004D0EA6">
        <w:rPr>
          <w:rFonts w:ascii="Tahoma" w:hAnsi="Tahoma" w:cs="Tahoma"/>
          <w:lang w:val="en-GB"/>
        </w:rPr>
        <w:t>Amendments and supplements</w:t>
      </w:r>
    </w:p>
    <w:p w:rsidR="00CF4B10" w:rsidRPr="004D0EA6" w:rsidRDefault="00CF4B10" w:rsidP="00CF4B10">
      <w:pPr>
        <w:pStyle w:val="a0"/>
        <w:tabs>
          <w:tab w:val="clear" w:pos="1353"/>
          <w:tab w:val="num" w:pos="-1985"/>
          <w:tab w:val="left" w:pos="851"/>
        </w:tabs>
        <w:spacing w:before="0" w:afterLines="60" w:after="144"/>
        <w:ind w:left="567" w:hanging="567"/>
        <w:rPr>
          <w:rFonts w:ascii="Tahoma" w:hAnsi="Tahoma" w:cs="Tahoma"/>
          <w:lang w:val="en-GB"/>
        </w:rPr>
      </w:pPr>
      <w:r w:rsidRPr="004D0EA6">
        <w:rPr>
          <w:rFonts w:ascii="Tahoma" w:hAnsi="Tahoma" w:cs="Tahoma"/>
          <w:lang w:val="en-GB"/>
        </w:rPr>
        <w:t>The exchange is entitled to amend and supplement these specifications with the agreement of the clearing centre.</w:t>
      </w:r>
    </w:p>
    <w:p w:rsidR="00CF4B10" w:rsidRPr="004D0EA6" w:rsidRDefault="00CF4B10" w:rsidP="00CF4B10">
      <w:pPr>
        <w:pStyle w:val="a0"/>
        <w:tabs>
          <w:tab w:val="clear" w:pos="1353"/>
          <w:tab w:val="num" w:pos="-1985"/>
          <w:tab w:val="left" w:pos="851"/>
        </w:tabs>
        <w:spacing w:before="0" w:afterLines="60" w:after="144"/>
        <w:ind w:left="567" w:hanging="567"/>
        <w:rPr>
          <w:rFonts w:ascii="Tahoma" w:hAnsi="Tahoma" w:cs="Tahoma"/>
          <w:lang w:val="en-GB"/>
        </w:rPr>
      </w:pPr>
      <w:r w:rsidRPr="004D0EA6">
        <w:rPr>
          <w:rFonts w:ascii="Tahoma" w:hAnsi="Tahoma" w:cs="Tahoma"/>
          <w:lang w:val="en-GB"/>
        </w:rPr>
        <w:t>Any amendments and supplements to the specifications come into force when the specifications with such amendments and supplements take effect subject to the registration thereof by the Bank of Russia.</w:t>
      </w:r>
    </w:p>
    <w:p w:rsidR="00CF4B10" w:rsidRPr="004D0EA6" w:rsidRDefault="00CF4B10" w:rsidP="00CF4B10">
      <w:pPr>
        <w:pStyle w:val="a0"/>
        <w:tabs>
          <w:tab w:val="clear" w:pos="1353"/>
          <w:tab w:val="num" w:pos="-1985"/>
          <w:tab w:val="left" w:pos="851"/>
        </w:tabs>
        <w:spacing w:before="0" w:afterLines="60" w:after="144"/>
        <w:ind w:left="567" w:hanging="567"/>
        <w:rPr>
          <w:rFonts w:ascii="Tahoma" w:hAnsi="Tahoma" w:cs="Tahoma"/>
          <w:lang w:val="en-GB"/>
        </w:rPr>
      </w:pPr>
      <w:r w:rsidRPr="004D0EA6">
        <w:rPr>
          <w:rFonts w:ascii="Tahoma" w:hAnsi="Tahoma" w:cs="Tahoma"/>
          <w:lang w:val="en-GB"/>
        </w:rPr>
        <w:t xml:space="preserve">Information on amended and supplemented specifications coming into force is to be posted on the exchange’s website at least three business days before they come into force. </w:t>
      </w:r>
    </w:p>
    <w:p w:rsidR="00CF4B10" w:rsidRPr="004D0EA6" w:rsidRDefault="00CF4B10" w:rsidP="00CF4B10">
      <w:pPr>
        <w:pStyle w:val="a0"/>
        <w:tabs>
          <w:tab w:val="clear" w:pos="1353"/>
          <w:tab w:val="num" w:pos="-1985"/>
          <w:tab w:val="left" w:pos="851"/>
        </w:tabs>
        <w:spacing w:before="0" w:afterLines="60" w:after="144"/>
        <w:ind w:left="567" w:hanging="567"/>
        <w:rPr>
          <w:rFonts w:ascii="Tahoma" w:hAnsi="Tahoma" w:cs="Tahoma"/>
          <w:lang w:val="en-GB"/>
        </w:rPr>
      </w:pPr>
      <w:r w:rsidRPr="004D0EA6">
        <w:rPr>
          <w:rFonts w:ascii="Tahoma" w:hAnsi="Tahoma" w:cs="Tahoma"/>
          <w:lang w:val="en-GB"/>
        </w:rPr>
        <w:t>When amendments and supplements to the specifications come into force, the terms of existing obligations under previously executed swap contracts are considered to include such amendments and supplements.</w:t>
      </w:r>
    </w:p>
    <w:p w:rsidR="004543E7" w:rsidRPr="004D0EA6" w:rsidRDefault="004543E7">
      <w:pPr>
        <w:rPr>
          <w:rFonts w:ascii="Tahoma" w:hAnsi="Tahoma" w:cs="Tahoma"/>
          <w:lang w:val="en-US"/>
        </w:rPr>
      </w:pPr>
    </w:p>
    <w:sectPr w:rsidR="004543E7" w:rsidRPr="004D0EA6" w:rsidSect="00BC6048">
      <w:footerReference w:type="even" r:id="rId7"/>
      <w:footerReference w:type="default" r:id="rId8"/>
      <w:pgSz w:w="11906" w:h="16838"/>
      <w:pgMar w:top="1134" w:right="849"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7039B" w:rsidRDefault="00F7039B">
      <w:r>
        <w:separator/>
      </w:r>
    </w:p>
  </w:endnote>
  <w:endnote w:type="continuationSeparator" w:id="0">
    <w:p w:rsidR="00F7039B" w:rsidRDefault="00F703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0000012" w:usb3="00000000" w:csb0="000200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12956" w:rsidRDefault="00CF4B10" w:rsidP="00BC6048">
    <w:pPr>
      <w:pStyle w:val="a5"/>
      <w:framePr w:wrap="around" w:vAnchor="text" w:hAnchor="margin" w:xAlign="right" w:y="1"/>
      <w:rPr>
        <w:rStyle w:val="a7"/>
      </w:rPr>
    </w:pPr>
    <w:r>
      <w:rPr>
        <w:rStyle w:val="a7"/>
      </w:rPr>
      <w:fldChar w:fldCharType="begin"/>
    </w:r>
    <w:r>
      <w:rPr>
        <w:rStyle w:val="a7"/>
      </w:rPr>
      <w:instrText xml:space="preserve">PAGE  </w:instrText>
    </w:r>
    <w:r>
      <w:rPr>
        <w:rStyle w:val="a7"/>
      </w:rPr>
      <w:fldChar w:fldCharType="separate"/>
    </w:r>
    <w:r>
      <w:rPr>
        <w:rStyle w:val="a7"/>
        <w:noProof/>
      </w:rPr>
      <w:t>3</w:t>
    </w:r>
    <w:r>
      <w:rPr>
        <w:rStyle w:val="a7"/>
      </w:rPr>
      <w:fldChar w:fldCharType="end"/>
    </w:r>
  </w:p>
  <w:p w:rsidR="00512956" w:rsidRDefault="00F7039B" w:rsidP="00BC6048">
    <w:pPr>
      <w:pStyle w:val="a5"/>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12956" w:rsidRDefault="00CF4B10" w:rsidP="00BC6048">
    <w:pPr>
      <w:pStyle w:val="a5"/>
      <w:framePr w:wrap="around" w:vAnchor="text" w:hAnchor="margin" w:xAlign="right" w:y="1"/>
      <w:rPr>
        <w:rStyle w:val="a7"/>
      </w:rPr>
    </w:pPr>
    <w:r>
      <w:rPr>
        <w:rStyle w:val="a7"/>
      </w:rPr>
      <w:fldChar w:fldCharType="begin"/>
    </w:r>
    <w:r>
      <w:rPr>
        <w:rStyle w:val="a7"/>
      </w:rPr>
      <w:instrText xml:space="preserve">PAGE  </w:instrText>
    </w:r>
    <w:r>
      <w:rPr>
        <w:rStyle w:val="a7"/>
      </w:rPr>
      <w:fldChar w:fldCharType="separate"/>
    </w:r>
    <w:r w:rsidR="00855609">
      <w:rPr>
        <w:rStyle w:val="a7"/>
        <w:noProof/>
      </w:rPr>
      <w:t>1</w:t>
    </w:r>
    <w:r>
      <w:rPr>
        <w:rStyle w:val="a7"/>
      </w:rPr>
      <w:fldChar w:fldCharType="end"/>
    </w:r>
  </w:p>
  <w:p w:rsidR="00512956" w:rsidRDefault="00F7039B" w:rsidP="00BC6048">
    <w:pPr>
      <w:pStyle w:val="a5"/>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7039B" w:rsidRDefault="00F7039B">
      <w:r>
        <w:separator/>
      </w:r>
    </w:p>
  </w:footnote>
  <w:footnote w:type="continuationSeparator" w:id="0">
    <w:p w:rsidR="00F7039B" w:rsidRDefault="00F7039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79B5D1D"/>
    <w:multiLevelType w:val="multilevel"/>
    <w:tmpl w:val="7A8E3D14"/>
    <w:lvl w:ilvl="0">
      <w:start w:val="1"/>
      <w:numFmt w:val="decimal"/>
      <w:lvlText w:val="%1."/>
      <w:lvlJc w:val="left"/>
      <w:pPr>
        <w:tabs>
          <w:tab w:val="num" w:pos="360"/>
        </w:tabs>
        <w:ind w:left="357" w:hanging="357"/>
      </w:pPr>
      <w:rPr>
        <w:rFonts w:hint="default"/>
      </w:rPr>
    </w:lvl>
    <w:lvl w:ilvl="1">
      <w:start w:val="1"/>
      <w:numFmt w:val="decimal"/>
      <w:lvlText w:val="%1.%2."/>
      <w:lvlJc w:val="left"/>
      <w:pPr>
        <w:tabs>
          <w:tab w:val="num" w:pos="794"/>
        </w:tabs>
        <w:ind w:left="0" w:firstLine="360"/>
      </w:pPr>
      <w:rPr>
        <w:rFonts w:hint="default"/>
        <w:strike w:val="0"/>
      </w:rPr>
    </w:lvl>
    <w:lvl w:ilvl="2">
      <w:start w:val="1"/>
      <w:numFmt w:val="decimal"/>
      <w:lvlText w:val="%1.%2.%3."/>
      <w:lvlJc w:val="left"/>
      <w:pPr>
        <w:tabs>
          <w:tab w:val="num" w:pos="2139"/>
        </w:tabs>
        <w:ind w:left="699" w:firstLine="720"/>
      </w:pPr>
      <w:rPr>
        <w:rFonts w:hint="default"/>
        <w:b w:val="0"/>
      </w:rPr>
    </w:lvl>
    <w:lvl w:ilvl="3">
      <w:start w:val="1"/>
      <w:numFmt w:val="decimal"/>
      <w:lvlText w:val="%1.%2.%3.%4."/>
      <w:lvlJc w:val="left"/>
      <w:pPr>
        <w:tabs>
          <w:tab w:val="num" w:pos="1800"/>
        </w:tabs>
        <w:ind w:left="0" w:firstLine="1080"/>
      </w:pPr>
      <w:rPr>
        <w:rFonts w:hint="default"/>
      </w:rPr>
    </w:lvl>
    <w:lvl w:ilvl="4">
      <w:start w:val="1"/>
      <w:numFmt w:val="decimal"/>
      <w:lvlText w:val="%1.%2.%3.%4.%5."/>
      <w:lvlJc w:val="left"/>
      <w:pPr>
        <w:tabs>
          <w:tab w:val="num" w:pos="2520"/>
        </w:tabs>
        <w:ind w:left="0" w:firstLine="1440"/>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 w15:restartNumberingAfterBreak="0">
    <w:nsid w:val="3A116BBF"/>
    <w:multiLevelType w:val="multilevel"/>
    <w:tmpl w:val="40C422B4"/>
    <w:lvl w:ilvl="0">
      <w:start w:val="1"/>
      <w:numFmt w:val="decimal"/>
      <w:pStyle w:val="a"/>
      <w:lvlText w:val="%1."/>
      <w:lvlJc w:val="left"/>
      <w:pPr>
        <w:tabs>
          <w:tab w:val="num" w:pos="644"/>
        </w:tabs>
        <w:ind w:left="644" w:hanging="360"/>
      </w:pPr>
    </w:lvl>
    <w:lvl w:ilvl="1">
      <w:start w:val="1"/>
      <w:numFmt w:val="decimal"/>
      <w:pStyle w:val="a0"/>
      <w:lvlText w:val="%1.%2."/>
      <w:lvlJc w:val="left"/>
      <w:pPr>
        <w:tabs>
          <w:tab w:val="num" w:pos="1353"/>
        </w:tabs>
        <w:ind w:left="1353" w:hanging="360"/>
      </w:pPr>
      <w:rPr>
        <w:b w:val="0"/>
        <w:sz w:val="24"/>
        <w:szCs w:val="24"/>
      </w:rPr>
    </w:lvl>
    <w:lvl w:ilvl="2">
      <w:start w:val="1"/>
      <w:numFmt w:val="decimal"/>
      <w:pStyle w:val="1"/>
      <w:lvlText w:val="%1.%2.%3."/>
      <w:lvlJc w:val="left"/>
      <w:pPr>
        <w:tabs>
          <w:tab w:val="num" w:pos="720"/>
        </w:tabs>
        <w:ind w:left="720" w:hanging="720"/>
      </w:pPr>
    </w:lvl>
    <w:lvl w:ilvl="3">
      <w:start w:val="1"/>
      <w:numFmt w:val="decimal"/>
      <w:lvlText w:val="%1.%2.%3.%4."/>
      <w:lvlJc w:val="left"/>
      <w:pPr>
        <w:tabs>
          <w:tab w:val="num" w:pos="2880"/>
        </w:tabs>
        <w:ind w:left="2880" w:hanging="720"/>
      </w:pPr>
    </w:lvl>
    <w:lvl w:ilvl="4">
      <w:start w:val="1"/>
      <w:numFmt w:val="decimal"/>
      <w:lvlText w:val="%1.%2.%3.%4.%5."/>
      <w:lvlJc w:val="left"/>
      <w:pPr>
        <w:tabs>
          <w:tab w:val="num" w:pos="3960"/>
        </w:tabs>
        <w:ind w:left="3960" w:hanging="1080"/>
      </w:pPr>
    </w:lvl>
    <w:lvl w:ilvl="5">
      <w:start w:val="1"/>
      <w:numFmt w:val="decimal"/>
      <w:lvlText w:val="%1.%2.%3.%4.%5.%6."/>
      <w:lvlJc w:val="left"/>
      <w:pPr>
        <w:tabs>
          <w:tab w:val="num" w:pos="4680"/>
        </w:tabs>
        <w:ind w:left="4680" w:hanging="1080"/>
      </w:pPr>
    </w:lvl>
    <w:lvl w:ilvl="6">
      <w:start w:val="1"/>
      <w:numFmt w:val="decimal"/>
      <w:lvlText w:val="%1.%2.%3.%4.%5.%6.%7."/>
      <w:lvlJc w:val="left"/>
      <w:pPr>
        <w:tabs>
          <w:tab w:val="num" w:pos="5760"/>
        </w:tabs>
        <w:ind w:left="5760" w:hanging="1440"/>
      </w:pPr>
    </w:lvl>
    <w:lvl w:ilvl="7">
      <w:start w:val="1"/>
      <w:numFmt w:val="decimal"/>
      <w:lvlText w:val="%1.%2.%3.%4.%5.%6.%7.%8."/>
      <w:lvlJc w:val="left"/>
      <w:pPr>
        <w:tabs>
          <w:tab w:val="num" w:pos="6480"/>
        </w:tabs>
        <w:ind w:left="6480" w:hanging="1440"/>
      </w:pPr>
    </w:lvl>
    <w:lvl w:ilvl="8">
      <w:start w:val="1"/>
      <w:numFmt w:val="decimal"/>
      <w:lvlText w:val="%1.%2.%3.%4.%5.%6.%7.%8.%9."/>
      <w:lvlJc w:val="left"/>
      <w:pPr>
        <w:tabs>
          <w:tab w:val="num" w:pos="7560"/>
        </w:tabs>
        <w:ind w:left="7560" w:hanging="1800"/>
      </w:pPr>
    </w:lvl>
  </w:abstractNum>
  <w:abstractNum w:abstractNumId="2" w15:restartNumberingAfterBreak="0">
    <w:nsid w:val="45DB1F33"/>
    <w:multiLevelType w:val="hybridMultilevel"/>
    <w:tmpl w:val="5ED451FA"/>
    <w:lvl w:ilvl="0" w:tplc="04190001">
      <w:start w:val="1"/>
      <w:numFmt w:val="bullet"/>
      <w:lvlText w:val=""/>
      <w:lvlJc w:val="left"/>
      <w:pPr>
        <w:ind w:left="1571" w:hanging="360"/>
      </w:pPr>
      <w:rPr>
        <w:rFonts w:ascii="Symbol" w:hAnsi="Symbol" w:hint="default"/>
      </w:rPr>
    </w:lvl>
    <w:lvl w:ilvl="1" w:tplc="04190003">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3" w15:restartNumberingAfterBreak="0">
    <w:nsid w:val="6FD21288"/>
    <w:multiLevelType w:val="hybridMultilevel"/>
    <w:tmpl w:val="1BC00BA0"/>
    <w:lvl w:ilvl="0" w:tplc="04090001">
      <w:start w:val="1"/>
      <w:numFmt w:val="bullet"/>
      <w:lvlText w:val=""/>
      <w:lvlJc w:val="left"/>
      <w:pPr>
        <w:ind w:left="1364" w:hanging="360"/>
      </w:pPr>
      <w:rPr>
        <w:rFonts w:ascii="Symbol" w:hAnsi="Symbol" w:hint="default"/>
      </w:rPr>
    </w:lvl>
    <w:lvl w:ilvl="1" w:tplc="04090003" w:tentative="1">
      <w:start w:val="1"/>
      <w:numFmt w:val="bullet"/>
      <w:lvlText w:val="o"/>
      <w:lvlJc w:val="left"/>
      <w:pPr>
        <w:ind w:left="2084" w:hanging="360"/>
      </w:pPr>
      <w:rPr>
        <w:rFonts w:ascii="Courier New" w:hAnsi="Courier New" w:hint="default"/>
      </w:rPr>
    </w:lvl>
    <w:lvl w:ilvl="2" w:tplc="04090005">
      <w:start w:val="1"/>
      <w:numFmt w:val="bullet"/>
      <w:lvlText w:val=""/>
      <w:lvlJc w:val="left"/>
      <w:pPr>
        <w:ind w:left="2804" w:hanging="360"/>
      </w:pPr>
      <w:rPr>
        <w:rFonts w:ascii="Wingdings" w:hAnsi="Wingdings" w:hint="default"/>
      </w:rPr>
    </w:lvl>
    <w:lvl w:ilvl="3" w:tplc="04090001" w:tentative="1">
      <w:start w:val="1"/>
      <w:numFmt w:val="bullet"/>
      <w:lvlText w:val=""/>
      <w:lvlJc w:val="left"/>
      <w:pPr>
        <w:ind w:left="3524" w:hanging="360"/>
      </w:pPr>
      <w:rPr>
        <w:rFonts w:ascii="Symbol" w:hAnsi="Symbol" w:hint="default"/>
      </w:rPr>
    </w:lvl>
    <w:lvl w:ilvl="4" w:tplc="04090003" w:tentative="1">
      <w:start w:val="1"/>
      <w:numFmt w:val="bullet"/>
      <w:lvlText w:val="o"/>
      <w:lvlJc w:val="left"/>
      <w:pPr>
        <w:ind w:left="4244" w:hanging="360"/>
      </w:pPr>
      <w:rPr>
        <w:rFonts w:ascii="Courier New" w:hAnsi="Courier New" w:hint="default"/>
      </w:rPr>
    </w:lvl>
    <w:lvl w:ilvl="5" w:tplc="04090005" w:tentative="1">
      <w:start w:val="1"/>
      <w:numFmt w:val="bullet"/>
      <w:lvlText w:val=""/>
      <w:lvlJc w:val="left"/>
      <w:pPr>
        <w:ind w:left="4964" w:hanging="360"/>
      </w:pPr>
      <w:rPr>
        <w:rFonts w:ascii="Wingdings" w:hAnsi="Wingdings" w:hint="default"/>
      </w:rPr>
    </w:lvl>
    <w:lvl w:ilvl="6" w:tplc="04090001" w:tentative="1">
      <w:start w:val="1"/>
      <w:numFmt w:val="bullet"/>
      <w:lvlText w:val=""/>
      <w:lvlJc w:val="left"/>
      <w:pPr>
        <w:ind w:left="5684" w:hanging="360"/>
      </w:pPr>
      <w:rPr>
        <w:rFonts w:ascii="Symbol" w:hAnsi="Symbol" w:hint="default"/>
      </w:rPr>
    </w:lvl>
    <w:lvl w:ilvl="7" w:tplc="04090003" w:tentative="1">
      <w:start w:val="1"/>
      <w:numFmt w:val="bullet"/>
      <w:lvlText w:val="o"/>
      <w:lvlJc w:val="left"/>
      <w:pPr>
        <w:ind w:left="6404" w:hanging="360"/>
      </w:pPr>
      <w:rPr>
        <w:rFonts w:ascii="Courier New" w:hAnsi="Courier New" w:hint="default"/>
      </w:rPr>
    </w:lvl>
    <w:lvl w:ilvl="8" w:tplc="04090005" w:tentative="1">
      <w:start w:val="1"/>
      <w:numFmt w:val="bullet"/>
      <w:lvlText w:val=""/>
      <w:lvlJc w:val="left"/>
      <w:pPr>
        <w:ind w:left="7124" w:hanging="360"/>
      </w:pPr>
      <w:rPr>
        <w:rFonts w:ascii="Wingdings" w:hAnsi="Wingdings" w:hint="default"/>
      </w:rPr>
    </w:lvl>
  </w:abstractNum>
  <w:num w:numId="1">
    <w:abstractNumId w:val="1"/>
  </w:num>
  <w:num w:numId="2">
    <w:abstractNumId w:val="2"/>
  </w:num>
  <w:num w:numId="3">
    <w:abstractNumId w:val="3"/>
  </w:num>
  <w:num w:numId="4">
    <w:abstractNumId w:val="0"/>
  </w:num>
  <w:num w:numId="5">
    <w:abstractNumId w:val="1"/>
  </w:num>
  <w:num w:numId="6">
    <w:abstractNumId w:val="1"/>
  </w:num>
  <w:num w:numId="7">
    <w:abstractNumId w:val="1"/>
  </w:num>
  <w:num w:numId="8">
    <w:abstractNumId w:val="1"/>
  </w:num>
  <w:num w:numId="9">
    <w:abstractNumId w:val="1"/>
  </w:num>
  <w:num w:numId="10">
    <w:abstractNumId w:val="1"/>
  </w:num>
  <w:num w:numId="11">
    <w:abstractNumId w:val="1"/>
  </w:num>
  <w:num w:numId="12">
    <w:abstractNumId w:val="1"/>
  </w:num>
  <w:num w:numId="13">
    <w:abstractNumId w:val="1"/>
  </w:num>
  <w:num w:numId="14">
    <w:abstractNumId w:val="1"/>
  </w:num>
  <w:num w:numId="1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F4B10"/>
    <w:rsid w:val="00216059"/>
    <w:rsid w:val="00412CAF"/>
    <w:rsid w:val="004543E7"/>
    <w:rsid w:val="004D0EA6"/>
    <w:rsid w:val="005C474A"/>
    <w:rsid w:val="006A23D6"/>
    <w:rsid w:val="00855609"/>
    <w:rsid w:val="009509E7"/>
    <w:rsid w:val="00B059DB"/>
    <w:rsid w:val="00CA7F90"/>
    <w:rsid w:val="00CF4B10"/>
    <w:rsid w:val="00E3488A"/>
    <w:rsid w:val="00F10E0D"/>
    <w:rsid w:val="00F7039B"/>
  </w:rsids>
  <m:mathPr>
    <m:mathFont m:val="Cambria Math"/>
    <m:brkBin m:val="before"/>
    <m:brkBinSub m:val="--"/>
    <m:smallFrac m:val="0"/>
    <m:dispDef/>
    <m:lMargin m:val="0"/>
    <m:rMargin m:val="0"/>
    <m:defJc m:val="centerGroup"/>
    <m:wrapIndent m:val="1440"/>
    <m:intLim m:val="subSup"/>
    <m:naryLim m:val="undOvr"/>
  </m:mathPr>
  <w:themeFontLang w:val="ru-RU"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efaultImageDpi w14:val="300"/>
  <w15:docId w15:val="{0B20DECE-2941-4611-B471-1B0D58A42A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rsid w:val="00CF4B10"/>
    <w:rPr>
      <w:rFonts w:ascii="Times New Roman" w:eastAsia="Times New Roman" w:hAnsi="Times New Roman" w:cs="Times New Roman"/>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5">
    <w:name w:val="footer"/>
    <w:basedOn w:val="a1"/>
    <w:link w:val="a6"/>
    <w:rsid w:val="00CF4B10"/>
    <w:pPr>
      <w:tabs>
        <w:tab w:val="center" w:pos="4677"/>
        <w:tab w:val="right" w:pos="9355"/>
      </w:tabs>
    </w:pPr>
  </w:style>
  <w:style w:type="character" w:customStyle="1" w:styleId="a6">
    <w:name w:val="Нижний колонтитул Знак"/>
    <w:basedOn w:val="a2"/>
    <w:link w:val="a5"/>
    <w:rsid w:val="00CF4B10"/>
    <w:rPr>
      <w:rFonts w:ascii="Times New Roman" w:eastAsia="Times New Roman" w:hAnsi="Times New Roman" w:cs="Times New Roman"/>
    </w:rPr>
  </w:style>
  <w:style w:type="character" w:styleId="a7">
    <w:name w:val="page number"/>
    <w:basedOn w:val="a2"/>
    <w:rsid w:val="00CF4B10"/>
  </w:style>
  <w:style w:type="paragraph" w:styleId="a8">
    <w:name w:val="Plain Text"/>
    <w:basedOn w:val="a1"/>
    <w:link w:val="a9"/>
    <w:rsid w:val="00CF4B10"/>
    <w:rPr>
      <w:rFonts w:ascii="Courier New" w:hAnsi="Courier New"/>
      <w:sz w:val="20"/>
      <w:szCs w:val="20"/>
    </w:rPr>
  </w:style>
  <w:style w:type="character" w:customStyle="1" w:styleId="a9">
    <w:name w:val="Текст Знак"/>
    <w:basedOn w:val="a2"/>
    <w:link w:val="a8"/>
    <w:rsid w:val="00CF4B10"/>
    <w:rPr>
      <w:rFonts w:ascii="Courier New" w:eastAsia="Times New Roman" w:hAnsi="Courier New" w:cs="Times New Roman"/>
      <w:sz w:val="20"/>
      <w:szCs w:val="20"/>
    </w:rPr>
  </w:style>
  <w:style w:type="paragraph" w:customStyle="1" w:styleId="a0">
    <w:name w:val="Подпункт спецификации"/>
    <w:basedOn w:val="aa"/>
    <w:rsid w:val="00CF4B10"/>
    <w:pPr>
      <w:numPr>
        <w:ilvl w:val="1"/>
        <w:numId w:val="1"/>
      </w:numPr>
      <w:autoSpaceDE w:val="0"/>
      <w:autoSpaceDN w:val="0"/>
      <w:spacing w:before="120" w:after="0"/>
      <w:jc w:val="both"/>
    </w:pPr>
    <w:rPr>
      <w:rFonts w:ascii="Arial" w:hAnsi="Arial" w:cs="Arial"/>
    </w:rPr>
  </w:style>
  <w:style w:type="paragraph" w:customStyle="1" w:styleId="a">
    <w:name w:val="Пункт спецификации"/>
    <w:basedOn w:val="a1"/>
    <w:rsid w:val="00CF4B10"/>
    <w:pPr>
      <w:numPr>
        <w:numId w:val="1"/>
      </w:numPr>
      <w:tabs>
        <w:tab w:val="left" w:pos="9000"/>
      </w:tabs>
      <w:autoSpaceDE w:val="0"/>
      <w:autoSpaceDN w:val="0"/>
      <w:spacing w:before="240" w:after="120"/>
      <w:ind w:right="57"/>
      <w:jc w:val="both"/>
    </w:pPr>
    <w:rPr>
      <w:rFonts w:ascii="Arial" w:hAnsi="Arial" w:cs="Arial"/>
      <w:b/>
      <w:bCs/>
    </w:rPr>
  </w:style>
  <w:style w:type="paragraph" w:customStyle="1" w:styleId="1">
    <w:name w:val="Подпункт спецификации 1"/>
    <w:basedOn w:val="a0"/>
    <w:rsid w:val="00CF4B10"/>
    <w:pPr>
      <w:numPr>
        <w:ilvl w:val="2"/>
      </w:numPr>
    </w:pPr>
  </w:style>
  <w:style w:type="paragraph" w:styleId="aa">
    <w:name w:val="Body Text Indent"/>
    <w:basedOn w:val="a1"/>
    <w:link w:val="ab"/>
    <w:uiPriority w:val="99"/>
    <w:semiHidden/>
    <w:unhideWhenUsed/>
    <w:rsid w:val="00CF4B10"/>
    <w:pPr>
      <w:spacing w:after="120"/>
      <w:ind w:left="283"/>
    </w:pPr>
  </w:style>
  <w:style w:type="character" w:customStyle="1" w:styleId="ab">
    <w:name w:val="Основной текст с отступом Знак"/>
    <w:basedOn w:val="a2"/>
    <w:link w:val="aa"/>
    <w:uiPriority w:val="99"/>
    <w:semiHidden/>
    <w:rsid w:val="00CF4B10"/>
    <w:rPr>
      <w:rFonts w:ascii="Times New Roman" w:eastAsia="Times New Roman" w:hAnsi="Times New Roman" w:cs="Times New Roman"/>
    </w:rPr>
  </w:style>
  <w:style w:type="paragraph" w:customStyle="1" w:styleId="ac">
    <w:name w:val="Текст таб"/>
    <w:basedOn w:val="a1"/>
    <w:rsid w:val="009509E7"/>
    <w:pPr>
      <w:tabs>
        <w:tab w:val="left" w:pos="9000"/>
      </w:tabs>
      <w:autoSpaceDE w:val="0"/>
      <w:autoSpaceDN w:val="0"/>
      <w:spacing w:before="60"/>
      <w:ind w:left="851" w:right="58"/>
      <w:jc w:val="both"/>
    </w:pPr>
    <w:rPr>
      <w:rFonts w:ascii="Arial" w:hAnsi="Arial" w:cs="Arial"/>
      <w:sz w:val="20"/>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58</TotalTime>
  <Pages>4</Pages>
  <Words>1362</Words>
  <Characters>7769</Characters>
  <Application>Microsoft Office Word</Application>
  <DocSecurity>0</DocSecurity>
  <Lines>64</Lines>
  <Paragraphs>18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9113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kris_loshkina</dc:creator>
  <cp:lastModifiedBy>Астреина Марина Карловна</cp:lastModifiedBy>
  <cp:revision>4</cp:revision>
  <dcterms:created xsi:type="dcterms:W3CDTF">2016-10-07T12:24:00Z</dcterms:created>
  <dcterms:modified xsi:type="dcterms:W3CDTF">2016-10-12T09:25:00Z</dcterms:modified>
</cp:coreProperties>
</file>