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19EB" w14:textId="77777777" w:rsidR="007949AF" w:rsidRPr="00F74826" w:rsidRDefault="007949AF" w:rsidP="00204F1E">
      <w:pPr>
        <w:ind w:right="-81"/>
        <w:rPr>
          <w:rFonts w:ascii="Tahoma" w:hAnsi="Tahoma" w:cs="Tahoma"/>
          <w:b/>
          <w:sz w:val="20"/>
          <w:szCs w:val="20"/>
          <w:lang w:eastAsia="x-none"/>
        </w:rPr>
      </w:pPr>
    </w:p>
    <w:p w14:paraId="4588A4C6" w14:textId="77777777" w:rsidR="001B3B57" w:rsidRDefault="001B3B57" w:rsidP="009C61D5">
      <w:pPr>
        <w:ind w:left="5812" w:right="-81"/>
        <w:rPr>
          <w:rFonts w:ascii="Tahoma" w:hAnsi="Tahoma" w:cs="Tahoma"/>
          <w:b/>
          <w:sz w:val="20"/>
          <w:szCs w:val="20"/>
          <w:lang w:val="x-none" w:eastAsia="x-none"/>
        </w:rPr>
      </w:pPr>
    </w:p>
    <w:p w14:paraId="691149AA" w14:textId="65533E44" w:rsidR="00DE1D9D" w:rsidRPr="005D0D3D" w:rsidRDefault="00DE1D9D" w:rsidP="0038321B">
      <w:pPr>
        <w:ind w:left="4536" w:right="-81"/>
        <w:rPr>
          <w:rFonts w:ascii="Tahoma" w:hAnsi="Tahoma" w:cs="Tahoma"/>
          <w:b/>
          <w:sz w:val="20"/>
          <w:szCs w:val="20"/>
        </w:rPr>
      </w:pPr>
      <w:r>
        <w:rPr>
          <w:rFonts w:ascii="Tahoma" w:hAnsi="Tahoma"/>
          <w:b/>
          <w:sz w:val="20"/>
        </w:rPr>
        <w:t>APPROVED</w:t>
      </w:r>
    </w:p>
    <w:p w14:paraId="5743F42B" w14:textId="3BC3756C" w:rsidR="00F4784D" w:rsidRPr="005D0D3D" w:rsidRDefault="00F4784D" w:rsidP="0038321B">
      <w:pPr>
        <w:pStyle w:val="a9"/>
        <w:tabs>
          <w:tab w:val="left" w:pos="5387"/>
          <w:tab w:val="left" w:pos="5812"/>
        </w:tabs>
        <w:spacing w:after="0"/>
        <w:ind w:left="4536"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1CE8EC16" w14:textId="3ADAB4B8" w:rsidR="0038321B" w:rsidRPr="00F54015" w:rsidRDefault="0038321B" w:rsidP="0038321B">
      <w:pPr>
        <w:pStyle w:val="a9"/>
        <w:spacing w:after="0"/>
        <w:ind w:left="3402" w:right="96" w:firstLine="1134"/>
        <w:rPr>
          <w:rFonts w:ascii="Tahoma" w:hAnsi="Tahoma" w:cs="Tahoma"/>
          <w:bCs/>
          <w:sz w:val="20"/>
          <w:szCs w:val="20"/>
        </w:rPr>
      </w:pPr>
      <w:r>
        <w:rPr>
          <w:rFonts w:ascii="Tahoma" w:hAnsi="Tahoma"/>
          <w:sz w:val="20"/>
        </w:rPr>
        <w:t>(Order No. МБ-П-2022-</w:t>
      </w:r>
      <w:r w:rsidR="00595726">
        <w:rPr>
          <w:rFonts w:ascii="Tahoma" w:hAnsi="Tahoma"/>
          <w:sz w:val="20"/>
        </w:rPr>
        <w:t>2539</w:t>
      </w:r>
      <w:bookmarkStart w:id="0" w:name="_GoBack"/>
      <w:bookmarkEnd w:id="0"/>
      <w:r>
        <w:rPr>
          <w:rFonts w:ascii="Tahoma" w:hAnsi="Tahoma"/>
          <w:sz w:val="20"/>
        </w:rPr>
        <w:t xml:space="preserve"> dated </w:t>
      </w:r>
      <w:r w:rsidR="00595726">
        <w:rPr>
          <w:rFonts w:ascii="Tahoma" w:hAnsi="Tahoma"/>
          <w:sz w:val="20"/>
          <w:lang w:val="ru-RU"/>
        </w:rPr>
        <w:t>2</w:t>
      </w:r>
      <w:r w:rsidRPr="00496E8E">
        <w:rPr>
          <w:rFonts w:ascii="Tahoma" w:hAnsi="Tahoma"/>
          <w:sz w:val="20"/>
          <w:lang w:val="en-US"/>
        </w:rPr>
        <w:t>3</w:t>
      </w:r>
      <w:r w:rsidR="00595726">
        <w:rPr>
          <w:rFonts w:ascii="Tahoma" w:hAnsi="Tahoma"/>
          <w:sz w:val="20"/>
          <w:lang w:val="en-US"/>
        </w:rPr>
        <w:t xml:space="preserve"> November</w:t>
      </w:r>
      <w:r>
        <w:rPr>
          <w:rFonts w:ascii="Tahoma" w:hAnsi="Tahoma"/>
          <w:sz w:val="20"/>
        </w:rPr>
        <w:t xml:space="preserve"> 2022)</w:t>
      </w:r>
    </w:p>
    <w:p w14:paraId="0D61C9C5" w14:textId="77777777" w:rsidR="00B471DD" w:rsidRPr="005D0D3D" w:rsidRDefault="00B471DD" w:rsidP="00821879">
      <w:pPr>
        <w:tabs>
          <w:tab w:val="left" w:pos="4962"/>
        </w:tabs>
        <w:ind w:left="5103" w:right="-81"/>
        <w:rPr>
          <w:rFonts w:ascii="Tahoma" w:hAnsi="Tahoma" w:cs="Tahoma"/>
          <w:sz w:val="20"/>
          <w:szCs w:val="20"/>
        </w:rPr>
      </w:pPr>
    </w:p>
    <w:p w14:paraId="7B864934" w14:textId="77777777" w:rsidR="00F4784D" w:rsidRPr="005D0D3D" w:rsidRDefault="00F4784D" w:rsidP="00821879">
      <w:pPr>
        <w:tabs>
          <w:tab w:val="left" w:pos="4962"/>
        </w:tabs>
        <w:ind w:left="5103" w:right="-81"/>
        <w:rPr>
          <w:rFonts w:ascii="Tahoma" w:hAnsi="Tahoma" w:cs="Tahoma"/>
          <w:sz w:val="20"/>
          <w:szCs w:val="20"/>
        </w:rPr>
      </w:pPr>
    </w:p>
    <w:p w14:paraId="1732EA8A" w14:textId="77777777" w:rsidR="00204F1E" w:rsidRDefault="00F11C0C" w:rsidP="009248D2">
      <w:pPr>
        <w:pStyle w:val="a8"/>
        <w:spacing w:before="0" w:after="0"/>
        <w:ind w:right="-6"/>
        <w:jc w:val="center"/>
        <w:rPr>
          <w:rFonts w:ascii="Tahoma" w:hAnsi="Tahoma"/>
          <w:b/>
        </w:rPr>
      </w:pPr>
      <w:r>
        <w:rPr>
          <w:rFonts w:ascii="Tahoma" w:hAnsi="Tahoma"/>
          <w:b/>
        </w:rPr>
        <w:t xml:space="preserve">SPECIFICATION FOR FINANCIALLY SETTLED FUTURES CONTRACTS </w:t>
      </w:r>
    </w:p>
    <w:p w14:paraId="6FD9C895" w14:textId="380E49D3" w:rsidR="009248D2" w:rsidRPr="005D0D3D" w:rsidRDefault="00F11C0C" w:rsidP="009248D2">
      <w:pPr>
        <w:pStyle w:val="a8"/>
        <w:spacing w:before="0" w:after="0"/>
        <w:ind w:right="-6"/>
        <w:jc w:val="center"/>
        <w:rPr>
          <w:rFonts w:ascii="Tahoma" w:eastAsia="Arial Unicode MS" w:hAnsi="Tahoma" w:cs="Tahoma"/>
          <w:b/>
          <w:color w:val="auto"/>
        </w:rPr>
      </w:pPr>
      <w:r>
        <w:rPr>
          <w:rFonts w:ascii="Tahoma" w:hAnsi="Tahoma"/>
          <w:b/>
        </w:rPr>
        <w:t>ON INTERNATIONAL SECURITIES</w:t>
      </w:r>
      <w:r>
        <w:rPr>
          <w:rFonts w:ascii="Tahoma" w:hAnsi="Tahoma"/>
          <w:b/>
          <w:color w:val="auto"/>
        </w:rPr>
        <w:t xml:space="preserve"> </w:t>
      </w:r>
    </w:p>
    <w:p w14:paraId="1E3A044C" w14:textId="2A6C7850" w:rsidR="005B1E6C" w:rsidRPr="005D0D3D" w:rsidRDefault="005B1E6C">
      <w:pPr>
        <w:pStyle w:val="a8"/>
        <w:spacing w:before="0" w:after="0"/>
        <w:ind w:right="-6"/>
        <w:jc w:val="center"/>
        <w:rPr>
          <w:rFonts w:ascii="Tahoma" w:eastAsia="Arial Unicode MS" w:hAnsi="Tahoma" w:cs="Tahoma"/>
          <w:b/>
          <w:color w:val="auto"/>
        </w:rPr>
      </w:pPr>
    </w:p>
    <w:p w14:paraId="32C397E6" w14:textId="77777777" w:rsidR="00292B50" w:rsidRPr="005D0D3D" w:rsidRDefault="00292B50" w:rsidP="00DE583B">
      <w:pPr>
        <w:pStyle w:val="a8"/>
        <w:spacing w:before="0" w:after="0"/>
        <w:ind w:right="-6"/>
        <w:rPr>
          <w:rFonts w:ascii="Tahoma" w:eastAsia="Arial Unicode MS" w:hAnsi="Tahoma" w:cs="Tahoma"/>
          <w:b/>
          <w:color w:val="auto"/>
        </w:rPr>
      </w:pPr>
    </w:p>
    <w:p w14:paraId="14A7268D" w14:textId="2C181E78" w:rsidR="00B471DD" w:rsidRPr="005D0D3D" w:rsidRDefault="007452E4">
      <w:pPr>
        <w:pStyle w:val="ad"/>
        <w:spacing w:after="120"/>
        <w:rPr>
          <w:rFonts w:ascii="Tahoma" w:hAnsi="Tahoma" w:cs="Tahoma"/>
        </w:rPr>
      </w:pPr>
      <w:r>
        <w:rPr>
          <w:rFonts w:ascii="Tahoma" w:hAnsi="Tahoma"/>
        </w:rPr>
        <w:t>This Specification sets out the standard terms and conditions of the International Securities Futures contract (hereinafter referred to as the Specification).</w:t>
      </w:r>
    </w:p>
    <w:p w14:paraId="6B7EBA73" w14:textId="42E75755" w:rsidR="00651BB4" w:rsidRPr="005D0D3D" w:rsidRDefault="00F45CF4">
      <w:pPr>
        <w:pStyle w:val="ad"/>
        <w:spacing w:before="120"/>
        <w:ind w:right="57"/>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define the obligations under the cash-settled International Securities Futures contract (the "Contracts", "Contract") as well as the procedure for such obligations to arise, be changed or terminated. </w:t>
      </w:r>
    </w:p>
    <w:p w14:paraId="7C202B4E" w14:textId="569B15E8" w:rsidR="00855526" w:rsidRPr="005D0D3D" w:rsidRDefault="00855526" w:rsidP="00855526">
      <w:pPr>
        <w:pStyle w:val="ad"/>
        <w:spacing w:before="120"/>
        <w:ind w:right="57"/>
        <w:rPr>
          <w:rFonts w:ascii="Tahoma" w:hAnsi="Tahoma" w:cs="Tahoma"/>
        </w:rPr>
      </w:pPr>
      <w:r>
        <w:rPr>
          <w:rFonts w:ascii="Tahoma" w:hAnsi="Tahoma"/>
        </w:rPr>
        <w:t>Moscow Exchange (the "Exchange") approves the List of Contract Parameters set out in Appendix 1 to this Specification (the "List of Parameters"), which contains:</w:t>
      </w:r>
    </w:p>
    <w:p w14:paraId="792A4917" w14:textId="77777777" w:rsidR="00855526" w:rsidRPr="005D0D3D" w:rsidRDefault="00855526" w:rsidP="00855526">
      <w:pPr>
        <w:pStyle w:val="ad"/>
        <w:numPr>
          <w:ilvl w:val="0"/>
          <w:numId w:val="12"/>
        </w:numPr>
        <w:tabs>
          <w:tab w:val="clear" w:pos="9000"/>
          <w:tab w:val="left" w:pos="709"/>
        </w:tabs>
        <w:spacing w:before="120"/>
        <w:ind w:left="714" w:right="57" w:hanging="357"/>
        <w:rPr>
          <w:rFonts w:ascii="Tahoma" w:hAnsi="Tahoma" w:cs="Tahoma"/>
        </w:rPr>
      </w:pPr>
      <w:r>
        <w:rPr>
          <w:rFonts w:ascii="Tahoma" w:hAnsi="Tahoma"/>
        </w:rPr>
        <w:t>name of the Contract;</w:t>
      </w:r>
    </w:p>
    <w:p w14:paraId="6642FE00" w14:textId="4B9BD819" w:rsidR="00855526" w:rsidRPr="005D0D3D" w:rsidRDefault="006316B8"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main code of the underlying asset;</w:t>
      </w:r>
    </w:p>
    <w:p w14:paraId="33172F93" w14:textId="36554909" w:rsidR="00855526" w:rsidRPr="005D0D3D" w:rsidRDefault="00F73FF0"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underlying asset of the Contract;</w:t>
      </w:r>
    </w:p>
    <w:p w14:paraId="00DFA4EE" w14:textId="5C73B1A4" w:rsidR="006352B9" w:rsidRPr="005D0D3D" w:rsidRDefault="00990C40"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ISIN and CFI of the underlying receipt;</w:t>
      </w:r>
    </w:p>
    <w:p w14:paraId="1B88F19F" w14:textId="77777777" w:rsidR="00855526" w:rsidRPr="005D0D3D" w:rsidRDefault="00855526"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Contract lot;</w:t>
      </w:r>
    </w:p>
    <w:p w14:paraId="6FAA24B8" w14:textId="77777777" w:rsidR="00855526" w:rsidRPr="005D0D3D" w:rsidRDefault="00855526" w:rsidP="00855526">
      <w:pPr>
        <w:numPr>
          <w:ilvl w:val="0"/>
          <w:numId w:val="12"/>
        </w:numPr>
        <w:rPr>
          <w:rFonts w:ascii="Tahoma" w:hAnsi="Tahoma" w:cs="Tahoma"/>
          <w:sz w:val="20"/>
          <w:szCs w:val="20"/>
        </w:rPr>
      </w:pPr>
      <w:r>
        <w:rPr>
          <w:rFonts w:ascii="Tahoma" w:hAnsi="Tahoma"/>
          <w:sz w:val="20"/>
        </w:rPr>
        <w:t>minimum price movement for the Contract in the course of trading on MOEX (the "price tick");</w:t>
      </w:r>
    </w:p>
    <w:p w14:paraId="400E3551" w14:textId="7AA4AA5A" w:rsidR="00855526" w:rsidRPr="005D0D3D" w:rsidRDefault="00855526" w:rsidP="00855526">
      <w:pPr>
        <w:pStyle w:val="ad"/>
        <w:numPr>
          <w:ilvl w:val="0"/>
          <w:numId w:val="12"/>
        </w:numPr>
        <w:tabs>
          <w:tab w:val="clear" w:pos="9000"/>
          <w:tab w:val="left" w:pos="709"/>
        </w:tabs>
        <w:spacing w:before="0"/>
        <w:ind w:right="57"/>
        <w:rPr>
          <w:rFonts w:ascii="Tahoma" w:hAnsi="Tahoma" w:cs="Tahoma"/>
        </w:rPr>
      </w:pPr>
      <w:r>
        <w:rPr>
          <w:rFonts w:ascii="Tahoma" w:hAnsi="Tahoma"/>
        </w:rPr>
        <w:t>the tick value;</w:t>
      </w:r>
    </w:p>
    <w:p w14:paraId="76C80E7C" w14:textId="24558685" w:rsidR="00642093" w:rsidRPr="005D0D3D" w:rsidRDefault="00601A7B" w:rsidP="00855526">
      <w:pPr>
        <w:pStyle w:val="ad"/>
        <w:numPr>
          <w:ilvl w:val="0"/>
          <w:numId w:val="12"/>
        </w:numPr>
        <w:tabs>
          <w:tab w:val="clear" w:pos="9000"/>
          <w:tab w:val="left" w:pos="709"/>
        </w:tabs>
        <w:spacing w:before="0"/>
        <w:ind w:right="57"/>
        <w:rPr>
          <w:rFonts w:ascii="Tahoma" w:hAnsi="Tahoma" w:cs="Tahoma"/>
        </w:rPr>
      </w:pPr>
      <w:r>
        <w:rPr>
          <w:rFonts w:ascii="Tahoma" w:hAnsi="Tahoma"/>
        </w:rPr>
        <w:t>settlement procedures;</w:t>
      </w:r>
    </w:p>
    <w:p w14:paraId="6C55B4A1" w14:textId="0E534E9D" w:rsidR="00C47C11" w:rsidRPr="005D0D3D" w:rsidRDefault="00C47C11" w:rsidP="00855526">
      <w:pPr>
        <w:pStyle w:val="ad"/>
        <w:numPr>
          <w:ilvl w:val="0"/>
          <w:numId w:val="12"/>
        </w:numPr>
        <w:tabs>
          <w:tab w:val="clear" w:pos="9000"/>
          <w:tab w:val="left" w:pos="709"/>
        </w:tabs>
        <w:spacing w:before="0"/>
        <w:ind w:right="57"/>
        <w:rPr>
          <w:rFonts w:ascii="Tahoma" w:hAnsi="Tahoma" w:cs="Tahoma"/>
        </w:rPr>
      </w:pPr>
      <w:r>
        <w:rPr>
          <w:rFonts w:ascii="Tahoma" w:hAnsi="Tahoma"/>
        </w:rPr>
        <w:t>currency of the contract price (the "Base Currency");</w:t>
      </w:r>
    </w:p>
    <w:p w14:paraId="0B6B0C3B" w14:textId="3FDDC46B" w:rsidR="007A0F10" w:rsidRPr="005D0D3D" w:rsidRDefault="007A0F10" w:rsidP="00855526">
      <w:pPr>
        <w:pStyle w:val="ad"/>
        <w:numPr>
          <w:ilvl w:val="0"/>
          <w:numId w:val="12"/>
        </w:numPr>
        <w:tabs>
          <w:tab w:val="clear" w:pos="9000"/>
          <w:tab w:val="left" w:pos="709"/>
        </w:tabs>
        <w:spacing w:before="0"/>
        <w:ind w:right="57"/>
        <w:rPr>
          <w:rFonts w:ascii="Tahoma" w:hAnsi="Tahoma" w:cs="Tahoma"/>
        </w:rPr>
      </w:pPr>
      <w:r>
        <w:rPr>
          <w:rFonts w:ascii="Tahoma" w:hAnsi="Tahoma"/>
        </w:rPr>
        <w:t>last Trading Day for the Contract;</w:t>
      </w:r>
    </w:p>
    <w:p w14:paraId="77C3B5B3" w14:textId="755B9542" w:rsidR="00311491" w:rsidRPr="005D0D3D" w:rsidRDefault="00311491" w:rsidP="00DE583B">
      <w:pPr>
        <w:tabs>
          <w:tab w:val="left" w:pos="0"/>
        </w:tabs>
        <w:spacing w:before="120"/>
        <w:jc w:val="both"/>
        <w:rPr>
          <w:rFonts w:ascii="Tahoma" w:hAnsi="Tahoma" w:cs="Tahoma"/>
          <w:sz w:val="20"/>
          <w:szCs w:val="20"/>
        </w:rPr>
      </w:pPr>
      <w:r>
        <w:rPr>
          <w:rFonts w:ascii="Tahoma" w:hAnsi="Tahoma"/>
          <w:sz w:val="20"/>
        </w:rPr>
        <w:t>The underlying assets of the Contracts the terms of which are determined in this Specification and in the List of Parameters shall be International Securities (the "International Securities").</w:t>
      </w:r>
    </w:p>
    <w:p w14:paraId="1EE67CD8" w14:textId="77777777" w:rsidR="00ED15C0" w:rsidRPr="005D0D3D" w:rsidRDefault="00ED15C0">
      <w:pPr>
        <w:pStyle w:val="a1"/>
        <w:numPr>
          <w:ilvl w:val="0"/>
          <w:numId w:val="0"/>
        </w:numPr>
        <w:tabs>
          <w:tab w:val="clear" w:pos="9000"/>
          <w:tab w:val="num" w:pos="709"/>
          <w:tab w:val="num" w:pos="1440"/>
        </w:tabs>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0B501ABA" w14:textId="77777777" w:rsidR="0064425A" w:rsidRPr="005D0D3D" w:rsidRDefault="0064425A" w:rsidP="00DE583B">
      <w:pPr>
        <w:pStyle w:val="a0"/>
        <w:rPr>
          <w:rFonts w:ascii="Tahoma" w:hAnsi="Tahoma" w:cs="Tahoma"/>
        </w:rPr>
      </w:pPr>
      <w:r>
        <w:rPr>
          <w:rFonts w:ascii="Tahoma" w:hAnsi="Tahoma"/>
        </w:rPr>
        <w:t>Entering into the Contract</w:t>
      </w:r>
    </w:p>
    <w:p w14:paraId="1B1E0426" w14:textId="696C6159" w:rsidR="0064425A" w:rsidRPr="005D0D3D" w:rsidRDefault="0064425A" w:rsidP="00DE583B">
      <w:pPr>
        <w:pStyle w:val="a1"/>
        <w:tabs>
          <w:tab w:val="clear" w:pos="786"/>
          <w:tab w:val="num" w:pos="1985"/>
          <w:tab w:val="num" w:pos="2127"/>
        </w:tabs>
        <w:ind w:left="709" w:hanging="425"/>
        <w:rPr>
          <w:rFonts w:ascii="Tahoma" w:hAnsi="Tahoma" w:cs="Tahoma"/>
        </w:rPr>
      </w:pPr>
      <w:r>
        <w:rPr>
          <w:rFonts w:ascii="Tahoma" w:hAnsi="Tahoma"/>
        </w:rPr>
        <w:t>The opportunity to conclude the Contract in the process of trading shall be granted by the Moscow Exchange resolution that shall specify:</w:t>
      </w:r>
    </w:p>
    <w:p w14:paraId="6991F095" w14:textId="77777777" w:rsidR="006A37C8" w:rsidRPr="005D0D3D" w:rsidRDefault="006A37C8">
      <w:pPr>
        <w:pStyle w:val="Pointmark"/>
        <w:tabs>
          <w:tab w:val="clear" w:pos="360"/>
          <w:tab w:val="num" w:pos="1260"/>
        </w:tabs>
        <w:autoSpaceDN/>
        <w:spacing w:before="120"/>
        <w:ind w:left="1260"/>
        <w:rPr>
          <w:rFonts w:ascii="Tahoma" w:hAnsi="Tahoma" w:cs="Tahoma"/>
        </w:rPr>
      </w:pPr>
      <w:r>
        <w:rPr>
          <w:rFonts w:ascii="Tahoma" w:hAnsi="Tahoma"/>
        </w:rPr>
        <w:t>contract code (designation);</w:t>
      </w:r>
    </w:p>
    <w:p w14:paraId="1EC7689C" w14:textId="77777777" w:rsidR="006A37C8" w:rsidRPr="005D0D3D" w:rsidRDefault="006A37C8">
      <w:pPr>
        <w:pStyle w:val="Pointmark"/>
        <w:tabs>
          <w:tab w:val="clear" w:pos="360"/>
          <w:tab w:val="num" w:pos="1260"/>
        </w:tabs>
        <w:autoSpaceDN/>
        <w:spacing w:before="0"/>
        <w:ind w:left="1259" w:hanging="357"/>
        <w:rPr>
          <w:rFonts w:ascii="Tahoma" w:hAnsi="Tahoma" w:cs="Tahoma"/>
        </w:rPr>
      </w:pPr>
      <w:r>
        <w:rPr>
          <w:rFonts w:ascii="Tahoma" w:hAnsi="Tahoma"/>
        </w:rPr>
        <w:t>first trading day during which the Contract may trade (hereinafter the First Trading Day);</w:t>
      </w:r>
    </w:p>
    <w:p w14:paraId="201EAD67" w14:textId="5405111E" w:rsidR="001F0BE3" w:rsidRPr="005D0D3D" w:rsidRDefault="006A37C8">
      <w:pPr>
        <w:pStyle w:val="Pointmark"/>
        <w:tabs>
          <w:tab w:val="clear" w:pos="360"/>
          <w:tab w:val="num" w:pos="1260"/>
        </w:tabs>
        <w:autoSpaceDN/>
        <w:spacing w:before="0"/>
        <w:ind w:left="1259" w:hanging="357"/>
        <w:rPr>
          <w:rFonts w:ascii="Tahoma" w:hAnsi="Tahoma" w:cs="Tahoma"/>
        </w:rPr>
      </w:pPr>
      <w:r>
        <w:rPr>
          <w:rFonts w:ascii="Tahoma" w:hAnsi="Tahoma"/>
        </w:rPr>
        <w:t>the time from which the Contract may be executed (hereinafter the Start of Trading);</w:t>
      </w:r>
    </w:p>
    <w:p w14:paraId="377594B0" w14:textId="54686B72" w:rsidR="0064425A" w:rsidRPr="005D0D3D" w:rsidRDefault="009346F5" w:rsidP="00DE583B">
      <w:pPr>
        <w:pStyle w:val="Pointmark"/>
        <w:tabs>
          <w:tab w:val="clear" w:pos="360"/>
          <w:tab w:val="num" w:pos="1260"/>
        </w:tabs>
        <w:autoSpaceDN/>
        <w:spacing w:before="0"/>
        <w:ind w:left="1259" w:hanging="357"/>
        <w:rPr>
          <w:rFonts w:ascii="Tahoma" w:hAnsi="Tahoma" w:cs="Tahoma"/>
        </w:rPr>
      </w:pPr>
      <w:r>
        <w:rPr>
          <w:rFonts w:ascii="Tahoma" w:hAnsi="Tahoma"/>
        </w:rPr>
        <w:t xml:space="preserve">the last Trading day for the Contract (the “Last Trading Day”). </w:t>
      </w:r>
    </w:p>
    <w:p w14:paraId="34D5E247" w14:textId="070A8EB7" w:rsidR="006A6D3C" w:rsidRPr="005D0D3D" w:rsidRDefault="00DE583B" w:rsidP="00DE583B">
      <w:pPr>
        <w:pStyle w:val="a1"/>
        <w:tabs>
          <w:tab w:val="num" w:pos="567"/>
        </w:tabs>
        <w:ind w:left="567" w:hanging="283"/>
        <w:rPr>
          <w:rFonts w:ascii="Tahoma" w:hAnsi="Tahoma" w:cs="Tahoma"/>
        </w:rPr>
      </w:pPr>
      <w:r>
        <w:rPr>
          <w:rFonts w:ascii="Tahoma" w:hAnsi="Tahoma"/>
        </w:rPr>
        <w:t xml:space="preserve"> The Contract code (designation) is formed as follows:</w:t>
      </w:r>
    </w:p>
    <w:p w14:paraId="71BBEB3E" w14:textId="5579EF4D" w:rsidR="00821879" w:rsidRPr="005D0D3D" w:rsidRDefault="00AB57D2" w:rsidP="00DE583B">
      <w:pPr>
        <w:pStyle w:val="ac"/>
        <w:tabs>
          <w:tab w:val="clear" w:pos="9000"/>
        </w:tabs>
        <w:spacing w:before="120"/>
        <w:rPr>
          <w:rFonts w:ascii="Tahoma" w:hAnsi="Tahoma" w:cs="Tahoma"/>
        </w:rPr>
      </w:pPr>
      <w:r>
        <w:rPr>
          <w:rFonts w:ascii="Tahoma" w:hAnsi="Tahoma"/>
        </w:rPr>
        <w:t>XXXX-&lt;settlement month</w:t>
      </w:r>
      <w:proofErr w:type="gramStart"/>
      <w:r>
        <w:rPr>
          <w:rFonts w:ascii="Tahoma" w:hAnsi="Tahoma"/>
        </w:rPr>
        <w:t>&gt;.&lt;</w:t>
      </w:r>
      <w:proofErr w:type="gramEnd"/>
      <w:r>
        <w:rPr>
          <w:rFonts w:ascii="Tahoma" w:hAnsi="Tahoma"/>
        </w:rPr>
        <w:t>settlement year&gt;, where ХХХХ – the main code of the underlying asset specified in the List of Parameters</w:t>
      </w:r>
      <w:r>
        <w:t>.</w:t>
      </w:r>
    </w:p>
    <w:p w14:paraId="1FEECED2" w14:textId="77777777" w:rsidR="006A6D3C" w:rsidRPr="005D0D3D" w:rsidRDefault="00CD4662" w:rsidP="00DE583B">
      <w:pPr>
        <w:pStyle w:val="Pointmark"/>
        <w:numPr>
          <w:ilvl w:val="0"/>
          <w:numId w:val="0"/>
        </w:numPr>
        <w:spacing w:before="120"/>
        <w:ind w:left="851"/>
        <w:rPr>
          <w:rFonts w:ascii="Tahoma" w:hAnsi="Tahoma" w:cs="Tahoma"/>
        </w:rPr>
      </w:pPr>
      <w:r>
        <w:rPr>
          <w:rFonts w:ascii="Tahoma" w:hAnsi="Tahoma"/>
        </w:rPr>
        <w:t>The settlement month and year specified in the Contract’s code (designation) (hereinafter the Contract’s settlement month and settlement year) shall be indicated in Arabic numerals and shall be used to determine the last Trading Day on which the Contract may be executed and the settlement day.</w:t>
      </w:r>
    </w:p>
    <w:p w14:paraId="1AD471E3" w14:textId="6359A98F" w:rsidR="00821879" w:rsidRPr="005D0D3D" w:rsidRDefault="009026C7" w:rsidP="00DE583B">
      <w:pPr>
        <w:pStyle w:val="a1"/>
        <w:tabs>
          <w:tab w:val="num" w:pos="567"/>
        </w:tabs>
        <w:ind w:left="567" w:hanging="283"/>
        <w:jc w:val="left"/>
        <w:rPr>
          <w:rFonts w:ascii="Tahoma" w:hAnsi="Tahoma" w:cs="Tahoma"/>
        </w:rPr>
      </w:pPr>
      <w:r>
        <w:rPr>
          <w:rFonts w:ascii="Tahoma" w:hAnsi="Tahoma"/>
        </w:rPr>
        <w:t xml:space="preserve"> Contract price</w:t>
      </w:r>
    </w:p>
    <w:p w14:paraId="6321D127" w14:textId="0127C821" w:rsidR="00821879" w:rsidRPr="005D0D3D" w:rsidRDefault="00987F32" w:rsidP="00DE583B">
      <w:pPr>
        <w:pStyle w:val="10"/>
        <w:tabs>
          <w:tab w:val="clear" w:pos="360"/>
          <w:tab w:val="clear" w:pos="1418"/>
          <w:tab w:val="clear" w:pos="9000"/>
          <w:tab w:val="num" w:pos="851"/>
        </w:tabs>
        <w:rPr>
          <w:rFonts w:ascii="Tahoma" w:hAnsi="Tahoma" w:cs="Tahoma"/>
        </w:rPr>
      </w:pPr>
      <w:r>
        <w:rPr>
          <w:rFonts w:ascii="Tahoma" w:hAnsi="Tahoma"/>
        </w:rPr>
        <w:t xml:space="preserve">The price of the Contract at the time of submitting orders and entering into the Contract shall be quoted in the Base Currency per Lot as defined in the List of Parameters. </w:t>
      </w:r>
    </w:p>
    <w:p w14:paraId="79D2622D" w14:textId="53CF7C48" w:rsidR="00281ED7" w:rsidRPr="005D0D3D" w:rsidRDefault="00281ED7">
      <w:pPr>
        <w:pStyle w:val="10"/>
        <w:tabs>
          <w:tab w:val="clear" w:pos="360"/>
          <w:tab w:val="clear" w:pos="9000"/>
        </w:tabs>
        <w:rPr>
          <w:rFonts w:ascii="Tahoma" w:hAnsi="Tahoma" w:cs="Tahoma"/>
        </w:rPr>
      </w:pPr>
      <w:r>
        <w:rPr>
          <w:rFonts w:ascii="Tahoma" w:hAnsi="Tahoma"/>
        </w:rPr>
        <w:t xml:space="preserve">The minimum price fluctuation for the Contract (the “tick”) is set out in the List of Parameters. </w:t>
      </w:r>
    </w:p>
    <w:p w14:paraId="513335B2" w14:textId="443D5847" w:rsidR="00B25483" w:rsidRPr="005D0D3D" w:rsidRDefault="00607117" w:rsidP="00B25483">
      <w:pPr>
        <w:pStyle w:val="10"/>
        <w:numPr>
          <w:ilvl w:val="2"/>
          <w:numId w:val="1"/>
        </w:numPr>
        <w:tabs>
          <w:tab w:val="clear" w:pos="1854"/>
          <w:tab w:val="clear" w:pos="9000"/>
          <w:tab w:val="num" w:pos="1418"/>
        </w:tabs>
        <w:ind w:left="1418" w:hanging="567"/>
        <w:rPr>
          <w:rFonts w:ascii="Tahoma" w:hAnsi="Tahoma" w:cs="Tahoma"/>
        </w:rPr>
      </w:pPr>
      <w:r>
        <w:rPr>
          <w:rFonts w:ascii="Tahoma" w:hAnsi="Tahoma"/>
        </w:rPr>
        <w:lastRenderedPageBreak/>
        <w:t>The tick value specified in the List of Parameters shall be calculated in Russian roubles at the exchange rate of the relevant Base Currency specified in the List of Parameters to Russian rouble determined in accordance with the Moscow Exchange Indicative Exchange Rates Methodology and published on the Exchange website, subject to the limitation (if any) on fluctuation of the base currency exchange rate established by the Clearing Centre and published on the Exchange website.</w:t>
      </w:r>
    </w:p>
    <w:p w14:paraId="70AF0E25" w14:textId="123B81B4" w:rsidR="00515030" w:rsidRPr="005D0D3D" w:rsidRDefault="00515030" w:rsidP="00515030">
      <w:pPr>
        <w:pStyle w:val="10"/>
        <w:numPr>
          <w:ilvl w:val="0"/>
          <w:numId w:val="0"/>
        </w:numPr>
        <w:tabs>
          <w:tab w:val="clear" w:pos="1418"/>
          <w:tab w:val="clear" w:pos="9000"/>
        </w:tabs>
        <w:ind w:left="1418"/>
        <w:rPr>
          <w:rFonts w:ascii="Tahoma" w:hAnsi="Tahoma" w:cs="Tahoma"/>
        </w:rPr>
      </w:pPr>
      <w:proofErr w:type="gramStart"/>
      <w:r>
        <w:rPr>
          <w:rFonts w:ascii="Tahoma" w:hAnsi="Tahoma"/>
        </w:rPr>
        <w:t>In the event that</w:t>
      </w:r>
      <w:proofErr w:type="gramEnd"/>
      <w:r>
        <w:rPr>
          <w:rFonts w:ascii="Tahoma" w:hAnsi="Tahoma"/>
        </w:rPr>
        <w:t xml:space="preserve"> the Base Currency exchange rate is below/above the specified limit, it is deemed to be equal to the lower/upper limit of the specified limit respectively.</w:t>
      </w:r>
    </w:p>
    <w:p w14:paraId="1D03988F" w14:textId="0FEB8A2B" w:rsidR="00240F3A" w:rsidRPr="005D0D3D" w:rsidRDefault="003C733D" w:rsidP="003C733D">
      <w:pPr>
        <w:pStyle w:val="Texttabtab"/>
        <w:spacing w:before="120"/>
        <w:ind w:left="1418"/>
        <w:rPr>
          <w:rFonts w:ascii="Tahoma" w:hAnsi="Tahoma" w:cs="Tahoma"/>
        </w:rPr>
      </w:pPr>
      <w:r>
        <w:rPr>
          <w:rFonts w:ascii="Tahoma" w:hAnsi="Tahoma"/>
        </w:rPr>
        <w:t>The time the Base Currency exchange rate is determined is set by the Exchange and published on the Exchange website.</w:t>
      </w:r>
    </w:p>
    <w:p w14:paraId="00406625" w14:textId="5A205ACD" w:rsidR="00C03FA8" w:rsidRPr="00C25767" w:rsidRDefault="00C03FA8" w:rsidP="008C527E">
      <w:pPr>
        <w:pStyle w:val="10"/>
        <w:rPr>
          <w:rFonts w:ascii="Tahoma" w:hAnsi="Tahoma" w:cs="Tahoma"/>
        </w:rPr>
      </w:pPr>
      <w:r>
        <w:rPr>
          <w:rFonts w:ascii="Tahoma" w:hAnsi="Tahoma"/>
        </w:rPr>
        <w:t xml:space="preserve">The Contract Lot shall be specified in the List of Parameters. </w:t>
      </w:r>
    </w:p>
    <w:p w14:paraId="3FB2C59E" w14:textId="795B8C6A" w:rsidR="00DC1DB8" w:rsidRPr="005D0D3D" w:rsidRDefault="00953CD0" w:rsidP="00DE583B">
      <w:pPr>
        <w:pStyle w:val="a1"/>
        <w:tabs>
          <w:tab w:val="num" w:pos="1418"/>
          <w:tab w:val="num" w:pos="2268"/>
        </w:tabs>
        <w:ind w:left="709" w:hanging="425"/>
        <w:rPr>
          <w:rFonts w:ascii="Tahoma" w:hAnsi="Tahoma" w:cs="Tahoma"/>
        </w:rPr>
      </w:pPr>
      <w:r>
        <w:rPr>
          <w:rFonts w:ascii="Tahoma" w:hAnsi="Tahoma"/>
        </w:rPr>
        <w:t>The last trading day for the Contract shall be specified in the List of Parameters. If the last trading day for the Contract is not a Trading Day, it is set to be the Trading Day immediately preceding the last trading day specified in the List of Parameters.</w:t>
      </w:r>
      <w:r>
        <w:rPr>
          <w:rFonts w:ascii="Tahoma" w:hAnsi="Tahoma"/>
        </w:rPr>
        <w:cr/>
      </w:r>
      <w:r>
        <w:rPr>
          <w:rFonts w:ascii="Tahoma" w:hAnsi="Tahoma"/>
        </w:rPr>
        <w:br/>
        <w:t xml:space="preserve"> The Exchange shall be entitled upon agreement with the Clearing Centre to set another date of the last trading day for the Contract, different from the one determined in accordance with the List of Parameters and this clause. </w:t>
      </w:r>
    </w:p>
    <w:p w14:paraId="0D63600D" w14:textId="547639E4" w:rsidR="00767E85" w:rsidRPr="005D0D3D" w:rsidRDefault="00281ED7" w:rsidP="00767E85">
      <w:pPr>
        <w:pStyle w:val="a1"/>
        <w:tabs>
          <w:tab w:val="num" w:pos="709"/>
        </w:tabs>
        <w:ind w:left="709" w:hanging="425"/>
        <w:rPr>
          <w:rFonts w:ascii="Tahoma" w:hAnsi="Tahoma" w:cs="Tahoma"/>
        </w:rPr>
      </w:pPr>
      <w:r>
        <w:rPr>
          <w:rFonts w:ascii="Tahoma" w:hAnsi="Tahoma"/>
        </w:rPr>
        <w:t xml:space="preserve">The settlement day for the Contract is its last trading day, except to the extent mentioned in Section 6.1 and 6.2 below. </w:t>
      </w:r>
    </w:p>
    <w:p w14:paraId="09D9172F" w14:textId="62267AF0" w:rsidR="00767E85" w:rsidRPr="005D0D3D" w:rsidRDefault="00767E85">
      <w:pPr>
        <w:pStyle w:val="a1"/>
        <w:tabs>
          <w:tab w:val="num" w:pos="709"/>
        </w:tabs>
        <w:ind w:left="709" w:hanging="425"/>
        <w:rPr>
          <w:rFonts w:ascii="Tahoma" w:hAnsi="Tahoma" w:cs="Tahoma"/>
        </w:rPr>
      </w:pPr>
      <w:r>
        <w:rPr>
          <w:rFonts w:ascii="Tahoma" w:hAnsi="Tahoma"/>
        </w:rPr>
        <w:t>The calendar of last trading days and settlement days for the Contracts for the next 12 months is available on the Exchange website.</w:t>
      </w:r>
    </w:p>
    <w:p w14:paraId="68191507" w14:textId="389E867F" w:rsidR="00DC1DB8" w:rsidRPr="005D0D3D" w:rsidRDefault="0064425A" w:rsidP="00DE583B">
      <w:pPr>
        <w:pStyle w:val="a0"/>
        <w:rPr>
          <w:rFonts w:ascii="Tahoma" w:hAnsi="Tahoma" w:cs="Tahoma"/>
        </w:rPr>
      </w:pPr>
      <w:r>
        <w:rPr>
          <w:rFonts w:ascii="Tahoma" w:hAnsi="Tahoma"/>
        </w:rPr>
        <w:t>Obligations under the Contract</w:t>
      </w:r>
    </w:p>
    <w:p w14:paraId="271683F2" w14:textId="4597962A" w:rsidR="00DC1DB8" w:rsidRPr="005D0D3D" w:rsidRDefault="006B0BDD" w:rsidP="00DE583B">
      <w:pPr>
        <w:pStyle w:val="a1"/>
        <w:tabs>
          <w:tab w:val="num" w:pos="644"/>
        </w:tabs>
        <w:rPr>
          <w:rFonts w:ascii="Tahoma" w:hAnsi="Tahoma" w:cs="Tahoma"/>
        </w:rPr>
      </w:pPr>
      <w:r>
        <w:rPr>
          <w:rFonts w:ascii="Tahoma" w:hAnsi="Tahoma"/>
        </w:rPr>
        <w:t xml:space="preserve"> Variation Margin obligation.</w:t>
      </w:r>
    </w:p>
    <w:p w14:paraId="52B52C71" w14:textId="1E5E4B5E" w:rsidR="00DE698B" w:rsidRPr="005D0D3D" w:rsidRDefault="00DF3D45" w:rsidP="00DE583B">
      <w:pPr>
        <w:pStyle w:val="10"/>
        <w:rPr>
          <w:rFonts w:ascii="Tahoma" w:hAnsi="Tahoma" w:cs="Tahoma"/>
        </w:rPr>
      </w:pPr>
      <w:r>
        <w:rPr>
          <w:rFonts w:ascii="Tahoma" w:hAnsi="Tahoma"/>
        </w:rPr>
        <w:t xml:space="preserve">The Parties to the Contract must pay each other variation margin in the form of cash, in the amount depending on the changes in the value of the Contract’s underlying. </w:t>
      </w:r>
    </w:p>
    <w:p w14:paraId="11808BE9" w14:textId="4D10739D" w:rsidR="001316FC" w:rsidRPr="005D0D3D" w:rsidRDefault="00D32025" w:rsidP="00DE583B">
      <w:pPr>
        <w:pStyle w:val="10"/>
        <w:rPr>
          <w:rFonts w:ascii="Tahoma" w:hAnsi="Tahoma" w:cs="Tahoma"/>
        </w:rPr>
      </w:pPr>
      <w:r>
        <w:rPr>
          <w:rFonts w:ascii="Tahoma" w:hAnsi="Tahoma"/>
        </w:rPr>
        <w:t>Variation margin will be calculated and must be paid during the life of the Contract.</w:t>
      </w:r>
    </w:p>
    <w:p w14:paraId="27E4D827" w14:textId="0919F06F" w:rsidR="00B97884" w:rsidRPr="005D0D3D" w:rsidRDefault="001316FC" w:rsidP="00DE583B">
      <w:pPr>
        <w:pStyle w:val="10"/>
        <w:rPr>
          <w:rFonts w:ascii="Tahoma" w:hAnsi="Tahoma" w:cs="Tahoma"/>
        </w:rPr>
      </w:pPr>
      <w:r>
        <w:rPr>
          <w:rFonts w:ascii="Tahoma" w:hAnsi="Tahoma"/>
        </w:rPr>
        <w:t>Variation margin is calculated according to the following formulas:</w:t>
      </w:r>
    </w:p>
    <w:p w14:paraId="1A661091" w14:textId="43298BA5" w:rsidR="00DF3D45" w:rsidRPr="005D0D3D" w:rsidRDefault="00DF3D45" w:rsidP="00000012">
      <w:pPr>
        <w:pStyle w:val="10"/>
        <w:numPr>
          <w:ilvl w:val="3"/>
          <w:numId w:val="8"/>
        </w:numPr>
        <w:tabs>
          <w:tab w:val="clear" w:pos="2880"/>
          <w:tab w:val="clear" w:pos="9000"/>
          <w:tab w:val="left" w:pos="2410"/>
        </w:tabs>
        <w:ind w:left="2127" w:hanging="709"/>
        <w:rPr>
          <w:rFonts w:ascii="Tahoma" w:hAnsi="Tahoma" w:cs="Tahoma"/>
        </w:rPr>
      </w:pPr>
      <w:bookmarkStart w:id="1" w:name="_Ref249432111"/>
      <w:r>
        <w:rPr>
          <w:rFonts w:ascii="Tahoma" w:hAnsi="Tahoma"/>
        </w:rPr>
        <w:t>During the intraday clearing session:</w:t>
      </w:r>
      <w:bookmarkEnd w:id="1"/>
    </w:p>
    <w:p w14:paraId="5896384E" w14:textId="6F059447" w:rsidR="00DF3D45" w:rsidRPr="005D0D3D" w:rsidRDefault="00DF3D45" w:rsidP="00000012">
      <w:pPr>
        <w:pStyle w:val="affa"/>
        <w:numPr>
          <w:ilvl w:val="0"/>
          <w:numId w:val="28"/>
        </w:numPr>
        <w:tabs>
          <w:tab w:val="left" w:pos="1843"/>
        </w:tabs>
        <w:spacing w:before="120"/>
        <w:ind w:left="1418" w:firstLine="142"/>
        <w:rPr>
          <w:rFonts w:ascii="Tahoma" w:hAnsi="Tahoma" w:cs="Tahoma"/>
          <w:sz w:val="20"/>
          <w:szCs w:val="20"/>
        </w:rPr>
      </w:pPr>
      <w:r>
        <w:rPr>
          <w:rFonts w:ascii="Tahoma" w:hAnsi="Tahoma"/>
          <w:sz w:val="20"/>
        </w:rPr>
        <w:t>If the variation margin has not been calculated before:</w:t>
      </w:r>
    </w:p>
    <w:p w14:paraId="15FAF9EE"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5852E106"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7E8F7A8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615D1EC1"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4C71C07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2F21DE1"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5D71097E"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54860EEC" w14:textId="77777777" w:rsidR="00DF3D45" w:rsidRPr="005D0D3D" w:rsidRDefault="00DF3D45">
      <w:pPr>
        <w:ind w:left="1418"/>
        <w:jc w:val="both"/>
        <w:rPr>
          <w:rFonts w:ascii="Tahoma" w:hAnsi="Tahoma" w:cs="Tahoma"/>
          <w:sz w:val="20"/>
          <w:szCs w:val="20"/>
        </w:rPr>
      </w:pPr>
      <w:r>
        <w:rPr>
          <w:rFonts w:ascii="Tahoma" w:hAnsi="Tahoma"/>
          <w:sz w:val="20"/>
        </w:rPr>
        <w:t>R – tick size.</w:t>
      </w:r>
    </w:p>
    <w:p w14:paraId="35F76002" w14:textId="27FCF1B4" w:rsidR="00DF3D45" w:rsidRPr="005D0D3D" w:rsidRDefault="00DF3D45" w:rsidP="00000012">
      <w:pPr>
        <w:pStyle w:val="affa"/>
        <w:numPr>
          <w:ilvl w:val="0"/>
          <w:numId w:val="28"/>
        </w:numPr>
        <w:tabs>
          <w:tab w:val="left" w:pos="1843"/>
        </w:tabs>
        <w:spacing w:before="120"/>
        <w:ind w:left="1418" w:firstLine="142"/>
        <w:rPr>
          <w:rFonts w:ascii="Tahoma" w:hAnsi="Tahoma" w:cs="Tahoma"/>
          <w:sz w:val="20"/>
          <w:szCs w:val="20"/>
        </w:rPr>
      </w:pPr>
      <w:r>
        <w:rPr>
          <w:rFonts w:ascii="Tahoma" w:hAnsi="Tahoma"/>
          <w:sz w:val="20"/>
        </w:rPr>
        <w:t>If the variation margin has been calculated before:</w:t>
      </w:r>
    </w:p>
    <w:p w14:paraId="6E2AF242"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(SP</w:t>
      </w:r>
      <w:r>
        <w:rPr>
          <w:rFonts w:ascii="Tahoma" w:hAnsi="Tahoma"/>
          <w:b/>
          <w:sz w:val="20"/>
          <w:vertAlign w:val="subscript"/>
        </w:rPr>
        <w:t>P</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009CBD66"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181AA96E"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51E29D5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7DBB7A78"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1C563DFD" w14:textId="77777777" w:rsidR="00DF3D45" w:rsidRPr="005D0D3D" w:rsidRDefault="00DF3D45">
      <w:pPr>
        <w:tabs>
          <w:tab w:val="left" w:pos="9000"/>
        </w:tabs>
        <w:ind w:left="1418"/>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3394D812"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7031F71D" w14:textId="77777777" w:rsidR="00DF3D45" w:rsidRPr="005D0D3D" w:rsidRDefault="00DF3D45">
      <w:pPr>
        <w:ind w:left="1418"/>
        <w:jc w:val="both"/>
        <w:rPr>
          <w:rFonts w:ascii="Tahoma" w:hAnsi="Tahoma" w:cs="Tahoma"/>
          <w:sz w:val="20"/>
          <w:szCs w:val="20"/>
        </w:rPr>
      </w:pPr>
      <w:r>
        <w:rPr>
          <w:rFonts w:ascii="Tahoma" w:hAnsi="Tahoma"/>
          <w:sz w:val="20"/>
        </w:rPr>
        <w:t>R – tick size.</w:t>
      </w:r>
    </w:p>
    <w:p w14:paraId="47E205CD" w14:textId="0E80DFB2" w:rsidR="00DF3D45" w:rsidRPr="005D0D3D" w:rsidRDefault="00BE6258" w:rsidP="00BE6258">
      <w:pPr>
        <w:spacing w:before="120"/>
        <w:ind w:left="1134"/>
        <w:jc w:val="both"/>
        <w:rPr>
          <w:rFonts w:ascii="Tahoma" w:hAnsi="Tahoma" w:cs="Tahoma"/>
          <w:sz w:val="20"/>
          <w:szCs w:val="20"/>
        </w:rPr>
      </w:pPr>
      <w:r>
        <w:rPr>
          <w:rFonts w:ascii="Tahoma" w:hAnsi="Tahoma"/>
          <w:sz w:val="20"/>
        </w:rPr>
        <w:lastRenderedPageBreak/>
        <w:t>To calculate the variation margin during the intraday clearing session of the current Trading Day, the tick value is calculated using the Base Currency exchange rate determined at the time set by the Exchange and published on the Exchange website.</w:t>
      </w:r>
    </w:p>
    <w:p w14:paraId="45056376" w14:textId="7A9BE8B4" w:rsidR="00DF3D45" w:rsidRPr="005D0D3D" w:rsidRDefault="00DF3D45" w:rsidP="00384736">
      <w:pPr>
        <w:pStyle w:val="affa"/>
        <w:numPr>
          <w:ilvl w:val="3"/>
          <w:numId w:val="8"/>
        </w:numPr>
        <w:tabs>
          <w:tab w:val="clear" w:pos="2880"/>
          <w:tab w:val="num" w:pos="1701"/>
        </w:tabs>
        <w:autoSpaceDE/>
        <w:autoSpaceDN/>
        <w:spacing w:before="120"/>
        <w:ind w:left="2127" w:hanging="709"/>
        <w:rPr>
          <w:rFonts w:ascii="Tahoma" w:hAnsi="Tahoma" w:cs="Tahoma"/>
          <w:sz w:val="20"/>
          <w:szCs w:val="20"/>
        </w:rPr>
      </w:pPr>
      <w:r>
        <w:rPr>
          <w:rFonts w:ascii="Tahoma" w:hAnsi="Tahoma"/>
          <w:sz w:val="20"/>
        </w:rPr>
        <w:t>During the evening clearing session:</w:t>
      </w:r>
    </w:p>
    <w:p w14:paraId="7AC58579" w14:textId="77777777" w:rsidR="00DF3D45" w:rsidRPr="005D0D3D" w:rsidRDefault="00DF3D45" w:rsidP="00384736">
      <w:pPr>
        <w:numPr>
          <w:ilvl w:val="0"/>
          <w:numId w:val="22"/>
        </w:numPr>
        <w:tabs>
          <w:tab w:val="left" w:pos="1843"/>
        </w:tabs>
        <w:autoSpaceDE/>
        <w:autoSpaceDN/>
        <w:spacing w:before="120"/>
        <w:ind w:left="1418" w:firstLine="142"/>
        <w:rPr>
          <w:rFonts w:ascii="Tahoma" w:hAnsi="Tahoma" w:cs="Tahoma"/>
          <w:sz w:val="20"/>
          <w:szCs w:val="20"/>
        </w:rPr>
      </w:pPr>
      <w:r>
        <w:rPr>
          <w:rFonts w:ascii="Tahoma" w:hAnsi="Tahoma"/>
          <w:sz w:val="20"/>
        </w:rPr>
        <w:t>If the variation margin has not been calculated before:</w:t>
      </w:r>
    </w:p>
    <w:p w14:paraId="069E6A79"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 xml:space="preserve">/R; 5); 2)          </w:t>
      </w:r>
    </w:p>
    <w:p w14:paraId="06674CA6"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43F4219E"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07BA95C6"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Round – mathematical rounding to the specified precision,</w:t>
      </w:r>
    </w:p>
    <w:p w14:paraId="1C108B92"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1C7342F"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1229C83E"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67F3ABD7"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R – tick size.</w:t>
      </w:r>
    </w:p>
    <w:p w14:paraId="0A145597" w14:textId="77777777" w:rsidR="00DF3D45" w:rsidRPr="005D0D3D" w:rsidRDefault="00DF3D45" w:rsidP="00384736">
      <w:pPr>
        <w:numPr>
          <w:ilvl w:val="0"/>
          <w:numId w:val="22"/>
        </w:numPr>
        <w:tabs>
          <w:tab w:val="left" w:pos="1843"/>
        </w:tabs>
        <w:autoSpaceDE/>
        <w:autoSpaceDN/>
        <w:spacing w:before="120"/>
        <w:ind w:left="1418" w:firstLine="142"/>
        <w:rPr>
          <w:rFonts w:ascii="Tahoma" w:hAnsi="Tahoma" w:cs="Tahoma"/>
          <w:sz w:val="20"/>
          <w:szCs w:val="20"/>
        </w:rPr>
      </w:pPr>
      <w:r>
        <w:rPr>
          <w:rFonts w:ascii="Tahoma" w:hAnsi="Tahoma"/>
          <w:sz w:val="20"/>
        </w:rPr>
        <w:t>If the variation margin for the Contract has been calculated in the intraday clearing session on the current trading day:</w:t>
      </w:r>
    </w:p>
    <w:p w14:paraId="49242658"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VМ</w:t>
      </w:r>
      <w:r>
        <w:rPr>
          <w:rFonts w:ascii="Tahoma" w:hAnsi="Tahoma"/>
          <w:b/>
          <w:sz w:val="20"/>
          <w:vertAlign w:val="subscript"/>
        </w:rPr>
        <w:t>2</w:t>
      </w:r>
      <w:r>
        <w:rPr>
          <w:rFonts w:ascii="Tahoma" w:hAnsi="Tahoma"/>
          <w:b/>
          <w:sz w:val="20"/>
        </w:rPr>
        <w:t xml:space="preserve"> = VМ – VМ</w:t>
      </w:r>
      <w:r>
        <w:rPr>
          <w:rFonts w:ascii="Tahoma" w:hAnsi="Tahoma"/>
          <w:b/>
          <w:sz w:val="20"/>
          <w:vertAlign w:val="subscript"/>
        </w:rPr>
        <w:t>1</w:t>
      </w:r>
    </w:p>
    <w:p w14:paraId="0ADFE96B"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4B0A737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6AFD05B4"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VM – variation margin for the Contract as calculated in the evening clearing session for the current trading day;</w:t>
      </w:r>
    </w:p>
    <w:p w14:paraId="07D0CA4C" w14:textId="5E029962" w:rsidR="00DF3D45" w:rsidRPr="005D0D3D" w:rsidRDefault="00DF3D45">
      <w:pPr>
        <w:tabs>
          <w:tab w:val="left" w:pos="9000"/>
        </w:tabs>
        <w:ind w:left="1418"/>
        <w:jc w:val="both"/>
        <w:rPr>
          <w:rFonts w:ascii="Tahoma" w:hAnsi="Tahoma" w:cs="Tahoma"/>
          <w:sz w:val="20"/>
          <w:szCs w:val="20"/>
        </w:rPr>
      </w:pPr>
      <w:r>
        <w:rPr>
          <w:rFonts w:ascii="Tahoma" w:hAnsi="Tahoma"/>
          <w:sz w:val="20"/>
        </w:rPr>
        <w:t>VM</w:t>
      </w:r>
      <w:r>
        <w:rPr>
          <w:rFonts w:ascii="Tahoma" w:hAnsi="Tahoma"/>
          <w:sz w:val="20"/>
          <w:vertAlign w:val="subscript"/>
        </w:rPr>
        <w:t>1</w:t>
      </w:r>
      <w:r>
        <w:rPr>
          <w:rFonts w:ascii="Tahoma" w:hAnsi="Tahoma"/>
          <w:sz w:val="20"/>
        </w:rPr>
        <w:t xml:space="preserve"> – variation margin for the Contract as calculated in the intraday clearing session on the current trading day as per Section 2.1.3.1 above.</w:t>
      </w:r>
    </w:p>
    <w:p w14:paraId="6FED7B7B"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 xml:space="preserve">VM is determined according to the following formulas: </w:t>
      </w:r>
    </w:p>
    <w:p w14:paraId="04A70E88" w14:textId="77777777" w:rsidR="00DF3D45" w:rsidRPr="005D0D3D" w:rsidRDefault="00DF3D45" w:rsidP="00DE583B">
      <w:pPr>
        <w:numPr>
          <w:ilvl w:val="0"/>
          <w:numId w:val="23"/>
        </w:numPr>
        <w:tabs>
          <w:tab w:val="left" w:pos="1701"/>
        </w:tabs>
        <w:autoSpaceDE/>
        <w:autoSpaceDN/>
        <w:spacing w:before="120"/>
        <w:ind w:left="1701" w:hanging="283"/>
        <w:rPr>
          <w:rFonts w:ascii="Tahoma" w:hAnsi="Tahoma" w:cs="Tahoma"/>
          <w:sz w:val="20"/>
          <w:szCs w:val="20"/>
        </w:rPr>
      </w:pPr>
      <w:r>
        <w:rPr>
          <w:rFonts w:ascii="Tahoma" w:hAnsi="Tahoma"/>
          <w:sz w:val="20"/>
        </w:rPr>
        <w:t>If the variation margin has not been calculated for the previous trading day in the evening clearing session:</w:t>
      </w:r>
    </w:p>
    <w:p w14:paraId="17E519CD" w14:textId="77777777" w:rsidR="00DF3D45" w:rsidRPr="005D0D3D" w:rsidRDefault="00DF3D45" w:rsidP="00821879">
      <w:pPr>
        <w:tabs>
          <w:tab w:val="left" w:pos="1701"/>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w:t>
      </w:r>
      <w:proofErr w:type="gramStart"/>
      <w:r>
        <w:rPr>
          <w:rFonts w:ascii="Tahoma" w:hAnsi="Tahoma"/>
          <w:sz w:val="20"/>
        </w:rPr>
        <w:t>Round(</w:t>
      </w:r>
      <w:proofErr w:type="gramEnd"/>
      <w:r>
        <w:rPr>
          <w:rFonts w:ascii="Tahoma" w:hAnsi="Tahoma"/>
          <w:sz w:val="20"/>
        </w:rPr>
        <w:t>W</w:t>
      </w:r>
      <w:r>
        <w:rPr>
          <w:rFonts w:ascii="Tahoma" w:hAnsi="Tahoma"/>
          <w:sz w:val="20"/>
          <w:vertAlign w:val="subscript"/>
        </w:rPr>
        <w:t>2</w:t>
      </w:r>
      <w:r>
        <w:rPr>
          <w:rFonts w:ascii="Tahoma" w:hAnsi="Tahoma"/>
          <w:sz w:val="20"/>
        </w:rPr>
        <w:t>/R; 5); 2) – Round(P</w:t>
      </w:r>
      <w:r>
        <w:rPr>
          <w:rFonts w:ascii="Tahoma" w:hAnsi="Tahoma"/>
          <w:sz w:val="20"/>
          <w:vertAlign w:val="subscript"/>
        </w:rPr>
        <w:t>0</w:t>
      </w:r>
      <w:r>
        <w:rPr>
          <w:rFonts w:ascii="Tahoma" w:hAnsi="Tahoma"/>
          <w:sz w:val="20"/>
        </w:rPr>
        <w:t>*Round (W</w:t>
      </w:r>
      <w:r>
        <w:rPr>
          <w:rFonts w:ascii="Tahoma" w:hAnsi="Tahoma"/>
          <w:sz w:val="20"/>
          <w:vertAlign w:val="subscript"/>
        </w:rPr>
        <w:t>2</w:t>
      </w:r>
      <w:r>
        <w:rPr>
          <w:rFonts w:ascii="Tahoma" w:hAnsi="Tahoma"/>
          <w:sz w:val="20"/>
        </w:rPr>
        <w:t>/R; 5); 2)</w:t>
      </w:r>
    </w:p>
    <w:p w14:paraId="4B1B8F42" w14:textId="77777777" w:rsidR="00DF3D45" w:rsidRPr="005D0D3D" w:rsidRDefault="00DF3D45" w:rsidP="00DE583B">
      <w:pPr>
        <w:tabs>
          <w:tab w:val="left" w:pos="1701"/>
          <w:tab w:val="left" w:pos="9000"/>
        </w:tabs>
        <w:spacing w:before="120"/>
        <w:ind w:left="1701"/>
        <w:rPr>
          <w:rFonts w:ascii="Tahoma" w:hAnsi="Tahoma" w:cs="Tahoma"/>
          <w:sz w:val="20"/>
          <w:szCs w:val="20"/>
        </w:rPr>
      </w:pPr>
      <w:r>
        <w:rPr>
          <w:rFonts w:ascii="Tahoma" w:hAnsi="Tahoma"/>
          <w:sz w:val="20"/>
        </w:rPr>
        <w:t>where:</w:t>
      </w:r>
    </w:p>
    <w:p w14:paraId="7B53C33F"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Round – mathematical rounding to the specified precision,</w:t>
      </w:r>
    </w:p>
    <w:p w14:paraId="577633C8"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6CAD6F12"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548B0990"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74FAB53F"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R – tick size.</w:t>
      </w:r>
    </w:p>
    <w:p w14:paraId="51082D38" w14:textId="77777777" w:rsidR="00DF3D45" w:rsidRPr="005D0D3D" w:rsidRDefault="00DF3D45">
      <w:pPr>
        <w:tabs>
          <w:tab w:val="left" w:pos="1418"/>
          <w:tab w:val="left" w:pos="9000"/>
        </w:tabs>
        <w:spacing w:before="120"/>
        <w:ind w:left="1701" w:hanging="283"/>
        <w:jc w:val="both"/>
        <w:rPr>
          <w:rFonts w:ascii="Tahoma" w:hAnsi="Tahoma" w:cs="Tahoma"/>
          <w:sz w:val="20"/>
          <w:szCs w:val="20"/>
        </w:rPr>
      </w:pPr>
      <w:r>
        <w:rPr>
          <w:rFonts w:ascii="Tahoma" w:hAnsi="Tahoma"/>
          <w:sz w:val="20"/>
        </w:rPr>
        <w:t>ii. If the variation margin has been calculated for the previous trading day in the evening clearing session:</w:t>
      </w:r>
    </w:p>
    <w:p w14:paraId="41BB9695" w14:textId="77777777" w:rsidR="00DF3D45" w:rsidRPr="005D0D3D" w:rsidRDefault="00DF3D45" w:rsidP="00821879">
      <w:pPr>
        <w:tabs>
          <w:tab w:val="left" w:pos="1701"/>
          <w:tab w:val="left" w:pos="1985"/>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*Round (W</w:t>
      </w:r>
      <w:r>
        <w:rPr>
          <w:rFonts w:ascii="Tahoma" w:hAnsi="Tahoma"/>
          <w:sz w:val="20"/>
          <w:vertAlign w:val="subscript"/>
        </w:rPr>
        <w:t>2</w:t>
      </w:r>
      <w:r>
        <w:rPr>
          <w:rFonts w:ascii="Tahoma" w:hAnsi="Tahoma"/>
          <w:sz w:val="20"/>
        </w:rPr>
        <w:t xml:space="preserve">/R; 5); 2) – </w:t>
      </w:r>
      <w:proofErr w:type="gramStart"/>
      <w:r>
        <w:rPr>
          <w:rFonts w:ascii="Tahoma" w:hAnsi="Tahoma"/>
          <w:sz w:val="20"/>
        </w:rPr>
        <w:t>Round(</w:t>
      </w:r>
      <w:proofErr w:type="gramEnd"/>
      <w:r>
        <w:rPr>
          <w:rFonts w:ascii="Tahoma" w:hAnsi="Tahoma"/>
          <w:sz w:val="20"/>
        </w:rPr>
        <w:t>SP</w:t>
      </w:r>
      <w:r>
        <w:rPr>
          <w:rFonts w:ascii="Tahoma" w:hAnsi="Tahoma"/>
          <w:sz w:val="20"/>
          <w:vertAlign w:val="subscript"/>
        </w:rPr>
        <w:t>P</w:t>
      </w:r>
      <w:r>
        <w:rPr>
          <w:rFonts w:ascii="Tahoma" w:hAnsi="Tahoma"/>
          <w:sz w:val="20"/>
        </w:rPr>
        <w:t>*Round (W</w:t>
      </w:r>
      <w:r>
        <w:rPr>
          <w:rFonts w:ascii="Tahoma" w:hAnsi="Tahoma"/>
          <w:sz w:val="20"/>
          <w:vertAlign w:val="subscript"/>
        </w:rPr>
        <w:t>2</w:t>
      </w:r>
      <w:r>
        <w:rPr>
          <w:rFonts w:ascii="Tahoma" w:hAnsi="Tahoma"/>
          <w:sz w:val="20"/>
        </w:rPr>
        <w:t>/R; 5);</w:t>
      </w:r>
    </w:p>
    <w:p w14:paraId="548CB8C8" w14:textId="77777777" w:rsidR="00DF3D45" w:rsidRPr="005D0D3D" w:rsidRDefault="00DF3D45" w:rsidP="00821879">
      <w:pPr>
        <w:tabs>
          <w:tab w:val="left" w:pos="1701"/>
          <w:tab w:val="left" w:pos="1985"/>
          <w:tab w:val="left" w:pos="9000"/>
        </w:tabs>
        <w:spacing w:before="120"/>
        <w:ind w:left="1701"/>
        <w:rPr>
          <w:rFonts w:ascii="Tahoma" w:hAnsi="Tahoma" w:cs="Tahoma"/>
          <w:sz w:val="20"/>
          <w:szCs w:val="20"/>
        </w:rPr>
      </w:pPr>
      <w:r>
        <w:rPr>
          <w:rFonts w:ascii="Tahoma" w:hAnsi="Tahoma"/>
          <w:sz w:val="20"/>
        </w:rPr>
        <w:t>where:</w:t>
      </w:r>
    </w:p>
    <w:p w14:paraId="3599A4A7"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Round – mathematical rounding to the specified precision,</w:t>
      </w:r>
    </w:p>
    <w:p w14:paraId="624E65E5"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74A7EA1D" w14:textId="77777777" w:rsidR="00DF3D45" w:rsidRPr="005D0D3D" w:rsidRDefault="00DF3D45" w:rsidP="00DE583B">
      <w:pPr>
        <w:tabs>
          <w:tab w:val="left" w:pos="1701"/>
          <w:tab w:val="left" w:pos="1985"/>
          <w:tab w:val="left" w:pos="9000"/>
        </w:tabs>
        <w:ind w:left="1701"/>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68CD5843"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28BFFAC0"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R – tick size.</w:t>
      </w:r>
    </w:p>
    <w:p w14:paraId="327A3976" w14:textId="3BAE3404" w:rsidR="00AD5B75" w:rsidRPr="005D0D3D" w:rsidRDefault="00BE6258">
      <w:pPr>
        <w:spacing w:before="120"/>
        <w:ind w:left="1134"/>
        <w:jc w:val="both"/>
        <w:rPr>
          <w:rFonts w:ascii="Tahoma" w:hAnsi="Tahoma" w:cs="Tahoma"/>
          <w:sz w:val="20"/>
          <w:szCs w:val="20"/>
        </w:rPr>
      </w:pPr>
      <w:r>
        <w:rPr>
          <w:rFonts w:ascii="Tahoma" w:hAnsi="Tahoma"/>
          <w:sz w:val="20"/>
        </w:rPr>
        <w:t>To calculate the variation margin during the evening clearing session of the current Trading Day, the tick value is calculated using the Base Currency exchange rate determined at the time set by the Exchange and published on the Exchange website.</w:t>
      </w:r>
    </w:p>
    <w:p w14:paraId="10997A75" w14:textId="4BE99BD7" w:rsidR="00DB5C60" w:rsidRPr="005D0D3D" w:rsidRDefault="00DF3D45" w:rsidP="00DB5C60">
      <w:pPr>
        <w:pStyle w:val="10"/>
        <w:rPr>
          <w:rFonts w:ascii="Tahoma" w:hAnsi="Tahoma" w:cs="Tahoma"/>
        </w:rPr>
      </w:pPr>
      <w:r>
        <w:rPr>
          <w:rFonts w:ascii="Tahoma" w:hAnsi="Tahoma"/>
        </w:rPr>
        <w:t>The obligation to pay the variation margin calculated according to the formulas specified in clause 2.1.3 above shall be fulfilled according to the procedure and within the terms established by the Clearing Rules. For this purpose,</w:t>
      </w:r>
    </w:p>
    <w:p w14:paraId="5EFE8958" w14:textId="77777777" w:rsidR="000A455D" w:rsidRPr="005D0D3D" w:rsidRDefault="000A455D" w:rsidP="000A455D">
      <w:pPr>
        <w:numPr>
          <w:ilvl w:val="0"/>
          <w:numId w:val="21"/>
        </w:numPr>
        <w:autoSpaceDE/>
        <w:autoSpaceDN/>
        <w:spacing w:before="120"/>
        <w:ind w:left="1701" w:hanging="284"/>
        <w:jc w:val="both"/>
        <w:rPr>
          <w:rFonts w:ascii="Tahoma" w:hAnsi="Tahoma" w:cs="Tahoma"/>
          <w:color w:val="000000"/>
          <w:sz w:val="20"/>
          <w:szCs w:val="20"/>
        </w:rPr>
      </w:pPr>
      <w:r>
        <w:rPr>
          <w:rFonts w:ascii="Tahoma" w:hAnsi="Tahoma"/>
          <w:color w:val="000000"/>
          <w:sz w:val="20"/>
        </w:rPr>
        <w:t>if the variation margin is positive, the obligation to pay the variation margin arises for the Seller;</w:t>
      </w:r>
    </w:p>
    <w:p w14:paraId="7BA75F43" w14:textId="17EAAEBE" w:rsidR="000A455D" w:rsidRPr="005D0D3D" w:rsidRDefault="000A455D" w:rsidP="00DE583B">
      <w:pPr>
        <w:numPr>
          <w:ilvl w:val="0"/>
          <w:numId w:val="21"/>
        </w:numPr>
        <w:autoSpaceDE/>
        <w:autoSpaceDN/>
        <w:spacing w:before="120"/>
        <w:ind w:left="1701" w:hanging="284"/>
        <w:jc w:val="both"/>
        <w:rPr>
          <w:rFonts w:ascii="Tahoma" w:hAnsi="Tahoma" w:cs="Tahoma"/>
        </w:rPr>
      </w:pPr>
      <w:r>
        <w:rPr>
          <w:rFonts w:ascii="Tahoma" w:hAnsi="Tahoma"/>
          <w:color w:val="000000"/>
          <w:sz w:val="20"/>
        </w:rPr>
        <w:t>if the variation margin is negative, the Buyer is obliged to pay the absolute value of the variation margin.</w:t>
      </w:r>
    </w:p>
    <w:p w14:paraId="111948A9" w14:textId="010E1948" w:rsidR="00DB5C60" w:rsidRPr="005D0D3D" w:rsidRDefault="00DB5C60" w:rsidP="00DE583B">
      <w:pPr>
        <w:pStyle w:val="10"/>
        <w:rPr>
          <w:rFonts w:ascii="Tahoma" w:hAnsi="Tahoma" w:cs="Tahoma"/>
        </w:rPr>
      </w:pPr>
      <w:r>
        <w:rPr>
          <w:rFonts w:ascii="Tahoma" w:hAnsi="Tahoma"/>
          <w:color w:val="000000"/>
        </w:rPr>
        <w:t>The settlement price of the Contract is set by the Exchange under the procedure and within the time frames set out in the Trading Rules and Specification.</w:t>
      </w:r>
    </w:p>
    <w:p w14:paraId="014F901E" w14:textId="07D1C42A" w:rsidR="00EB56FB" w:rsidRPr="005D0D3D" w:rsidRDefault="0064425A" w:rsidP="00DE583B">
      <w:pPr>
        <w:pStyle w:val="a0"/>
        <w:spacing w:line="360" w:lineRule="auto"/>
        <w:rPr>
          <w:rFonts w:ascii="Tahoma" w:hAnsi="Tahoma" w:cs="Tahoma"/>
        </w:rPr>
      </w:pPr>
      <w:r>
        <w:rPr>
          <w:rFonts w:ascii="Tahoma" w:hAnsi="Tahoma"/>
        </w:rPr>
        <w:t>Settlement obligation</w:t>
      </w:r>
    </w:p>
    <w:p w14:paraId="3F8FE8AD" w14:textId="6C2A3237" w:rsidR="00FF4039" w:rsidRPr="005D0D3D" w:rsidRDefault="00FF4039" w:rsidP="00DE583B">
      <w:pPr>
        <w:pStyle w:val="a1"/>
        <w:tabs>
          <w:tab w:val="clear" w:pos="786"/>
          <w:tab w:val="num" w:pos="1701"/>
          <w:tab w:val="num" w:pos="1985"/>
        </w:tabs>
        <w:ind w:left="851" w:hanging="425"/>
        <w:rPr>
          <w:rFonts w:ascii="Tahoma" w:hAnsi="Tahoma" w:cs="Tahoma"/>
        </w:rPr>
      </w:pPr>
      <w:r>
        <w:rPr>
          <w:rFonts w:ascii="Tahoma" w:hAnsi="Tahoma"/>
        </w:rPr>
        <w:t>The obligation to pay the variation margin as determined during the evening clearing session on the settlement date for the Contract, is the Settlement Obligation.</w:t>
      </w:r>
    </w:p>
    <w:p w14:paraId="4C5B0724" w14:textId="59DFB89C" w:rsidR="00FF4039" w:rsidRPr="005D0D3D" w:rsidRDefault="00217B6B" w:rsidP="00332A24">
      <w:pPr>
        <w:pStyle w:val="a1"/>
        <w:tabs>
          <w:tab w:val="clear" w:pos="786"/>
          <w:tab w:val="num" w:pos="1134"/>
          <w:tab w:val="num" w:pos="1701"/>
          <w:tab w:val="num" w:pos="1985"/>
        </w:tabs>
        <w:ind w:left="851" w:hanging="425"/>
        <w:rPr>
          <w:rFonts w:ascii="Tahoma" w:hAnsi="Tahoma" w:cs="Tahoma"/>
        </w:rPr>
      </w:pPr>
      <w:r>
        <w:rPr>
          <w:rFonts w:ascii="Tahoma" w:hAnsi="Tahoma"/>
        </w:rPr>
        <w:t>For the purpose of determining the Settlement Obligation, the current Settlement Price of the Contract (the Execution Price) shall be determined in accordance with the procedure for calculating the current Settlement Price of the Contract set forth in the List of Parameters.</w:t>
      </w:r>
    </w:p>
    <w:p w14:paraId="3A8CB7A7" w14:textId="3AF33652" w:rsidR="00B721BC" w:rsidRPr="005D0D3D" w:rsidRDefault="008272EF" w:rsidP="008272EF">
      <w:pPr>
        <w:pStyle w:val="a1"/>
        <w:numPr>
          <w:ilvl w:val="1"/>
          <w:numId w:val="1"/>
        </w:numPr>
        <w:tabs>
          <w:tab w:val="clear" w:pos="786"/>
          <w:tab w:val="num" w:pos="1134"/>
        </w:tabs>
        <w:ind w:left="851" w:hanging="425"/>
        <w:rPr>
          <w:rFonts w:ascii="Tahoma" w:hAnsi="Tahoma" w:cs="Tahoma"/>
        </w:rPr>
      </w:pPr>
      <w:r>
        <w:rPr>
          <w:rFonts w:ascii="Tahoma" w:hAnsi="Tahoma"/>
        </w:rPr>
        <w:t xml:space="preserve"> If an hour before the end of the evening Settlement Period of the day of performance of the Contract the necessary values specified in the List of Parameters for determining the Settlement Price (price of performance) of the Contract have not been published by the respective information agency, the last published by the respective information agency values shall be used to determine the Settlement Price (price of performance) of the Contract, unless otherwise decided by the Exchange in accordance with clauses 6.1 - 6.2 of the Specification.</w:t>
      </w:r>
    </w:p>
    <w:p w14:paraId="0D7CB8E9" w14:textId="5484860C" w:rsidR="00BD1676" w:rsidRPr="005D0D3D" w:rsidRDefault="008272EF" w:rsidP="00DE583B">
      <w:pPr>
        <w:pStyle w:val="a1"/>
        <w:tabs>
          <w:tab w:val="num" w:pos="1134"/>
        </w:tabs>
        <w:ind w:left="851" w:hanging="425"/>
        <w:rPr>
          <w:rFonts w:ascii="Tahoma" w:hAnsi="Tahoma" w:cs="Tahoma"/>
        </w:rPr>
      </w:pPr>
      <w:r>
        <w:rPr>
          <w:rFonts w:ascii="Tahoma" w:hAnsi="Tahoma"/>
        </w:rPr>
        <w:t xml:space="preserve"> For the purpose of determining the Settlement Obligation, the tick value is calculated using the Base Currency exchange rate determined at the time set by the Exchange and published on the Exchange website.  </w:t>
      </w:r>
    </w:p>
    <w:p w14:paraId="66B7AC73" w14:textId="77777777" w:rsidR="00A83A8E" w:rsidRPr="005D0D3D" w:rsidRDefault="00A83A8E" w:rsidP="00A83A8E">
      <w:pPr>
        <w:pStyle w:val="affa"/>
        <w:numPr>
          <w:ilvl w:val="0"/>
          <w:numId w:val="1"/>
        </w:numPr>
        <w:tabs>
          <w:tab w:val="left" w:pos="9000"/>
        </w:tabs>
        <w:spacing w:before="240"/>
        <w:ind w:right="57"/>
        <w:jc w:val="both"/>
        <w:rPr>
          <w:rFonts w:ascii="Tahoma" w:hAnsi="Tahoma" w:cs="Tahoma"/>
          <w:b/>
          <w:bCs/>
          <w:vanish/>
          <w:sz w:val="20"/>
          <w:szCs w:val="20"/>
        </w:rPr>
      </w:pPr>
    </w:p>
    <w:p w14:paraId="73210E07" w14:textId="77777777" w:rsidR="00A83A8E" w:rsidRPr="005D0D3D" w:rsidRDefault="00A83A8E" w:rsidP="00A83A8E">
      <w:pPr>
        <w:pStyle w:val="affa"/>
        <w:numPr>
          <w:ilvl w:val="1"/>
          <w:numId w:val="1"/>
        </w:numPr>
        <w:tabs>
          <w:tab w:val="left" w:pos="9000"/>
        </w:tabs>
        <w:spacing w:before="120"/>
        <w:jc w:val="both"/>
        <w:rPr>
          <w:rFonts w:ascii="Tahoma" w:hAnsi="Tahoma" w:cs="Tahoma"/>
          <w:vanish/>
          <w:sz w:val="20"/>
          <w:szCs w:val="20"/>
        </w:rPr>
      </w:pPr>
    </w:p>
    <w:p w14:paraId="3FBE0B72" w14:textId="77777777" w:rsidR="00A83A8E" w:rsidRPr="005D0D3D" w:rsidRDefault="00A83A8E" w:rsidP="00A83A8E">
      <w:pPr>
        <w:pStyle w:val="affa"/>
        <w:numPr>
          <w:ilvl w:val="1"/>
          <w:numId w:val="1"/>
        </w:numPr>
        <w:tabs>
          <w:tab w:val="left" w:pos="9000"/>
        </w:tabs>
        <w:spacing w:before="120"/>
        <w:jc w:val="both"/>
        <w:rPr>
          <w:rFonts w:ascii="Tahoma" w:hAnsi="Tahoma" w:cs="Tahoma"/>
          <w:vanish/>
          <w:sz w:val="20"/>
          <w:szCs w:val="20"/>
        </w:rPr>
      </w:pPr>
    </w:p>
    <w:p w14:paraId="7B50092D" w14:textId="04C2D6C5" w:rsidR="0064425A" w:rsidRPr="005D0D3D" w:rsidRDefault="00BD1676" w:rsidP="00DE583B">
      <w:pPr>
        <w:pStyle w:val="a0"/>
        <w:numPr>
          <w:ilvl w:val="0"/>
          <w:numId w:val="0"/>
        </w:numPr>
        <w:ind w:left="360" w:hanging="360"/>
        <w:rPr>
          <w:rFonts w:ascii="Tahoma" w:hAnsi="Tahoma" w:cs="Tahoma"/>
        </w:rPr>
      </w:pPr>
      <w:r>
        <w:rPr>
          <w:rFonts w:ascii="Tahoma" w:hAnsi="Tahoma"/>
        </w:rPr>
        <w:t>4. Grounds and procedure for termination of obligations under the Contract</w:t>
      </w:r>
    </w:p>
    <w:p w14:paraId="487CFE14" w14:textId="6B352BC7" w:rsidR="0064425A" w:rsidRPr="005D0D3D" w:rsidRDefault="00FF7A9B" w:rsidP="00DE583B">
      <w:pPr>
        <w:pStyle w:val="a1"/>
        <w:tabs>
          <w:tab w:val="num" w:pos="993"/>
        </w:tabs>
        <w:spacing w:before="240" w:after="120"/>
        <w:ind w:left="426" w:firstLine="0"/>
        <w:jc w:val="left"/>
        <w:rPr>
          <w:rFonts w:ascii="Tahoma" w:hAnsi="Tahoma" w:cs="Tahoma"/>
        </w:rPr>
      </w:pPr>
      <w:r>
        <w:rPr>
          <w:rFonts w:ascii="Tahoma" w:hAnsi="Tahoma"/>
        </w:rPr>
        <w:t xml:space="preserve"> Obligations under the Contract are terminated in full upon due performance thereof.</w:t>
      </w:r>
    </w:p>
    <w:p w14:paraId="7E2C337B" w14:textId="35BE490C" w:rsidR="0064425A" w:rsidRPr="005D0D3D" w:rsidRDefault="00FF7A9B" w:rsidP="00DE583B">
      <w:pPr>
        <w:pStyle w:val="a1"/>
        <w:tabs>
          <w:tab w:val="num" w:pos="2127"/>
        </w:tabs>
        <w:spacing w:after="120"/>
        <w:ind w:left="851" w:hanging="425"/>
        <w:rPr>
          <w:rFonts w:ascii="Tahoma" w:hAnsi="Tahoma" w:cs="Tahoma"/>
        </w:rPr>
      </w:pPr>
      <w:r>
        <w:rPr>
          <w:rFonts w:ascii="Tahoma" w:hAnsi="Tahoma"/>
        </w:rPr>
        <w:t xml:space="preserve"> A party’s obligations under the Contract will be terminated prior to the final settlement by entering into an offsetting Contract with the same Contract code (designation), subject to the procedures and time frames set forth in the Clearing Rules.</w:t>
      </w:r>
    </w:p>
    <w:p w14:paraId="00BFFD4F" w14:textId="4462083D" w:rsidR="0064425A" w:rsidRPr="005D0D3D" w:rsidRDefault="006D5208" w:rsidP="00DE583B">
      <w:pPr>
        <w:pStyle w:val="a1"/>
        <w:tabs>
          <w:tab w:val="clear" w:pos="9000"/>
          <w:tab w:val="num" w:pos="2127"/>
        </w:tabs>
        <w:spacing w:after="120"/>
        <w:ind w:left="851" w:hanging="425"/>
        <w:rPr>
          <w:rFonts w:ascii="Tahoma" w:hAnsi="Tahoma" w:cs="Tahoma"/>
        </w:rPr>
      </w:pPr>
      <w:r>
        <w:rPr>
          <w:rFonts w:ascii="Tahoma" w:hAnsi="Tahoma"/>
        </w:rPr>
        <w:t xml:space="preserve"> Obligations under the Contract may be terminated on other grounds provided for in the Clearing Rules, in accordance with the procedures set forth thereof.</w:t>
      </w:r>
    </w:p>
    <w:p w14:paraId="60656A7B" w14:textId="77777777" w:rsidR="0064425A" w:rsidRPr="005D0D3D" w:rsidRDefault="0064425A" w:rsidP="00DE583B">
      <w:pPr>
        <w:pStyle w:val="a0"/>
        <w:spacing w:after="120"/>
        <w:ind w:left="284" w:hanging="284"/>
        <w:jc w:val="left"/>
        <w:rPr>
          <w:rFonts w:ascii="Tahoma" w:hAnsi="Tahoma" w:cs="Tahoma"/>
        </w:rPr>
      </w:pPr>
      <w:r>
        <w:rPr>
          <w:rFonts w:ascii="Tahoma" w:hAnsi="Tahoma"/>
        </w:rPr>
        <w:t>Liability of the parties for failure to perform the obligations under the Contract</w:t>
      </w:r>
    </w:p>
    <w:p w14:paraId="3C7B6DEB" w14:textId="2DB73B94" w:rsidR="0064425A" w:rsidRPr="005D0D3D" w:rsidRDefault="006D5208" w:rsidP="004E248A">
      <w:pPr>
        <w:pStyle w:val="a1"/>
        <w:tabs>
          <w:tab w:val="num" w:pos="851"/>
        </w:tabs>
        <w:autoSpaceDE/>
        <w:autoSpaceDN/>
        <w:spacing w:before="240" w:after="120"/>
        <w:ind w:left="851" w:hanging="425"/>
        <w:rPr>
          <w:rFonts w:ascii="Tahoma" w:hAnsi="Tahoma" w:cs="Tahoma"/>
        </w:rPr>
      </w:pPr>
      <w:r>
        <w:rPr>
          <w:rFonts w:ascii="Tahoma" w:hAnsi="Tahoma"/>
        </w:rPr>
        <w:t xml:space="preserve"> Parties to the Contract are liable for non-performance or improper performance of their obligations under the Contract, as provided for in Russian law, Trading Rules and Clearing Rules. </w:t>
      </w:r>
    </w:p>
    <w:p w14:paraId="432F445A" w14:textId="77777777" w:rsidR="0064425A" w:rsidRPr="005D0D3D" w:rsidRDefault="0064425A" w:rsidP="00DE583B">
      <w:pPr>
        <w:pStyle w:val="a0"/>
        <w:spacing w:after="120"/>
        <w:ind w:left="284" w:hanging="284"/>
        <w:jc w:val="left"/>
        <w:rPr>
          <w:rFonts w:ascii="Tahoma" w:hAnsi="Tahoma" w:cs="Tahoma"/>
        </w:rPr>
      </w:pPr>
      <w:r>
        <w:rPr>
          <w:rFonts w:ascii="Tahoma" w:hAnsi="Tahoma"/>
        </w:rPr>
        <w:t>Special provisions</w:t>
      </w:r>
    </w:p>
    <w:p w14:paraId="68746177" w14:textId="52466592" w:rsidR="001B0592" w:rsidRPr="005D0D3D" w:rsidRDefault="000C2BE9" w:rsidP="001B0592">
      <w:pPr>
        <w:pStyle w:val="a1"/>
        <w:numPr>
          <w:ilvl w:val="1"/>
          <w:numId w:val="25"/>
        </w:numPr>
        <w:tabs>
          <w:tab w:val="clear" w:pos="786"/>
          <w:tab w:val="clear" w:pos="9000"/>
          <w:tab w:val="num" w:pos="851"/>
        </w:tabs>
        <w:ind w:left="851" w:hanging="425"/>
        <w:rPr>
          <w:rFonts w:ascii="Tahoma" w:hAnsi="Tahoma" w:cs="Tahoma"/>
        </w:rPr>
      </w:pPr>
      <w:r>
        <w:t>In the event of circumstances that lead to a significant change in the conditions of the Contract performance stipulated by the Specification, including in case of suspension/termination of publication of the values required to determine the Settlement Price (Execution Price) of the Contract, as well as in case if the previously published values required to determine the Settlement Price (Execution Price) of the Contract were changed by the respective information agency, the Exchange shall have the right to make one or more of the following decisions:</w:t>
      </w:r>
    </w:p>
    <w:p w14:paraId="53CC0CAA" w14:textId="77777777" w:rsidR="001B0592" w:rsidRPr="005D0D3D" w:rsidRDefault="001B0592" w:rsidP="001B0592">
      <w:pPr>
        <w:pStyle w:val="10"/>
        <w:numPr>
          <w:ilvl w:val="2"/>
          <w:numId w:val="1"/>
        </w:numPr>
        <w:tabs>
          <w:tab w:val="clear" w:pos="1854"/>
          <w:tab w:val="num" w:pos="720"/>
          <w:tab w:val="num" w:pos="2127"/>
        </w:tabs>
        <w:spacing w:before="60"/>
        <w:ind w:left="1418" w:hanging="567"/>
        <w:rPr>
          <w:rFonts w:ascii="Tahoma" w:hAnsi="Tahoma" w:cs="Tahoma"/>
        </w:rPr>
      </w:pPr>
      <w:r>
        <w:rPr>
          <w:rFonts w:ascii="Tahoma" w:hAnsi="Tahoma"/>
        </w:rPr>
        <w:t>change the last trading date for the Contract,</w:t>
      </w:r>
    </w:p>
    <w:p w14:paraId="560EA7F4" w14:textId="77777777" w:rsidR="001B0592" w:rsidRPr="005D0D3D" w:rsidRDefault="001B0592" w:rsidP="001B0592">
      <w:pPr>
        <w:pStyle w:val="10"/>
        <w:numPr>
          <w:ilvl w:val="2"/>
          <w:numId w:val="1"/>
        </w:numPr>
        <w:tabs>
          <w:tab w:val="clear" w:pos="1854"/>
          <w:tab w:val="num" w:pos="720"/>
          <w:tab w:val="num" w:pos="2127"/>
        </w:tabs>
        <w:spacing w:before="60"/>
        <w:ind w:left="1418" w:hanging="567"/>
        <w:rPr>
          <w:rFonts w:ascii="Tahoma" w:hAnsi="Tahoma" w:cs="Tahoma"/>
        </w:rPr>
      </w:pPr>
      <w:r>
        <w:rPr>
          <w:rFonts w:ascii="Tahoma" w:hAnsi="Tahoma"/>
        </w:rPr>
        <w:t>change the settlement date for the Contract,</w:t>
      </w:r>
    </w:p>
    <w:p w14:paraId="0B4E1F73" w14:textId="77777777" w:rsidR="001B0592" w:rsidRPr="005D0D3D" w:rsidRDefault="001B0592" w:rsidP="001B0592">
      <w:pPr>
        <w:pStyle w:val="10"/>
        <w:numPr>
          <w:ilvl w:val="2"/>
          <w:numId w:val="1"/>
        </w:numPr>
        <w:tabs>
          <w:tab w:val="clear" w:pos="1854"/>
          <w:tab w:val="num" w:pos="720"/>
          <w:tab w:val="num" w:pos="2127"/>
        </w:tabs>
        <w:spacing w:before="60"/>
        <w:ind w:left="1418" w:hanging="567"/>
        <w:rPr>
          <w:rFonts w:ascii="Tahoma" w:hAnsi="Tahoma" w:cs="Tahoma"/>
        </w:rPr>
      </w:pPr>
      <w:r>
        <w:rPr>
          <w:rFonts w:ascii="Tahoma" w:hAnsi="Tahoma"/>
        </w:rPr>
        <w:t>change the current (last) settlement price, and/or amend the calculation method for the variation margin and/or rules pertaining to its transfer,</w:t>
      </w:r>
    </w:p>
    <w:p w14:paraId="44BE8A60" w14:textId="5ED59BE4" w:rsidR="000C2BE9" w:rsidRPr="005D0D3D" w:rsidRDefault="001B0592" w:rsidP="001B0592">
      <w:pPr>
        <w:pStyle w:val="10"/>
        <w:numPr>
          <w:ilvl w:val="2"/>
          <w:numId w:val="1"/>
        </w:numPr>
        <w:tabs>
          <w:tab w:val="clear" w:pos="1854"/>
          <w:tab w:val="clear" w:pos="9000"/>
          <w:tab w:val="num" w:pos="720"/>
          <w:tab w:val="left" w:pos="1985"/>
          <w:tab w:val="num" w:pos="2127"/>
        </w:tabs>
        <w:spacing w:before="60"/>
        <w:ind w:left="1418" w:hanging="567"/>
        <w:rPr>
          <w:rFonts w:ascii="Tahoma" w:hAnsi="Tahoma" w:cs="Tahoma"/>
        </w:rPr>
      </w:pPr>
      <w:r>
        <w:rPr>
          <w:rFonts w:ascii="Tahoma" w:hAnsi="Tahoma"/>
        </w:rPr>
        <w:t>undertake other actions provided for in the Trading Rules.</w:t>
      </w:r>
    </w:p>
    <w:p w14:paraId="5E684B60" w14:textId="76FE0C8F" w:rsidR="009D64A3" w:rsidRPr="005D0D3D" w:rsidRDefault="00216A8E" w:rsidP="00DE583B">
      <w:pPr>
        <w:pStyle w:val="a1"/>
        <w:tabs>
          <w:tab w:val="clear" w:pos="9000"/>
          <w:tab w:val="left" w:pos="709"/>
        </w:tabs>
        <w:ind w:left="851" w:hanging="425"/>
        <w:rPr>
          <w:rFonts w:ascii="Tahoma" w:hAnsi="Tahoma" w:cs="Tahoma"/>
        </w:rPr>
      </w:pPr>
      <w:r>
        <w:rPr>
          <w:rFonts w:ascii="Tahoma" w:hAnsi="Tahoma"/>
        </w:rPr>
        <w:t xml:space="preserve"> The Exchange, upon agreement with the NCC, may alter the last trading date and/or the final settlement date for the Contract with a specific code, if the last trading date is declared a public holiday by order of the competent authority of the Russian Federation.</w:t>
      </w:r>
    </w:p>
    <w:p w14:paraId="62209B68" w14:textId="5A8A72DE" w:rsidR="00C91C90" w:rsidRPr="005D0D3D" w:rsidRDefault="00216A8E" w:rsidP="00DE583B">
      <w:pPr>
        <w:pStyle w:val="a1"/>
        <w:tabs>
          <w:tab w:val="clear" w:pos="9000"/>
          <w:tab w:val="left" w:pos="426"/>
          <w:tab w:val="num" w:pos="900"/>
        </w:tabs>
        <w:spacing w:after="120"/>
        <w:ind w:left="851" w:hanging="425"/>
        <w:rPr>
          <w:rFonts w:ascii="Tahoma" w:hAnsi="Tahoma" w:cs="Tahoma"/>
        </w:rPr>
      </w:pPr>
      <w:r>
        <w:rPr>
          <w:rFonts w:ascii="Tahoma" w:hAnsi="Tahoma"/>
        </w:rPr>
        <w:t xml:space="preserve"> Any changes adopted by the Exchange pursuant to Sections 6.1-6.2 above will be published on the Exchange website at least 3 (three) trading days prior to their taking effect, which serves as notice to the Trading Members. If circumstances that may give rise to decisions set out in Sections 6.1-6.2 above occur less than 3 (three) trading days before the last trading day for the Contract, these decisions are announced on the Exchange website at the moment they come into force or earlier.</w:t>
      </w:r>
    </w:p>
    <w:p w14:paraId="17F6D673" w14:textId="37698ADB" w:rsidR="0064425A" w:rsidRPr="005D0D3D" w:rsidRDefault="00216A8E" w:rsidP="00DE583B">
      <w:pPr>
        <w:pStyle w:val="a1"/>
        <w:tabs>
          <w:tab w:val="clear" w:pos="9000"/>
          <w:tab w:val="left" w:pos="426"/>
          <w:tab w:val="num" w:pos="900"/>
        </w:tabs>
        <w:spacing w:after="120"/>
        <w:ind w:left="851" w:hanging="425"/>
        <w:rPr>
          <w:rFonts w:ascii="Tahoma" w:hAnsi="Tahoma" w:cs="Tahoma"/>
        </w:rPr>
      </w:pPr>
      <w:r>
        <w:rPr>
          <w:rFonts w:ascii="Tahoma" w:hAnsi="Tahoma"/>
        </w:rPr>
        <w:t xml:space="preserve"> As soon as the change(s) adopted by the Exchange, pursuant to Sections 6.1-6.2 above, come(s) into effect, the terms of existing Contracts previously </w:t>
      </w:r>
      <w:proofErr w:type="gramStart"/>
      <w:r>
        <w:rPr>
          <w:rFonts w:ascii="Tahoma" w:hAnsi="Tahoma"/>
        </w:rPr>
        <w:t>entered into</w:t>
      </w:r>
      <w:proofErr w:type="gramEnd"/>
      <w:r>
        <w:rPr>
          <w:rFonts w:ascii="Tahoma" w:hAnsi="Tahoma"/>
        </w:rPr>
        <w:t xml:space="preserve"> will be deemed to have been amended in accordance with the aforementioned change(s).</w:t>
      </w:r>
    </w:p>
    <w:p w14:paraId="738DC24E" w14:textId="1F77B9EA" w:rsidR="00C3764B" w:rsidRPr="005D0D3D" w:rsidRDefault="00220C8C" w:rsidP="00DE583B">
      <w:pPr>
        <w:pStyle w:val="a1"/>
        <w:tabs>
          <w:tab w:val="clear" w:pos="9000"/>
          <w:tab w:val="left" w:pos="426"/>
        </w:tabs>
        <w:ind w:left="851" w:hanging="425"/>
        <w:rPr>
          <w:rFonts w:ascii="Tahoma" w:hAnsi="Tahoma" w:cs="Tahoma"/>
        </w:rPr>
      </w:pPr>
      <w:bookmarkStart w:id="2" w:name="_Ref152644934"/>
      <w:r>
        <w:rPr>
          <w:rFonts w:ascii="Tahoma" w:hAnsi="Tahoma"/>
        </w:rPr>
        <w:t xml:space="preserve"> </w:t>
      </w:r>
      <w:bookmarkEnd w:id="2"/>
      <w:proofErr w:type="gramStart"/>
      <w:r>
        <w:t>In the event that</w:t>
      </w:r>
      <w:proofErr w:type="gramEnd"/>
      <w:r>
        <w:t xml:space="preserve"> the Securities cease to meet the requirements of the Bank of Russia for the underlying asset of a derivative contract, the terms of the obligations under the previously concluded Contracts shall remain unchanged.</w:t>
      </w:r>
    </w:p>
    <w:p w14:paraId="206423F2" w14:textId="4CB587B1" w:rsidR="0064425A" w:rsidRPr="005D0D3D" w:rsidRDefault="0064425A">
      <w:pPr>
        <w:pStyle w:val="a0"/>
        <w:spacing w:after="120"/>
        <w:ind w:left="284" w:hanging="284"/>
        <w:rPr>
          <w:rFonts w:ascii="Tahoma" w:hAnsi="Tahoma" w:cs="Tahoma"/>
        </w:rPr>
      </w:pPr>
      <w:r>
        <w:rPr>
          <w:rFonts w:ascii="Tahoma" w:hAnsi="Tahoma"/>
        </w:rPr>
        <w:t>Amendments and Supplements to the Specification</w:t>
      </w:r>
    </w:p>
    <w:p w14:paraId="3CC3CD43" w14:textId="216DDB51" w:rsidR="00C91C90" w:rsidRPr="005D0D3D" w:rsidRDefault="00216A8E" w:rsidP="00DE583B">
      <w:pPr>
        <w:pStyle w:val="a1"/>
        <w:tabs>
          <w:tab w:val="num" w:pos="851"/>
        </w:tabs>
        <w:spacing w:before="0" w:after="60"/>
        <w:ind w:left="851" w:hanging="425"/>
        <w:rPr>
          <w:rFonts w:ascii="Tahoma" w:hAnsi="Tahoma" w:cs="Tahoma"/>
        </w:rPr>
      </w:pPr>
      <w:r>
        <w:rPr>
          <w:rFonts w:ascii="Tahoma" w:hAnsi="Tahoma"/>
        </w:rPr>
        <w:t xml:space="preserve"> 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3EA64EB8" w14:textId="0E836F6C" w:rsidR="00C91C90" w:rsidRPr="005D0D3D" w:rsidRDefault="00216A8E" w:rsidP="00DE583B">
      <w:pPr>
        <w:pStyle w:val="a1"/>
        <w:tabs>
          <w:tab w:val="num" w:pos="851"/>
        </w:tabs>
        <w:spacing w:before="0" w:after="60"/>
        <w:ind w:left="851" w:hanging="425"/>
        <w:rPr>
          <w:rFonts w:ascii="Tahoma" w:hAnsi="Tahoma" w:cs="Tahoma"/>
        </w:rPr>
      </w:pPr>
      <w:r>
        <w:rPr>
          <w:rFonts w:ascii="Tahoma" w:hAnsi="Tahoma"/>
        </w:rPr>
        <w:t xml:space="preserve"> Any amendments and supplements hereto come into force as from the Exchange has put into effect the Specifications containing such amendments and supplements, upon registration thereof with the Bank of Russia in accordance with established procedures.</w:t>
      </w:r>
    </w:p>
    <w:p w14:paraId="0D26B859" w14:textId="6356302A" w:rsidR="00C91C90" w:rsidRPr="005D0D3D" w:rsidRDefault="00216A8E" w:rsidP="00DE583B">
      <w:pPr>
        <w:pStyle w:val="a1"/>
        <w:tabs>
          <w:tab w:val="num" w:pos="851"/>
        </w:tabs>
        <w:spacing w:before="0" w:after="60"/>
        <w:ind w:left="851" w:hanging="425"/>
        <w:rPr>
          <w:rFonts w:ascii="Tahoma" w:hAnsi="Tahoma" w:cs="Tahoma"/>
        </w:rPr>
      </w:pPr>
      <w:r>
        <w:rPr>
          <w:rFonts w:ascii="Tahoma" w:hAnsi="Tahoma"/>
        </w:rPr>
        <w:t xml:space="preserve"> The Specification as amended and supplemented from time to tome is published on the Exchange website at least 3 (three) business days before it takes effect, which serves as notice to trading members.</w:t>
      </w:r>
    </w:p>
    <w:p w14:paraId="217AD718" w14:textId="0B03917B" w:rsidR="00166D3D" w:rsidRDefault="00216A8E" w:rsidP="00DE583B">
      <w:pPr>
        <w:pStyle w:val="a1"/>
        <w:tabs>
          <w:tab w:val="clear" w:pos="9000"/>
          <w:tab w:val="num" w:pos="851"/>
        </w:tabs>
        <w:spacing w:before="0" w:after="60"/>
        <w:ind w:left="851" w:hanging="425"/>
        <w:rPr>
          <w:rFonts w:ascii="Tahoma" w:hAnsi="Tahoma" w:cs="Tahoma"/>
        </w:rPr>
      </w:pPr>
      <w:r>
        <w:rPr>
          <w:rFonts w:ascii="Tahoma" w:hAnsi="Tahoma"/>
        </w:rPr>
        <w:t xml:space="preserve"> 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w:t>
      </w:r>
    </w:p>
    <w:p w14:paraId="22F0CD70" w14:textId="0B060C8B" w:rsidR="000429E3" w:rsidRDefault="000429E3">
      <w:pPr>
        <w:autoSpaceDE/>
        <w:autoSpaceDN/>
        <w:rPr>
          <w:rFonts w:ascii="Tahoma" w:hAnsi="Tahoma" w:cs="Tahoma"/>
          <w:sz w:val="20"/>
          <w:szCs w:val="20"/>
        </w:rPr>
      </w:pPr>
      <w:r>
        <w:br w:type="page"/>
      </w:r>
    </w:p>
    <w:p w14:paraId="26358F44" w14:textId="77777777" w:rsidR="000429E3" w:rsidRDefault="000429E3" w:rsidP="000429E3">
      <w:pPr>
        <w:pStyle w:val="a1"/>
        <w:numPr>
          <w:ilvl w:val="0"/>
          <w:numId w:val="0"/>
        </w:numPr>
        <w:tabs>
          <w:tab w:val="clear" w:pos="9000"/>
          <w:tab w:val="num" w:pos="851"/>
        </w:tabs>
        <w:spacing w:before="0" w:after="60"/>
        <w:ind w:left="851"/>
        <w:rPr>
          <w:rFonts w:ascii="Tahoma" w:hAnsi="Tahoma" w:cs="Tahoma"/>
        </w:rPr>
        <w:sectPr w:rsidR="000429E3" w:rsidSect="006965D8">
          <w:headerReference w:type="default" r:id="rId11"/>
          <w:footerReference w:type="even" r:id="rId12"/>
          <w:footerReference w:type="default" r:id="rId13"/>
          <w:headerReference w:type="first" r:id="rId14"/>
          <w:pgSz w:w="11906" w:h="16838"/>
          <w:pgMar w:top="1134" w:right="850" w:bottom="1134" w:left="993" w:header="708" w:footer="708" w:gutter="0"/>
          <w:cols w:space="708"/>
          <w:docGrid w:linePitch="360"/>
        </w:sectPr>
      </w:pPr>
    </w:p>
    <w:p w14:paraId="5CC430E1" w14:textId="77777777" w:rsidR="00264959" w:rsidRDefault="00264959" w:rsidP="000805E6">
      <w:pPr>
        <w:pStyle w:val="a8"/>
        <w:keepNext/>
        <w:widowControl w:val="0"/>
        <w:ind w:right="11"/>
        <w:jc w:val="center"/>
        <w:rPr>
          <w:rFonts w:ascii="Tahoma" w:hAnsi="Tahoma" w:cs="Tahoma"/>
          <w:b/>
          <w:bCs/>
          <w:sz w:val="22"/>
          <w:szCs w:val="22"/>
        </w:rPr>
      </w:pPr>
    </w:p>
    <w:p w14:paraId="3D44B017" w14:textId="7E715483" w:rsidR="000429E3" w:rsidRPr="00E93EA5" w:rsidRDefault="000429E3" w:rsidP="000805E6">
      <w:pPr>
        <w:pStyle w:val="a8"/>
        <w:keepNext/>
        <w:widowControl w:val="0"/>
        <w:ind w:right="11"/>
        <w:jc w:val="center"/>
        <w:rPr>
          <w:rFonts w:ascii="Tahoma" w:hAnsi="Tahoma" w:cs="Tahoma"/>
          <w:b/>
          <w:bCs/>
          <w:sz w:val="22"/>
          <w:szCs w:val="22"/>
        </w:rPr>
      </w:pPr>
      <w:r>
        <w:rPr>
          <w:rFonts w:ascii="Tahoma" w:hAnsi="Tahoma"/>
          <w:b/>
          <w:sz w:val="22"/>
        </w:rPr>
        <w:t xml:space="preserve">LIST OF PARAMETERS FOR FINANCYALLY SETTLED INTERNATIONAL SECURITIES FUTURES CONTRACTS </w:t>
      </w:r>
    </w:p>
    <w:p w14:paraId="0F243228" w14:textId="77777777" w:rsidR="000429E3" w:rsidRDefault="000429E3" w:rsidP="000805E6">
      <w:pPr>
        <w:pStyle w:val="a8"/>
        <w:keepNext/>
        <w:widowControl w:val="0"/>
        <w:spacing w:before="0" w:after="0"/>
        <w:ind w:right="11"/>
        <w:jc w:val="center"/>
        <w:rPr>
          <w:rFonts w:ascii="Tahoma" w:hAnsi="Tahoma" w:cs="Tahoma"/>
          <w:b/>
          <w:bCs/>
          <w:sz w:val="22"/>
          <w:szCs w:val="22"/>
        </w:rPr>
      </w:pPr>
    </w:p>
    <w:tbl>
      <w:tblPr>
        <w:tblStyle w:val="aff6"/>
        <w:tblpPr w:leftFromText="180" w:rightFromText="180" w:vertAnchor="text" w:horzAnchor="margin" w:tblpXSpec="center" w:tblpY="535"/>
        <w:tblW w:w="16034" w:type="dxa"/>
        <w:tblLayout w:type="fixed"/>
        <w:tblLook w:val="04A0" w:firstRow="1" w:lastRow="0" w:firstColumn="1" w:lastColumn="0" w:noHBand="0" w:noVBand="1"/>
      </w:tblPr>
      <w:tblGrid>
        <w:gridCol w:w="494"/>
        <w:gridCol w:w="1911"/>
        <w:gridCol w:w="1397"/>
        <w:gridCol w:w="2004"/>
        <w:gridCol w:w="1905"/>
        <w:gridCol w:w="1356"/>
        <w:gridCol w:w="1402"/>
        <w:gridCol w:w="2803"/>
        <w:gridCol w:w="1145"/>
        <w:gridCol w:w="1617"/>
      </w:tblGrid>
      <w:tr w:rsidR="000805E6" w:rsidRPr="00812C8E" w14:paraId="390AC295" w14:textId="77777777" w:rsidTr="00E74464">
        <w:trPr>
          <w:trHeight w:val="1730"/>
        </w:trPr>
        <w:tc>
          <w:tcPr>
            <w:tcW w:w="494" w:type="dxa"/>
            <w:vAlign w:val="center"/>
          </w:tcPr>
          <w:p w14:paraId="1554371C" w14:textId="77777777" w:rsidR="000805E6" w:rsidRPr="00812C8E" w:rsidRDefault="000805E6" w:rsidP="000805E6">
            <w:pPr>
              <w:jc w:val="center"/>
              <w:rPr>
                <w:rFonts w:ascii="Tahoma" w:hAnsi="Tahoma" w:cs="Tahoma"/>
                <w:b/>
                <w:sz w:val="18"/>
                <w:szCs w:val="18"/>
              </w:rPr>
            </w:pPr>
            <w:r>
              <w:rPr>
                <w:rFonts w:ascii="Tahoma" w:hAnsi="Tahoma"/>
                <w:b/>
                <w:sz w:val="18"/>
              </w:rPr>
              <w:t>No.</w:t>
            </w:r>
          </w:p>
        </w:tc>
        <w:tc>
          <w:tcPr>
            <w:tcW w:w="1911" w:type="dxa"/>
            <w:vAlign w:val="center"/>
          </w:tcPr>
          <w:p w14:paraId="5AD2E751" w14:textId="77777777" w:rsidR="000805E6" w:rsidRPr="007D294F" w:rsidRDefault="000805E6" w:rsidP="000805E6">
            <w:pPr>
              <w:jc w:val="center"/>
              <w:rPr>
                <w:rFonts w:ascii="Tahoma" w:hAnsi="Tahoma" w:cs="Tahoma"/>
                <w:b/>
                <w:sz w:val="14"/>
                <w:szCs w:val="14"/>
              </w:rPr>
            </w:pPr>
            <w:r>
              <w:rPr>
                <w:rFonts w:ascii="Tahoma" w:hAnsi="Tahoma"/>
                <w:b/>
                <w:sz w:val="14"/>
              </w:rPr>
              <w:t>Name of contract</w:t>
            </w:r>
          </w:p>
        </w:tc>
        <w:tc>
          <w:tcPr>
            <w:tcW w:w="1397" w:type="dxa"/>
            <w:vAlign w:val="center"/>
          </w:tcPr>
          <w:p w14:paraId="6800E677" w14:textId="77777777" w:rsidR="000805E6" w:rsidRPr="007D294F" w:rsidRDefault="000805E6" w:rsidP="000805E6">
            <w:pPr>
              <w:jc w:val="center"/>
              <w:rPr>
                <w:rFonts w:ascii="Tahoma" w:hAnsi="Tahoma" w:cs="Tahoma"/>
                <w:b/>
                <w:sz w:val="14"/>
                <w:szCs w:val="14"/>
              </w:rPr>
            </w:pPr>
            <w:r>
              <w:rPr>
                <w:rFonts w:ascii="Tahoma" w:hAnsi="Tahoma"/>
                <w:b/>
                <w:sz w:val="14"/>
              </w:rPr>
              <w:t>Main code of the underlying asset</w:t>
            </w:r>
          </w:p>
        </w:tc>
        <w:tc>
          <w:tcPr>
            <w:tcW w:w="2004" w:type="dxa"/>
            <w:vAlign w:val="center"/>
          </w:tcPr>
          <w:p w14:paraId="05964D7C" w14:textId="77777777" w:rsidR="000805E6" w:rsidRPr="007D294F" w:rsidRDefault="000805E6" w:rsidP="000805E6">
            <w:pPr>
              <w:jc w:val="center"/>
              <w:rPr>
                <w:rFonts w:ascii="Tahoma" w:hAnsi="Tahoma" w:cs="Tahoma"/>
                <w:b/>
                <w:sz w:val="14"/>
                <w:szCs w:val="14"/>
              </w:rPr>
            </w:pPr>
            <w:r>
              <w:rPr>
                <w:rFonts w:ascii="Tahoma" w:hAnsi="Tahoma"/>
                <w:b/>
                <w:sz w:val="14"/>
              </w:rPr>
              <w:t>Underlying asset</w:t>
            </w:r>
          </w:p>
        </w:tc>
        <w:tc>
          <w:tcPr>
            <w:tcW w:w="1905" w:type="dxa"/>
            <w:vAlign w:val="center"/>
          </w:tcPr>
          <w:p w14:paraId="722730E3" w14:textId="77777777" w:rsidR="000805E6" w:rsidRPr="007D294F" w:rsidRDefault="000805E6" w:rsidP="000805E6">
            <w:pPr>
              <w:jc w:val="center"/>
              <w:rPr>
                <w:rFonts w:ascii="Tahoma" w:hAnsi="Tahoma" w:cs="Tahoma"/>
                <w:b/>
                <w:sz w:val="14"/>
                <w:szCs w:val="14"/>
              </w:rPr>
            </w:pPr>
            <w:r>
              <w:rPr>
                <w:rFonts w:ascii="Tahoma" w:hAnsi="Tahoma"/>
                <w:b/>
                <w:sz w:val="14"/>
              </w:rPr>
              <w:t>Contract lot</w:t>
            </w:r>
          </w:p>
        </w:tc>
        <w:tc>
          <w:tcPr>
            <w:tcW w:w="1356" w:type="dxa"/>
            <w:vAlign w:val="center"/>
          </w:tcPr>
          <w:p w14:paraId="648B600F" w14:textId="77777777" w:rsidR="000805E6" w:rsidRPr="007D294F" w:rsidRDefault="000805E6" w:rsidP="000805E6">
            <w:pPr>
              <w:jc w:val="center"/>
              <w:rPr>
                <w:rFonts w:ascii="Tahoma" w:hAnsi="Tahoma" w:cs="Tahoma"/>
                <w:b/>
                <w:sz w:val="14"/>
                <w:szCs w:val="14"/>
              </w:rPr>
            </w:pPr>
            <w:r>
              <w:rPr>
                <w:rFonts w:ascii="Tahoma" w:hAnsi="Tahoma"/>
                <w:b/>
                <w:sz w:val="14"/>
              </w:rPr>
              <w:t>Tick</w:t>
            </w:r>
          </w:p>
        </w:tc>
        <w:tc>
          <w:tcPr>
            <w:tcW w:w="1402" w:type="dxa"/>
            <w:vAlign w:val="center"/>
          </w:tcPr>
          <w:p w14:paraId="51F1195B" w14:textId="77777777" w:rsidR="000805E6" w:rsidRPr="007D294F" w:rsidRDefault="000805E6" w:rsidP="000805E6">
            <w:pPr>
              <w:jc w:val="center"/>
              <w:rPr>
                <w:rFonts w:ascii="Tahoma" w:hAnsi="Tahoma" w:cs="Tahoma"/>
                <w:b/>
                <w:sz w:val="14"/>
                <w:szCs w:val="14"/>
              </w:rPr>
            </w:pPr>
            <w:r>
              <w:rPr>
                <w:rFonts w:ascii="Tahoma" w:hAnsi="Tahoma"/>
                <w:b/>
                <w:sz w:val="14"/>
              </w:rPr>
              <w:t>Tick value</w:t>
            </w:r>
          </w:p>
        </w:tc>
        <w:tc>
          <w:tcPr>
            <w:tcW w:w="2803" w:type="dxa"/>
            <w:vAlign w:val="center"/>
          </w:tcPr>
          <w:p w14:paraId="2966A634" w14:textId="49B80B67" w:rsidR="000805E6" w:rsidRPr="007D294F" w:rsidRDefault="000805E6" w:rsidP="000805E6">
            <w:pPr>
              <w:jc w:val="center"/>
              <w:rPr>
                <w:rFonts w:ascii="Tahoma" w:hAnsi="Tahoma" w:cs="Tahoma"/>
                <w:b/>
                <w:sz w:val="14"/>
                <w:szCs w:val="14"/>
              </w:rPr>
            </w:pPr>
            <w:r>
              <w:rPr>
                <w:rFonts w:ascii="Tahoma" w:hAnsi="Tahoma"/>
                <w:b/>
                <w:sz w:val="14"/>
              </w:rPr>
              <w:t>Settlement procedures</w:t>
            </w:r>
          </w:p>
        </w:tc>
        <w:tc>
          <w:tcPr>
            <w:tcW w:w="1145" w:type="dxa"/>
            <w:vAlign w:val="center"/>
          </w:tcPr>
          <w:p w14:paraId="6202F32D" w14:textId="77777777" w:rsidR="000805E6" w:rsidRPr="007D294F" w:rsidRDefault="000805E6" w:rsidP="000805E6">
            <w:pPr>
              <w:jc w:val="center"/>
              <w:rPr>
                <w:rFonts w:ascii="Tahoma" w:hAnsi="Tahoma" w:cs="Tahoma"/>
                <w:b/>
                <w:sz w:val="14"/>
                <w:szCs w:val="14"/>
              </w:rPr>
            </w:pPr>
            <w:r>
              <w:rPr>
                <w:rFonts w:ascii="Tahoma" w:hAnsi="Tahoma"/>
                <w:b/>
                <w:sz w:val="14"/>
              </w:rPr>
              <w:t>Base currency</w:t>
            </w:r>
          </w:p>
          <w:p w14:paraId="263800D5" w14:textId="77777777" w:rsidR="000805E6" w:rsidRPr="007D294F" w:rsidRDefault="000805E6" w:rsidP="000805E6">
            <w:pPr>
              <w:rPr>
                <w:rFonts w:ascii="Tahoma" w:hAnsi="Tahoma" w:cs="Tahoma"/>
                <w:b/>
                <w:sz w:val="14"/>
                <w:szCs w:val="14"/>
              </w:rPr>
            </w:pPr>
          </w:p>
        </w:tc>
        <w:tc>
          <w:tcPr>
            <w:tcW w:w="1617" w:type="dxa"/>
            <w:vAlign w:val="center"/>
          </w:tcPr>
          <w:p w14:paraId="4D84AC0B" w14:textId="77777777" w:rsidR="000805E6" w:rsidRPr="007D294F" w:rsidRDefault="000805E6" w:rsidP="000805E6">
            <w:pPr>
              <w:jc w:val="center"/>
              <w:rPr>
                <w:rFonts w:ascii="Tahoma" w:hAnsi="Tahoma" w:cs="Tahoma"/>
                <w:b/>
                <w:sz w:val="14"/>
                <w:szCs w:val="14"/>
              </w:rPr>
            </w:pPr>
            <w:r>
              <w:rPr>
                <w:rFonts w:ascii="Tahoma" w:hAnsi="Tahoma"/>
                <w:b/>
                <w:sz w:val="14"/>
              </w:rPr>
              <w:t>Last trading day</w:t>
            </w:r>
          </w:p>
        </w:tc>
      </w:tr>
      <w:tr w:rsidR="000805E6" w:rsidRPr="00812C8E" w14:paraId="4222D9A6" w14:textId="77777777" w:rsidTr="00E74464">
        <w:trPr>
          <w:trHeight w:val="1730"/>
        </w:trPr>
        <w:tc>
          <w:tcPr>
            <w:tcW w:w="494" w:type="dxa"/>
            <w:vAlign w:val="center"/>
          </w:tcPr>
          <w:p w14:paraId="6CD791A3" w14:textId="77777777" w:rsidR="000805E6" w:rsidRPr="000429E3" w:rsidRDefault="000805E6" w:rsidP="000805E6">
            <w:pPr>
              <w:rPr>
                <w:rFonts w:ascii="Tahoma" w:hAnsi="Tahoma" w:cs="Tahoma"/>
                <w:bCs/>
                <w:sz w:val="16"/>
                <w:szCs w:val="16"/>
              </w:rPr>
            </w:pPr>
            <w:r>
              <w:rPr>
                <w:rFonts w:ascii="Tahoma" w:hAnsi="Tahoma"/>
                <w:sz w:val="16"/>
              </w:rPr>
              <w:t>1.</w:t>
            </w:r>
          </w:p>
        </w:tc>
        <w:tc>
          <w:tcPr>
            <w:tcW w:w="1911" w:type="dxa"/>
            <w:vAlign w:val="center"/>
          </w:tcPr>
          <w:p w14:paraId="24FB0D4F" w14:textId="477568FE" w:rsidR="000805E6" w:rsidRPr="000429E3" w:rsidRDefault="000805E6" w:rsidP="000805E6">
            <w:pPr>
              <w:rPr>
                <w:rFonts w:ascii="Tahoma" w:hAnsi="Tahoma" w:cs="Tahoma"/>
                <w:b/>
                <w:sz w:val="16"/>
                <w:szCs w:val="16"/>
              </w:rPr>
            </w:pPr>
            <w:r>
              <w:rPr>
                <w:rFonts w:ascii="Tahoma" w:hAnsi="Tahoma"/>
                <w:sz w:val="16"/>
              </w:rPr>
              <w:t xml:space="preserve">Financially settled SPDR S&amp;P 500 ETF Trust </w:t>
            </w:r>
            <w:r w:rsidR="00B51CB0">
              <w:rPr>
                <w:rFonts w:ascii="Tahoma" w:hAnsi="Tahoma"/>
                <w:sz w:val="16"/>
                <w:lang w:val="en-US"/>
              </w:rPr>
              <w:t>F</w:t>
            </w:r>
            <w:proofErr w:type="spellStart"/>
            <w:r>
              <w:rPr>
                <w:rFonts w:ascii="Tahoma" w:hAnsi="Tahoma"/>
                <w:sz w:val="16"/>
              </w:rPr>
              <w:t>utures</w:t>
            </w:r>
            <w:proofErr w:type="spellEnd"/>
            <w:r>
              <w:rPr>
                <w:rFonts w:ascii="Tahoma" w:hAnsi="Tahoma"/>
                <w:sz w:val="16"/>
              </w:rPr>
              <w:t xml:space="preserve"> contracts</w:t>
            </w:r>
          </w:p>
        </w:tc>
        <w:tc>
          <w:tcPr>
            <w:tcW w:w="1397" w:type="dxa"/>
            <w:vAlign w:val="center"/>
          </w:tcPr>
          <w:p w14:paraId="4E3A432D" w14:textId="77777777" w:rsidR="000805E6" w:rsidRPr="000429E3" w:rsidRDefault="000805E6" w:rsidP="000805E6">
            <w:pPr>
              <w:rPr>
                <w:rFonts w:ascii="Tahoma" w:hAnsi="Tahoma" w:cs="Tahoma"/>
                <w:b/>
                <w:sz w:val="16"/>
                <w:szCs w:val="16"/>
              </w:rPr>
            </w:pPr>
            <w:r>
              <w:rPr>
                <w:rFonts w:ascii="Tahoma" w:hAnsi="Tahoma"/>
                <w:sz w:val="16"/>
              </w:rPr>
              <w:t>SPYF</w:t>
            </w:r>
          </w:p>
        </w:tc>
        <w:tc>
          <w:tcPr>
            <w:tcW w:w="2004" w:type="dxa"/>
            <w:vAlign w:val="center"/>
          </w:tcPr>
          <w:p w14:paraId="2C2FE705" w14:textId="3A43A9D3" w:rsidR="000805E6" w:rsidRPr="000429E3" w:rsidRDefault="000805E6" w:rsidP="000805E6">
            <w:pPr>
              <w:rPr>
                <w:rFonts w:ascii="Tahoma" w:hAnsi="Tahoma" w:cs="Tahoma"/>
                <w:b/>
                <w:sz w:val="16"/>
                <w:szCs w:val="16"/>
              </w:rPr>
            </w:pPr>
            <w:r>
              <w:rPr>
                <w:rFonts w:ascii="Tahoma" w:hAnsi="Tahoma"/>
                <w:sz w:val="16"/>
              </w:rPr>
              <w:t>Shares of SPDR S&amp;P 500 ETF Trust (ISIN: US78462F1030, CFI: CEOGEU)</w:t>
            </w:r>
          </w:p>
        </w:tc>
        <w:tc>
          <w:tcPr>
            <w:tcW w:w="1905" w:type="dxa"/>
            <w:vAlign w:val="center"/>
          </w:tcPr>
          <w:p w14:paraId="44BE8435" w14:textId="180B625E" w:rsidR="000805E6" w:rsidRPr="000429E3" w:rsidRDefault="00B51CB0" w:rsidP="000805E6">
            <w:pPr>
              <w:rPr>
                <w:rFonts w:ascii="Tahoma" w:hAnsi="Tahoma" w:cs="Tahoma"/>
                <w:b/>
                <w:sz w:val="16"/>
                <w:szCs w:val="16"/>
              </w:rPr>
            </w:pPr>
            <w:r>
              <w:rPr>
                <w:rFonts w:ascii="Tahoma" w:hAnsi="Tahoma"/>
                <w:sz w:val="16"/>
              </w:rPr>
              <w:t xml:space="preserve">1 </w:t>
            </w:r>
            <w:r w:rsidR="000805E6">
              <w:rPr>
                <w:rFonts w:ascii="Tahoma" w:hAnsi="Tahoma"/>
                <w:sz w:val="16"/>
              </w:rPr>
              <w:t>ETF share</w:t>
            </w:r>
          </w:p>
        </w:tc>
        <w:tc>
          <w:tcPr>
            <w:tcW w:w="1356" w:type="dxa"/>
            <w:vAlign w:val="center"/>
          </w:tcPr>
          <w:p w14:paraId="5BE2B37A" w14:textId="77777777" w:rsidR="000805E6" w:rsidRPr="000429E3" w:rsidRDefault="000805E6" w:rsidP="000805E6">
            <w:pPr>
              <w:rPr>
                <w:rFonts w:ascii="Tahoma" w:hAnsi="Tahoma" w:cs="Tahoma"/>
                <w:b/>
                <w:sz w:val="16"/>
                <w:szCs w:val="16"/>
              </w:rPr>
            </w:pPr>
            <w:r>
              <w:rPr>
                <w:rFonts w:ascii="Tahoma" w:hAnsi="Tahoma"/>
                <w:sz w:val="16"/>
              </w:rPr>
              <w:t>USD 0.01</w:t>
            </w:r>
          </w:p>
        </w:tc>
        <w:tc>
          <w:tcPr>
            <w:tcW w:w="1402" w:type="dxa"/>
            <w:vAlign w:val="center"/>
          </w:tcPr>
          <w:p w14:paraId="230C4170" w14:textId="77777777" w:rsidR="000805E6" w:rsidRPr="000429E3" w:rsidRDefault="000805E6" w:rsidP="000805E6">
            <w:pPr>
              <w:rPr>
                <w:rFonts w:ascii="Tahoma" w:hAnsi="Tahoma" w:cs="Tahoma"/>
                <w:b/>
                <w:sz w:val="16"/>
                <w:szCs w:val="16"/>
              </w:rPr>
            </w:pPr>
            <w:r>
              <w:rPr>
                <w:rFonts w:ascii="Tahoma" w:hAnsi="Tahoma"/>
                <w:sz w:val="16"/>
              </w:rPr>
              <w:t>USD 0.01</w:t>
            </w:r>
          </w:p>
        </w:tc>
        <w:tc>
          <w:tcPr>
            <w:tcW w:w="2803" w:type="dxa"/>
            <w:vAlign w:val="center"/>
          </w:tcPr>
          <w:p w14:paraId="283731AB" w14:textId="1E3CE6F7" w:rsidR="000805E6" w:rsidRPr="005D0D3D" w:rsidRDefault="000805E6" w:rsidP="000805E6">
            <w:pPr>
              <w:rPr>
                <w:rFonts w:ascii="Tahoma" w:hAnsi="Tahoma" w:cs="Tahoma"/>
                <w:b/>
                <w:sz w:val="14"/>
                <w:szCs w:val="14"/>
              </w:rPr>
            </w:pPr>
            <w:r>
              <w:rPr>
                <w:rFonts w:ascii="Tahoma" w:hAnsi="Tahoma"/>
                <w:sz w:val="14"/>
              </w:rPr>
              <w:t xml:space="preserve">The settlement price of the Contract shall be deemed to be equal to the net asset value (NAV) of the SPDR S&amp;P 500 ETF Trust share published by </w:t>
            </w:r>
            <w:proofErr w:type="spellStart"/>
            <w:r>
              <w:rPr>
                <w:rFonts w:ascii="Tahoma" w:hAnsi="Tahoma"/>
                <w:sz w:val="14"/>
              </w:rPr>
              <w:t>C</w:t>
            </w:r>
            <w:r w:rsidR="00204F1E">
              <w:rPr>
                <w:rFonts w:ascii="Tahoma" w:hAnsi="Tahoma"/>
                <w:sz w:val="14"/>
              </w:rPr>
              <w:t>B</w:t>
            </w:r>
            <w:r>
              <w:rPr>
                <w:rFonts w:ascii="Tahoma" w:hAnsi="Tahoma"/>
                <w:sz w:val="14"/>
              </w:rPr>
              <w:t>bonds</w:t>
            </w:r>
            <w:proofErr w:type="spellEnd"/>
            <w:r>
              <w:rPr>
                <w:rFonts w:ascii="Tahoma" w:hAnsi="Tahoma"/>
                <w:sz w:val="14"/>
              </w:rPr>
              <w:t xml:space="preserve"> or Interfax for the day prior to the final settlement date, rounded to two decimal places.</w:t>
            </w:r>
          </w:p>
        </w:tc>
        <w:tc>
          <w:tcPr>
            <w:tcW w:w="1145" w:type="dxa"/>
            <w:vAlign w:val="center"/>
          </w:tcPr>
          <w:p w14:paraId="687927A3" w14:textId="77777777" w:rsidR="000805E6" w:rsidRPr="000429E3" w:rsidRDefault="000805E6" w:rsidP="000805E6">
            <w:pPr>
              <w:rPr>
                <w:rFonts w:ascii="Tahoma" w:hAnsi="Tahoma" w:cs="Tahoma"/>
                <w:b/>
                <w:sz w:val="16"/>
                <w:szCs w:val="16"/>
              </w:rPr>
            </w:pPr>
            <w:r>
              <w:rPr>
                <w:rFonts w:ascii="Tahoma" w:hAnsi="Tahoma"/>
                <w:sz w:val="16"/>
              </w:rPr>
              <w:t>USD</w:t>
            </w:r>
          </w:p>
        </w:tc>
        <w:tc>
          <w:tcPr>
            <w:tcW w:w="1617" w:type="dxa"/>
            <w:vAlign w:val="center"/>
          </w:tcPr>
          <w:p w14:paraId="0AF2931A" w14:textId="77777777" w:rsidR="000805E6" w:rsidRPr="000429E3" w:rsidRDefault="000805E6" w:rsidP="000805E6">
            <w:pPr>
              <w:rPr>
                <w:rFonts w:ascii="Tahoma" w:hAnsi="Tahoma" w:cs="Tahoma"/>
                <w:b/>
                <w:sz w:val="16"/>
                <w:szCs w:val="16"/>
              </w:rPr>
            </w:pPr>
            <w:r>
              <w:rPr>
                <w:rFonts w:ascii="Tahoma" w:hAnsi="Tahoma"/>
                <w:sz w:val="16"/>
              </w:rPr>
              <w:t>3rd (third) Friday of the month and year of the Contract</w:t>
            </w:r>
          </w:p>
        </w:tc>
      </w:tr>
      <w:tr w:rsidR="000805E6" w:rsidRPr="00812C8E" w14:paraId="6080AFB5" w14:textId="77777777" w:rsidTr="00E74464">
        <w:trPr>
          <w:trHeight w:val="1730"/>
        </w:trPr>
        <w:tc>
          <w:tcPr>
            <w:tcW w:w="494" w:type="dxa"/>
            <w:vAlign w:val="center"/>
          </w:tcPr>
          <w:p w14:paraId="42AD570A" w14:textId="0BCD3838" w:rsidR="000805E6" w:rsidRPr="000429E3" w:rsidRDefault="00E74464" w:rsidP="000805E6">
            <w:pPr>
              <w:rPr>
                <w:rFonts w:ascii="Tahoma" w:hAnsi="Tahoma" w:cs="Tahoma"/>
                <w:bCs/>
                <w:sz w:val="16"/>
                <w:szCs w:val="16"/>
              </w:rPr>
            </w:pPr>
            <w:r>
              <w:rPr>
                <w:rFonts w:ascii="Tahoma" w:hAnsi="Tahoma"/>
                <w:sz w:val="16"/>
              </w:rPr>
              <w:t>2.</w:t>
            </w:r>
          </w:p>
        </w:tc>
        <w:tc>
          <w:tcPr>
            <w:tcW w:w="1911" w:type="dxa"/>
            <w:vAlign w:val="center"/>
          </w:tcPr>
          <w:p w14:paraId="0EF0E976" w14:textId="77777777" w:rsidR="000805E6" w:rsidRPr="000429E3" w:rsidRDefault="000805E6" w:rsidP="000805E6">
            <w:pPr>
              <w:rPr>
                <w:rFonts w:ascii="Tahoma" w:hAnsi="Tahoma" w:cs="Tahoma"/>
                <w:sz w:val="16"/>
                <w:szCs w:val="16"/>
              </w:rPr>
            </w:pPr>
            <w:r>
              <w:rPr>
                <w:rFonts w:ascii="Tahoma" w:hAnsi="Tahoma"/>
                <w:sz w:val="16"/>
              </w:rPr>
              <w:t>Financially settled Invesco QQQ ETF Trust Unit Series 1 Futures contract</w:t>
            </w:r>
          </w:p>
        </w:tc>
        <w:tc>
          <w:tcPr>
            <w:tcW w:w="1397" w:type="dxa"/>
            <w:vAlign w:val="center"/>
          </w:tcPr>
          <w:p w14:paraId="4B390AA4" w14:textId="589CAEBF" w:rsidR="000805E6" w:rsidRPr="003A7441" w:rsidRDefault="003A7441" w:rsidP="000805E6">
            <w:pPr>
              <w:rPr>
                <w:rFonts w:ascii="Tahoma" w:hAnsi="Tahoma" w:cs="Tahoma"/>
                <w:sz w:val="16"/>
                <w:szCs w:val="16"/>
              </w:rPr>
            </w:pPr>
            <w:r>
              <w:rPr>
                <w:rFonts w:ascii="Tahoma" w:hAnsi="Tahoma"/>
                <w:sz w:val="16"/>
              </w:rPr>
              <w:t>NASD</w:t>
            </w:r>
          </w:p>
        </w:tc>
        <w:tc>
          <w:tcPr>
            <w:tcW w:w="2004" w:type="dxa"/>
            <w:vAlign w:val="center"/>
          </w:tcPr>
          <w:p w14:paraId="665A06F3" w14:textId="1B9B9AEA" w:rsidR="000805E6" w:rsidRPr="000429E3" w:rsidRDefault="000805E6" w:rsidP="000805E6">
            <w:pPr>
              <w:rPr>
                <w:rFonts w:ascii="Tahoma" w:hAnsi="Tahoma" w:cs="Tahoma"/>
                <w:sz w:val="16"/>
                <w:szCs w:val="16"/>
              </w:rPr>
            </w:pPr>
            <w:r>
              <w:rPr>
                <w:rFonts w:ascii="Tahoma" w:hAnsi="Tahoma"/>
                <w:sz w:val="16"/>
              </w:rPr>
              <w:t>Invesco QQQ ETF Trust Unit Series 1 share (ISIN:</w:t>
            </w:r>
            <w:r>
              <w:t xml:space="preserve"> </w:t>
            </w:r>
            <w:r>
              <w:rPr>
                <w:rFonts w:ascii="Tahoma" w:hAnsi="Tahoma"/>
                <w:sz w:val="16"/>
              </w:rPr>
              <w:t>US46090E1038, CFI:</w:t>
            </w:r>
            <w:r>
              <w:t xml:space="preserve"> </w:t>
            </w:r>
            <w:r>
              <w:rPr>
                <w:rFonts w:ascii="Tahoma" w:hAnsi="Tahoma"/>
                <w:sz w:val="16"/>
              </w:rPr>
              <w:t>CEOJLU)</w:t>
            </w:r>
          </w:p>
        </w:tc>
        <w:tc>
          <w:tcPr>
            <w:tcW w:w="1905" w:type="dxa"/>
            <w:vAlign w:val="center"/>
          </w:tcPr>
          <w:p w14:paraId="26C97C29" w14:textId="31F5CB68" w:rsidR="000805E6" w:rsidRPr="000429E3" w:rsidRDefault="00FB6289" w:rsidP="000805E6">
            <w:pPr>
              <w:rPr>
                <w:rFonts w:ascii="Tahoma" w:hAnsi="Tahoma" w:cs="Tahoma"/>
                <w:sz w:val="16"/>
                <w:szCs w:val="16"/>
              </w:rPr>
            </w:pPr>
            <w:r>
              <w:rPr>
                <w:rFonts w:ascii="Tahoma" w:hAnsi="Tahoma"/>
                <w:sz w:val="16"/>
              </w:rPr>
              <w:t xml:space="preserve">41 ETF shares </w:t>
            </w:r>
          </w:p>
        </w:tc>
        <w:tc>
          <w:tcPr>
            <w:tcW w:w="1356" w:type="dxa"/>
            <w:vAlign w:val="center"/>
          </w:tcPr>
          <w:p w14:paraId="1AACE93E" w14:textId="7243E4CE" w:rsidR="000805E6" w:rsidRPr="000429E3" w:rsidRDefault="008C2260" w:rsidP="000805E6">
            <w:pPr>
              <w:rPr>
                <w:rFonts w:ascii="Tahoma" w:hAnsi="Tahoma" w:cs="Tahoma"/>
                <w:sz w:val="16"/>
                <w:szCs w:val="16"/>
              </w:rPr>
            </w:pPr>
            <w:r>
              <w:rPr>
                <w:rFonts w:ascii="Tahoma" w:hAnsi="Tahoma"/>
                <w:sz w:val="16"/>
              </w:rPr>
              <w:t>USD 1</w:t>
            </w:r>
          </w:p>
        </w:tc>
        <w:tc>
          <w:tcPr>
            <w:tcW w:w="1402" w:type="dxa"/>
            <w:vAlign w:val="center"/>
          </w:tcPr>
          <w:p w14:paraId="767CB9C6" w14:textId="77777777" w:rsidR="000805E6" w:rsidRPr="000429E3" w:rsidRDefault="000805E6" w:rsidP="000805E6">
            <w:pPr>
              <w:rPr>
                <w:rFonts w:ascii="Tahoma" w:hAnsi="Tahoma" w:cs="Tahoma"/>
                <w:sz w:val="16"/>
                <w:szCs w:val="16"/>
              </w:rPr>
            </w:pPr>
            <w:r>
              <w:rPr>
                <w:rFonts w:ascii="Tahoma" w:hAnsi="Tahoma"/>
                <w:sz w:val="16"/>
              </w:rPr>
              <w:t>USD 0.01</w:t>
            </w:r>
          </w:p>
        </w:tc>
        <w:tc>
          <w:tcPr>
            <w:tcW w:w="2803" w:type="dxa"/>
            <w:vAlign w:val="center"/>
          </w:tcPr>
          <w:p w14:paraId="29EFE15C" w14:textId="02910FEE" w:rsidR="000805E6" w:rsidRPr="000429E3" w:rsidRDefault="000805E6" w:rsidP="000805E6">
            <w:pPr>
              <w:rPr>
                <w:rFonts w:ascii="Tahoma" w:hAnsi="Tahoma" w:cs="Tahoma"/>
                <w:sz w:val="16"/>
                <w:szCs w:val="16"/>
              </w:rPr>
            </w:pPr>
            <w:r>
              <w:rPr>
                <w:rFonts w:ascii="Tahoma" w:hAnsi="Tahoma"/>
                <w:sz w:val="14"/>
              </w:rPr>
              <w:t>The settlement price of the Contract shall be deemed to be equal to the net asset value (NAV) of the Invesco QQQ ETF Trust Unit Series 1 published by Interfax for the day preceding the settlement day, rounded to two decimal places, multiplied by 41</w:t>
            </w:r>
          </w:p>
        </w:tc>
        <w:tc>
          <w:tcPr>
            <w:tcW w:w="1145" w:type="dxa"/>
            <w:vAlign w:val="center"/>
          </w:tcPr>
          <w:p w14:paraId="72A546C8" w14:textId="77777777" w:rsidR="000805E6" w:rsidRPr="000429E3" w:rsidRDefault="000805E6" w:rsidP="000805E6">
            <w:pPr>
              <w:rPr>
                <w:rFonts w:ascii="Tahoma" w:hAnsi="Tahoma" w:cs="Tahoma"/>
                <w:sz w:val="16"/>
                <w:szCs w:val="16"/>
              </w:rPr>
            </w:pPr>
            <w:r>
              <w:rPr>
                <w:rFonts w:ascii="Tahoma" w:hAnsi="Tahoma"/>
                <w:sz w:val="16"/>
              </w:rPr>
              <w:t>USD</w:t>
            </w:r>
          </w:p>
        </w:tc>
        <w:tc>
          <w:tcPr>
            <w:tcW w:w="1617" w:type="dxa"/>
            <w:vAlign w:val="center"/>
          </w:tcPr>
          <w:p w14:paraId="499967FB" w14:textId="77777777" w:rsidR="000805E6" w:rsidRPr="000429E3" w:rsidRDefault="000805E6" w:rsidP="000805E6">
            <w:pPr>
              <w:rPr>
                <w:rFonts w:ascii="Tahoma" w:hAnsi="Tahoma" w:cs="Tahoma"/>
                <w:sz w:val="16"/>
                <w:szCs w:val="16"/>
              </w:rPr>
            </w:pPr>
            <w:r>
              <w:rPr>
                <w:rFonts w:ascii="Tahoma" w:hAnsi="Tahoma"/>
                <w:sz w:val="16"/>
              </w:rPr>
              <w:t>3rd (third) Friday of the month and year of the Contract</w:t>
            </w:r>
          </w:p>
        </w:tc>
      </w:tr>
      <w:tr w:rsidR="00B51CB0" w:rsidRPr="00812C8E" w14:paraId="3A758236" w14:textId="77777777" w:rsidTr="00E74464">
        <w:trPr>
          <w:trHeight w:val="1730"/>
        </w:trPr>
        <w:tc>
          <w:tcPr>
            <w:tcW w:w="494" w:type="dxa"/>
            <w:vAlign w:val="center"/>
          </w:tcPr>
          <w:p w14:paraId="7F5DCDD0" w14:textId="30A6513B" w:rsidR="00B51CB0" w:rsidRPr="00B51CB0" w:rsidRDefault="00B51CB0" w:rsidP="00B51CB0">
            <w:pPr>
              <w:rPr>
                <w:rFonts w:ascii="Tahoma" w:hAnsi="Tahoma"/>
                <w:sz w:val="16"/>
                <w:lang w:val="ru-RU"/>
              </w:rPr>
            </w:pPr>
            <w:r>
              <w:rPr>
                <w:rFonts w:ascii="Tahoma" w:hAnsi="Tahoma"/>
                <w:sz w:val="16"/>
                <w:lang w:val="ru-RU"/>
              </w:rPr>
              <w:t>3.</w:t>
            </w:r>
          </w:p>
        </w:tc>
        <w:tc>
          <w:tcPr>
            <w:tcW w:w="1911" w:type="dxa"/>
            <w:vAlign w:val="center"/>
          </w:tcPr>
          <w:p w14:paraId="4CADA19E" w14:textId="214E2695" w:rsidR="00B51CB0" w:rsidRDefault="00B51CB0" w:rsidP="00B51CB0">
            <w:pPr>
              <w:rPr>
                <w:rFonts w:ascii="Tahoma" w:hAnsi="Tahoma"/>
                <w:sz w:val="16"/>
              </w:rPr>
            </w:pPr>
            <w:r>
              <w:rPr>
                <w:rFonts w:ascii="Tahoma" w:hAnsi="Tahoma"/>
                <w:sz w:val="16"/>
              </w:rPr>
              <w:t xml:space="preserve">Financially settled </w:t>
            </w:r>
            <w:r w:rsidRPr="00B51CB0">
              <w:rPr>
                <w:rFonts w:ascii="Tahoma" w:hAnsi="Tahoma"/>
                <w:sz w:val="16"/>
              </w:rPr>
              <w:t>Tracker Fund of Hong Kong ETF</w:t>
            </w:r>
            <w:r w:rsidRPr="00B51CB0">
              <w:rPr>
                <w:rFonts w:ascii="Tahoma" w:hAnsi="Tahoma"/>
                <w:sz w:val="16"/>
              </w:rPr>
              <w:t xml:space="preserve"> </w:t>
            </w:r>
            <w:r>
              <w:rPr>
                <w:rFonts w:ascii="Tahoma" w:hAnsi="Tahoma"/>
                <w:sz w:val="16"/>
              </w:rPr>
              <w:t>Futures contract</w:t>
            </w:r>
          </w:p>
        </w:tc>
        <w:tc>
          <w:tcPr>
            <w:tcW w:w="1397" w:type="dxa"/>
            <w:vAlign w:val="center"/>
          </w:tcPr>
          <w:p w14:paraId="3C1E0A62" w14:textId="6DFCAAA3" w:rsidR="00B51CB0" w:rsidRDefault="00B51CB0" w:rsidP="00B51CB0">
            <w:pPr>
              <w:rPr>
                <w:rFonts w:ascii="Tahoma" w:hAnsi="Tahoma"/>
                <w:sz w:val="16"/>
              </w:rPr>
            </w:pPr>
            <w:r w:rsidRPr="00076FB9">
              <w:rPr>
                <w:rFonts w:ascii="Tahoma" w:hAnsi="Tahoma" w:cs="Tahoma"/>
                <w:sz w:val="16"/>
                <w:szCs w:val="16"/>
              </w:rPr>
              <w:t>HANG</w:t>
            </w:r>
          </w:p>
        </w:tc>
        <w:tc>
          <w:tcPr>
            <w:tcW w:w="2004" w:type="dxa"/>
            <w:vAlign w:val="center"/>
          </w:tcPr>
          <w:p w14:paraId="67811F3A" w14:textId="1CA44885" w:rsidR="00B51CB0" w:rsidRDefault="00B51CB0" w:rsidP="00B51CB0">
            <w:pPr>
              <w:rPr>
                <w:rFonts w:ascii="Tahoma" w:hAnsi="Tahoma"/>
                <w:sz w:val="16"/>
              </w:rPr>
            </w:pPr>
            <w:r w:rsidRPr="00731A3F">
              <w:rPr>
                <w:rFonts w:ascii="Tahoma" w:hAnsi="Tahoma" w:cs="Tahoma"/>
                <w:sz w:val="16"/>
                <w:szCs w:val="16"/>
                <w:lang w:val="en-US"/>
              </w:rPr>
              <w:t>Tracker</w:t>
            </w:r>
            <w:r w:rsidRPr="00FC75C4">
              <w:rPr>
                <w:rFonts w:ascii="Tahoma" w:hAnsi="Tahoma" w:cs="Tahoma"/>
                <w:sz w:val="16"/>
                <w:szCs w:val="16"/>
              </w:rPr>
              <w:t xml:space="preserve"> </w:t>
            </w:r>
            <w:r w:rsidRPr="00731A3F">
              <w:rPr>
                <w:rFonts w:ascii="Tahoma" w:hAnsi="Tahoma" w:cs="Tahoma"/>
                <w:sz w:val="16"/>
                <w:szCs w:val="16"/>
                <w:lang w:val="en-US"/>
              </w:rPr>
              <w:t>Fund</w:t>
            </w:r>
            <w:r w:rsidRPr="00FC75C4">
              <w:rPr>
                <w:rFonts w:ascii="Tahoma" w:hAnsi="Tahoma" w:cs="Tahoma"/>
                <w:sz w:val="16"/>
                <w:szCs w:val="16"/>
              </w:rPr>
              <w:t xml:space="preserve"> </w:t>
            </w:r>
            <w:r w:rsidRPr="00731A3F">
              <w:rPr>
                <w:rFonts w:ascii="Tahoma" w:hAnsi="Tahoma" w:cs="Tahoma"/>
                <w:sz w:val="16"/>
                <w:szCs w:val="16"/>
                <w:lang w:val="en-US"/>
              </w:rPr>
              <w:t>of</w:t>
            </w:r>
            <w:r w:rsidRPr="00FC75C4">
              <w:rPr>
                <w:rFonts w:ascii="Tahoma" w:hAnsi="Tahoma" w:cs="Tahoma"/>
                <w:sz w:val="16"/>
                <w:szCs w:val="16"/>
              </w:rPr>
              <w:t xml:space="preserve"> </w:t>
            </w:r>
            <w:r w:rsidRPr="00731A3F">
              <w:rPr>
                <w:rFonts w:ascii="Tahoma" w:hAnsi="Tahoma" w:cs="Tahoma"/>
                <w:sz w:val="16"/>
                <w:szCs w:val="16"/>
                <w:lang w:val="en-US"/>
              </w:rPr>
              <w:t>Hong</w:t>
            </w:r>
            <w:r w:rsidRPr="00FC75C4">
              <w:rPr>
                <w:rFonts w:ascii="Tahoma" w:hAnsi="Tahoma" w:cs="Tahoma"/>
                <w:sz w:val="16"/>
                <w:szCs w:val="16"/>
              </w:rPr>
              <w:t xml:space="preserve"> </w:t>
            </w:r>
            <w:r w:rsidRPr="00731A3F">
              <w:rPr>
                <w:rFonts w:ascii="Tahoma" w:hAnsi="Tahoma" w:cs="Tahoma"/>
                <w:sz w:val="16"/>
                <w:szCs w:val="16"/>
                <w:lang w:val="en-US"/>
              </w:rPr>
              <w:t>Kong</w:t>
            </w:r>
            <w:r w:rsidRPr="00FC75C4">
              <w:rPr>
                <w:rFonts w:ascii="Tahoma" w:hAnsi="Tahoma" w:cs="Tahoma"/>
                <w:sz w:val="16"/>
                <w:szCs w:val="16"/>
              </w:rPr>
              <w:t xml:space="preserve"> </w:t>
            </w:r>
            <w:r w:rsidRPr="00731A3F">
              <w:rPr>
                <w:rFonts w:ascii="Tahoma" w:hAnsi="Tahoma" w:cs="Tahoma"/>
                <w:sz w:val="16"/>
                <w:szCs w:val="16"/>
                <w:lang w:val="en-US"/>
              </w:rPr>
              <w:t>ETF</w:t>
            </w:r>
            <w:r w:rsidRPr="00FC75C4">
              <w:rPr>
                <w:rFonts w:ascii="Tahoma" w:hAnsi="Tahoma" w:cs="Tahoma"/>
                <w:sz w:val="16"/>
                <w:szCs w:val="16"/>
              </w:rPr>
              <w:t xml:space="preserve"> </w:t>
            </w:r>
            <w:r>
              <w:rPr>
                <w:rFonts w:ascii="Tahoma" w:hAnsi="Tahoma" w:cs="Tahoma"/>
                <w:sz w:val="16"/>
                <w:szCs w:val="16"/>
              </w:rPr>
              <w:t xml:space="preserve">share </w:t>
            </w:r>
            <w:r w:rsidRPr="00FC75C4">
              <w:rPr>
                <w:rFonts w:ascii="Tahoma" w:hAnsi="Tahoma" w:cs="Tahoma"/>
                <w:sz w:val="16"/>
                <w:szCs w:val="16"/>
              </w:rPr>
              <w:t>(</w:t>
            </w:r>
            <w:r w:rsidRPr="009A4E44">
              <w:rPr>
                <w:rFonts w:ascii="Tahoma" w:hAnsi="Tahoma" w:cs="Tahoma"/>
                <w:sz w:val="16"/>
                <w:szCs w:val="16"/>
                <w:lang w:val="en-US"/>
              </w:rPr>
              <w:t>ISIN</w:t>
            </w:r>
            <w:r w:rsidRPr="00FC75C4">
              <w:rPr>
                <w:rFonts w:ascii="Tahoma" w:hAnsi="Tahoma" w:cs="Tahoma"/>
                <w:sz w:val="16"/>
                <w:szCs w:val="16"/>
              </w:rPr>
              <w:t xml:space="preserve">: </w:t>
            </w:r>
            <w:r w:rsidRPr="009A4E44">
              <w:rPr>
                <w:rFonts w:ascii="Tahoma" w:hAnsi="Tahoma" w:cs="Tahoma"/>
                <w:sz w:val="16"/>
                <w:szCs w:val="16"/>
                <w:lang w:val="en-US"/>
              </w:rPr>
              <w:t>HK</w:t>
            </w:r>
            <w:r w:rsidRPr="00FC75C4">
              <w:rPr>
                <w:rFonts w:ascii="Tahoma" w:hAnsi="Tahoma" w:cs="Tahoma"/>
                <w:sz w:val="16"/>
                <w:szCs w:val="16"/>
              </w:rPr>
              <w:t xml:space="preserve">2800008867, </w:t>
            </w:r>
            <w:r>
              <w:rPr>
                <w:rFonts w:ascii="Tahoma" w:hAnsi="Tahoma" w:cs="Tahoma"/>
                <w:sz w:val="16"/>
                <w:szCs w:val="16"/>
                <w:lang w:val="en-US"/>
              </w:rPr>
              <w:t>CFI</w:t>
            </w:r>
            <w:r w:rsidRPr="00FC75C4">
              <w:rPr>
                <w:rFonts w:ascii="Tahoma" w:hAnsi="Tahoma" w:cs="Tahoma"/>
                <w:sz w:val="16"/>
                <w:szCs w:val="16"/>
              </w:rPr>
              <w:t>:</w:t>
            </w:r>
            <w:r w:rsidRPr="00FC75C4">
              <w:t xml:space="preserve"> </w:t>
            </w:r>
            <w:r w:rsidRPr="00F8455C">
              <w:rPr>
                <w:rFonts w:ascii="Tahoma" w:hAnsi="Tahoma" w:cs="Tahoma"/>
                <w:sz w:val="16"/>
                <w:szCs w:val="16"/>
                <w:lang w:val="en-US"/>
              </w:rPr>
              <w:t>CEOGLS</w:t>
            </w:r>
            <w:r w:rsidRPr="00FC75C4">
              <w:rPr>
                <w:rFonts w:ascii="Tahoma" w:hAnsi="Tahoma" w:cs="Tahoma"/>
                <w:sz w:val="16"/>
                <w:szCs w:val="16"/>
              </w:rPr>
              <w:t>)</w:t>
            </w:r>
          </w:p>
        </w:tc>
        <w:tc>
          <w:tcPr>
            <w:tcW w:w="1905" w:type="dxa"/>
            <w:vAlign w:val="center"/>
          </w:tcPr>
          <w:p w14:paraId="5F97D4CD" w14:textId="561E838A" w:rsidR="00B51CB0" w:rsidRDefault="00B51CB0" w:rsidP="00B51CB0">
            <w:pPr>
              <w:rPr>
                <w:rFonts w:ascii="Tahoma" w:hAnsi="Tahoma"/>
                <w:sz w:val="16"/>
              </w:rPr>
            </w:pPr>
            <w:r>
              <w:rPr>
                <w:rFonts w:ascii="Tahoma" w:hAnsi="Tahoma"/>
                <w:sz w:val="16"/>
              </w:rPr>
              <w:t>1</w:t>
            </w:r>
            <w:r>
              <w:rPr>
                <w:rFonts w:ascii="Tahoma" w:hAnsi="Tahoma"/>
                <w:sz w:val="16"/>
              </w:rPr>
              <w:t>000</w:t>
            </w:r>
            <w:r>
              <w:rPr>
                <w:rFonts w:ascii="Tahoma" w:hAnsi="Tahoma"/>
                <w:sz w:val="16"/>
              </w:rPr>
              <w:t xml:space="preserve"> ETF share</w:t>
            </w:r>
          </w:p>
        </w:tc>
        <w:tc>
          <w:tcPr>
            <w:tcW w:w="1356" w:type="dxa"/>
            <w:vAlign w:val="center"/>
          </w:tcPr>
          <w:p w14:paraId="5ECBA96B" w14:textId="30C69EA9" w:rsidR="00B51CB0" w:rsidRDefault="00B51CB0" w:rsidP="00B51CB0">
            <w:pPr>
              <w:rPr>
                <w:rFonts w:ascii="Tahoma" w:hAnsi="Tahoma"/>
                <w:sz w:val="16"/>
              </w:rPr>
            </w:pPr>
            <w:r>
              <w:rPr>
                <w:rFonts w:ascii="Tahoma" w:hAnsi="Tahoma"/>
                <w:sz w:val="16"/>
              </w:rPr>
              <w:t>HKD 1</w:t>
            </w:r>
          </w:p>
        </w:tc>
        <w:tc>
          <w:tcPr>
            <w:tcW w:w="1402" w:type="dxa"/>
            <w:vAlign w:val="center"/>
          </w:tcPr>
          <w:p w14:paraId="462F4BC2" w14:textId="31D85E54" w:rsidR="00B51CB0" w:rsidRDefault="00B51CB0" w:rsidP="00B51CB0">
            <w:pPr>
              <w:rPr>
                <w:rFonts w:ascii="Tahoma" w:hAnsi="Tahoma"/>
                <w:sz w:val="16"/>
              </w:rPr>
            </w:pPr>
            <w:r>
              <w:rPr>
                <w:rFonts w:ascii="Tahoma" w:hAnsi="Tahoma"/>
                <w:sz w:val="16"/>
              </w:rPr>
              <w:t>HKD 0.01</w:t>
            </w:r>
          </w:p>
        </w:tc>
        <w:tc>
          <w:tcPr>
            <w:tcW w:w="2803" w:type="dxa"/>
            <w:vAlign w:val="center"/>
          </w:tcPr>
          <w:p w14:paraId="1F7A1BCF" w14:textId="6DB4B837" w:rsidR="00B51CB0" w:rsidRDefault="008F634D" w:rsidP="00B51CB0">
            <w:pPr>
              <w:rPr>
                <w:rFonts w:ascii="Tahoma" w:hAnsi="Tahoma"/>
                <w:sz w:val="14"/>
              </w:rPr>
            </w:pPr>
            <w:r w:rsidRPr="008F634D">
              <w:rPr>
                <w:rFonts w:ascii="Tahoma" w:hAnsi="Tahoma"/>
                <w:sz w:val="14"/>
              </w:rPr>
              <w:t>The settlement price of the Contract is considered equal to the net value (NAV) of the Tracker Fund of Hong Kong ETF Investment Unit, which is published by the Interfax news agency for the day preceding the date of execution, rounded to the nearest two decimal places, multiplied by 1000</w:t>
            </w:r>
          </w:p>
        </w:tc>
        <w:tc>
          <w:tcPr>
            <w:tcW w:w="1145" w:type="dxa"/>
            <w:vAlign w:val="center"/>
          </w:tcPr>
          <w:p w14:paraId="2A898EDF" w14:textId="1B741FB2" w:rsidR="00B51CB0" w:rsidRDefault="008F634D" w:rsidP="00B51CB0">
            <w:pPr>
              <w:rPr>
                <w:rFonts w:ascii="Tahoma" w:hAnsi="Tahoma"/>
                <w:sz w:val="16"/>
              </w:rPr>
            </w:pPr>
            <w:r>
              <w:rPr>
                <w:rFonts w:ascii="Tahoma" w:hAnsi="Tahoma"/>
                <w:sz w:val="16"/>
              </w:rPr>
              <w:t>HKD</w:t>
            </w:r>
          </w:p>
        </w:tc>
        <w:tc>
          <w:tcPr>
            <w:tcW w:w="1617" w:type="dxa"/>
            <w:vAlign w:val="center"/>
          </w:tcPr>
          <w:p w14:paraId="7A3ABD1A" w14:textId="3DF6C7FD" w:rsidR="00B51CB0" w:rsidRDefault="008F634D" w:rsidP="00B51CB0">
            <w:pPr>
              <w:rPr>
                <w:rFonts w:ascii="Tahoma" w:hAnsi="Tahoma"/>
                <w:sz w:val="16"/>
              </w:rPr>
            </w:pPr>
            <w:r>
              <w:rPr>
                <w:rFonts w:ascii="Tahoma" w:hAnsi="Tahoma"/>
                <w:sz w:val="16"/>
              </w:rPr>
              <w:t>3rd (third) Friday of the month and year of the Contract</w:t>
            </w:r>
          </w:p>
        </w:tc>
      </w:tr>
      <w:tr w:rsidR="008F634D" w:rsidRPr="00812C8E" w14:paraId="49F6D520" w14:textId="77777777" w:rsidTr="00E74464">
        <w:trPr>
          <w:trHeight w:val="1730"/>
        </w:trPr>
        <w:tc>
          <w:tcPr>
            <w:tcW w:w="494" w:type="dxa"/>
            <w:vAlign w:val="center"/>
          </w:tcPr>
          <w:p w14:paraId="2FBE31B4" w14:textId="1573372C" w:rsidR="008F634D" w:rsidRPr="00B51CB0" w:rsidRDefault="008F634D" w:rsidP="008F634D">
            <w:pPr>
              <w:rPr>
                <w:rFonts w:ascii="Tahoma" w:hAnsi="Tahoma"/>
                <w:sz w:val="16"/>
                <w:lang w:val="ru-RU"/>
              </w:rPr>
            </w:pPr>
            <w:r>
              <w:rPr>
                <w:rFonts w:ascii="Tahoma" w:hAnsi="Tahoma"/>
                <w:sz w:val="16"/>
                <w:lang w:val="ru-RU"/>
              </w:rPr>
              <w:t>4.</w:t>
            </w:r>
          </w:p>
        </w:tc>
        <w:tc>
          <w:tcPr>
            <w:tcW w:w="1911" w:type="dxa"/>
            <w:vAlign w:val="center"/>
          </w:tcPr>
          <w:p w14:paraId="2E859E48" w14:textId="4C526F7F" w:rsidR="008F634D" w:rsidRDefault="008F634D" w:rsidP="008F634D">
            <w:pPr>
              <w:rPr>
                <w:rFonts w:ascii="Tahoma" w:hAnsi="Tahoma"/>
                <w:sz w:val="16"/>
              </w:rPr>
            </w:pPr>
            <w:r>
              <w:rPr>
                <w:rFonts w:ascii="Tahoma" w:hAnsi="Tahoma"/>
                <w:sz w:val="16"/>
              </w:rPr>
              <w:t>Financially settled</w:t>
            </w:r>
            <w:r>
              <w:rPr>
                <w:rFonts w:ascii="Tahoma" w:hAnsi="Tahoma"/>
                <w:sz w:val="16"/>
              </w:rPr>
              <w:t xml:space="preserve"> </w:t>
            </w:r>
            <w:r w:rsidRPr="008F634D">
              <w:rPr>
                <w:rFonts w:ascii="Tahoma" w:hAnsi="Tahoma"/>
                <w:sz w:val="16"/>
              </w:rPr>
              <w:t>iShares Core EURO STOXX 50 UCITS ETF EUR (</w:t>
            </w:r>
            <w:proofErr w:type="spellStart"/>
            <w:r w:rsidRPr="008F634D">
              <w:rPr>
                <w:rFonts w:ascii="Tahoma" w:hAnsi="Tahoma"/>
                <w:sz w:val="16"/>
              </w:rPr>
              <w:t>Dist</w:t>
            </w:r>
            <w:proofErr w:type="spellEnd"/>
            <w:r w:rsidRPr="008F634D">
              <w:rPr>
                <w:rFonts w:ascii="Tahoma" w:hAnsi="Tahoma"/>
                <w:sz w:val="16"/>
              </w:rPr>
              <w:t>)</w:t>
            </w:r>
            <w:r>
              <w:rPr>
                <w:rFonts w:ascii="Tahoma" w:hAnsi="Tahoma"/>
                <w:sz w:val="16"/>
              </w:rPr>
              <w:t xml:space="preserve"> </w:t>
            </w:r>
            <w:r>
              <w:rPr>
                <w:rFonts w:ascii="Tahoma" w:hAnsi="Tahoma"/>
                <w:sz w:val="16"/>
              </w:rPr>
              <w:t>Futures contract</w:t>
            </w:r>
          </w:p>
        </w:tc>
        <w:tc>
          <w:tcPr>
            <w:tcW w:w="1397" w:type="dxa"/>
            <w:vAlign w:val="center"/>
          </w:tcPr>
          <w:p w14:paraId="57160C78" w14:textId="002DB7CE" w:rsidR="008F634D" w:rsidRDefault="008F634D" w:rsidP="008F634D">
            <w:pPr>
              <w:rPr>
                <w:rFonts w:ascii="Tahoma" w:hAnsi="Tahoma"/>
                <w:sz w:val="16"/>
              </w:rPr>
            </w:pPr>
            <w:r w:rsidRPr="00076FB9">
              <w:rPr>
                <w:rFonts w:ascii="Tahoma" w:hAnsi="Tahoma" w:cs="Tahoma"/>
                <w:sz w:val="16"/>
                <w:szCs w:val="16"/>
              </w:rPr>
              <w:t>STOX</w:t>
            </w:r>
          </w:p>
        </w:tc>
        <w:tc>
          <w:tcPr>
            <w:tcW w:w="2004" w:type="dxa"/>
            <w:vAlign w:val="center"/>
          </w:tcPr>
          <w:p w14:paraId="03E9290B" w14:textId="33FC99B6" w:rsidR="008F634D" w:rsidRDefault="008F634D" w:rsidP="008F634D">
            <w:pPr>
              <w:rPr>
                <w:rFonts w:ascii="Tahoma" w:hAnsi="Tahoma"/>
                <w:sz w:val="16"/>
              </w:rPr>
            </w:pPr>
            <w:r w:rsidRPr="00731A3F">
              <w:rPr>
                <w:rFonts w:ascii="Tahoma" w:hAnsi="Tahoma" w:cs="Tahoma"/>
                <w:sz w:val="16"/>
                <w:szCs w:val="16"/>
                <w:lang w:val="en-US"/>
              </w:rPr>
              <w:t>iShares</w:t>
            </w:r>
            <w:r w:rsidRPr="00FC75C4">
              <w:rPr>
                <w:rFonts w:ascii="Tahoma" w:hAnsi="Tahoma" w:cs="Tahoma"/>
                <w:sz w:val="16"/>
                <w:szCs w:val="16"/>
              </w:rPr>
              <w:t xml:space="preserve"> </w:t>
            </w:r>
            <w:r w:rsidRPr="00731A3F">
              <w:rPr>
                <w:rFonts w:ascii="Tahoma" w:hAnsi="Tahoma" w:cs="Tahoma"/>
                <w:sz w:val="16"/>
                <w:szCs w:val="16"/>
                <w:lang w:val="en-US"/>
              </w:rPr>
              <w:t>Core</w:t>
            </w:r>
            <w:r w:rsidRPr="00FC75C4">
              <w:rPr>
                <w:rFonts w:ascii="Tahoma" w:hAnsi="Tahoma" w:cs="Tahoma"/>
                <w:sz w:val="16"/>
                <w:szCs w:val="16"/>
              </w:rPr>
              <w:t xml:space="preserve"> </w:t>
            </w:r>
            <w:r w:rsidRPr="00731A3F">
              <w:rPr>
                <w:rFonts w:ascii="Tahoma" w:hAnsi="Tahoma" w:cs="Tahoma"/>
                <w:sz w:val="16"/>
                <w:szCs w:val="16"/>
                <w:lang w:val="en-US"/>
              </w:rPr>
              <w:t>EURO</w:t>
            </w:r>
            <w:r w:rsidRPr="00FC75C4">
              <w:rPr>
                <w:rFonts w:ascii="Tahoma" w:hAnsi="Tahoma" w:cs="Tahoma"/>
                <w:sz w:val="16"/>
                <w:szCs w:val="16"/>
              </w:rPr>
              <w:t xml:space="preserve"> </w:t>
            </w:r>
            <w:r w:rsidRPr="00731A3F">
              <w:rPr>
                <w:rFonts w:ascii="Tahoma" w:hAnsi="Tahoma" w:cs="Tahoma"/>
                <w:sz w:val="16"/>
                <w:szCs w:val="16"/>
                <w:lang w:val="en-US"/>
              </w:rPr>
              <w:t>STOXX</w:t>
            </w:r>
            <w:r w:rsidRPr="00FC75C4">
              <w:rPr>
                <w:rFonts w:ascii="Tahoma" w:hAnsi="Tahoma" w:cs="Tahoma"/>
                <w:sz w:val="16"/>
                <w:szCs w:val="16"/>
              </w:rPr>
              <w:t xml:space="preserve"> 50 </w:t>
            </w:r>
            <w:r w:rsidRPr="00731A3F">
              <w:rPr>
                <w:rFonts w:ascii="Tahoma" w:hAnsi="Tahoma" w:cs="Tahoma"/>
                <w:sz w:val="16"/>
                <w:szCs w:val="16"/>
                <w:lang w:val="en-US"/>
              </w:rPr>
              <w:t>UCITS</w:t>
            </w:r>
            <w:r w:rsidRPr="00FC75C4">
              <w:rPr>
                <w:rFonts w:ascii="Tahoma" w:hAnsi="Tahoma" w:cs="Tahoma"/>
                <w:sz w:val="16"/>
                <w:szCs w:val="16"/>
              </w:rPr>
              <w:t xml:space="preserve"> </w:t>
            </w:r>
            <w:r w:rsidRPr="00731A3F">
              <w:rPr>
                <w:rFonts w:ascii="Tahoma" w:hAnsi="Tahoma" w:cs="Tahoma"/>
                <w:sz w:val="16"/>
                <w:szCs w:val="16"/>
                <w:lang w:val="en-US"/>
              </w:rPr>
              <w:t>ETF</w:t>
            </w:r>
            <w:r w:rsidRPr="00FC75C4">
              <w:rPr>
                <w:rFonts w:ascii="Tahoma" w:hAnsi="Tahoma" w:cs="Tahoma"/>
                <w:sz w:val="16"/>
                <w:szCs w:val="16"/>
              </w:rPr>
              <w:t xml:space="preserve"> </w:t>
            </w:r>
            <w:r w:rsidRPr="00731A3F">
              <w:rPr>
                <w:rFonts w:ascii="Tahoma" w:hAnsi="Tahoma" w:cs="Tahoma"/>
                <w:sz w:val="16"/>
                <w:szCs w:val="16"/>
                <w:lang w:val="en-US"/>
              </w:rPr>
              <w:t>EUR</w:t>
            </w:r>
            <w:r w:rsidRPr="00FC75C4">
              <w:rPr>
                <w:rFonts w:ascii="Tahoma" w:hAnsi="Tahoma" w:cs="Tahoma"/>
                <w:sz w:val="16"/>
                <w:szCs w:val="16"/>
              </w:rPr>
              <w:t xml:space="preserve"> (</w:t>
            </w:r>
            <w:proofErr w:type="spellStart"/>
            <w:r w:rsidRPr="00731A3F">
              <w:rPr>
                <w:rFonts w:ascii="Tahoma" w:hAnsi="Tahoma" w:cs="Tahoma"/>
                <w:sz w:val="16"/>
                <w:szCs w:val="16"/>
                <w:lang w:val="en-US"/>
              </w:rPr>
              <w:t>Dist</w:t>
            </w:r>
            <w:proofErr w:type="spellEnd"/>
            <w:r w:rsidRPr="00FC75C4">
              <w:rPr>
                <w:rFonts w:ascii="Tahoma" w:hAnsi="Tahoma" w:cs="Tahoma"/>
                <w:sz w:val="16"/>
                <w:szCs w:val="16"/>
              </w:rPr>
              <w:t>) (</w:t>
            </w:r>
            <w:r w:rsidRPr="00076FB9">
              <w:rPr>
                <w:rFonts w:ascii="Tahoma" w:hAnsi="Tahoma" w:cs="Tahoma"/>
                <w:sz w:val="16"/>
                <w:szCs w:val="16"/>
                <w:lang w:val="en-US"/>
              </w:rPr>
              <w:t>ISIN</w:t>
            </w:r>
            <w:r w:rsidRPr="00FC75C4">
              <w:rPr>
                <w:rFonts w:ascii="Tahoma" w:hAnsi="Tahoma" w:cs="Tahoma"/>
                <w:sz w:val="16"/>
                <w:szCs w:val="16"/>
              </w:rPr>
              <w:t xml:space="preserve">: </w:t>
            </w:r>
            <w:r w:rsidRPr="00076FB9">
              <w:rPr>
                <w:rFonts w:ascii="Tahoma" w:hAnsi="Tahoma" w:cs="Tahoma"/>
                <w:sz w:val="16"/>
                <w:szCs w:val="16"/>
                <w:lang w:val="en-US"/>
              </w:rPr>
              <w:t>IE</w:t>
            </w:r>
            <w:r w:rsidRPr="00FC75C4">
              <w:rPr>
                <w:rFonts w:ascii="Tahoma" w:hAnsi="Tahoma" w:cs="Tahoma"/>
                <w:sz w:val="16"/>
                <w:szCs w:val="16"/>
              </w:rPr>
              <w:t xml:space="preserve">0008471009, </w:t>
            </w:r>
            <w:r>
              <w:rPr>
                <w:rFonts w:ascii="Tahoma" w:hAnsi="Tahoma" w:cs="Tahoma"/>
                <w:sz w:val="16"/>
                <w:szCs w:val="16"/>
                <w:lang w:val="en-US"/>
              </w:rPr>
              <w:t>CFI</w:t>
            </w:r>
            <w:r w:rsidRPr="00FC75C4">
              <w:rPr>
                <w:rFonts w:ascii="Tahoma" w:hAnsi="Tahoma" w:cs="Tahoma"/>
                <w:sz w:val="16"/>
                <w:szCs w:val="16"/>
              </w:rPr>
              <w:t>:</w:t>
            </w:r>
            <w:r w:rsidRPr="00FC75C4">
              <w:t xml:space="preserve"> </w:t>
            </w:r>
            <w:r w:rsidRPr="00F8455C">
              <w:rPr>
                <w:rFonts w:ascii="Tahoma" w:hAnsi="Tahoma" w:cs="Tahoma"/>
                <w:sz w:val="16"/>
                <w:szCs w:val="16"/>
                <w:lang w:val="en-US"/>
              </w:rPr>
              <w:t>CEOIMS</w:t>
            </w:r>
            <w:r w:rsidRPr="00FC75C4">
              <w:rPr>
                <w:rFonts w:ascii="Tahoma" w:hAnsi="Tahoma" w:cs="Tahoma"/>
                <w:sz w:val="16"/>
                <w:szCs w:val="16"/>
              </w:rPr>
              <w:t>)</w:t>
            </w:r>
          </w:p>
        </w:tc>
        <w:tc>
          <w:tcPr>
            <w:tcW w:w="1905" w:type="dxa"/>
            <w:vAlign w:val="center"/>
          </w:tcPr>
          <w:p w14:paraId="22D84F7C" w14:textId="67B2578E" w:rsidR="008F634D" w:rsidRDefault="008F634D" w:rsidP="008F634D">
            <w:pPr>
              <w:rPr>
                <w:rFonts w:ascii="Tahoma" w:hAnsi="Tahoma"/>
                <w:sz w:val="16"/>
              </w:rPr>
            </w:pPr>
            <w:r>
              <w:rPr>
                <w:rFonts w:ascii="Tahoma" w:hAnsi="Tahoma"/>
                <w:sz w:val="16"/>
              </w:rPr>
              <w:t>100 ETF share</w:t>
            </w:r>
          </w:p>
        </w:tc>
        <w:tc>
          <w:tcPr>
            <w:tcW w:w="1356" w:type="dxa"/>
            <w:vAlign w:val="center"/>
          </w:tcPr>
          <w:p w14:paraId="5F6DFC45" w14:textId="5F3F240B" w:rsidR="008F634D" w:rsidRDefault="008F634D" w:rsidP="008F634D">
            <w:pPr>
              <w:rPr>
                <w:rFonts w:ascii="Tahoma" w:hAnsi="Tahoma"/>
                <w:sz w:val="16"/>
              </w:rPr>
            </w:pPr>
            <w:r>
              <w:rPr>
                <w:rFonts w:ascii="Tahoma" w:hAnsi="Tahoma" w:cs="Tahoma"/>
                <w:sz w:val="16"/>
                <w:szCs w:val="16"/>
                <w:lang w:val="en-US"/>
              </w:rPr>
              <w:t xml:space="preserve">EUR </w:t>
            </w:r>
            <w:r>
              <w:rPr>
                <w:rFonts w:ascii="Tahoma" w:hAnsi="Tahoma" w:cs="Tahoma"/>
                <w:sz w:val="16"/>
                <w:szCs w:val="16"/>
                <w:lang w:val="en-US"/>
              </w:rPr>
              <w:t>0,1</w:t>
            </w:r>
          </w:p>
        </w:tc>
        <w:tc>
          <w:tcPr>
            <w:tcW w:w="1402" w:type="dxa"/>
            <w:vAlign w:val="center"/>
          </w:tcPr>
          <w:p w14:paraId="1973D410" w14:textId="2E65A581" w:rsidR="008F634D" w:rsidRDefault="008F634D" w:rsidP="008F634D">
            <w:pPr>
              <w:rPr>
                <w:rFonts w:ascii="Tahoma" w:hAnsi="Tahoma"/>
                <w:sz w:val="16"/>
              </w:rPr>
            </w:pPr>
            <w:r>
              <w:rPr>
                <w:rFonts w:ascii="Tahoma" w:hAnsi="Tahoma" w:cs="Tahoma"/>
                <w:sz w:val="16"/>
                <w:szCs w:val="16"/>
                <w:lang w:val="en-US"/>
              </w:rPr>
              <w:t xml:space="preserve">EUR </w:t>
            </w:r>
            <w:r>
              <w:rPr>
                <w:rFonts w:ascii="Tahoma" w:hAnsi="Tahoma" w:cs="Tahoma"/>
                <w:sz w:val="16"/>
                <w:szCs w:val="16"/>
                <w:lang w:val="en-US"/>
              </w:rPr>
              <w:t>0,001</w:t>
            </w:r>
            <w:r>
              <w:rPr>
                <w:rFonts w:ascii="Tahoma" w:hAnsi="Tahoma" w:cs="Tahoma"/>
                <w:sz w:val="16"/>
                <w:szCs w:val="16"/>
              </w:rPr>
              <w:t xml:space="preserve"> </w:t>
            </w:r>
          </w:p>
        </w:tc>
        <w:tc>
          <w:tcPr>
            <w:tcW w:w="2803" w:type="dxa"/>
            <w:vAlign w:val="center"/>
          </w:tcPr>
          <w:p w14:paraId="0B9B19FF" w14:textId="7FAA33A7" w:rsidR="008F634D" w:rsidRDefault="008F634D" w:rsidP="008F634D">
            <w:pPr>
              <w:rPr>
                <w:rFonts w:ascii="Tahoma" w:hAnsi="Tahoma"/>
                <w:sz w:val="14"/>
              </w:rPr>
            </w:pPr>
            <w:r w:rsidRPr="008F634D">
              <w:rPr>
                <w:rFonts w:ascii="Tahoma" w:hAnsi="Tahoma"/>
                <w:sz w:val="14"/>
              </w:rPr>
              <w:t>The settlement price of the Contract shall be deemed equal to the Net Value (NAV) of the iShares Core EURO STOXX 50 UCITS ETF EUR Investment Unit (</w:t>
            </w:r>
            <w:proofErr w:type="spellStart"/>
            <w:r w:rsidRPr="008F634D">
              <w:rPr>
                <w:rFonts w:ascii="Tahoma" w:hAnsi="Tahoma"/>
                <w:sz w:val="14"/>
              </w:rPr>
              <w:t>Dist</w:t>
            </w:r>
            <w:proofErr w:type="spellEnd"/>
            <w:r w:rsidRPr="008F634D">
              <w:rPr>
                <w:rFonts w:ascii="Tahoma" w:hAnsi="Tahoma"/>
                <w:sz w:val="14"/>
              </w:rPr>
              <w:t>), which is published by the Interfax news agency for the day preceding the execution day, rounded to the nearest two decimal places, multiplied by 100</w:t>
            </w:r>
          </w:p>
        </w:tc>
        <w:tc>
          <w:tcPr>
            <w:tcW w:w="1145" w:type="dxa"/>
            <w:vAlign w:val="center"/>
          </w:tcPr>
          <w:p w14:paraId="5840F73E" w14:textId="5A0BBB4F" w:rsidR="008F634D" w:rsidRDefault="008F634D" w:rsidP="008F634D">
            <w:pPr>
              <w:rPr>
                <w:rFonts w:ascii="Tahoma" w:hAnsi="Tahoma"/>
                <w:sz w:val="16"/>
              </w:rPr>
            </w:pPr>
            <w:r>
              <w:rPr>
                <w:rFonts w:ascii="Tahoma" w:hAnsi="Tahoma"/>
                <w:sz w:val="16"/>
              </w:rPr>
              <w:t>EUR</w:t>
            </w:r>
          </w:p>
        </w:tc>
        <w:tc>
          <w:tcPr>
            <w:tcW w:w="1617" w:type="dxa"/>
            <w:vAlign w:val="center"/>
          </w:tcPr>
          <w:p w14:paraId="4F59FAC9" w14:textId="7DFA08C0" w:rsidR="008F634D" w:rsidRDefault="008F634D" w:rsidP="008F634D">
            <w:pPr>
              <w:rPr>
                <w:rFonts w:ascii="Tahoma" w:hAnsi="Tahoma"/>
                <w:sz w:val="16"/>
              </w:rPr>
            </w:pPr>
            <w:r>
              <w:rPr>
                <w:rFonts w:ascii="Tahoma" w:hAnsi="Tahoma"/>
                <w:sz w:val="16"/>
              </w:rPr>
              <w:t>3rd (third) Friday of the month and year of the Contract</w:t>
            </w:r>
          </w:p>
        </w:tc>
      </w:tr>
      <w:tr w:rsidR="00100492" w:rsidRPr="00812C8E" w14:paraId="0B9507C3" w14:textId="77777777" w:rsidTr="00E74464">
        <w:trPr>
          <w:trHeight w:val="1730"/>
        </w:trPr>
        <w:tc>
          <w:tcPr>
            <w:tcW w:w="494" w:type="dxa"/>
            <w:vAlign w:val="center"/>
          </w:tcPr>
          <w:p w14:paraId="2E1E610F" w14:textId="426A3F77" w:rsidR="00100492" w:rsidRPr="00B51CB0" w:rsidRDefault="00100492" w:rsidP="00100492">
            <w:pPr>
              <w:rPr>
                <w:rFonts w:ascii="Tahoma" w:hAnsi="Tahoma"/>
                <w:sz w:val="16"/>
                <w:lang w:val="ru-RU"/>
              </w:rPr>
            </w:pPr>
            <w:r>
              <w:rPr>
                <w:rFonts w:ascii="Tahoma" w:hAnsi="Tahoma"/>
                <w:sz w:val="16"/>
                <w:lang w:val="ru-RU"/>
              </w:rPr>
              <w:t>5.</w:t>
            </w:r>
          </w:p>
        </w:tc>
        <w:tc>
          <w:tcPr>
            <w:tcW w:w="1911" w:type="dxa"/>
            <w:vAlign w:val="center"/>
          </w:tcPr>
          <w:p w14:paraId="5E7E41D5" w14:textId="7B143B79" w:rsidR="00100492" w:rsidRDefault="00100492" w:rsidP="00100492">
            <w:pPr>
              <w:rPr>
                <w:rFonts w:ascii="Tahoma" w:hAnsi="Tahoma"/>
                <w:sz w:val="16"/>
              </w:rPr>
            </w:pPr>
            <w:r>
              <w:rPr>
                <w:rFonts w:ascii="Tahoma" w:hAnsi="Tahoma"/>
                <w:sz w:val="16"/>
              </w:rPr>
              <w:t xml:space="preserve">Financially settled </w:t>
            </w:r>
            <w:r w:rsidRPr="00076FB9">
              <w:rPr>
                <w:rFonts w:ascii="Tahoma" w:hAnsi="Tahoma" w:cs="Tahoma"/>
                <w:sz w:val="16"/>
                <w:szCs w:val="16"/>
              </w:rPr>
              <w:t>iShares Core DAX UCITS ETF (DE)</w:t>
            </w:r>
            <w:r>
              <w:rPr>
                <w:rFonts w:ascii="Tahoma" w:hAnsi="Tahoma" w:cs="Tahoma"/>
                <w:sz w:val="16"/>
                <w:szCs w:val="16"/>
              </w:rPr>
              <w:t xml:space="preserve"> </w:t>
            </w:r>
            <w:r>
              <w:rPr>
                <w:rFonts w:ascii="Tahoma" w:hAnsi="Tahoma"/>
                <w:sz w:val="16"/>
              </w:rPr>
              <w:t>Futures contract</w:t>
            </w:r>
          </w:p>
        </w:tc>
        <w:tc>
          <w:tcPr>
            <w:tcW w:w="1397" w:type="dxa"/>
            <w:vAlign w:val="center"/>
          </w:tcPr>
          <w:p w14:paraId="2CB069DD" w14:textId="3F9E8BFA" w:rsidR="00100492" w:rsidRDefault="00100492" w:rsidP="00100492">
            <w:pPr>
              <w:rPr>
                <w:rFonts w:ascii="Tahoma" w:hAnsi="Tahoma"/>
                <w:sz w:val="16"/>
              </w:rPr>
            </w:pPr>
            <w:r w:rsidRPr="00076FB9">
              <w:rPr>
                <w:rFonts w:ascii="Tahoma" w:hAnsi="Tahoma" w:cs="Tahoma"/>
                <w:sz w:val="16"/>
                <w:szCs w:val="16"/>
              </w:rPr>
              <w:t>DAX</w:t>
            </w:r>
          </w:p>
        </w:tc>
        <w:tc>
          <w:tcPr>
            <w:tcW w:w="2004" w:type="dxa"/>
            <w:vAlign w:val="center"/>
          </w:tcPr>
          <w:p w14:paraId="06DA02D4" w14:textId="466CA675" w:rsidR="00100492" w:rsidRDefault="00100492" w:rsidP="00100492">
            <w:pPr>
              <w:rPr>
                <w:rFonts w:ascii="Tahoma" w:hAnsi="Tahoma"/>
                <w:sz w:val="16"/>
              </w:rPr>
            </w:pPr>
            <w:r w:rsidRPr="00731A3F">
              <w:rPr>
                <w:rFonts w:ascii="Tahoma" w:hAnsi="Tahoma" w:cs="Tahoma"/>
                <w:sz w:val="16"/>
                <w:szCs w:val="16"/>
                <w:lang w:val="en-US"/>
              </w:rPr>
              <w:t>iShares Core DAX UCITS ETF (DE)</w:t>
            </w:r>
            <w:r>
              <w:rPr>
                <w:rFonts w:ascii="Tahoma" w:hAnsi="Tahoma" w:cs="Tahoma"/>
                <w:sz w:val="16"/>
                <w:szCs w:val="16"/>
                <w:lang w:val="en-US"/>
              </w:rPr>
              <w:t xml:space="preserve"> (ISIN: </w:t>
            </w:r>
            <w:r w:rsidRPr="00076FB9">
              <w:rPr>
                <w:rFonts w:ascii="Tahoma" w:hAnsi="Tahoma" w:cs="Tahoma"/>
                <w:sz w:val="16"/>
                <w:szCs w:val="16"/>
                <w:lang w:val="en-US"/>
              </w:rPr>
              <w:t>DE0005933931</w:t>
            </w:r>
            <w:r>
              <w:rPr>
                <w:rFonts w:ascii="Tahoma" w:hAnsi="Tahoma" w:cs="Tahoma"/>
                <w:sz w:val="16"/>
                <w:szCs w:val="16"/>
                <w:lang w:val="en-US"/>
              </w:rPr>
              <w:t xml:space="preserve">, CFI: </w:t>
            </w:r>
            <w:r w:rsidRPr="00F8455C">
              <w:rPr>
                <w:rFonts w:ascii="Tahoma" w:hAnsi="Tahoma" w:cs="Tahoma"/>
                <w:sz w:val="16"/>
                <w:szCs w:val="16"/>
                <w:lang w:val="en-US"/>
              </w:rPr>
              <w:t>CEOGEU</w:t>
            </w:r>
            <w:r>
              <w:rPr>
                <w:rFonts w:ascii="Tahoma" w:hAnsi="Tahoma" w:cs="Tahoma"/>
                <w:sz w:val="16"/>
                <w:szCs w:val="16"/>
                <w:lang w:val="en-US"/>
              </w:rPr>
              <w:t>)</w:t>
            </w:r>
          </w:p>
        </w:tc>
        <w:tc>
          <w:tcPr>
            <w:tcW w:w="1905" w:type="dxa"/>
            <w:vAlign w:val="center"/>
          </w:tcPr>
          <w:p w14:paraId="74AB33B0" w14:textId="6B8FE7DE" w:rsidR="00100492" w:rsidRDefault="00100492" w:rsidP="00100492">
            <w:pPr>
              <w:rPr>
                <w:rFonts w:ascii="Tahoma" w:hAnsi="Tahoma"/>
                <w:sz w:val="16"/>
              </w:rPr>
            </w:pPr>
            <w:r>
              <w:rPr>
                <w:rFonts w:ascii="Tahoma" w:hAnsi="Tahoma"/>
                <w:sz w:val="16"/>
              </w:rPr>
              <w:t>100 ETF share</w:t>
            </w:r>
          </w:p>
        </w:tc>
        <w:tc>
          <w:tcPr>
            <w:tcW w:w="1356" w:type="dxa"/>
            <w:vAlign w:val="center"/>
          </w:tcPr>
          <w:p w14:paraId="66EADB60" w14:textId="030465E4" w:rsidR="00100492" w:rsidRDefault="00100492" w:rsidP="00100492">
            <w:pPr>
              <w:rPr>
                <w:rFonts w:ascii="Tahoma" w:hAnsi="Tahoma"/>
                <w:sz w:val="16"/>
              </w:rPr>
            </w:pPr>
            <w:r>
              <w:rPr>
                <w:rFonts w:ascii="Tahoma" w:hAnsi="Tahoma" w:cs="Tahoma"/>
                <w:sz w:val="16"/>
                <w:szCs w:val="16"/>
                <w:lang w:val="en-US"/>
              </w:rPr>
              <w:t>EUR 1</w:t>
            </w:r>
          </w:p>
        </w:tc>
        <w:tc>
          <w:tcPr>
            <w:tcW w:w="1402" w:type="dxa"/>
            <w:vAlign w:val="center"/>
          </w:tcPr>
          <w:p w14:paraId="5AEED634" w14:textId="5AC5845D" w:rsidR="00100492" w:rsidRDefault="00100492" w:rsidP="00100492">
            <w:pPr>
              <w:rPr>
                <w:rFonts w:ascii="Tahoma" w:hAnsi="Tahoma"/>
                <w:sz w:val="16"/>
              </w:rPr>
            </w:pPr>
            <w:r>
              <w:rPr>
                <w:rFonts w:ascii="Tahoma" w:hAnsi="Tahoma" w:cs="Tahoma"/>
                <w:sz w:val="16"/>
                <w:szCs w:val="16"/>
                <w:lang w:val="en-US"/>
              </w:rPr>
              <w:t>EUR 0,01</w:t>
            </w:r>
            <w:r>
              <w:rPr>
                <w:rFonts w:ascii="Tahoma" w:hAnsi="Tahoma" w:cs="Tahoma"/>
                <w:sz w:val="16"/>
                <w:szCs w:val="16"/>
              </w:rPr>
              <w:t xml:space="preserve"> </w:t>
            </w:r>
          </w:p>
        </w:tc>
        <w:tc>
          <w:tcPr>
            <w:tcW w:w="2803" w:type="dxa"/>
            <w:vAlign w:val="center"/>
          </w:tcPr>
          <w:p w14:paraId="179C6B0D" w14:textId="3CE66F1F" w:rsidR="00100492" w:rsidRDefault="00100492" w:rsidP="00100492">
            <w:pPr>
              <w:rPr>
                <w:rFonts w:ascii="Tahoma" w:hAnsi="Tahoma"/>
                <w:sz w:val="14"/>
              </w:rPr>
            </w:pPr>
            <w:r w:rsidRPr="00100492">
              <w:rPr>
                <w:rFonts w:ascii="Tahoma" w:hAnsi="Tahoma"/>
                <w:sz w:val="14"/>
              </w:rPr>
              <w:t>The settlement price of the Contract is considered equal to the Net Value (NAV) of the iShares Core DAX UCITS ETF (DE) Investment Unit, which is published by the Interfax news agency for the day preceding the date of execution, rounded to the nearest two decimal places, multiplied by 100</w:t>
            </w:r>
          </w:p>
        </w:tc>
        <w:tc>
          <w:tcPr>
            <w:tcW w:w="1145" w:type="dxa"/>
            <w:vAlign w:val="center"/>
          </w:tcPr>
          <w:p w14:paraId="66C38340" w14:textId="02C85A16" w:rsidR="00100492" w:rsidRDefault="00100492" w:rsidP="00100492">
            <w:pPr>
              <w:rPr>
                <w:rFonts w:ascii="Tahoma" w:hAnsi="Tahoma"/>
                <w:sz w:val="16"/>
              </w:rPr>
            </w:pPr>
            <w:r>
              <w:rPr>
                <w:rFonts w:ascii="Tahoma" w:hAnsi="Tahoma"/>
                <w:sz w:val="16"/>
              </w:rPr>
              <w:t>EUR</w:t>
            </w:r>
          </w:p>
        </w:tc>
        <w:tc>
          <w:tcPr>
            <w:tcW w:w="1617" w:type="dxa"/>
            <w:vAlign w:val="center"/>
          </w:tcPr>
          <w:p w14:paraId="758F0A8F" w14:textId="7C2EAB40" w:rsidR="00100492" w:rsidRDefault="00100492" w:rsidP="00100492">
            <w:pPr>
              <w:rPr>
                <w:rFonts w:ascii="Tahoma" w:hAnsi="Tahoma"/>
                <w:sz w:val="16"/>
              </w:rPr>
            </w:pPr>
            <w:r>
              <w:rPr>
                <w:rFonts w:ascii="Tahoma" w:hAnsi="Tahoma"/>
                <w:sz w:val="16"/>
              </w:rPr>
              <w:t>3rd (third) Friday of the month and year of the Contract</w:t>
            </w:r>
          </w:p>
        </w:tc>
      </w:tr>
      <w:tr w:rsidR="00100492" w:rsidRPr="00812C8E" w14:paraId="25ED7B63" w14:textId="77777777" w:rsidTr="00E74464">
        <w:trPr>
          <w:trHeight w:val="1730"/>
        </w:trPr>
        <w:tc>
          <w:tcPr>
            <w:tcW w:w="494" w:type="dxa"/>
            <w:vAlign w:val="center"/>
          </w:tcPr>
          <w:p w14:paraId="4AA70B56" w14:textId="1976E35A" w:rsidR="00100492" w:rsidRPr="00B51CB0" w:rsidRDefault="00100492" w:rsidP="00100492">
            <w:pPr>
              <w:rPr>
                <w:rFonts w:ascii="Tahoma" w:hAnsi="Tahoma"/>
                <w:sz w:val="16"/>
                <w:lang w:val="ru-RU"/>
              </w:rPr>
            </w:pPr>
            <w:r>
              <w:rPr>
                <w:rFonts w:ascii="Tahoma" w:hAnsi="Tahoma"/>
                <w:sz w:val="16"/>
                <w:lang w:val="ru-RU"/>
              </w:rPr>
              <w:t>6.</w:t>
            </w:r>
          </w:p>
        </w:tc>
        <w:tc>
          <w:tcPr>
            <w:tcW w:w="1911" w:type="dxa"/>
            <w:vAlign w:val="center"/>
          </w:tcPr>
          <w:p w14:paraId="056AB7E4" w14:textId="2A7D29BF" w:rsidR="00100492" w:rsidRDefault="00100492" w:rsidP="00100492">
            <w:pPr>
              <w:rPr>
                <w:rFonts w:ascii="Tahoma" w:hAnsi="Tahoma"/>
                <w:sz w:val="16"/>
              </w:rPr>
            </w:pPr>
            <w:r>
              <w:rPr>
                <w:rFonts w:ascii="Tahoma" w:hAnsi="Tahoma"/>
                <w:sz w:val="16"/>
              </w:rPr>
              <w:t xml:space="preserve">Financially settled </w:t>
            </w:r>
            <w:r w:rsidRPr="00076FB9">
              <w:rPr>
                <w:rFonts w:ascii="Tahoma" w:hAnsi="Tahoma" w:cs="Tahoma"/>
                <w:sz w:val="16"/>
                <w:szCs w:val="16"/>
              </w:rPr>
              <w:t>iShares Core Nikkei 225</w:t>
            </w:r>
            <w:r>
              <w:t xml:space="preserve"> </w:t>
            </w:r>
            <w:r w:rsidRPr="00F8455C">
              <w:rPr>
                <w:rFonts w:ascii="Tahoma" w:hAnsi="Tahoma" w:cs="Tahoma"/>
                <w:sz w:val="16"/>
                <w:szCs w:val="16"/>
              </w:rPr>
              <w:t xml:space="preserve">UCITS </w:t>
            </w:r>
            <w:r w:rsidRPr="00076FB9">
              <w:rPr>
                <w:rFonts w:ascii="Tahoma" w:hAnsi="Tahoma" w:cs="Tahoma"/>
                <w:sz w:val="16"/>
                <w:szCs w:val="16"/>
              </w:rPr>
              <w:t>ETF</w:t>
            </w:r>
            <w:r>
              <w:rPr>
                <w:rFonts w:ascii="Tahoma" w:hAnsi="Tahoma"/>
                <w:sz w:val="16"/>
              </w:rPr>
              <w:t xml:space="preserve"> </w:t>
            </w:r>
            <w:r>
              <w:rPr>
                <w:rFonts w:ascii="Tahoma" w:hAnsi="Tahoma"/>
                <w:sz w:val="16"/>
              </w:rPr>
              <w:t>Futures contract</w:t>
            </w:r>
          </w:p>
        </w:tc>
        <w:tc>
          <w:tcPr>
            <w:tcW w:w="1397" w:type="dxa"/>
            <w:vAlign w:val="center"/>
          </w:tcPr>
          <w:p w14:paraId="6A1D4A8A" w14:textId="1CDFDA7F" w:rsidR="00100492" w:rsidRDefault="00100492" w:rsidP="00100492">
            <w:pPr>
              <w:rPr>
                <w:rFonts w:ascii="Tahoma" w:hAnsi="Tahoma"/>
                <w:sz w:val="16"/>
              </w:rPr>
            </w:pPr>
            <w:r w:rsidRPr="00076FB9">
              <w:rPr>
                <w:rFonts w:ascii="Tahoma" w:hAnsi="Tahoma" w:cs="Tahoma"/>
                <w:sz w:val="16"/>
                <w:szCs w:val="16"/>
              </w:rPr>
              <w:t>NIKK</w:t>
            </w:r>
          </w:p>
        </w:tc>
        <w:tc>
          <w:tcPr>
            <w:tcW w:w="2004" w:type="dxa"/>
            <w:vAlign w:val="center"/>
          </w:tcPr>
          <w:p w14:paraId="00C1907D" w14:textId="207ABCE9" w:rsidR="00100492" w:rsidRDefault="00100492" w:rsidP="00100492">
            <w:pPr>
              <w:rPr>
                <w:rFonts w:ascii="Tahoma" w:hAnsi="Tahoma"/>
                <w:sz w:val="16"/>
              </w:rPr>
            </w:pPr>
            <w:r w:rsidRPr="00731A3F">
              <w:rPr>
                <w:rFonts w:ascii="Tahoma" w:hAnsi="Tahoma" w:cs="Tahoma"/>
                <w:sz w:val="16"/>
                <w:szCs w:val="16"/>
                <w:lang w:val="en-US"/>
              </w:rPr>
              <w:t>iShares</w:t>
            </w:r>
            <w:r w:rsidRPr="00076FB9">
              <w:rPr>
                <w:rFonts w:ascii="Tahoma" w:hAnsi="Tahoma" w:cs="Tahoma"/>
                <w:sz w:val="16"/>
                <w:szCs w:val="16"/>
              </w:rPr>
              <w:t xml:space="preserve"> </w:t>
            </w:r>
            <w:r w:rsidRPr="00731A3F">
              <w:rPr>
                <w:rFonts w:ascii="Tahoma" w:hAnsi="Tahoma" w:cs="Tahoma"/>
                <w:sz w:val="16"/>
                <w:szCs w:val="16"/>
                <w:lang w:val="en-US"/>
              </w:rPr>
              <w:t>Core</w:t>
            </w:r>
            <w:r w:rsidRPr="00076FB9">
              <w:rPr>
                <w:rFonts w:ascii="Tahoma" w:hAnsi="Tahoma" w:cs="Tahoma"/>
                <w:sz w:val="16"/>
                <w:szCs w:val="16"/>
              </w:rPr>
              <w:t xml:space="preserve"> </w:t>
            </w:r>
            <w:r w:rsidRPr="00731A3F">
              <w:rPr>
                <w:rFonts w:ascii="Tahoma" w:hAnsi="Tahoma" w:cs="Tahoma"/>
                <w:sz w:val="16"/>
                <w:szCs w:val="16"/>
                <w:lang w:val="en-US"/>
              </w:rPr>
              <w:t>Nikkei</w:t>
            </w:r>
            <w:r w:rsidRPr="00076FB9">
              <w:rPr>
                <w:rFonts w:ascii="Tahoma" w:hAnsi="Tahoma" w:cs="Tahoma"/>
                <w:sz w:val="16"/>
                <w:szCs w:val="16"/>
              </w:rPr>
              <w:t xml:space="preserve"> 225 </w:t>
            </w:r>
            <w:r w:rsidRPr="00731A3F">
              <w:rPr>
                <w:rFonts w:ascii="Tahoma" w:hAnsi="Tahoma" w:cs="Tahoma"/>
                <w:sz w:val="16"/>
                <w:szCs w:val="16"/>
                <w:lang w:val="en-US"/>
              </w:rPr>
              <w:t>ETF</w:t>
            </w:r>
            <w:r w:rsidRPr="00731A3F">
              <w:rPr>
                <w:rFonts w:ascii="Tahoma" w:hAnsi="Tahoma" w:cs="Tahoma"/>
                <w:sz w:val="16"/>
                <w:szCs w:val="16"/>
              </w:rPr>
              <w:t xml:space="preserve"> (</w:t>
            </w:r>
            <w:r w:rsidRPr="00076FB9">
              <w:rPr>
                <w:rFonts w:ascii="Tahoma" w:hAnsi="Tahoma" w:cs="Tahoma"/>
                <w:sz w:val="16"/>
                <w:szCs w:val="16"/>
                <w:lang w:val="en-US"/>
              </w:rPr>
              <w:t>ISIN</w:t>
            </w:r>
            <w:r w:rsidRPr="00731A3F">
              <w:rPr>
                <w:rFonts w:ascii="Tahoma" w:hAnsi="Tahoma" w:cs="Tahoma"/>
                <w:sz w:val="16"/>
                <w:szCs w:val="16"/>
              </w:rPr>
              <w:t xml:space="preserve">: </w:t>
            </w:r>
            <w:r w:rsidRPr="00076FB9">
              <w:rPr>
                <w:rFonts w:ascii="Tahoma" w:hAnsi="Tahoma" w:cs="Tahoma"/>
                <w:sz w:val="16"/>
                <w:szCs w:val="16"/>
                <w:lang w:val="en-US"/>
              </w:rPr>
              <w:t>JP</w:t>
            </w:r>
            <w:r w:rsidRPr="00731A3F">
              <w:rPr>
                <w:rFonts w:ascii="Tahoma" w:hAnsi="Tahoma" w:cs="Tahoma"/>
                <w:sz w:val="16"/>
                <w:szCs w:val="16"/>
              </w:rPr>
              <w:t xml:space="preserve">3027710007, </w:t>
            </w:r>
            <w:r>
              <w:rPr>
                <w:rFonts w:ascii="Tahoma" w:hAnsi="Tahoma" w:cs="Tahoma"/>
                <w:sz w:val="16"/>
                <w:szCs w:val="16"/>
                <w:lang w:val="en-US"/>
              </w:rPr>
              <w:t>CFI</w:t>
            </w:r>
            <w:r w:rsidRPr="00731A3F">
              <w:rPr>
                <w:rFonts w:ascii="Tahoma" w:hAnsi="Tahoma" w:cs="Tahoma"/>
                <w:sz w:val="16"/>
                <w:szCs w:val="16"/>
              </w:rPr>
              <w:t xml:space="preserve">: </w:t>
            </w:r>
            <w:r w:rsidRPr="00F8455C">
              <w:rPr>
                <w:rFonts w:ascii="Tahoma" w:hAnsi="Tahoma" w:cs="Tahoma"/>
                <w:sz w:val="16"/>
                <w:szCs w:val="16"/>
              </w:rPr>
              <w:t>CECIES</w:t>
            </w:r>
            <w:r w:rsidRPr="00731A3F">
              <w:rPr>
                <w:rFonts w:ascii="Tahoma" w:hAnsi="Tahoma" w:cs="Tahoma"/>
                <w:sz w:val="16"/>
                <w:szCs w:val="16"/>
              </w:rPr>
              <w:t>)</w:t>
            </w:r>
          </w:p>
        </w:tc>
        <w:tc>
          <w:tcPr>
            <w:tcW w:w="1905" w:type="dxa"/>
            <w:vAlign w:val="center"/>
          </w:tcPr>
          <w:p w14:paraId="1CD0C4A8" w14:textId="6FBE7655" w:rsidR="00100492" w:rsidRDefault="00100492" w:rsidP="00100492">
            <w:pPr>
              <w:rPr>
                <w:rFonts w:ascii="Tahoma" w:hAnsi="Tahoma"/>
                <w:sz w:val="16"/>
              </w:rPr>
            </w:pPr>
            <w:r>
              <w:rPr>
                <w:rFonts w:ascii="Tahoma" w:hAnsi="Tahoma"/>
                <w:sz w:val="16"/>
              </w:rPr>
              <w:t>1 ETF share</w:t>
            </w:r>
          </w:p>
        </w:tc>
        <w:tc>
          <w:tcPr>
            <w:tcW w:w="1356" w:type="dxa"/>
            <w:vAlign w:val="center"/>
          </w:tcPr>
          <w:p w14:paraId="1015322F" w14:textId="2EC12FF9" w:rsidR="00100492" w:rsidRDefault="00100492" w:rsidP="00100492">
            <w:pPr>
              <w:rPr>
                <w:rFonts w:ascii="Tahoma" w:hAnsi="Tahoma"/>
                <w:sz w:val="16"/>
              </w:rPr>
            </w:pPr>
            <w:r>
              <w:rPr>
                <w:rFonts w:ascii="Tahoma" w:hAnsi="Tahoma" w:cs="Tahoma"/>
                <w:sz w:val="16"/>
                <w:szCs w:val="16"/>
                <w:lang w:val="en-US"/>
              </w:rPr>
              <w:t>JPY</w:t>
            </w:r>
            <w:r>
              <w:rPr>
                <w:rFonts w:ascii="Tahoma" w:hAnsi="Tahoma" w:cs="Tahoma"/>
                <w:sz w:val="16"/>
                <w:szCs w:val="16"/>
                <w:lang w:val="en-US"/>
              </w:rPr>
              <w:t xml:space="preserve"> 1</w:t>
            </w:r>
          </w:p>
        </w:tc>
        <w:tc>
          <w:tcPr>
            <w:tcW w:w="1402" w:type="dxa"/>
            <w:vAlign w:val="center"/>
          </w:tcPr>
          <w:p w14:paraId="1832E931" w14:textId="13A1DC93" w:rsidR="00100492" w:rsidRDefault="00100492" w:rsidP="00100492">
            <w:pPr>
              <w:rPr>
                <w:rFonts w:ascii="Tahoma" w:hAnsi="Tahoma"/>
                <w:sz w:val="16"/>
              </w:rPr>
            </w:pPr>
            <w:r>
              <w:rPr>
                <w:rFonts w:ascii="Tahoma" w:hAnsi="Tahoma" w:cs="Tahoma"/>
                <w:sz w:val="16"/>
                <w:szCs w:val="16"/>
                <w:lang w:val="en-US"/>
              </w:rPr>
              <w:t>JPY</w:t>
            </w:r>
            <w:r>
              <w:rPr>
                <w:rFonts w:ascii="Tahoma" w:hAnsi="Tahoma" w:cs="Tahoma"/>
                <w:sz w:val="16"/>
                <w:szCs w:val="16"/>
                <w:lang w:val="en-US"/>
              </w:rPr>
              <w:t xml:space="preserve"> </w:t>
            </w:r>
            <w:r>
              <w:rPr>
                <w:rFonts w:ascii="Tahoma" w:hAnsi="Tahoma" w:cs="Tahoma"/>
                <w:sz w:val="16"/>
                <w:szCs w:val="16"/>
                <w:lang w:val="en-US"/>
              </w:rPr>
              <w:t xml:space="preserve"> 0,1</w:t>
            </w:r>
            <w:r>
              <w:rPr>
                <w:rFonts w:ascii="Tahoma" w:hAnsi="Tahoma" w:cs="Tahoma"/>
                <w:sz w:val="16"/>
                <w:szCs w:val="16"/>
              </w:rPr>
              <w:t xml:space="preserve"> </w:t>
            </w:r>
          </w:p>
        </w:tc>
        <w:tc>
          <w:tcPr>
            <w:tcW w:w="2803" w:type="dxa"/>
            <w:vAlign w:val="center"/>
          </w:tcPr>
          <w:p w14:paraId="7428A9CB" w14:textId="55E3124A" w:rsidR="00100492" w:rsidRDefault="00100492" w:rsidP="00100492">
            <w:pPr>
              <w:rPr>
                <w:rFonts w:ascii="Tahoma" w:hAnsi="Tahoma"/>
                <w:sz w:val="14"/>
              </w:rPr>
            </w:pPr>
            <w:r w:rsidRPr="00100492">
              <w:rPr>
                <w:rFonts w:ascii="Tahoma" w:hAnsi="Tahoma"/>
                <w:sz w:val="14"/>
              </w:rPr>
              <w:t>The settlement price of the Contract is considered equal to the net value (NAV) of the iShares Core Nikkei 225 ETF Investment Unit, which is published by the Interfax news agency for the day preceding the date of execution, rounded to the nearest two decimal places</w:t>
            </w:r>
          </w:p>
        </w:tc>
        <w:tc>
          <w:tcPr>
            <w:tcW w:w="1145" w:type="dxa"/>
            <w:vAlign w:val="center"/>
          </w:tcPr>
          <w:p w14:paraId="5706C0A7" w14:textId="13359275" w:rsidR="00100492" w:rsidRDefault="00100492" w:rsidP="00100492">
            <w:pPr>
              <w:rPr>
                <w:rFonts w:ascii="Tahoma" w:hAnsi="Tahoma"/>
                <w:sz w:val="16"/>
              </w:rPr>
            </w:pPr>
            <w:r>
              <w:rPr>
                <w:rFonts w:ascii="Tahoma" w:hAnsi="Tahoma"/>
                <w:sz w:val="16"/>
              </w:rPr>
              <w:t>JPY</w:t>
            </w:r>
          </w:p>
        </w:tc>
        <w:tc>
          <w:tcPr>
            <w:tcW w:w="1617" w:type="dxa"/>
            <w:vAlign w:val="center"/>
          </w:tcPr>
          <w:p w14:paraId="3919981E" w14:textId="256CC00C" w:rsidR="00100492" w:rsidRDefault="00100492" w:rsidP="00100492">
            <w:pPr>
              <w:rPr>
                <w:rFonts w:ascii="Tahoma" w:hAnsi="Tahoma"/>
                <w:sz w:val="16"/>
              </w:rPr>
            </w:pPr>
            <w:r>
              <w:rPr>
                <w:rFonts w:ascii="Tahoma" w:hAnsi="Tahoma"/>
                <w:sz w:val="16"/>
              </w:rPr>
              <w:t>3rd (third) Friday of the month and year of the Contract</w:t>
            </w:r>
          </w:p>
        </w:tc>
      </w:tr>
    </w:tbl>
    <w:p w14:paraId="48688254" w14:textId="1DA2F8A1" w:rsidR="000429E3" w:rsidRPr="00100492" w:rsidRDefault="000429E3" w:rsidP="005D0D3D">
      <w:pPr>
        <w:pStyle w:val="a1"/>
        <w:numPr>
          <w:ilvl w:val="0"/>
          <w:numId w:val="0"/>
        </w:numPr>
        <w:tabs>
          <w:tab w:val="clear" w:pos="9000"/>
          <w:tab w:val="num" w:pos="851"/>
        </w:tabs>
        <w:spacing w:before="0" w:after="60"/>
        <w:rPr>
          <w:rFonts w:ascii="Tahoma" w:hAnsi="Tahoma" w:cs="Tahoma"/>
          <w:lang w:val="ru-RU"/>
        </w:rPr>
      </w:pPr>
    </w:p>
    <w:sectPr w:rsidR="000429E3" w:rsidRPr="00100492" w:rsidSect="00264959">
      <w:pgSz w:w="16838" w:h="11906" w:orient="landscape"/>
      <w:pgMar w:top="992"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5FEF4" w14:textId="77777777" w:rsidR="00687E2A" w:rsidRDefault="00687E2A" w:rsidP="002F7E61">
      <w:r>
        <w:separator/>
      </w:r>
    </w:p>
  </w:endnote>
  <w:endnote w:type="continuationSeparator" w:id="0">
    <w:p w14:paraId="37808A98" w14:textId="77777777" w:rsidR="00687E2A" w:rsidRDefault="00687E2A" w:rsidP="002F7E61">
      <w:r>
        <w:continuationSeparator/>
      </w:r>
    </w:p>
  </w:endnote>
  <w:endnote w:type="continuationNotice" w:id="1">
    <w:p w14:paraId="2E874136" w14:textId="77777777" w:rsidR="00687E2A" w:rsidRDefault="00687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A938" w14:textId="77777777" w:rsidR="00DD7AFE" w:rsidRDefault="009E545E" w:rsidP="00463EDB">
    <w:pPr>
      <w:pStyle w:val="af2"/>
      <w:framePr w:wrap="around" w:vAnchor="text" w:hAnchor="margin" w:xAlign="right" w:y="1"/>
      <w:rPr>
        <w:rStyle w:val="af4"/>
      </w:rPr>
    </w:pPr>
    <w:r>
      <w:rPr>
        <w:rStyle w:val="af4"/>
      </w:rPr>
      <w:fldChar w:fldCharType="begin"/>
    </w:r>
    <w:r w:rsidR="00DD7AFE">
      <w:rPr>
        <w:rStyle w:val="af4"/>
      </w:rPr>
      <w:instrText xml:space="preserve">PAGE  </w:instrText>
    </w:r>
    <w:r>
      <w:rPr>
        <w:rStyle w:val="af4"/>
      </w:rPr>
      <w:fldChar w:fldCharType="end"/>
    </w:r>
  </w:p>
  <w:p w14:paraId="4813C846" w14:textId="77777777" w:rsidR="00DD7AFE" w:rsidRDefault="00DD7AFE" w:rsidP="00463EDB">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DF65" w14:textId="77777777" w:rsidR="00DD7AFE" w:rsidRPr="003768A8" w:rsidRDefault="009E545E" w:rsidP="00463EDB">
    <w:pPr>
      <w:pStyle w:val="af2"/>
      <w:framePr w:wrap="around" w:vAnchor="text" w:hAnchor="margin" w:xAlign="right" w:y="1"/>
      <w:rPr>
        <w:rStyle w:val="af4"/>
        <w:rFonts w:ascii="Tahoma" w:hAnsi="Tahoma" w:cs="Tahoma"/>
        <w:sz w:val="20"/>
        <w:szCs w:val="22"/>
      </w:rPr>
    </w:pPr>
    <w:r w:rsidRPr="003768A8">
      <w:rPr>
        <w:rStyle w:val="af4"/>
        <w:rFonts w:ascii="Tahoma" w:hAnsi="Tahoma" w:cs="Tahoma"/>
        <w:sz w:val="20"/>
      </w:rPr>
      <w:fldChar w:fldCharType="begin"/>
    </w:r>
    <w:r w:rsidR="00DD7AFE" w:rsidRPr="003768A8">
      <w:rPr>
        <w:rStyle w:val="af4"/>
        <w:rFonts w:ascii="Tahoma" w:hAnsi="Tahoma" w:cs="Tahoma"/>
        <w:sz w:val="20"/>
      </w:rPr>
      <w:instrText xml:space="preserve">PAGE  </w:instrText>
    </w:r>
    <w:r w:rsidRPr="003768A8">
      <w:rPr>
        <w:rStyle w:val="af4"/>
        <w:rFonts w:ascii="Tahoma" w:hAnsi="Tahoma" w:cs="Tahoma"/>
        <w:sz w:val="20"/>
      </w:rPr>
      <w:fldChar w:fldCharType="separate"/>
    </w:r>
    <w:r w:rsidR="00292B50">
      <w:rPr>
        <w:rStyle w:val="af4"/>
        <w:rFonts w:ascii="Tahoma" w:hAnsi="Tahoma" w:cs="Tahoma"/>
        <w:sz w:val="20"/>
      </w:rPr>
      <w:t>1</w:t>
    </w:r>
    <w:r w:rsidRPr="003768A8">
      <w:rPr>
        <w:rStyle w:val="af4"/>
        <w:rFonts w:ascii="Tahoma" w:hAnsi="Tahoma" w:cs="Tahoma"/>
        <w:sz w:val="20"/>
      </w:rPr>
      <w:fldChar w:fldCharType="end"/>
    </w:r>
  </w:p>
  <w:p w14:paraId="06E50BAC" w14:textId="77777777" w:rsidR="00DD7AFE" w:rsidRDefault="00DD7AFE" w:rsidP="00463EDB">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06B95" w14:textId="77777777" w:rsidR="00687E2A" w:rsidRDefault="00687E2A" w:rsidP="002F7E61">
      <w:r>
        <w:separator/>
      </w:r>
    </w:p>
  </w:footnote>
  <w:footnote w:type="continuationSeparator" w:id="0">
    <w:p w14:paraId="2B3D420A" w14:textId="77777777" w:rsidR="00687E2A" w:rsidRDefault="00687E2A" w:rsidP="002F7E61">
      <w:r>
        <w:continuationSeparator/>
      </w:r>
    </w:p>
  </w:footnote>
  <w:footnote w:type="continuationNotice" w:id="1">
    <w:p w14:paraId="7B07DE81" w14:textId="77777777" w:rsidR="00687E2A" w:rsidRDefault="00687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1AD2" w14:textId="555E29B5" w:rsidR="00311491" w:rsidRPr="00700AAD" w:rsidRDefault="00311491" w:rsidP="00204F1E">
    <w:pPr>
      <w:pStyle w:val="af6"/>
      <w:rPr>
        <w:rFonts w:ascii="Tahoma" w:hAnsi="Tahoma" w:cs="Tahoma"/>
        <w:b/>
        <w:sz w:val="20"/>
        <w:szCs w:val="20"/>
      </w:rPr>
    </w:pPr>
    <w:r>
      <w:rPr>
        <w:rFonts w:ascii="Tahoma" w:hAnsi="Tahoma"/>
        <w:b/>
        <w:sz w:val="20"/>
      </w:rPr>
      <w:t>International securities futures contract specification</w:t>
    </w:r>
  </w:p>
  <w:p w14:paraId="3A67C866" w14:textId="1427ED2C" w:rsidR="00311491" w:rsidRPr="00D779FA" w:rsidRDefault="00311491" w:rsidP="00311491">
    <w:pPr>
      <w:pStyle w:val="af6"/>
      <w:pBdr>
        <w:bottom w:val="single" w:sz="12" w:space="1" w:color="auto"/>
      </w:pBdr>
      <w:jc w:val="right"/>
      <w:rPr>
        <w:rFonts w:ascii="Tahoma" w:hAnsi="Tahoma" w:cs="Tahoma"/>
        <w:b/>
        <w:sz w:val="20"/>
        <w:szCs w:val="20"/>
      </w:rPr>
    </w:pPr>
  </w:p>
  <w:p w14:paraId="7A9EB3CD" w14:textId="6937D6EB" w:rsidR="00DD7AFE" w:rsidRPr="000429E3" w:rsidRDefault="00DD7AFE" w:rsidP="007E575F">
    <w:pPr>
      <w:pStyle w:val="af6"/>
      <w:rPr>
        <w:rFonts w:ascii="Tahoma" w:hAnsi="Tahoma" w:cs="Tahoma"/>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2DF0" w14:textId="58FA1D1F" w:rsidR="00873CF7" w:rsidRDefault="00264959" w:rsidP="00264959">
    <w:pPr>
      <w:pStyle w:val="af6"/>
      <w:pBdr>
        <w:bottom w:val="single" w:sz="12" w:space="1" w:color="auto"/>
      </w:pBdr>
      <w:jc w:val="right"/>
      <w:rPr>
        <w:rFonts w:ascii="Tahoma" w:hAnsi="Tahoma" w:cs="Tahoma"/>
        <w:b/>
        <w:sz w:val="20"/>
        <w:szCs w:val="20"/>
      </w:rPr>
    </w:pPr>
    <w:r>
      <w:rPr>
        <w:rFonts w:ascii="Tahoma" w:hAnsi="Tahoma"/>
        <w:b/>
        <w:sz w:val="20"/>
      </w:rPr>
      <w:t>Appendix 1</w:t>
    </w:r>
  </w:p>
  <w:p w14:paraId="0E3C2314" w14:textId="260DDB35" w:rsidR="00227CB5" w:rsidRDefault="00227CB5" w:rsidP="00264959">
    <w:pPr>
      <w:pStyle w:val="af6"/>
      <w:pBdr>
        <w:bottom w:val="single" w:sz="12" w:space="1" w:color="auto"/>
      </w:pBdr>
      <w:jc w:val="right"/>
      <w:rPr>
        <w:rFonts w:ascii="Tahoma" w:hAnsi="Tahoma" w:cs="Tahoma"/>
        <w:b/>
        <w:sz w:val="20"/>
        <w:szCs w:val="20"/>
      </w:rPr>
    </w:pPr>
    <w:r>
      <w:rPr>
        <w:rFonts w:ascii="Tahoma" w:hAnsi="Tahoma"/>
        <w:b/>
        <w:sz w:val="20"/>
      </w:rPr>
      <w:t>To the International securities futures contract specification</w:t>
    </w:r>
  </w:p>
  <w:p w14:paraId="48F51553" w14:textId="4BD263F9" w:rsidR="00227CB5" w:rsidRPr="00264959" w:rsidRDefault="00227CB5" w:rsidP="00264959">
    <w:pPr>
      <w:pStyle w:val="af6"/>
      <w:pBdr>
        <w:bottom w:val="single" w:sz="12" w:space="1" w:color="auto"/>
      </w:pBdr>
      <w:jc w:val="right"/>
      <w:rPr>
        <w:rFonts w:ascii="Tahoma"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2203"/>
    <w:multiLevelType w:val="hybridMultilevel"/>
    <w:tmpl w:val="095EAF9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069D76AF"/>
    <w:multiLevelType w:val="multilevel"/>
    <w:tmpl w:val="D95647E8"/>
    <w:lvl w:ilvl="0">
      <w:start w:val="1"/>
      <w:numFmt w:val="decimal"/>
      <w:pStyle w:val="a"/>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2B0D2D"/>
    <w:multiLevelType w:val="hybridMultilevel"/>
    <w:tmpl w:val="9BB6212C"/>
    <w:lvl w:ilvl="0" w:tplc="586EEC1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1765B8"/>
    <w:multiLevelType w:val="multilevel"/>
    <w:tmpl w:val="C93451EE"/>
    <w:lvl w:ilvl="0">
      <w:start w:val="3"/>
      <w:numFmt w:val="upperRoman"/>
      <w:pStyle w:val="Title1"/>
      <w:lvlText w:val="РАЗДЕЛ %1."/>
      <w:lvlJc w:val="left"/>
      <w:pPr>
        <w:tabs>
          <w:tab w:val="num" w:pos="360"/>
        </w:tabs>
        <w:ind w:left="-72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33"/>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648"/>
        </w:tabs>
        <w:ind w:left="648"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4"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15:restartNumberingAfterBreak="0">
    <w:nsid w:val="1FB04EDD"/>
    <w:multiLevelType w:val="hybridMultilevel"/>
    <w:tmpl w:val="4A12F0A4"/>
    <w:lvl w:ilvl="0" w:tplc="3FFE77B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7" w15:restartNumberingAfterBreak="0">
    <w:nsid w:val="2AA12332"/>
    <w:multiLevelType w:val="multilevel"/>
    <w:tmpl w:val="1EB6A2FA"/>
    <w:lvl w:ilvl="0">
      <w:start w:val="1"/>
      <w:numFmt w:val="decimal"/>
      <w:lvlText w:val="РАЗДЕЛ %1."/>
      <w:lvlJc w:val="left"/>
      <w:pPr>
        <w:tabs>
          <w:tab w:val="num" w:pos="360"/>
        </w:tabs>
        <w:ind w:left="-720" w:hanging="360"/>
      </w:pPr>
      <w:rPr>
        <w:rFonts w:hint="default"/>
      </w:rPr>
    </w:lvl>
    <w:lvl w:ilvl="1">
      <w:start w:val="1"/>
      <w:numFmt w:val="decimal"/>
      <w:lvlText w:val="%1.%2."/>
      <w:lvlJc w:val="left"/>
      <w:pPr>
        <w:tabs>
          <w:tab w:val="num" w:pos="1440"/>
        </w:tabs>
        <w:ind w:left="-288" w:hanging="432"/>
      </w:pPr>
      <w:rPr>
        <w:rFonts w:hint="default"/>
      </w:rPr>
    </w:lvl>
    <w:lvl w:ilvl="2">
      <w:start w:val="1"/>
      <w:numFmt w:val="decimal"/>
      <w:lvlRestart w:val="0"/>
      <w:lvlText w:val="Статья %3."/>
      <w:lvlJc w:val="left"/>
      <w:pPr>
        <w:tabs>
          <w:tab w:val="num" w:pos="720"/>
        </w:tabs>
        <w:ind w:left="14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648"/>
        </w:tabs>
        <w:ind w:left="648" w:hanging="648"/>
      </w:pPr>
      <w:rPr>
        <w:rFonts w:hint="default"/>
      </w:rPr>
    </w:lvl>
    <w:lvl w:ilvl="4">
      <w:start w:val="1"/>
      <w:numFmt w:val="decimal"/>
      <w:lvlText w:val="%3.%4.%5."/>
      <w:lvlJc w:val="left"/>
      <w:pPr>
        <w:tabs>
          <w:tab w:val="num" w:pos="2052"/>
        </w:tabs>
        <w:ind w:left="2052" w:hanging="792"/>
      </w:pPr>
      <w:rPr>
        <w:rFonts w:hint="default"/>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8" w15:restartNumberingAfterBreak="0">
    <w:nsid w:val="2D124F26"/>
    <w:multiLevelType w:val="hybridMultilevel"/>
    <w:tmpl w:val="4E22C8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AF2851"/>
    <w:multiLevelType w:val="multilevel"/>
    <w:tmpl w:val="D0F618A2"/>
    <w:lvl w:ilvl="0">
      <w:start w:val="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A116BBF"/>
    <w:multiLevelType w:val="multilevel"/>
    <w:tmpl w:val="0E7638FE"/>
    <w:lvl w:ilvl="0">
      <w:start w:val="1"/>
      <w:numFmt w:val="decimal"/>
      <w:pStyle w:val="a0"/>
      <w:lvlText w:val="%1."/>
      <w:lvlJc w:val="left"/>
      <w:pPr>
        <w:tabs>
          <w:tab w:val="num" w:pos="360"/>
        </w:tabs>
        <w:ind w:left="360" w:hanging="360"/>
      </w:pPr>
      <w:rPr>
        <w:rFonts w:ascii="Tahoma" w:hAnsi="Tahoma" w:cs="Tahoma" w:hint="default"/>
        <w:b/>
        <w:bCs/>
      </w:rPr>
    </w:lvl>
    <w:lvl w:ilvl="1">
      <w:start w:val="1"/>
      <w:numFmt w:val="decimal"/>
      <w:pStyle w:val="a1"/>
      <w:lvlText w:val="%1.%2."/>
      <w:lvlJc w:val="left"/>
      <w:pPr>
        <w:tabs>
          <w:tab w:val="num" w:pos="786"/>
        </w:tabs>
        <w:ind w:left="786" w:hanging="360"/>
      </w:pPr>
      <w:rPr>
        <w:rFonts w:ascii="Tahoma" w:hAnsi="Tahoma" w:cs="Tahoma" w:hint="default"/>
      </w:rPr>
    </w:lvl>
    <w:lvl w:ilvl="2">
      <w:start w:val="1"/>
      <w:numFmt w:val="decimal"/>
      <w:pStyle w:val="10"/>
      <w:lvlText w:val="%1.%2.%3."/>
      <w:lvlJc w:val="left"/>
      <w:pPr>
        <w:tabs>
          <w:tab w:val="num" w:pos="1854"/>
        </w:tabs>
        <w:ind w:left="1854" w:hanging="720"/>
      </w:pPr>
      <w:rPr>
        <w:rFonts w:ascii="Tahoma" w:hAnsi="Tahoma" w:cs="Tahoma" w:hint="default"/>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44BB6E09"/>
    <w:multiLevelType w:val="multilevel"/>
    <w:tmpl w:val="5736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46650"/>
    <w:multiLevelType w:val="hybridMultilevel"/>
    <w:tmpl w:val="D3668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B12803"/>
    <w:multiLevelType w:val="multilevel"/>
    <w:tmpl w:val="867A6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156A30"/>
    <w:multiLevelType w:val="hybridMultilevel"/>
    <w:tmpl w:val="F568462C"/>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 w15:restartNumberingAfterBreak="0">
    <w:nsid w:val="5AEB3904"/>
    <w:multiLevelType w:val="hybridMultilevel"/>
    <w:tmpl w:val="17F0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5CA31141"/>
    <w:multiLevelType w:val="hybridMultilevel"/>
    <w:tmpl w:val="309679D8"/>
    <w:lvl w:ilvl="0" w:tplc="04190001">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19" w15:restartNumberingAfterBreak="0">
    <w:nsid w:val="63451B2D"/>
    <w:multiLevelType w:val="hybridMultilevel"/>
    <w:tmpl w:val="766EF0D0"/>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0" w15:restartNumberingAfterBreak="0">
    <w:nsid w:val="672D6EC0"/>
    <w:multiLevelType w:val="hybridMultilevel"/>
    <w:tmpl w:val="1918FD0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1" w15:restartNumberingAfterBreak="0">
    <w:nsid w:val="6874746F"/>
    <w:multiLevelType w:val="multilevel"/>
    <w:tmpl w:val="925E8A04"/>
    <w:lvl w:ilvl="0">
      <w:start w:val="1"/>
      <w:numFmt w:val="decimal"/>
      <w:pStyle w:val="a2"/>
      <w:lvlText w:val="Раздел %1."/>
      <w:lvlJc w:val="left"/>
      <w:pPr>
        <w:tabs>
          <w:tab w:val="num" w:pos="180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15:restartNumberingAfterBreak="0">
    <w:nsid w:val="6F56152E"/>
    <w:multiLevelType w:val="hybridMultilevel"/>
    <w:tmpl w:val="852A0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645FBD"/>
    <w:multiLevelType w:val="hybridMultilevel"/>
    <w:tmpl w:val="A002D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10"/>
    <w:lvlOverride w:ilvl="0">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 w:numId="8">
    <w:abstractNumId w:val="10"/>
  </w:num>
  <w:num w:numId="9">
    <w:abstractNumId w:val="13"/>
  </w:num>
  <w:num w:numId="10">
    <w:abstractNumId w:val="7"/>
  </w:num>
  <w:num w:numId="11">
    <w:abstractNumId w:val="11"/>
  </w:num>
  <w:num w:numId="12">
    <w:abstractNumId w:val="14"/>
  </w:num>
  <w:num w:numId="13">
    <w:abstractNumId w:val="6"/>
  </w:num>
  <w:num w:numId="14">
    <w:abstractNumId w:val="23"/>
  </w:num>
  <w:num w:numId="15">
    <w:abstractNumId w:val="8"/>
  </w:num>
  <w:num w:numId="16">
    <w:abstractNumId w:val="0"/>
  </w:num>
  <w:num w:numId="17">
    <w:abstractNumId w:val="20"/>
  </w:num>
  <w:num w:numId="18">
    <w:abstractNumId w:val="22"/>
  </w:num>
  <w:num w:numId="19">
    <w:abstractNumId w:val="18"/>
  </w:num>
  <w:num w:numId="20">
    <w:abstractNumId w:val="14"/>
  </w:num>
  <w:num w:numId="21">
    <w:abstractNumId w:val="17"/>
  </w:num>
  <w:num w:numId="22">
    <w:abstractNumId w:val="5"/>
  </w:num>
  <w:num w:numId="23">
    <w:abstractNumId w:val="2"/>
  </w:num>
  <w:num w:numId="24">
    <w:abstractNumId w:val="10"/>
    <w:lvlOverride w:ilvl="0">
      <w:startOverride w:val="2"/>
    </w:lvlOverride>
    <w:lvlOverride w:ilvl="1">
      <w:startOverride w:val="2"/>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0"/>
  </w:num>
  <w:num w:numId="28">
    <w:abstractNumId w:val="15"/>
  </w:num>
  <w:num w:numId="29">
    <w:abstractNumId w:val="19"/>
  </w:num>
  <w:num w:numId="30">
    <w:abstractNumId w:val="12"/>
  </w:num>
  <w:num w:numId="3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98"/>
    <w:rsid w:val="00000012"/>
    <w:rsid w:val="0000377F"/>
    <w:rsid w:val="00010D7A"/>
    <w:rsid w:val="000149CF"/>
    <w:rsid w:val="000153CC"/>
    <w:rsid w:val="00017B4E"/>
    <w:rsid w:val="00017EC1"/>
    <w:rsid w:val="00022699"/>
    <w:rsid w:val="0003150D"/>
    <w:rsid w:val="00034F8A"/>
    <w:rsid w:val="0003594B"/>
    <w:rsid w:val="000429E3"/>
    <w:rsid w:val="00043B6D"/>
    <w:rsid w:val="000446D5"/>
    <w:rsid w:val="000558D1"/>
    <w:rsid w:val="00057B82"/>
    <w:rsid w:val="00066752"/>
    <w:rsid w:val="00066905"/>
    <w:rsid w:val="00070440"/>
    <w:rsid w:val="00072BA7"/>
    <w:rsid w:val="000805E6"/>
    <w:rsid w:val="0009539C"/>
    <w:rsid w:val="000975C3"/>
    <w:rsid w:val="000A455D"/>
    <w:rsid w:val="000A7D5C"/>
    <w:rsid w:val="000A7E81"/>
    <w:rsid w:val="000B46A3"/>
    <w:rsid w:val="000B7133"/>
    <w:rsid w:val="000C1F35"/>
    <w:rsid w:val="000C2BE9"/>
    <w:rsid w:val="000E0906"/>
    <w:rsid w:val="000E7DDA"/>
    <w:rsid w:val="000F5E09"/>
    <w:rsid w:val="000F5F10"/>
    <w:rsid w:val="000F661C"/>
    <w:rsid w:val="00100492"/>
    <w:rsid w:val="00104433"/>
    <w:rsid w:val="00104805"/>
    <w:rsid w:val="001056C5"/>
    <w:rsid w:val="001060B5"/>
    <w:rsid w:val="0010758D"/>
    <w:rsid w:val="00110E60"/>
    <w:rsid w:val="00114A05"/>
    <w:rsid w:val="00115554"/>
    <w:rsid w:val="001249B6"/>
    <w:rsid w:val="00125B93"/>
    <w:rsid w:val="001316FC"/>
    <w:rsid w:val="001449CC"/>
    <w:rsid w:val="00145BF6"/>
    <w:rsid w:val="001471A0"/>
    <w:rsid w:val="0014756D"/>
    <w:rsid w:val="00147B65"/>
    <w:rsid w:val="001532A3"/>
    <w:rsid w:val="00164C05"/>
    <w:rsid w:val="00166D3D"/>
    <w:rsid w:val="0017356C"/>
    <w:rsid w:val="001756FF"/>
    <w:rsid w:val="00181492"/>
    <w:rsid w:val="001820D3"/>
    <w:rsid w:val="001832FC"/>
    <w:rsid w:val="001834A6"/>
    <w:rsid w:val="00186372"/>
    <w:rsid w:val="00190D7C"/>
    <w:rsid w:val="00194758"/>
    <w:rsid w:val="001A59A5"/>
    <w:rsid w:val="001A5C5B"/>
    <w:rsid w:val="001A6A0B"/>
    <w:rsid w:val="001B0592"/>
    <w:rsid w:val="001B0685"/>
    <w:rsid w:val="001B3B57"/>
    <w:rsid w:val="001B65E6"/>
    <w:rsid w:val="001B6DBE"/>
    <w:rsid w:val="001C080F"/>
    <w:rsid w:val="001D5940"/>
    <w:rsid w:val="001E20B0"/>
    <w:rsid w:val="001E4FB2"/>
    <w:rsid w:val="001F0BE3"/>
    <w:rsid w:val="001F0ED6"/>
    <w:rsid w:val="001F50F3"/>
    <w:rsid w:val="001F740D"/>
    <w:rsid w:val="0020026C"/>
    <w:rsid w:val="00201C5E"/>
    <w:rsid w:val="002049BC"/>
    <w:rsid w:val="00204F1E"/>
    <w:rsid w:val="0020583C"/>
    <w:rsid w:val="00216A8E"/>
    <w:rsid w:val="00217B6B"/>
    <w:rsid w:val="00220C8C"/>
    <w:rsid w:val="00221EC5"/>
    <w:rsid w:val="0022349A"/>
    <w:rsid w:val="00223B64"/>
    <w:rsid w:val="00224B2C"/>
    <w:rsid w:val="00227CB5"/>
    <w:rsid w:val="00230645"/>
    <w:rsid w:val="00232B5C"/>
    <w:rsid w:val="00233E34"/>
    <w:rsid w:val="00235246"/>
    <w:rsid w:val="00235E6C"/>
    <w:rsid w:val="002367FD"/>
    <w:rsid w:val="00240F3A"/>
    <w:rsid w:val="00242A6C"/>
    <w:rsid w:val="00252D5C"/>
    <w:rsid w:val="0025441B"/>
    <w:rsid w:val="002549EE"/>
    <w:rsid w:val="00255B75"/>
    <w:rsid w:val="002569BE"/>
    <w:rsid w:val="00257BBA"/>
    <w:rsid w:val="00260AB5"/>
    <w:rsid w:val="00262409"/>
    <w:rsid w:val="00262FD8"/>
    <w:rsid w:val="00264705"/>
    <w:rsid w:val="00264959"/>
    <w:rsid w:val="00265B8A"/>
    <w:rsid w:val="00267657"/>
    <w:rsid w:val="00270428"/>
    <w:rsid w:val="00270BD3"/>
    <w:rsid w:val="0027302D"/>
    <w:rsid w:val="00273A72"/>
    <w:rsid w:val="00281ED7"/>
    <w:rsid w:val="00284041"/>
    <w:rsid w:val="0028679C"/>
    <w:rsid w:val="00291D16"/>
    <w:rsid w:val="00292883"/>
    <w:rsid w:val="00292B50"/>
    <w:rsid w:val="00296FF2"/>
    <w:rsid w:val="002A4785"/>
    <w:rsid w:val="002A49BD"/>
    <w:rsid w:val="002A505C"/>
    <w:rsid w:val="002B0777"/>
    <w:rsid w:val="002B17D9"/>
    <w:rsid w:val="002B1815"/>
    <w:rsid w:val="002B764B"/>
    <w:rsid w:val="002B78E3"/>
    <w:rsid w:val="002C13AD"/>
    <w:rsid w:val="002C21F3"/>
    <w:rsid w:val="002C4AA9"/>
    <w:rsid w:val="002C7A8E"/>
    <w:rsid w:val="002D3444"/>
    <w:rsid w:val="002D44D7"/>
    <w:rsid w:val="002D5D38"/>
    <w:rsid w:val="002D72E7"/>
    <w:rsid w:val="002D7C30"/>
    <w:rsid w:val="002E33F0"/>
    <w:rsid w:val="002E3AAE"/>
    <w:rsid w:val="002E4B0E"/>
    <w:rsid w:val="002E5125"/>
    <w:rsid w:val="002E663F"/>
    <w:rsid w:val="002F0CE1"/>
    <w:rsid w:val="002F2827"/>
    <w:rsid w:val="002F326E"/>
    <w:rsid w:val="002F6D11"/>
    <w:rsid w:val="002F7E61"/>
    <w:rsid w:val="002F7FA0"/>
    <w:rsid w:val="00302252"/>
    <w:rsid w:val="003042DA"/>
    <w:rsid w:val="003046E6"/>
    <w:rsid w:val="00305F03"/>
    <w:rsid w:val="00307888"/>
    <w:rsid w:val="00311491"/>
    <w:rsid w:val="003123ED"/>
    <w:rsid w:val="00313292"/>
    <w:rsid w:val="00314798"/>
    <w:rsid w:val="00315C4A"/>
    <w:rsid w:val="00317D3B"/>
    <w:rsid w:val="0032606C"/>
    <w:rsid w:val="00326ED6"/>
    <w:rsid w:val="003300AF"/>
    <w:rsid w:val="00331D36"/>
    <w:rsid w:val="00332A24"/>
    <w:rsid w:val="00333530"/>
    <w:rsid w:val="0033417E"/>
    <w:rsid w:val="00334D49"/>
    <w:rsid w:val="003468D4"/>
    <w:rsid w:val="0035128F"/>
    <w:rsid w:val="0035473B"/>
    <w:rsid w:val="00361216"/>
    <w:rsid w:val="00363074"/>
    <w:rsid w:val="003768A8"/>
    <w:rsid w:val="00376B0E"/>
    <w:rsid w:val="0038321B"/>
    <w:rsid w:val="00383B57"/>
    <w:rsid w:val="00384736"/>
    <w:rsid w:val="00386533"/>
    <w:rsid w:val="00390C0B"/>
    <w:rsid w:val="00393EA8"/>
    <w:rsid w:val="003971C2"/>
    <w:rsid w:val="003A1EDB"/>
    <w:rsid w:val="003A4281"/>
    <w:rsid w:val="003A4FC3"/>
    <w:rsid w:val="003A7441"/>
    <w:rsid w:val="003B57E3"/>
    <w:rsid w:val="003B7758"/>
    <w:rsid w:val="003C3ACF"/>
    <w:rsid w:val="003C5B5E"/>
    <w:rsid w:val="003C733D"/>
    <w:rsid w:val="003D11F4"/>
    <w:rsid w:val="003D2915"/>
    <w:rsid w:val="003D3911"/>
    <w:rsid w:val="003D512B"/>
    <w:rsid w:val="003D5894"/>
    <w:rsid w:val="003D5FE2"/>
    <w:rsid w:val="003D7413"/>
    <w:rsid w:val="003D747E"/>
    <w:rsid w:val="003E031C"/>
    <w:rsid w:val="003E03FA"/>
    <w:rsid w:val="003E0FC4"/>
    <w:rsid w:val="003E1A1C"/>
    <w:rsid w:val="003E217A"/>
    <w:rsid w:val="003E2297"/>
    <w:rsid w:val="003E340C"/>
    <w:rsid w:val="003E7B19"/>
    <w:rsid w:val="003F0702"/>
    <w:rsid w:val="003F38F8"/>
    <w:rsid w:val="0040429B"/>
    <w:rsid w:val="004046E4"/>
    <w:rsid w:val="00404DE6"/>
    <w:rsid w:val="00413554"/>
    <w:rsid w:val="004141A5"/>
    <w:rsid w:val="004147B7"/>
    <w:rsid w:val="00420EF8"/>
    <w:rsid w:val="00424533"/>
    <w:rsid w:val="00424B1E"/>
    <w:rsid w:val="00425ADD"/>
    <w:rsid w:val="00425B4C"/>
    <w:rsid w:val="00432CD4"/>
    <w:rsid w:val="00434D4A"/>
    <w:rsid w:val="004418AE"/>
    <w:rsid w:val="004424D4"/>
    <w:rsid w:val="00450C2D"/>
    <w:rsid w:val="00451480"/>
    <w:rsid w:val="004537E3"/>
    <w:rsid w:val="00453E92"/>
    <w:rsid w:val="00454FAC"/>
    <w:rsid w:val="0045737E"/>
    <w:rsid w:val="004575B4"/>
    <w:rsid w:val="0046162E"/>
    <w:rsid w:val="00461F58"/>
    <w:rsid w:val="0046205E"/>
    <w:rsid w:val="004621CB"/>
    <w:rsid w:val="0046308E"/>
    <w:rsid w:val="00463EDB"/>
    <w:rsid w:val="00470614"/>
    <w:rsid w:val="00484901"/>
    <w:rsid w:val="00485C2C"/>
    <w:rsid w:val="00486CF5"/>
    <w:rsid w:val="00486F26"/>
    <w:rsid w:val="00492B21"/>
    <w:rsid w:val="00492EAD"/>
    <w:rsid w:val="004A312F"/>
    <w:rsid w:val="004A562C"/>
    <w:rsid w:val="004A5646"/>
    <w:rsid w:val="004A7EAD"/>
    <w:rsid w:val="004B174E"/>
    <w:rsid w:val="004B2BA3"/>
    <w:rsid w:val="004B7DFE"/>
    <w:rsid w:val="004C1638"/>
    <w:rsid w:val="004C7252"/>
    <w:rsid w:val="004C7FB8"/>
    <w:rsid w:val="004D066B"/>
    <w:rsid w:val="004D550B"/>
    <w:rsid w:val="004F6172"/>
    <w:rsid w:val="005057DC"/>
    <w:rsid w:val="00505EBB"/>
    <w:rsid w:val="00507FA5"/>
    <w:rsid w:val="00514158"/>
    <w:rsid w:val="00514B1D"/>
    <w:rsid w:val="00515030"/>
    <w:rsid w:val="00522ED5"/>
    <w:rsid w:val="005255C9"/>
    <w:rsid w:val="005302F6"/>
    <w:rsid w:val="005348CC"/>
    <w:rsid w:val="00535782"/>
    <w:rsid w:val="0053755D"/>
    <w:rsid w:val="00543907"/>
    <w:rsid w:val="00546C7B"/>
    <w:rsid w:val="00547387"/>
    <w:rsid w:val="0055027C"/>
    <w:rsid w:val="00550D12"/>
    <w:rsid w:val="00551143"/>
    <w:rsid w:val="00553236"/>
    <w:rsid w:val="00553790"/>
    <w:rsid w:val="005621E0"/>
    <w:rsid w:val="00563D8B"/>
    <w:rsid w:val="0056532D"/>
    <w:rsid w:val="00573547"/>
    <w:rsid w:val="00580773"/>
    <w:rsid w:val="00582610"/>
    <w:rsid w:val="00582968"/>
    <w:rsid w:val="0058638E"/>
    <w:rsid w:val="005905C4"/>
    <w:rsid w:val="00593CC5"/>
    <w:rsid w:val="0059529A"/>
    <w:rsid w:val="00595726"/>
    <w:rsid w:val="00595998"/>
    <w:rsid w:val="00596D9E"/>
    <w:rsid w:val="00597A3E"/>
    <w:rsid w:val="005A3213"/>
    <w:rsid w:val="005A58E2"/>
    <w:rsid w:val="005B1E6C"/>
    <w:rsid w:val="005B21DD"/>
    <w:rsid w:val="005B4377"/>
    <w:rsid w:val="005C70E2"/>
    <w:rsid w:val="005C7C41"/>
    <w:rsid w:val="005D0D3D"/>
    <w:rsid w:val="005D490C"/>
    <w:rsid w:val="005E05FA"/>
    <w:rsid w:val="005E1F01"/>
    <w:rsid w:val="005E3B88"/>
    <w:rsid w:val="005E663F"/>
    <w:rsid w:val="005F0683"/>
    <w:rsid w:val="005F40F5"/>
    <w:rsid w:val="005F5736"/>
    <w:rsid w:val="00600519"/>
    <w:rsid w:val="00600617"/>
    <w:rsid w:val="0060081A"/>
    <w:rsid w:val="00601A7B"/>
    <w:rsid w:val="006022B8"/>
    <w:rsid w:val="00607117"/>
    <w:rsid w:val="00611E08"/>
    <w:rsid w:val="00622038"/>
    <w:rsid w:val="006316B8"/>
    <w:rsid w:val="006352B9"/>
    <w:rsid w:val="006361EB"/>
    <w:rsid w:val="0064149C"/>
    <w:rsid w:val="00642093"/>
    <w:rsid w:val="0064425A"/>
    <w:rsid w:val="00647802"/>
    <w:rsid w:val="00650E8C"/>
    <w:rsid w:val="00651BB4"/>
    <w:rsid w:val="00651DB0"/>
    <w:rsid w:val="00654B00"/>
    <w:rsid w:val="00657A13"/>
    <w:rsid w:val="00662F75"/>
    <w:rsid w:val="00663B5E"/>
    <w:rsid w:val="00664064"/>
    <w:rsid w:val="006673D9"/>
    <w:rsid w:val="00674DC9"/>
    <w:rsid w:val="00676C3C"/>
    <w:rsid w:val="00680CA1"/>
    <w:rsid w:val="006844D8"/>
    <w:rsid w:val="006867D2"/>
    <w:rsid w:val="00687E2A"/>
    <w:rsid w:val="00690E9B"/>
    <w:rsid w:val="006965D8"/>
    <w:rsid w:val="006979EE"/>
    <w:rsid w:val="006A0DD9"/>
    <w:rsid w:val="006A37C8"/>
    <w:rsid w:val="006A6D3C"/>
    <w:rsid w:val="006B0BDD"/>
    <w:rsid w:val="006B5161"/>
    <w:rsid w:val="006B5D44"/>
    <w:rsid w:val="006C1BF1"/>
    <w:rsid w:val="006C1FE2"/>
    <w:rsid w:val="006C3685"/>
    <w:rsid w:val="006D07BB"/>
    <w:rsid w:val="006D0CC1"/>
    <w:rsid w:val="006D1F01"/>
    <w:rsid w:val="006D5208"/>
    <w:rsid w:val="006D5543"/>
    <w:rsid w:val="006E3E82"/>
    <w:rsid w:val="006E4896"/>
    <w:rsid w:val="006E4EC0"/>
    <w:rsid w:val="006F00A8"/>
    <w:rsid w:val="006F1090"/>
    <w:rsid w:val="006F2CCE"/>
    <w:rsid w:val="006F6CE1"/>
    <w:rsid w:val="007028A9"/>
    <w:rsid w:val="007053DD"/>
    <w:rsid w:val="007075D3"/>
    <w:rsid w:val="00707D62"/>
    <w:rsid w:val="00707E5F"/>
    <w:rsid w:val="00716203"/>
    <w:rsid w:val="00716C96"/>
    <w:rsid w:val="00721075"/>
    <w:rsid w:val="00724D5E"/>
    <w:rsid w:val="00725D4B"/>
    <w:rsid w:val="00730EE4"/>
    <w:rsid w:val="00733190"/>
    <w:rsid w:val="00737F89"/>
    <w:rsid w:val="0074113B"/>
    <w:rsid w:val="007452E4"/>
    <w:rsid w:val="007466B3"/>
    <w:rsid w:val="007470D2"/>
    <w:rsid w:val="00750004"/>
    <w:rsid w:val="00750B98"/>
    <w:rsid w:val="00752B7D"/>
    <w:rsid w:val="00767AC3"/>
    <w:rsid w:val="00767E85"/>
    <w:rsid w:val="007734F2"/>
    <w:rsid w:val="00774359"/>
    <w:rsid w:val="00775C23"/>
    <w:rsid w:val="00776F72"/>
    <w:rsid w:val="00781054"/>
    <w:rsid w:val="0078221A"/>
    <w:rsid w:val="00782ABD"/>
    <w:rsid w:val="0078739B"/>
    <w:rsid w:val="007875BB"/>
    <w:rsid w:val="00791BE4"/>
    <w:rsid w:val="007949AF"/>
    <w:rsid w:val="0079685C"/>
    <w:rsid w:val="007A042F"/>
    <w:rsid w:val="007A0F10"/>
    <w:rsid w:val="007A1CDD"/>
    <w:rsid w:val="007A1F91"/>
    <w:rsid w:val="007A377C"/>
    <w:rsid w:val="007A63DF"/>
    <w:rsid w:val="007A7AFD"/>
    <w:rsid w:val="007B17D0"/>
    <w:rsid w:val="007B1A21"/>
    <w:rsid w:val="007B58D6"/>
    <w:rsid w:val="007B7FFD"/>
    <w:rsid w:val="007C0CC9"/>
    <w:rsid w:val="007C1CBB"/>
    <w:rsid w:val="007C1DAF"/>
    <w:rsid w:val="007C5A0E"/>
    <w:rsid w:val="007C645D"/>
    <w:rsid w:val="007C6DF1"/>
    <w:rsid w:val="007C754B"/>
    <w:rsid w:val="007D3CB1"/>
    <w:rsid w:val="007D49E9"/>
    <w:rsid w:val="007D4BCE"/>
    <w:rsid w:val="007D6E9D"/>
    <w:rsid w:val="007D7969"/>
    <w:rsid w:val="007E1A61"/>
    <w:rsid w:val="007E1E73"/>
    <w:rsid w:val="007E1FEA"/>
    <w:rsid w:val="007E3BB6"/>
    <w:rsid w:val="007E575F"/>
    <w:rsid w:val="007E7793"/>
    <w:rsid w:val="007F493A"/>
    <w:rsid w:val="007F591A"/>
    <w:rsid w:val="007F5D3F"/>
    <w:rsid w:val="007F7317"/>
    <w:rsid w:val="008001CE"/>
    <w:rsid w:val="00805B81"/>
    <w:rsid w:val="00805BF7"/>
    <w:rsid w:val="008064CB"/>
    <w:rsid w:val="00806EED"/>
    <w:rsid w:val="0081156F"/>
    <w:rsid w:val="00811A12"/>
    <w:rsid w:val="008136E3"/>
    <w:rsid w:val="008143AB"/>
    <w:rsid w:val="00817B6D"/>
    <w:rsid w:val="00821879"/>
    <w:rsid w:val="00822C96"/>
    <w:rsid w:val="00824EBC"/>
    <w:rsid w:val="00826DDE"/>
    <w:rsid w:val="008272EF"/>
    <w:rsid w:val="00827A71"/>
    <w:rsid w:val="00827C6F"/>
    <w:rsid w:val="00832052"/>
    <w:rsid w:val="0083419D"/>
    <w:rsid w:val="00834DEE"/>
    <w:rsid w:val="0084307A"/>
    <w:rsid w:val="00852EC2"/>
    <w:rsid w:val="00855526"/>
    <w:rsid w:val="00857383"/>
    <w:rsid w:val="008608BA"/>
    <w:rsid w:val="00860C21"/>
    <w:rsid w:val="00860EF4"/>
    <w:rsid w:val="008638CC"/>
    <w:rsid w:val="00864C26"/>
    <w:rsid w:val="00866F14"/>
    <w:rsid w:val="00873CF7"/>
    <w:rsid w:val="0087444A"/>
    <w:rsid w:val="008755F6"/>
    <w:rsid w:val="00877AC2"/>
    <w:rsid w:val="00880C45"/>
    <w:rsid w:val="00885DFA"/>
    <w:rsid w:val="0088660D"/>
    <w:rsid w:val="00886C7E"/>
    <w:rsid w:val="0089026B"/>
    <w:rsid w:val="0089322F"/>
    <w:rsid w:val="00897165"/>
    <w:rsid w:val="008A029B"/>
    <w:rsid w:val="008A2953"/>
    <w:rsid w:val="008A3018"/>
    <w:rsid w:val="008A75D9"/>
    <w:rsid w:val="008B34AD"/>
    <w:rsid w:val="008C2260"/>
    <w:rsid w:val="008C3CC8"/>
    <w:rsid w:val="008C527E"/>
    <w:rsid w:val="008D0E47"/>
    <w:rsid w:val="008D1F57"/>
    <w:rsid w:val="008E3A59"/>
    <w:rsid w:val="008F335B"/>
    <w:rsid w:val="008F48E0"/>
    <w:rsid w:val="008F634D"/>
    <w:rsid w:val="009026C7"/>
    <w:rsid w:val="00903B9B"/>
    <w:rsid w:val="009071B1"/>
    <w:rsid w:val="009072BC"/>
    <w:rsid w:val="00907D1D"/>
    <w:rsid w:val="00910492"/>
    <w:rsid w:val="00911BAC"/>
    <w:rsid w:val="0092190B"/>
    <w:rsid w:val="00921CAE"/>
    <w:rsid w:val="009248D2"/>
    <w:rsid w:val="00925AE9"/>
    <w:rsid w:val="009266C7"/>
    <w:rsid w:val="009313FD"/>
    <w:rsid w:val="009346F5"/>
    <w:rsid w:val="00936105"/>
    <w:rsid w:val="0094086E"/>
    <w:rsid w:val="00940D28"/>
    <w:rsid w:val="009427A4"/>
    <w:rsid w:val="00945564"/>
    <w:rsid w:val="009457D2"/>
    <w:rsid w:val="0094659E"/>
    <w:rsid w:val="00946DD7"/>
    <w:rsid w:val="00950E56"/>
    <w:rsid w:val="00951DE9"/>
    <w:rsid w:val="00953CD0"/>
    <w:rsid w:val="0096171B"/>
    <w:rsid w:val="0096320D"/>
    <w:rsid w:val="00971579"/>
    <w:rsid w:val="00973BA8"/>
    <w:rsid w:val="00975626"/>
    <w:rsid w:val="00976483"/>
    <w:rsid w:val="00981622"/>
    <w:rsid w:val="009855D7"/>
    <w:rsid w:val="00987F32"/>
    <w:rsid w:val="009901DC"/>
    <w:rsid w:val="00990C40"/>
    <w:rsid w:val="00994B6E"/>
    <w:rsid w:val="009A008B"/>
    <w:rsid w:val="009A3C9F"/>
    <w:rsid w:val="009A6045"/>
    <w:rsid w:val="009A749B"/>
    <w:rsid w:val="009A7E1A"/>
    <w:rsid w:val="009B0793"/>
    <w:rsid w:val="009B49DA"/>
    <w:rsid w:val="009B5602"/>
    <w:rsid w:val="009C4B1D"/>
    <w:rsid w:val="009C61D5"/>
    <w:rsid w:val="009C7BDB"/>
    <w:rsid w:val="009D25C1"/>
    <w:rsid w:val="009D318D"/>
    <w:rsid w:val="009D51FB"/>
    <w:rsid w:val="009D64A3"/>
    <w:rsid w:val="009E545E"/>
    <w:rsid w:val="009E6835"/>
    <w:rsid w:val="009E72C2"/>
    <w:rsid w:val="009F0FE1"/>
    <w:rsid w:val="009F3760"/>
    <w:rsid w:val="009F7D91"/>
    <w:rsid w:val="00A0231F"/>
    <w:rsid w:val="00A03A80"/>
    <w:rsid w:val="00A06387"/>
    <w:rsid w:val="00A06955"/>
    <w:rsid w:val="00A075A5"/>
    <w:rsid w:val="00A11BE3"/>
    <w:rsid w:val="00A17E7A"/>
    <w:rsid w:val="00A20C47"/>
    <w:rsid w:val="00A238E2"/>
    <w:rsid w:val="00A24FE4"/>
    <w:rsid w:val="00A2757C"/>
    <w:rsid w:val="00A27965"/>
    <w:rsid w:val="00A35DC0"/>
    <w:rsid w:val="00A41532"/>
    <w:rsid w:val="00A41EAF"/>
    <w:rsid w:val="00A44B10"/>
    <w:rsid w:val="00A44ECB"/>
    <w:rsid w:val="00A44ED5"/>
    <w:rsid w:val="00A51167"/>
    <w:rsid w:val="00A52476"/>
    <w:rsid w:val="00A52C80"/>
    <w:rsid w:val="00A602E9"/>
    <w:rsid w:val="00A612AF"/>
    <w:rsid w:val="00A63790"/>
    <w:rsid w:val="00A64046"/>
    <w:rsid w:val="00A64750"/>
    <w:rsid w:val="00A67F21"/>
    <w:rsid w:val="00A739C8"/>
    <w:rsid w:val="00A74CF3"/>
    <w:rsid w:val="00A768FB"/>
    <w:rsid w:val="00A80A78"/>
    <w:rsid w:val="00A80E52"/>
    <w:rsid w:val="00A8101C"/>
    <w:rsid w:val="00A81DBB"/>
    <w:rsid w:val="00A830A2"/>
    <w:rsid w:val="00A83A8E"/>
    <w:rsid w:val="00A872E6"/>
    <w:rsid w:val="00A913F2"/>
    <w:rsid w:val="00A96B36"/>
    <w:rsid w:val="00A96B8D"/>
    <w:rsid w:val="00AA2327"/>
    <w:rsid w:val="00AA2B1B"/>
    <w:rsid w:val="00AB2CB7"/>
    <w:rsid w:val="00AB31E9"/>
    <w:rsid w:val="00AB484A"/>
    <w:rsid w:val="00AB57D2"/>
    <w:rsid w:val="00AB580C"/>
    <w:rsid w:val="00AC525D"/>
    <w:rsid w:val="00AD4202"/>
    <w:rsid w:val="00AD5B75"/>
    <w:rsid w:val="00AD6E36"/>
    <w:rsid w:val="00AE1F84"/>
    <w:rsid w:val="00AE2E0F"/>
    <w:rsid w:val="00AE3060"/>
    <w:rsid w:val="00AE6C58"/>
    <w:rsid w:val="00AF4CD5"/>
    <w:rsid w:val="00AF4E48"/>
    <w:rsid w:val="00AF5766"/>
    <w:rsid w:val="00AF6013"/>
    <w:rsid w:val="00AF6E74"/>
    <w:rsid w:val="00B00889"/>
    <w:rsid w:val="00B0218B"/>
    <w:rsid w:val="00B02CB2"/>
    <w:rsid w:val="00B0550C"/>
    <w:rsid w:val="00B06CA8"/>
    <w:rsid w:val="00B06F07"/>
    <w:rsid w:val="00B0721D"/>
    <w:rsid w:val="00B07CDF"/>
    <w:rsid w:val="00B10062"/>
    <w:rsid w:val="00B126A3"/>
    <w:rsid w:val="00B12E93"/>
    <w:rsid w:val="00B172E9"/>
    <w:rsid w:val="00B20E87"/>
    <w:rsid w:val="00B23434"/>
    <w:rsid w:val="00B24D0B"/>
    <w:rsid w:val="00B25483"/>
    <w:rsid w:val="00B2571E"/>
    <w:rsid w:val="00B37EB2"/>
    <w:rsid w:val="00B41866"/>
    <w:rsid w:val="00B41CFC"/>
    <w:rsid w:val="00B42D8F"/>
    <w:rsid w:val="00B450F6"/>
    <w:rsid w:val="00B46ECD"/>
    <w:rsid w:val="00B471DD"/>
    <w:rsid w:val="00B5109E"/>
    <w:rsid w:val="00B51CB0"/>
    <w:rsid w:val="00B5385D"/>
    <w:rsid w:val="00B54CFD"/>
    <w:rsid w:val="00B553A3"/>
    <w:rsid w:val="00B56B2E"/>
    <w:rsid w:val="00B6480C"/>
    <w:rsid w:val="00B721BC"/>
    <w:rsid w:val="00B74078"/>
    <w:rsid w:val="00B75A48"/>
    <w:rsid w:val="00B87E9A"/>
    <w:rsid w:val="00B9552A"/>
    <w:rsid w:val="00B95922"/>
    <w:rsid w:val="00B97884"/>
    <w:rsid w:val="00BA156B"/>
    <w:rsid w:val="00BB04DC"/>
    <w:rsid w:val="00BB0BA0"/>
    <w:rsid w:val="00BB10A5"/>
    <w:rsid w:val="00BB7919"/>
    <w:rsid w:val="00BC0999"/>
    <w:rsid w:val="00BC1EC9"/>
    <w:rsid w:val="00BD1676"/>
    <w:rsid w:val="00BD2026"/>
    <w:rsid w:val="00BD5C02"/>
    <w:rsid w:val="00BE0926"/>
    <w:rsid w:val="00BE350B"/>
    <w:rsid w:val="00BE4EE5"/>
    <w:rsid w:val="00BE6258"/>
    <w:rsid w:val="00BF0002"/>
    <w:rsid w:val="00BF2C4F"/>
    <w:rsid w:val="00BF3062"/>
    <w:rsid w:val="00C03FA8"/>
    <w:rsid w:val="00C052BD"/>
    <w:rsid w:val="00C061F1"/>
    <w:rsid w:val="00C12BA6"/>
    <w:rsid w:val="00C13EE6"/>
    <w:rsid w:val="00C151EC"/>
    <w:rsid w:val="00C16FA8"/>
    <w:rsid w:val="00C23146"/>
    <w:rsid w:val="00C25767"/>
    <w:rsid w:val="00C26667"/>
    <w:rsid w:val="00C35A70"/>
    <w:rsid w:val="00C3764B"/>
    <w:rsid w:val="00C41A6F"/>
    <w:rsid w:val="00C4285F"/>
    <w:rsid w:val="00C47C11"/>
    <w:rsid w:val="00C5247C"/>
    <w:rsid w:val="00C547E3"/>
    <w:rsid w:val="00C55CE5"/>
    <w:rsid w:val="00C5744C"/>
    <w:rsid w:val="00C602FF"/>
    <w:rsid w:val="00C61A94"/>
    <w:rsid w:val="00C67746"/>
    <w:rsid w:val="00C825E8"/>
    <w:rsid w:val="00C82916"/>
    <w:rsid w:val="00C82F73"/>
    <w:rsid w:val="00C83A77"/>
    <w:rsid w:val="00C84B26"/>
    <w:rsid w:val="00C858C3"/>
    <w:rsid w:val="00C91C90"/>
    <w:rsid w:val="00C920EF"/>
    <w:rsid w:val="00C9346D"/>
    <w:rsid w:val="00CA14FB"/>
    <w:rsid w:val="00CA1F12"/>
    <w:rsid w:val="00CA2FC2"/>
    <w:rsid w:val="00CA51BF"/>
    <w:rsid w:val="00CB1F53"/>
    <w:rsid w:val="00CB403D"/>
    <w:rsid w:val="00CB5384"/>
    <w:rsid w:val="00CB5DEA"/>
    <w:rsid w:val="00CB5E02"/>
    <w:rsid w:val="00CC4BAA"/>
    <w:rsid w:val="00CC61D0"/>
    <w:rsid w:val="00CD047D"/>
    <w:rsid w:val="00CD2D54"/>
    <w:rsid w:val="00CD4662"/>
    <w:rsid w:val="00CD6A6E"/>
    <w:rsid w:val="00CE1880"/>
    <w:rsid w:val="00CE1BDE"/>
    <w:rsid w:val="00CE3DA7"/>
    <w:rsid w:val="00CE5C46"/>
    <w:rsid w:val="00CF3394"/>
    <w:rsid w:val="00CF3BC1"/>
    <w:rsid w:val="00CF3CBB"/>
    <w:rsid w:val="00D00AB2"/>
    <w:rsid w:val="00D03B3F"/>
    <w:rsid w:val="00D042A5"/>
    <w:rsid w:val="00D0468D"/>
    <w:rsid w:val="00D053FC"/>
    <w:rsid w:val="00D06662"/>
    <w:rsid w:val="00D11188"/>
    <w:rsid w:val="00D11BC5"/>
    <w:rsid w:val="00D11D12"/>
    <w:rsid w:val="00D1224B"/>
    <w:rsid w:val="00D124C6"/>
    <w:rsid w:val="00D13DE1"/>
    <w:rsid w:val="00D16490"/>
    <w:rsid w:val="00D201B2"/>
    <w:rsid w:val="00D228BC"/>
    <w:rsid w:val="00D25A36"/>
    <w:rsid w:val="00D26248"/>
    <w:rsid w:val="00D2659C"/>
    <w:rsid w:val="00D268C9"/>
    <w:rsid w:val="00D2693B"/>
    <w:rsid w:val="00D26C10"/>
    <w:rsid w:val="00D32025"/>
    <w:rsid w:val="00D32EAC"/>
    <w:rsid w:val="00D34501"/>
    <w:rsid w:val="00D3572F"/>
    <w:rsid w:val="00D41DF5"/>
    <w:rsid w:val="00D45C3D"/>
    <w:rsid w:val="00D506CA"/>
    <w:rsid w:val="00D51E35"/>
    <w:rsid w:val="00D52C2D"/>
    <w:rsid w:val="00D5602E"/>
    <w:rsid w:val="00D57447"/>
    <w:rsid w:val="00D57BC8"/>
    <w:rsid w:val="00D837C1"/>
    <w:rsid w:val="00D8696A"/>
    <w:rsid w:val="00D87A59"/>
    <w:rsid w:val="00D907C0"/>
    <w:rsid w:val="00D90C85"/>
    <w:rsid w:val="00D9372E"/>
    <w:rsid w:val="00D948EF"/>
    <w:rsid w:val="00D94BB8"/>
    <w:rsid w:val="00DA7ECF"/>
    <w:rsid w:val="00DB0C83"/>
    <w:rsid w:val="00DB552C"/>
    <w:rsid w:val="00DB58D8"/>
    <w:rsid w:val="00DB5AE1"/>
    <w:rsid w:val="00DB5C60"/>
    <w:rsid w:val="00DB7F24"/>
    <w:rsid w:val="00DC1DB8"/>
    <w:rsid w:val="00DC6A4B"/>
    <w:rsid w:val="00DC7782"/>
    <w:rsid w:val="00DD05E7"/>
    <w:rsid w:val="00DD1590"/>
    <w:rsid w:val="00DD449D"/>
    <w:rsid w:val="00DD68D7"/>
    <w:rsid w:val="00DD7AFE"/>
    <w:rsid w:val="00DE1D9D"/>
    <w:rsid w:val="00DE2B3A"/>
    <w:rsid w:val="00DE2DB5"/>
    <w:rsid w:val="00DE41AA"/>
    <w:rsid w:val="00DE583B"/>
    <w:rsid w:val="00DE67B7"/>
    <w:rsid w:val="00DE698B"/>
    <w:rsid w:val="00DF07F3"/>
    <w:rsid w:val="00DF3D45"/>
    <w:rsid w:val="00E10AD3"/>
    <w:rsid w:val="00E12FD4"/>
    <w:rsid w:val="00E213C9"/>
    <w:rsid w:val="00E218EA"/>
    <w:rsid w:val="00E23222"/>
    <w:rsid w:val="00E23223"/>
    <w:rsid w:val="00E2490F"/>
    <w:rsid w:val="00E27CC4"/>
    <w:rsid w:val="00E32F93"/>
    <w:rsid w:val="00E35CBE"/>
    <w:rsid w:val="00E44F31"/>
    <w:rsid w:val="00E5656D"/>
    <w:rsid w:val="00E56AA8"/>
    <w:rsid w:val="00E56F63"/>
    <w:rsid w:val="00E61331"/>
    <w:rsid w:val="00E628B7"/>
    <w:rsid w:val="00E62F9E"/>
    <w:rsid w:val="00E6328D"/>
    <w:rsid w:val="00E667D5"/>
    <w:rsid w:val="00E74335"/>
    <w:rsid w:val="00E74464"/>
    <w:rsid w:val="00E7568D"/>
    <w:rsid w:val="00E77143"/>
    <w:rsid w:val="00E81C80"/>
    <w:rsid w:val="00E857F8"/>
    <w:rsid w:val="00E86AD6"/>
    <w:rsid w:val="00E93720"/>
    <w:rsid w:val="00E9438A"/>
    <w:rsid w:val="00EA4926"/>
    <w:rsid w:val="00EB26B4"/>
    <w:rsid w:val="00EB2E35"/>
    <w:rsid w:val="00EB4542"/>
    <w:rsid w:val="00EB496D"/>
    <w:rsid w:val="00EB56FB"/>
    <w:rsid w:val="00EB5DC5"/>
    <w:rsid w:val="00EB7817"/>
    <w:rsid w:val="00EB7819"/>
    <w:rsid w:val="00EC3318"/>
    <w:rsid w:val="00EC6B75"/>
    <w:rsid w:val="00ED0DE9"/>
    <w:rsid w:val="00ED15C0"/>
    <w:rsid w:val="00ED25EF"/>
    <w:rsid w:val="00ED4E10"/>
    <w:rsid w:val="00ED6054"/>
    <w:rsid w:val="00ED759C"/>
    <w:rsid w:val="00EE0434"/>
    <w:rsid w:val="00EE0FDE"/>
    <w:rsid w:val="00EE126F"/>
    <w:rsid w:val="00EE4A76"/>
    <w:rsid w:val="00EE5118"/>
    <w:rsid w:val="00EE757F"/>
    <w:rsid w:val="00EF0A14"/>
    <w:rsid w:val="00EF297A"/>
    <w:rsid w:val="00EF6144"/>
    <w:rsid w:val="00F01C3E"/>
    <w:rsid w:val="00F028E4"/>
    <w:rsid w:val="00F02DBC"/>
    <w:rsid w:val="00F073F2"/>
    <w:rsid w:val="00F104E4"/>
    <w:rsid w:val="00F10A44"/>
    <w:rsid w:val="00F115C2"/>
    <w:rsid w:val="00F11C0C"/>
    <w:rsid w:val="00F22C33"/>
    <w:rsid w:val="00F24B67"/>
    <w:rsid w:val="00F31360"/>
    <w:rsid w:val="00F3285C"/>
    <w:rsid w:val="00F40A05"/>
    <w:rsid w:val="00F457B4"/>
    <w:rsid w:val="00F45CF4"/>
    <w:rsid w:val="00F45EB6"/>
    <w:rsid w:val="00F4648D"/>
    <w:rsid w:val="00F4784D"/>
    <w:rsid w:val="00F54893"/>
    <w:rsid w:val="00F62115"/>
    <w:rsid w:val="00F63266"/>
    <w:rsid w:val="00F66D01"/>
    <w:rsid w:val="00F70E33"/>
    <w:rsid w:val="00F7369A"/>
    <w:rsid w:val="00F73FF0"/>
    <w:rsid w:val="00F74826"/>
    <w:rsid w:val="00F77702"/>
    <w:rsid w:val="00F803EE"/>
    <w:rsid w:val="00F81A78"/>
    <w:rsid w:val="00F85333"/>
    <w:rsid w:val="00F87C74"/>
    <w:rsid w:val="00F90A3D"/>
    <w:rsid w:val="00F94273"/>
    <w:rsid w:val="00F95531"/>
    <w:rsid w:val="00F97024"/>
    <w:rsid w:val="00FA1D40"/>
    <w:rsid w:val="00FA36DD"/>
    <w:rsid w:val="00FA3A99"/>
    <w:rsid w:val="00FB2E92"/>
    <w:rsid w:val="00FB50B2"/>
    <w:rsid w:val="00FB6289"/>
    <w:rsid w:val="00FC0976"/>
    <w:rsid w:val="00FC1D9E"/>
    <w:rsid w:val="00FC21AD"/>
    <w:rsid w:val="00FC5CA0"/>
    <w:rsid w:val="00FC6467"/>
    <w:rsid w:val="00FC6554"/>
    <w:rsid w:val="00FD1351"/>
    <w:rsid w:val="00FE3AA2"/>
    <w:rsid w:val="00FF3B1B"/>
    <w:rsid w:val="00FF4039"/>
    <w:rsid w:val="00FF7A9B"/>
    <w:rsid w:val="00FF7E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9AF56B"/>
  <w15:chartTrackingRefBased/>
  <w15:docId w15:val="{E71318D0-482A-46A7-AA3D-A8D5611F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14798"/>
    <w:pPr>
      <w:autoSpaceDE w:val="0"/>
      <w:autoSpaceDN w:val="0"/>
    </w:pPr>
    <w:rPr>
      <w:rFonts w:ascii="Times New Roman" w:eastAsia="Times New Roman" w:hAnsi="Times New Roman"/>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nhideWhenUsed/>
    <w:rsid w:val="00314798"/>
    <w:rPr>
      <w:color w:val="0000FF"/>
      <w:u w:val="single"/>
    </w:rPr>
  </w:style>
  <w:style w:type="paragraph" w:styleId="a8">
    <w:name w:val="Normal (Web)"/>
    <w:basedOn w:val="a3"/>
    <w:unhideWhenUsed/>
    <w:rsid w:val="00314798"/>
    <w:pPr>
      <w:spacing w:before="100" w:after="100"/>
    </w:pPr>
    <w:rPr>
      <w:color w:val="000000"/>
      <w:sz w:val="20"/>
      <w:szCs w:val="20"/>
    </w:rPr>
  </w:style>
  <w:style w:type="paragraph" w:styleId="a9">
    <w:name w:val="Body Text"/>
    <w:basedOn w:val="a3"/>
    <w:link w:val="aa"/>
    <w:unhideWhenUsed/>
    <w:rsid w:val="00314798"/>
    <w:pPr>
      <w:spacing w:after="120"/>
    </w:pPr>
  </w:style>
  <w:style w:type="character" w:customStyle="1" w:styleId="aa">
    <w:name w:val="Основной текст Знак"/>
    <w:link w:val="a9"/>
    <w:semiHidden/>
    <w:rsid w:val="00314798"/>
    <w:rPr>
      <w:rFonts w:ascii="Times New Roman" w:eastAsia="Times New Roman" w:hAnsi="Times New Roman" w:cs="Times New Roman"/>
      <w:sz w:val="24"/>
      <w:szCs w:val="24"/>
      <w:lang w:eastAsia="ru-RU"/>
    </w:rPr>
  </w:style>
  <w:style w:type="paragraph" w:customStyle="1" w:styleId="a1">
    <w:name w:val="Подпункт спецификации"/>
    <w:basedOn w:val="ab"/>
    <w:rsid w:val="00314798"/>
    <w:pPr>
      <w:numPr>
        <w:ilvl w:val="1"/>
        <w:numId w:val="8"/>
      </w:numPr>
      <w:tabs>
        <w:tab w:val="left" w:pos="9000"/>
      </w:tabs>
      <w:spacing w:before="120" w:after="0"/>
      <w:jc w:val="both"/>
    </w:pPr>
    <w:rPr>
      <w:rFonts w:ascii="Arial" w:hAnsi="Arial" w:cs="Arial"/>
      <w:sz w:val="20"/>
      <w:szCs w:val="20"/>
    </w:rPr>
  </w:style>
  <w:style w:type="paragraph" w:customStyle="1" w:styleId="a0">
    <w:name w:val="Пункт спецификации"/>
    <w:basedOn w:val="a3"/>
    <w:rsid w:val="00314798"/>
    <w:pPr>
      <w:numPr>
        <w:numId w:val="8"/>
      </w:numPr>
      <w:tabs>
        <w:tab w:val="left" w:pos="9000"/>
      </w:tabs>
      <w:spacing w:before="240"/>
      <w:ind w:right="57"/>
      <w:jc w:val="both"/>
    </w:pPr>
    <w:rPr>
      <w:rFonts w:ascii="Arial" w:hAnsi="Arial" w:cs="Arial"/>
      <w:b/>
      <w:bCs/>
      <w:sz w:val="20"/>
      <w:szCs w:val="20"/>
    </w:rPr>
  </w:style>
  <w:style w:type="paragraph" w:customStyle="1" w:styleId="ac">
    <w:name w:val="Текст таб"/>
    <w:basedOn w:val="a3"/>
    <w:rsid w:val="00314798"/>
    <w:pPr>
      <w:tabs>
        <w:tab w:val="left" w:pos="9000"/>
      </w:tabs>
      <w:spacing w:before="60"/>
      <w:ind w:left="851" w:right="58"/>
      <w:jc w:val="both"/>
    </w:pPr>
    <w:rPr>
      <w:rFonts w:ascii="Arial" w:hAnsi="Arial" w:cs="Arial"/>
      <w:sz w:val="20"/>
      <w:szCs w:val="20"/>
    </w:rPr>
  </w:style>
  <w:style w:type="paragraph" w:customStyle="1" w:styleId="Pointmark">
    <w:name w:val="Point (mark)"/>
    <w:rsid w:val="00314798"/>
    <w:pPr>
      <w:numPr>
        <w:numId w:val="2"/>
      </w:numPr>
      <w:autoSpaceDN w:val="0"/>
      <w:spacing w:before="60"/>
      <w:jc w:val="both"/>
    </w:pPr>
    <w:rPr>
      <w:rFonts w:ascii="Arial" w:eastAsia="Times New Roman" w:hAnsi="Arial" w:cs="Arial"/>
      <w:lang w:eastAsia="en-US"/>
    </w:rPr>
  </w:style>
  <w:style w:type="paragraph" w:customStyle="1" w:styleId="10">
    <w:name w:val="Подпункт спецификации 1"/>
    <w:basedOn w:val="a1"/>
    <w:rsid w:val="00314798"/>
    <w:pPr>
      <w:numPr>
        <w:ilvl w:val="2"/>
      </w:numPr>
      <w:tabs>
        <w:tab w:val="clear" w:pos="1854"/>
        <w:tab w:val="num" w:pos="360"/>
        <w:tab w:val="num" w:pos="1418"/>
      </w:tabs>
      <w:ind w:left="1418" w:hanging="567"/>
    </w:pPr>
  </w:style>
  <w:style w:type="paragraph" w:styleId="ad">
    <w:name w:val="Plain Text"/>
    <w:basedOn w:val="ac"/>
    <w:link w:val="ae"/>
    <w:unhideWhenUsed/>
    <w:rsid w:val="00314798"/>
    <w:pPr>
      <w:ind w:left="0"/>
    </w:pPr>
  </w:style>
  <w:style w:type="character" w:customStyle="1" w:styleId="ae">
    <w:name w:val="Текст Знак"/>
    <w:link w:val="ad"/>
    <w:rsid w:val="00314798"/>
    <w:rPr>
      <w:rFonts w:ascii="Arial" w:eastAsia="Times New Roman" w:hAnsi="Arial" w:cs="Arial"/>
      <w:sz w:val="20"/>
      <w:szCs w:val="20"/>
      <w:lang w:val="en-GB" w:eastAsia="ru-RU"/>
    </w:rPr>
  </w:style>
  <w:style w:type="paragraph" w:styleId="ab">
    <w:name w:val="Body Text Indent"/>
    <w:basedOn w:val="a3"/>
    <w:link w:val="af"/>
    <w:unhideWhenUsed/>
    <w:rsid w:val="00314798"/>
    <w:pPr>
      <w:spacing w:after="120"/>
      <w:ind w:left="283"/>
    </w:pPr>
  </w:style>
  <w:style w:type="character" w:customStyle="1" w:styleId="af">
    <w:name w:val="Основной текст с отступом Знак"/>
    <w:link w:val="ab"/>
    <w:uiPriority w:val="99"/>
    <w:semiHidden/>
    <w:rsid w:val="00314798"/>
    <w:rPr>
      <w:rFonts w:ascii="Times New Roman" w:eastAsia="Times New Roman" w:hAnsi="Times New Roman" w:cs="Times New Roman"/>
      <w:sz w:val="24"/>
      <w:szCs w:val="24"/>
      <w:lang w:eastAsia="ru-RU"/>
    </w:rPr>
  </w:style>
  <w:style w:type="paragraph" w:styleId="af0">
    <w:name w:val="List Bullet"/>
    <w:basedOn w:val="a3"/>
    <w:autoRedefine/>
    <w:unhideWhenUsed/>
    <w:rsid w:val="00264705"/>
    <w:pPr>
      <w:ind w:left="708"/>
      <w:jc w:val="both"/>
    </w:pPr>
    <w:rPr>
      <w:rFonts w:ascii="Arial" w:hAnsi="Arial" w:cs="Arial"/>
      <w:sz w:val="20"/>
    </w:rPr>
  </w:style>
  <w:style w:type="paragraph" w:customStyle="1" w:styleId="Texttabtab">
    <w:name w:val="Text tab tab"/>
    <w:basedOn w:val="a3"/>
    <w:rsid w:val="00264705"/>
    <w:pPr>
      <w:autoSpaceDE/>
      <w:spacing w:before="60"/>
      <w:ind w:left="1134"/>
      <w:jc w:val="both"/>
    </w:pPr>
    <w:rPr>
      <w:rFonts w:ascii="Arial" w:hAnsi="Arial" w:cs="Arial"/>
      <w:iCs/>
      <w:sz w:val="20"/>
      <w:szCs w:val="20"/>
    </w:rPr>
  </w:style>
  <w:style w:type="paragraph" w:customStyle="1" w:styleId="a2">
    <w:name w:val="Раздел спецификации"/>
    <w:next w:val="a0"/>
    <w:rsid w:val="00264705"/>
    <w:pPr>
      <w:numPr>
        <w:numId w:val="4"/>
      </w:numPr>
      <w:tabs>
        <w:tab w:val="num" w:pos="709"/>
      </w:tabs>
      <w:autoSpaceDN w:val="0"/>
      <w:spacing w:before="240"/>
      <w:ind w:left="709" w:hanging="709"/>
      <w:jc w:val="both"/>
    </w:pPr>
    <w:rPr>
      <w:rFonts w:ascii="Arial" w:eastAsia="Times New Roman" w:hAnsi="Arial"/>
      <w:b/>
    </w:rPr>
  </w:style>
  <w:style w:type="character" w:customStyle="1" w:styleId="af1">
    <w:name w:val="Основной шрифт"/>
    <w:rsid w:val="002F7E61"/>
  </w:style>
  <w:style w:type="paragraph" w:styleId="af2">
    <w:name w:val="footer"/>
    <w:basedOn w:val="a3"/>
    <w:link w:val="af3"/>
    <w:rsid w:val="002F7E61"/>
    <w:pPr>
      <w:tabs>
        <w:tab w:val="center" w:pos="4153"/>
        <w:tab w:val="right" w:pos="8306"/>
      </w:tabs>
    </w:pPr>
  </w:style>
  <w:style w:type="character" w:customStyle="1" w:styleId="af3">
    <w:name w:val="Нижний колонтитул Знак"/>
    <w:link w:val="af2"/>
    <w:rsid w:val="002F7E61"/>
    <w:rPr>
      <w:rFonts w:ascii="Times New Roman" w:eastAsia="Times New Roman" w:hAnsi="Times New Roman" w:cs="Times New Roman"/>
      <w:sz w:val="24"/>
      <w:szCs w:val="24"/>
      <w:lang w:eastAsia="ru-RU"/>
    </w:rPr>
  </w:style>
  <w:style w:type="character" w:styleId="af4">
    <w:name w:val="page number"/>
    <w:basedOn w:val="a4"/>
    <w:rsid w:val="002F7E61"/>
  </w:style>
  <w:style w:type="paragraph" w:styleId="af5">
    <w:name w:val="Block Text"/>
    <w:basedOn w:val="a3"/>
    <w:rsid w:val="002F7E61"/>
    <w:pPr>
      <w:ind w:left="705" w:right="895" w:hanging="705"/>
    </w:pPr>
    <w:rPr>
      <w:rFonts w:ascii="Arial" w:hAnsi="Arial" w:cs="Arial"/>
      <w:sz w:val="20"/>
      <w:szCs w:val="20"/>
    </w:rPr>
  </w:style>
  <w:style w:type="paragraph" w:styleId="2">
    <w:name w:val="Body Text Indent 2"/>
    <w:basedOn w:val="a3"/>
    <w:link w:val="20"/>
    <w:rsid w:val="002F7E61"/>
    <w:pPr>
      <w:ind w:firstLine="705"/>
    </w:pPr>
    <w:rPr>
      <w:rFonts w:ascii="Arial" w:hAnsi="Arial" w:cs="Arial"/>
      <w:sz w:val="20"/>
      <w:szCs w:val="20"/>
    </w:rPr>
  </w:style>
  <w:style w:type="character" w:customStyle="1" w:styleId="20">
    <w:name w:val="Основной текст с отступом 2 Знак"/>
    <w:link w:val="2"/>
    <w:rsid w:val="002F7E61"/>
    <w:rPr>
      <w:rFonts w:ascii="Arial" w:eastAsia="Times New Roman" w:hAnsi="Arial" w:cs="Arial"/>
      <w:sz w:val="20"/>
      <w:szCs w:val="20"/>
      <w:lang w:eastAsia="ru-RU"/>
    </w:rPr>
  </w:style>
  <w:style w:type="paragraph" w:styleId="3">
    <w:name w:val="Body Text Indent 3"/>
    <w:basedOn w:val="a3"/>
    <w:link w:val="30"/>
    <w:rsid w:val="002F7E61"/>
    <w:pPr>
      <w:tabs>
        <w:tab w:val="num" w:pos="1440"/>
      </w:tabs>
      <w:ind w:left="1440" w:hanging="720"/>
    </w:pPr>
    <w:rPr>
      <w:rFonts w:ascii="Arial" w:hAnsi="Arial" w:cs="Arial"/>
      <w:sz w:val="20"/>
      <w:szCs w:val="20"/>
    </w:rPr>
  </w:style>
  <w:style w:type="character" w:customStyle="1" w:styleId="30">
    <w:name w:val="Основной текст с отступом 3 Знак"/>
    <w:link w:val="3"/>
    <w:rsid w:val="002F7E61"/>
    <w:rPr>
      <w:rFonts w:ascii="Arial" w:eastAsia="Times New Roman" w:hAnsi="Arial" w:cs="Arial"/>
      <w:sz w:val="20"/>
      <w:szCs w:val="20"/>
      <w:lang w:eastAsia="ru-RU"/>
    </w:rPr>
  </w:style>
  <w:style w:type="paragraph" w:customStyle="1" w:styleId="Headright">
    <w:name w:val="Head right"/>
    <w:basedOn w:val="a3"/>
    <w:rsid w:val="002F7E61"/>
    <w:pPr>
      <w:ind w:right="-694"/>
      <w:jc w:val="right"/>
    </w:pPr>
    <w:rPr>
      <w:rFonts w:ascii="Arial" w:hAnsi="Arial" w:cs="Arial"/>
      <w:sz w:val="20"/>
      <w:szCs w:val="20"/>
    </w:rPr>
  </w:style>
  <w:style w:type="paragraph" w:customStyle="1" w:styleId="a">
    <w:name w:val="Пункт регламента"/>
    <w:basedOn w:val="a8"/>
    <w:rsid w:val="002F7E61"/>
    <w:pPr>
      <w:numPr>
        <w:numId w:val="5"/>
      </w:numPr>
      <w:tabs>
        <w:tab w:val="left" w:pos="9000"/>
      </w:tabs>
      <w:spacing w:before="240" w:after="0"/>
      <w:ind w:right="58" w:hanging="720"/>
      <w:jc w:val="both"/>
    </w:pPr>
    <w:rPr>
      <w:color w:val="auto"/>
    </w:rPr>
  </w:style>
  <w:style w:type="paragraph" w:styleId="af6">
    <w:name w:val="header"/>
    <w:basedOn w:val="a3"/>
    <w:link w:val="af7"/>
    <w:rsid w:val="002F7E61"/>
    <w:pPr>
      <w:tabs>
        <w:tab w:val="center" w:pos="4844"/>
        <w:tab w:val="right" w:pos="9689"/>
      </w:tabs>
    </w:pPr>
  </w:style>
  <w:style w:type="character" w:customStyle="1" w:styleId="af7">
    <w:name w:val="Верхний колонтитул Знак"/>
    <w:link w:val="af6"/>
    <w:rsid w:val="002F7E61"/>
    <w:rPr>
      <w:rFonts w:ascii="Times New Roman" w:eastAsia="Times New Roman" w:hAnsi="Times New Roman" w:cs="Times New Roman"/>
      <w:sz w:val="24"/>
      <w:szCs w:val="24"/>
      <w:lang w:eastAsia="ru-RU"/>
    </w:rPr>
  </w:style>
  <w:style w:type="paragraph" w:customStyle="1" w:styleId="ConsNormal">
    <w:name w:val="ConsNormal"/>
    <w:rsid w:val="002F7E61"/>
    <w:pPr>
      <w:autoSpaceDE w:val="0"/>
      <w:autoSpaceDN w:val="0"/>
      <w:adjustRightInd w:val="0"/>
      <w:ind w:right="19772" w:firstLine="720"/>
    </w:pPr>
    <w:rPr>
      <w:rFonts w:ascii="Arial" w:eastAsia="Times New Roman" w:hAnsi="Arial" w:cs="Arial"/>
    </w:rPr>
  </w:style>
  <w:style w:type="paragraph" w:customStyle="1" w:styleId="BalloonText1">
    <w:name w:val="Balloon Text1"/>
    <w:basedOn w:val="a3"/>
    <w:rsid w:val="002F7E61"/>
    <w:rPr>
      <w:rFonts w:ascii="Tahoma" w:hAnsi="Tahoma" w:cs="Tahoma"/>
      <w:sz w:val="16"/>
      <w:szCs w:val="16"/>
    </w:rPr>
  </w:style>
  <w:style w:type="paragraph" w:customStyle="1" w:styleId="af8">
    <w:name w:val="Пункт"/>
    <w:basedOn w:val="a8"/>
    <w:rsid w:val="002F7E61"/>
    <w:pPr>
      <w:tabs>
        <w:tab w:val="num" w:pos="720"/>
      </w:tabs>
      <w:spacing w:before="120" w:after="0"/>
      <w:ind w:left="720" w:right="6" w:hanging="720"/>
      <w:jc w:val="both"/>
    </w:pPr>
    <w:rPr>
      <w:rFonts w:ascii="Arial CYR" w:eastAsia="Arial Unicode MS" w:hAnsi="Arial CYR"/>
    </w:rPr>
  </w:style>
  <w:style w:type="paragraph" w:customStyle="1" w:styleId="af9">
    <w:name w:val="Подпункт"/>
    <w:basedOn w:val="a8"/>
    <w:rsid w:val="002F7E61"/>
    <w:pPr>
      <w:tabs>
        <w:tab w:val="num" w:pos="1080"/>
      </w:tabs>
      <w:spacing w:before="60" w:after="0"/>
      <w:ind w:left="720" w:right="6" w:hanging="720"/>
      <w:jc w:val="both"/>
    </w:pPr>
    <w:rPr>
      <w:rFonts w:ascii="Arial CYR" w:eastAsia="Arial Unicode MS" w:hAnsi="Arial CYR"/>
    </w:rPr>
  </w:style>
  <w:style w:type="paragraph" w:customStyle="1" w:styleId="afa">
    <w:name w:val="Выдержка"/>
    <w:basedOn w:val="a9"/>
    <w:rsid w:val="002F7E61"/>
    <w:pPr>
      <w:tabs>
        <w:tab w:val="num" w:pos="540"/>
      </w:tabs>
      <w:autoSpaceDE/>
      <w:autoSpaceDN/>
      <w:spacing w:after="0"/>
      <w:ind w:left="1416"/>
      <w:jc w:val="both"/>
    </w:pPr>
    <w:rPr>
      <w:rFonts w:ascii="Arial" w:hAnsi="Arial" w:cs="Arial"/>
      <w:color w:val="000080"/>
      <w:sz w:val="20"/>
      <w:szCs w:val="20"/>
    </w:rPr>
  </w:style>
  <w:style w:type="paragraph" w:customStyle="1" w:styleId="ConsNonformat">
    <w:name w:val="ConsNonformat"/>
    <w:rsid w:val="002F7E61"/>
    <w:pPr>
      <w:autoSpaceDE w:val="0"/>
      <w:autoSpaceDN w:val="0"/>
      <w:adjustRightInd w:val="0"/>
      <w:ind w:right="19772"/>
    </w:pPr>
    <w:rPr>
      <w:rFonts w:ascii="Courier New" w:eastAsia="Times New Roman" w:hAnsi="Courier New" w:cs="Courier New"/>
      <w:lang w:eastAsia="en-US"/>
    </w:rPr>
  </w:style>
  <w:style w:type="paragraph" w:customStyle="1" w:styleId="ConsTitle">
    <w:name w:val="ConsTitle"/>
    <w:rsid w:val="002F7E61"/>
    <w:pPr>
      <w:autoSpaceDE w:val="0"/>
      <w:autoSpaceDN w:val="0"/>
      <w:adjustRightInd w:val="0"/>
      <w:ind w:right="19772"/>
    </w:pPr>
    <w:rPr>
      <w:rFonts w:ascii="Arial" w:eastAsia="Times New Roman" w:hAnsi="Arial" w:cs="Arial"/>
      <w:b/>
      <w:bCs/>
      <w:sz w:val="16"/>
      <w:szCs w:val="16"/>
      <w:lang w:eastAsia="en-US"/>
    </w:rPr>
  </w:style>
  <w:style w:type="paragraph" w:customStyle="1" w:styleId="ConsPlusNormal">
    <w:name w:val="ConsPlusNormal"/>
    <w:rsid w:val="002F7E61"/>
    <w:pPr>
      <w:autoSpaceDE w:val="0"/>
      <w:autoSpaceDN w:val="0"/>
      <w:adjustRightInd w:val="0"/>
      <w:ind w:left="1416" w:firstLine="2"/>
      <w:jc w:val="both"/>
    </w:pPr>
    <w:rPr>
      <w:rFonts w:ascii="Arial" w:eastAsia="Times New Roman" w:hAnsi="Arial" w:cs="Arial"/>
    </w:rPr>
  </w:style>
  <w:style w:type="paragraph" w:customStyle="1" w:styleId="ConsPlusNonformat">
    <w:name w:val="ConsPlusNonformat"/>
    <w:rsid w:val="002F7E61"/>
    <w:pPr>
      <w:autoSpaceDE w:val="0"/>
      <w:autoSpaceDN w:val="0"/>
      <w:adjustRightInd w:val="0"/>
    </w:pPr>
    <w:rPr>
      <w:rFonts w:ascii="Courier New" w:eastAsia="Times New Roman" w:hAnsi="Courier New" w:cs="Courier New"/>
    </w:rPr>
  </w:style>
  <w:style w:type="character" w:customStyle="1" w:styleId="rvts48220">
    <w:name w:val="rvts48220"/>
    <w:rsid w:val="002F7E61"/>
    <w:rPr>
      <w:rFonts w:ascii="Arial" w:hAnsi="Arial" w:cs="Arial" w:hint="default"/>
      <w:b w:val="0"/>
      <w:bCs w:val="0"/>
      <w:i w:val="0"/>
      <w:iCs w:val="0"/>
      <w:strike w:val="0"/>
      <w:dstrike w:val="0"/>
      <w:color w:val="000000"/>
      <w:sz w:val="20"/>
      <w:szCs w:val="20"/>
      <w:u w:val="none"/>
      <w:effect w:val="none"/>
    </w:rPr>
  </w:style>
  <w:style w:type="paragraph" w:customStyle="1" w:styleId="1">
    <w:name w:val="Маркированный список 1"/>
    <w:basedOn w:val="af0"/>
    <w:rsid w:val="002F7E61"/>
    <w:pPr>
      <w:numPr>
        <w:numId w:val="6"/>
      </w:numPr>
    </w:pPr>
  </w:style>
  <w:style w:type="character" w:styleId="afb">
    <w:name w:val="FollowedHyperlink"/>
    <w:rsid w:val="002F7E61"/>
    <w:rPr>
      <w:color w:val="800080"/>
      <w:u w:val="single"/>
    </w:rPr>
  </w:style>
  <w:style w:type="paragraph" w:customStyle="1" w:styleId="ConsPlusTitle">
    <w:name w:val="ConsPlusTitle"/>
    <w:rsid w:val="002F7E61"/>
    <w:pPr>
      <w:autoSpaceDE w:val="0"/>
      <w:autoSpaceDN w:val="0"/>
      <w:adjustRightInd w:val="0"/>
    </w:pPr>
    <w:rPr>
      <w:rFonts w:ascii="Arial" w:eastAsia="Times New Roman" w:hAnsi="Arial" w:cs="Arial"/>
      <w:b/>
      <w:bCs/>
    </w:rPr>
  </w:style>
  <w:style w:type="character" w:styleId="afc">
    <w:name w:val="annotation reference"/>
    <w:semiHidden/>
    <w:rsid w:val="002F7E61"/>
    <w:rPr>
      <w:sz w:val="16"/>
      <w:szCs w:val="16"/>
    </w:rPr>
  </w:style>
  <w:style w:type="paragraph" w:styleId="afd">
    <w:name w:val="annotation text"/>
    <w:basedOn w:val="a3"/>
    <w:link w:val="afe"/>
    <w:semiHidden/>
    <w:rsid w:val="002F7E61"/>
    <w:rPr>
      <w:sz w:val="20"/>
      <w:szCs w:val="20"/>
    </w:rPr>
  </w:style>
  <w:style w:type="character" w:customStyle="1" w:styleId="afe">
    <w:name w:val="Текст примечания Знак"/>
    <w:link w:val="afd"/>
    <w:semiHidden/>
    <w:rsid w:val="002F7E61"/>
    <w:rPr>
      <w:rFonts w:ascii="Times New Roman" w:eastAsia="Times New Roman" w:hAnsi="Times New Roman" w:cs="Times New Roman"/>
      <w:sz w:val="20"/>
      <w:szCs w:val="20"/>
      <w:lang w:eastAsia="ru-RU"/>
    </w:rPr>
  </w:style>
  <w:style w:type="paragraph" w:customStyle="1" w:styleId="aff">
    <w:name w:val="Поподпункт спецификации"/>
    <w:basedOn w:val="a1"/>
    <w:rsid w:val="002F7E61"/>
    <w:pPr>
      <w:numPr>
        <w:ilvl w:val="0"/>
        <w:numId w:val="0"/>
      </w:numPr>
      <w:tabs>
        <w:tab w:val="num" w:pos="2520"/>
        <w:tab w:val="num" w:pos="3240"/>
      </w:tabs>
      <w:spacing w:before="0"/>
      <w:ind w:left="1080" w:right="57" w:hanging="720"/>
    </w:pPr>
    <w:rPr>
      <w:rFonts w:ascii="Times New Roman" w:hAnsi="Times New Roman" w:cs="Times New Roman"/>
      <w:sz w:val="24"/>
    </w:rPr>
  </w:style>
  <w:style w:type="paragraph" w:customStyle="1" w:styleId="aff0">
    <w:name w:val="ПоПоподпункт спецификации"/>
    <w:basedOn w:val="aff"/>
    <w:rsid w:val="002F7E61"/>
    <w:pPr>
      <w:tabs>
        <w:tab w:val="num" w:pos="2880"/>
      </w:tabs>
      <w:ind w:left="2880" w:hanging="360"/>
    </w:pPr>
  </w:style>
  <w:style w:type="paragraph" w:styleId="aff1">
    <w:name w:val="Balloon Text"/>
    <w:basedOn w:val="a3"/>
    <w:link w:val="aff2"/>
    <w:semiHidden/>
    <w:rsid w:val="002F7E61"/>
    <w:rPr>
      <w:rFonts w:ascii="Tahoma" w:hAnsi="Tahoma" w:cs="Tahoma"/>
      <w:sz w:val="16"/>
      <w:szCs w:val="16"/>
    </w:rPr>
  </w:style>
  <w:style w:type="character" w:customStyle="1" w:styleId="aff2">
    <w:name w:val="Текст выноски Знак"/>
    <w:link w:val="aff1"/>
    <w:semiHidden/>
    <w:rsid w:val="002F7E61"/>
    <w:rPr>
      <w:rFonts w:ascii="Tahoma" w:eastAsia="Times New Roman" w:hAnsi="Tahoma" w:cs="Tahoma"/>
      <w:sz w:val="16"/>
      <w:szCs w:val="16"/>
      <w:lang w:eastAsia="ru-RU"/>
    </w:rPr>
  </w:style>
  <w:style w:type="paragraph" w:customStyle="1" w:styleId="Point">
    <w:name w:val="Point"/>
    <w:rsid w:val="002F7E61"/>
    <w:pPr>
      <w:numPr>
        <w:ilvl w:val="3"/>
        <w:numId w:val="7"/>
      </w:numPr>
      <w:spacing w:before="240"/>
      <w:jc w:val="both"/>
    </w:pPr>
    <w:rPr>
      <w:rFonts w:ascii="Arial" w:eastAsia="Times New Roman" w:hAnsi="Arial"/>
      <w:lang w:eastAsia="en-US"/>
    </w:rPr>
  </w:style>
  <w:style w:type="paragraph" w:customStyle="1" w:styleId="Point2">
    <w:name w:val="Point 2"/>
    <w:basedOn w:val="a3"/>
    <w:rsid w:val="002F7E61"/>
    <w:pPr>
      <w:numPr>
        <w:ilvl w:val="4"/>
        <w:numId w:val="7"/>
      </w:numPr>
      <w:tabs>
        <w:tab w:val="clear" w:pos="1152"/>
        <w:tab w:val="num" w:pos="720"/>
      </w:tabs>
      <w:autoSpaceDE/>
      <w:autoSpaceDN/>
      <w:spacing w:before="120"/>
      <w:ind w:left="720" w:hanging="720"/>
      <w:jc w:val="both"/>
    </w:pPr>
    <w:rPr>
      <w:rFonts w:ascii="Arial" w:hAnsi="Arial" w:cs="Arial"/>
      <w:sz w:val="20"/>
      <w:szCs w:val="20"/>
    </w:rPr>
  </w:style>
  <w:style w:type="paragraph" w:customStyle="1" w:styleId="Title1">
    <w:name w:val="Title 1"/>
    <w:rsid w:val="002F7E61"/>
    <w:pPr>
      <w:numPr>
        <w:numId w:val="7"/>
      </w:numPr>
      <w:tabs>
        <w:tab w:val="clear" w:pos="360"/>
        <w:tab w:val="num" w:pos="1440"/>
      </w:tabs>
      <w:spacing w:before="240"/>
      <w:ind w:left="1440" w:hanging="1440"/>
    </w:pPr>
    <w:rPr>
      <w:rFonts w:ascii="Arial" w:eastAsia="Times New Roman" w:hAnsi="Arial" w:cs="Arial"/>
      <w:b/>
      <w:bCs/>
      <w:lang w:eastAsia="en-US"/>
    </w:rPr>
  </w:style>
  <w:style w:type="paragraph" w:customStyle="1" w:styleId="Title2">
    <w:name w:val="Title 2"/>
    <w:rsid w:val="002F7E61"/>
    <w:pPr>
      <w:numPr>
        <w:ilvl w:val="1"/>
        <w:numId w:val="7"/>
      </w:numPr>
      <w:tabs>
        <w:tab w:val="clear" w:pos="1440"/>
        <w:tab w:val="num" w:pos="1980"/>
      </w:tabs>
      <w:spacing w:before="240"/>
      <w:ind w:left="1980" w:hanging="1980"/>
      <w:jc w:val="both"/>
    </w:pPr>
    <w:rPr>
      <w:rFonts w:ascii="Arial" w:eastAsia="Times New Roman" w:hAnsi="Arial"/>
      <w:b/>
      <w:lang w:eastAsia="en-US"/>
    </w:rPr>
  </w:style>
  <w:style w:type="paragraph" w:customStyle="1" w:styleId="Title3">
    <w:name w:val="Title 3"/>
    <w:rsid w:val="002F7E61"/>
    <w:pPr>
      <w:numPr>
        <w:ilvl w:val="2"/>
        <w:numId w:val="7"/>
      </w:numPr>
      <w:tabs>
        <w:tab w:val="clear" w:pos="720"/>
        <w:tab w:val="num" w:pos="1440"/>
      </w:tabs>
      <w:spacing w:before="240"/>
      <w:ind w:left="1440" w:hanging="1440"/>
    </w:pPr>
    <w:rPr>
      <w:rFonts w:ascii="Arial" w:eastAsia="Times New Roman" w:hAnsi="Arial"/>
      <w:b/>
      <w:bCs/>
      <w:lang w:eastAsia="en-US"/>
    </w:rPr>
  </w:style>
  <w:style w:type="paragraph" w:customStyle="1" w:styleId="Pointlet">
    <w:name w:val="Point (let)"/>
    <w:basedOn w:val="a3"/>
    <w:rsid w:val="002F7E61"/>
    <w:pPr>
      <w:numPr>
        <w:ilvl w:val="5"/>
        <w:numId w:val="7"/>
      </w:numPr>
      <w:spacing w:before="60"/>
      <w:jc w:val="both"/>
    </w:pPr>
    <w:rPr>
      <w:rFonts w:ascii="Arial" w:hAnsi="Arial" w:cs="Arial"/>
      <w:sz w:val="20"/>
      <w:szCs w:val="20"/>
    </w:rPr>
  </w:style>
  <w:style w:type="paragraph" w:styleId="aff3">
    <w:name w:val="footnote text"/>
    <w:basedOn w:val="a3"/>
    <w:link w:val="aff4"/>
    <w:semiHidden/>
    <w:rsid w:val="002F7E61"/>
    <w:rPr>
      <w:sz w:val="20"/>
      <w:szCs w:val="20"/>
    </w:rPr>
  </w:style>
  <w:style w:type="character" w:customStyle="1" w:styleId="aff4">
    <w:name w:val="Текст сноски Знак"/>
    <w:link w:val="aff3"/>
    <w:semiHidden/>
    <w:rsid w:val="002F7E61"/>
    <w:rPr>
      <w:rFonts w:ascii="Times New Roman" w:eastAsia="Times New Roman" w:hAnsi="Times New Roman" w:cs="Times New Roman"/>
      <w:sz w:val="20"/>
      <w:szCs w:val="20"/>
      <w:lang w:eastAsia="ru-RU"/>
    </w:rPr>
  </w:style>
  <w:style w:type="character" w:styleId="aff5">
    <w:name w:val="footnote reference"/>
    <w:semiHidden/>
    <w:rsid w:val="002F7E61"/>
    <w:rPr>
      <w:vertAlign w:val="superscript"/>
    </w:rPr>
  </w:style>
  <w:style w:type="table" w:styleId="aff6">
    <w:name w:val="Table Grid"/>
    <w:basedOn w:val="a5"/>
    <w:rsid w:val="002F7E61"/>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annotation subject"/>
    <w:basedOn w:val="afd"/>
    <w:next w:val="afd"/>
    <w:link w:val="aff8"/>
    <w:rsid w:val="002F7E61"/>
    <w:rPr>
      <w:b/>
      <w:bCs/>
    </w:rPr>
  </w:style>
  <w:style w:type="character" w:customStyle="1" w:styleId="aff8">
    <w:name w:val="Тема примечания Знак"/>
    <w:link w:val="aff7"/>
    <w:rsid w:val="002F7E61"/>
    <w:rPr>
      <w:rFonts w:ascii="Times New Roman" w:eastAsia="Times New Roman" w:hAnsi="Times New Roman" w:cs="Times New Roman"/>
      <w:b/>
      <w:bCs/>
      <w:sz w:val="20"/>
      <w:szCs w:val="20"/>
      <w:lang w:eastAsia="ru-RU"/>
    </w:rPr>
  </w:style>
  <w:style w:type="paragraph" w:styleId="aff9">
    <w:name w:val="Revision"/>
    <w:hidden/>
    <w:uiPriority w:val="99"/>
    <w:semiHidden/>
    <w:rsid w:val="002F7E61"/>
    <w:rPr>
      <w:rFonts w:ascii="Times New Roman" w:eastAsia="Times New Roman" w:hAnsi="Times New Roman"/>
      <w:sz w:val="24"/>
      <w:szCs w:val="24"/>
    </w:rPr>
  </w:style>
  <w:style w:type="paragraph" w:styleId="affa">
    <w:name w:val="List Paragraph"/>
    <w:basedOn w:val="a3"/>
    <w:uiPriority w:val="34"/>
    <w:qFormat/>
    <w:rsid w:val="002F7E61"/>
    <w:pPr>
      <w:ind w:left="708"/>
    </w:pPr>
  </w:style>
  <w:style w:type="paragraph" w:customStyle="1" w:styleId="11">
    <w:name w:val="Пункт 1"/>
    <w:basedOn w:val="ad"/>
    <w:rsid w:val="00B471DD"/>
    <w:pPr>
      <w:tabs>
        <w:tab w:val="clear" w:pos="9000"/>
        <w:tab w:val="num" w:pos="900"/>
      </w:tabs>
      <w:autoSpaceDE/>
      <w:autoSpaceDN/>
      <w:spacing w:before="120"/>
      <w:ind w:left="896" w:right="57" w:hanging="539"/>
    </w:pPr>
    <w:rPr>
      <w:rFonts w:ascii="Arial CYR" w:eastAsia="Arial Unicode MS" w:hAnsi="Arial CYR" w:cs="Arial CYR"/>
      <w:color w:val="000000"/>
    </w:rPr>
  </w:style>
  <w:style w:type="paragraph" w:customStyle="1" w:styleId="21">
    <w:name w:val="Пункт 2"/>
    <w:basedOn w:val="11"/>
    <w:rsid w:val="00B471DD"/>
    <w:pPr>
      <w:tabs>
        <w:tab w:val="clear" w:pos="900"/>
        <w:tab w:val="num" w:pos="1418"/>
      </w:tabs>
      <w:ind w:left="1418" w:hanging="567"/>
    </w:pPr>
  </w:style>
  <w:style w:type="paragraph" w:customStyle="1" w:styleId="affb">
    <w:name w:val="Пункт перечисление"/>
    <w:basedOn w:val="Pointmark"/>
    <w:rsid w:val="00B471DD"/>
    <w:pPr>
      <w:numPr>
        <w:numId w:val="0"/>
      </w:numPr>
      <w:tabs>
        <w:tab w:val="num" w:pos="1260"/>
      </w:tabs>
      <w:autoSpaceDN/>
      <w:ind w:left="1260" w:hanging="357"/>
    </w:pPr>
  </w:style>
  <w:style w:type="paragraph" w:customStyle="1" w:styleId="Default">
    <w:name w:val="Default"/>
    <w:rsid w:val="00600519"/>
    <w:pPr>
      <w:autoSpaceDE w:val="0"/>
      <w:autoSpaceDN w:val="0"/>
      <w:adjustRightInd w:val="0"/>
    </w:pPr>
    <w:rPr>
      <w:rFonts w:ascii="Times New Roman" w:hAnsi="Times New Roman"/>
      <w:color w:val="000000"/>
      <w:sz w:val="24"/>
      <w:szCs w:val="24"/>
      <w:lang w:eastAsia="en-US"/>
    </w:rPr>
  </w:style>
  <w:style w:type="paragraph" w:customStyle="1" w:styleId="12">
    <w:name w:val="пункт1"/>
    <w:basedOn w:val="2"/>
    <w:rsid w:val="003971C2"/>
    <w:pPr>
      <w:tabs>
        <w:tab w:val="num" w:pos="2052"/>
      </w:tabs>
      <w:autoSpaceDE/>
      <w:autoSpaceDN/>
      <w:spacing w:before="100" w:beforeAutospacing="1" w:after="100" w:afterAutospacing="1"/>
      <w:ind w:left="2052" w:hanging="792"/>
      <w:jc w:val="both"/>
    </w:pPr>
    <w:rPr>
      <w:rFonts w:cs="Times New Roman"/>
      <w:lang w:eastAsia="x-none"/>
    </w:rPr>
  </w:style>
  <w:style w:type="character" w:styleId="affc">
    <w:name w:val="Unresolved Mention"/>
    <w:basedOn w:val="a4"/>
    <w:uiPriority w:val="99"/>
    <w:unhideWhenUsed/>
    <w:rsid w:val="00514158"/>
    <w:rPr>
      <w:color w:val="605E5C"/>
      <w:shd w:val="clear" w:color="auto" w:fill="E1DFDD"/>
    </w:rPr>
  </w:style>
  <w:style w:type="paragraph" w:styleId="affd">
    <w:name w:val="endnote text"/>
    <w:basedOn w:val="a3"/>
    <w:link w:val="affe"/>
    <w:uiPriority w:val="99"/>
    <w:semiHidden/>
    <w:unhideWhenUsed/>
    <w:rsid w:val="00514158"/>
    <w:rPr>
      <w:sz w:val="20"/>
      <w:szCs w:val="20"/>
    </w:rPr>
  </w:style>
  <w:style w:type="character" w:customStyle="1" w:styleId="affe">
    <w:name w:val="Текст концевой сноски Знак"/>
    <w:basedOn w:val="a4"/>
    <w:link w:val="affd"/>
    <w:uiPriority w:val="99"/>
    <w:semiHidden/>
    <w:rsid w:val="00514158"/>
    <w:rPr>
      <w:rFonts w:ascii="Times New Roman" w:eastAsia="Times New Roman" w:hAnsi="Times New Roman"/>
    </w:rPr>
  </w:style>
  <w:style w:type="character" w:styleId="afff">
    <w:name w:val="endnote reference"/>
    <w:basedOn w:val="a4"/>
    <w:uiPriority w:val="99"/>
    <w:semiHidden/>
    <w:unhideWhenUsed/>
    <w:rsid w:val="00514158"/>
    <w:rPr>
      <w:vertAlign w:val="superscript"/>
    </w:rPr>
  </w:style>
  <w:style w:type="character" w:styleId="afff0">
    <w:name w:val="Mention"/>
    <w:basedOn w:val="a4"/>
    <w:uiPriority w:val="99"/>
    <w:unhideWhenUsed/>
    <w:rsid w:val="005150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307">
      <w:bodyDiv w:val="1"/>
      <w:marLeft w:val="0"/>
      <w:marRight w:val="0"/>
      <w:marTop w:val="0"/>
      <w:marBottom w:val="0"/>
      <w:divBdr>
        <w:top w:val="none" w:sz="0" w:space="0" w:color="auto"/>
        <w:left w:val="none" w:sz="0" w:space="0" w:color="auto"/>
        <w:bottom w:val="none" w:sz="0" w:space="0" w:color="auto"/>
        <w:right w:val="none" w:sz="0" w:space="0" w:color="auto"/>
      </w:divBdr>
    </w:div>
    <w:div w:id="156003219">
      <w:bodyDiv w:val="1"/>
      <w:marLeft w:val="0"/>
      <w:marRight w:val="0"/>
      <w:marTop w:val="0"/>
      <w:marBottom w:val="0"/>
      <w:divBdr>
        <w:top w:val="none" w:sz="0" w:space="0" w:color="auto"/>
        <w:left w:val="none" w:sz="0" w:space="0" w:color="auto"/>
        <w:bottom w:val="none" w:sz="0" w:space="0" w:color="auto"/>
        <w:right w:val="none" w:sz="0" w:space="0" w:color="auto"/>
      </w:divBdr>
    </w:div>
    <w:div w:id="172762243">
      <w:bodyDiv w:val="1"/>
      <w:marLeft w:val="0"/>
      <w:marRight w:val="0"/>
      <w:marTop w:val="0"/>
      <w:marBottom w:val="0"/>
      <w:divBdr>
        <w:top w:val="none" w:sz="0" w:space="0" w:color="auto"/>
        <w:left w:val="none" w:sz="0" w:space="0" w:color="auto"/>
        <w:bottom w:val="none" w:sz="0" w:space="0" w:color="auto"/>
        <w:right w:val="none" w:sz="0" w:space="0" w:color="auto"/>
      </w:divBdr>
    </w:div>
    <w:div w:id="203566830">
      <w:bodyDiv w:val="1"/>
      <w:marLeft w:val="0"/>
      <w:marRight w:val="0"/>
      <w:marTop w:val="0"/>
      <w:marBottom w:val="0"/>
      <w:divBdr>
        <w:top w:val="none" w:sz="0" w:space="0" w:color="auto"/>
        <w:left w:val="none" w:sz="0" w:space="0" w:color="auto"/>
        <w:bottom w:val="none" w:sz="0" w:space="0" w:color="auto"/>
        <w:right w:val="none" w:sz="0" w:space="0" w:color="auto"/>
      </w:divBdr>
    </w:div>
    <w:div w:id="216596654">
      <w:bodyDiv w:val="1"/>
      <w:marLeft w:val="0"/>
      <w:marRight w:val="0"/>
      <w:marTop w:val="0"/>
      <w:marBottom w:val="0"/>
      <w:divBdr>
        <w:top w:val="none" w:sz="0" w:space="0" w:color="auto"/>
        <w:left w:val="none" w:sz="0" w:space="0" w:color="auto"/>
        <w:bottom w:val="none" w:sz="0" w:space="0" w:color="auto"/>
        <w:right w:val="none" w:sz="0" w:space="0" w:color="auto"/>
      </w:divBdr>
    </w:div>
    <w:div w:id="217866081">
      <w:bodyDiv w:val="1"/>
      <w:marLeft w:val="0"/>
      <w:marRight w:val="0"/>
      <w:marTop w:val="0"/>
      <w:marBottom w:val="0"/>
      <w:divBdr>
        <w:top w:val="none" w:sz="0" w:space="0" w:color="auto"/>
        <w:left w:val="none" w:sz="0" w:space="0" w:color="auto"/>
        <w:bottom w:val="none" w:sz="0" w:space="0" w:color="auto"/>
        <w:right w:val="none" w:sz="0" w:space="0" w:color="auto"/>
      </w:divBdr>
    </w:div>
    <w:div w:id="245774026">
      <w:bodyDiv w:val="1"/>
      <w:marLeft w:val="0"/>
      <w:marRight w:val="0"/>
      <w:marTop w:val="0"/>
      <w:marBottom w:val="0"/>
      <w:divBdr>
        <w:top w:val="none" w:sz="0" w:space="0" w:color="auto"/>
        <w:left w:val="none" w:sz="0" w:space="0" w:color="auto"/>
        <w:bottom w:val="none" w:sz="0" w:space="0" w:color="auto"/>
        <w:right w:val="none" w:sz="0" w:space="0" w:color="auto"/>
      </w:divBdr>
    </w:div>
    <w:div w:id="245848418">
      <w:bodyDiv w:val="1"/>
      <w:marLeft w:val="0"/>
      <w:marRight w:val="0"/>
      <w:marTop w:val="0"/>
      <w:marBottom w:val="0"/>
      <w:divBdr>
        <w:top w:val="none" w:sz="0" w:space="0" w:color="auto"/>
        <w:left w:val="none" w:sz="0" w:space="0" w:color="auto"/>
        <w:bottom w:val="none" w:sz="0" w:space="0" w:color="auto"/>
        <w:right w:val="none" w:sz="0" w:space="0" w:color="auto"/>
      </w:divBdr>
    </w:div>
    <w:div w:id="275910393">
      <w:bodyDiv w:val="1"/>
      <w:marLeft w:val="0"/>
      <w:marRight w:val="0"/>
      <w:marTop w:val="0"/>
      <w:marBottom w:val="0"/>
      <w:divBdr>
        <w:top w:val="none" w:sz="0" w:space="0" w:color="auto"/>
        <w:left w:val="none" w:sz="0" w:space="0" w:color="auto"/>
        <w:bottom w:val="none" w:sz="0" w:space="0" w:color="auto"/>
        <w:right w:val="none" w:sz="0" w:space="0" w:color="auto"/>
      </w:divBdr>
    </w:div>
    <w:div w:id="294873798">
      <w:bodyDiv w:val="1"/>
      <w:marLeft w:val="0"/>
      <w:marRight w:val="0"/>
      <w:marTop w:val="0"/>
      <w:marBottom w:val="0"/>
      <w:divBdr>
        <w:top w:val="none" w:sz="0" w:space="0" w:color="auto"/>
        <w:left w:val="none" w:sz="0" w:space="0" w:color="auto"/>
        <w:bottom w:val="none" w:sz="0" w:space="0" w:color="auto"/>
        <w:right w:val="none" w:sz="0" w:space="0" w:color="auto"/>
      </w:divBdr>
    </w:div>
    <w:div w:id="330453308">
      <w:bodyDiv w:val="1"/>
      <w:marLeft w:val="0"/>
      <w:marRight w:val="0"/>
      <w:marTop w:val="0"/>
      <w:marBottom w:val="0"/>
      <w:divBdr>
        <w:top w:val="none" w:sz="0" w:space="0" w:color="auto"/>
        <w:left w:val="none" w:sz="0" w:space="0" w:color="auto"/>
        <w:bottom w:val="none" w:sz="0" w:space="0" w:color="auto"/>
        <w:right w:val="none" w:sz="0" w:space="0" w:color="auto"/>
      </w:divBdr>
    </w:div>
    <w:div w:id="420179212">
      <w:bodyDiv w:val="1"/>
      <w:marLeft w:val="0"/>
      <w:marRight w:val="0"/>
      <w:marTop w:val="0"/>
      <w:marBottom w:val="0"/>
      <w:divBdr>
        <w:top w:val="none" w:sz="0" w:space="0" w:color="auto"/>
        <w:left w:val="none" w:sz="0" w:space="0" w:color="auto"/>
        <w:bottom w:val="none" w:sz="0" w:space="0" w:color="auto"/>
        <w:right w:val="none" w:sz="0" w:space="0" w:color="auto"/>
      </w:divBdr>
    </w:div>
    <w:div w:id="509374682">
      <w:bodyDiv w:val="1"/>
      <w:marLeft w:val="0"/>
      <w:marRight w:val="0"/>
      <w:marTop w:val="0"/>
      <w:marBottom w:val="0"/>
      <w:divBdr>
        <w:top w:val="none" w:sz="0" w:space="0" w:color="auto"/>
        <w:left w:val="none" w:sz="0" w:space="0" w:color="auto"/>
        <w:bottom w:val="none" w:sz="0" w:space="0" w:color="auto"/>
        <w:right w:val="none" w:sz="0" w:space="0" w:color="auto"/>
      </w:divBdr>
    </w:div>
    <w:div w:id="530076403">
      <w:bodyDiv w:val="1"/>
      <w:marLeft w:val="0"/>
      <w:marRight w:val="0"/>
      <w:marTop w:val="0"/>
      <w:marBottom w:val="0"/>
      <w:divBdr>
        <w:top w:val="none" w:sz="0" w:space="0" w:color="auto"/>
        <w:left w:val="none" w:sz="0" w:space="0" w:color="auto"/>
        <w:bottom w:val="none" w:sz="0" w:space="0" w:color="auto"/>
        <w:right w:val="none" w:sz="0" w:space="0" w:color="auto"/>
      </w:divBdr>
    </w:div>
    <w:div w:id="731074931">
      <w:bodyDiv w:val="1"/>
      <w:marLeft w:val="0"/>
      <w:marRight w:val="0"/>
      <w:marTop w:val="0"/>
      <w:marBottom w:val="0"/>
      <w:divBdr>
        <w:top w:val="none" w:sz="0" w:space="0" w:color="auto"/>
        <w:left w:val="none" w:sz="0" w:space="0" w:color="auto"/>
        <w:bottom w:val="none" w:sz="0" w:space="0" w:color="auto"/>
        <w:right w:val="none" w:sz="0" w:space="0" w:color="auto"/>
      </w:divBdr>
    </w:div>
    <w:div w:id="738211729">
      <w:bodyDiv w:val="1"/>
      <w:marLeft w:val="0"/>
      <w:marRight w:val="0"/>
      <w:marTop w:val="0"/>
      <w:marBottom w:val="0"/>
      <w:divBdr>
        <w:top w:val="none" w:sz="0" w:space="0" w:color="auto"/>
        <w:left w:val="none" w:sz="0" w:space="0" w:color="auto"/>
        <w:bottom w:val="none" w:sz="0" w:space="0" w:color="auto"/>
        <w:right w:val="none" w:sz="0" w:space="0" w:color="auto"/>
      </w:divBdr>
    </w:div>
    <w:div w:id="767846503">
      <w:bodyDiv w:val="1"/>
      <w:marLeft w:val="0"/>
      <w:marRight w:val="0"/>
      <w:marTop w:val="0"/>
      <w:marBottom w:val="0"/>
      <w:divBdr>
        <w:top w:val="none" w:sz="0" w:space="0" w:color="auto"/>
        <w:left w:val="none" w:sz="0" w:space="0" w:color="auto"/>
        <w:bottom w:val="none" w:sz="0" w:space="0" w:color="auto"/>
        <w:right w:val="none" w:sz="0" w:space="0" w:color="auto"/>
      </w:divBdr>
    </w:div>
    <w:div w:id="786004179">
      <w:bodyDiv w:val="1"/>
      <w:marLeft w:val="0"/>
      <w:marRight w:val="0"/>
      <w:marTop w:val="0"/>
      <w:marBottom w:val="0"/>
      <w:divBdr>
        <w:top w:val="none" w:sz="0" w:space="0" w:color="auto"/>
        <w:left w:val="none" w:sz="0" w:space="0" w:color="auto"/>
        <w:bottom w:val="none" w:sz="0" w:space="0" w:color="auto"/>
        <w:right w:val="none" w:sz="0" w:space="0" w:color="auto"/>
      </w:divBdr>
    </w:div>
    <w:div w:id="812404467">
      <w:bodyDiv w:val="1"/>
      <w:marLeft w:val="0"/>
      <w:marRight w:val="0"/>
      <w:marTop w:val="0"/>
      <w:marBottom w:val="0"/>
      <w:divBdr>
        <w:top w:val="none" w:sz="0" w:space="0" w:color="auto"/>
        <w:left w:val="none" w:sz="0" w:space="0" w:color="auto"/>
        <w:bottom w:val="none" w:sz="0" w:space="0" w:color="auto"/>
        <w:right w:val="none" w:sz="0" w:space="0" w:color="auto"/>
      </w:divBdr>
    </w:div>
    <w:div w:id="878978260">
      <w:bodyDiv w:val="1"/>
      <w:marLeft w:val="0"/>
      <w:marRight w:val="0"/>
      <w:marTop w:val="0"/>
      <w:marBottom w:val="0"/>
      <w:divBdr>
        <w:top w:val="none" w:sz="0" w:space="0" w:color="auto"/>
        <w:left w:val="none" w:sz="0" w:space="0" w:color="auto"/>
        <w:bottom w:val="none" w:sz="0" w:space="0" w:color="auto"/>
        <w:right w:val="none" w:sz="0" w:space="0" w:color="auto"/>
      </w:divBdr>
    </w:div>
    <w:div w:id="915431191">
      <w:bodyDiv w:val="1"/>
      <w:marLeft w:val="0"/>
      <w:marRight w:val="0"/>
      <w:marTop w:val="0"/>
      <w:marBottom w:val="0"/>
      <w:divBdr>
        <w:top w:val="none" w:sz="0" w:space="0" w:color="auto"/>
        <w:left w:val="none" w:sz="0" w:space="0" w:color="auto"/>
        <w:bottom w:val="none" w:sz="0" w:space="0" w:color="auto"/>
        <w:right w:val="none" w:sz="0" w:space="0" w:color="auto"/>
      </w:divBdr>
    </w:div>
    <w:div w:id="1007754251">
      <w:bodyDiv w:val="1"/>
      <w:marLeft w:val="0"/>
      <w:marRight w:val="0"/>
      <w:marTop w:val="0"/>
      <w:marBottom w:val="0"/>
      <w:divBdr>
        <w:top w:val="none" w:sz="0" w:space="0" w:color="auto"/>
        <w:left w:val="none" w:sz="0" w:space="0" w:color="auto"/>
        <w:bottom w:val="none" w:sz="0" w:space="0" w:color="auto"/>
        <w:right w:val="none" w:sz="0" w:space="0" w:color="auto"/>
      </w:divBdr>
    </w:div>
    <w:div w:id="1023017437">
      <w:bodyDiv w:val="1"/>
      <w:marLeft w:val="0"/>
      <w:marRight w:val="0"/>
      <w:marTop w:val="0"/>
      <w:marBottom w:val="0"/>
      <w:divBdr>
        <w:top w:val="none" w:sz="0" w:space="0" w:color="auto"/>
        <w:left w:val="none" w:sz="0" w:space="0" w:color="auto"/>
        <w:bottom w:val="none" w:sz="0" w:space="0" w:color="auto"/>
        <w:right w:val="none" w:sz="0" w:space="0" w:color="auto"/>
      </w:divBdr>
    </w:div>
    <w:div w:id="1059324714">
      <w:bodyDiv w:val="1"/>
      <w:marLeft w:val="0"/>
      <w:marRight w:val="0"/>
      <w:marTop w:val="0"/>
      <w:marBottom w:val="0"/>
      <w:divBdr>
        <w:top w:val="none" w:sz="0" w:space="0" w:color="auto"/>
        <w:left w:val="none" w:sz="0" w:space="0" w:color="auto"/>
        <w:bottom w:val="none" w:sz="0" w:space="0" w:color="auto"/>
        <w:right w:val="none" w:sz="0" w:space="0" w:color="auto"/>
      </w:divBdr>
    </w:div>
    <w:div w:id="1075126195">
      <w:bodyDiv w:val="1"/>
      <w:marLeft w:val="0"/>
      <w:marRight w:val="0"/>
      <w:marTop w:val="0"/>
      <w:marBottom w:val="0"/>
      <w:divBdr>
        <w:top w:val="none" w:sz="0" w:space="0" w:color="auto"/>
        <w:left w:val="none" w:sz="0" w:space="0" w:color="auto"/>
        <w:bottom w:val="none" w:sz="0" w:space="0" w:color="auto"/>
        <w:right w:val="none" w:sz="0" w:space="0" w:color="auto"/>
      </w:divBdr>
    </w:div>
    <w:div w:id="1224297296">
      <w:bodyDiv w:val="1"/>
      <w:marLeft w:val="0"/>
      <w:marRight w:val="0"/>
      <w:marTop w:val="0"/>
      <w:marBottom w:val="0"/>
      <w:divBdr>
        <w:top w:val="none" w:sz="0" w:space="0" w:color="auto"/>
        <w:left w:val="none" w:sz="0" w:space="0" w:color="auto"/>
        <w:bottom w:val="none" w:sz="0" w:space="0" w:color="auto"/>
        <w:right w:val="none" w:sz="0" w:space="0" w:color="auto"/>
      </w:divBdr>
    </w:div>
    <w:div w:id="1272396671">
      <w:bodyDiv w:val="1"/>
      <w:marLeft w:val="0"/>
      <w:marRight w:val="0"/>
      <w:marTop w:val="0"/>
      <w:marBottom w:val="0"/>
      <w:divBdr>
        <w:top w:val="none" w:sz="0" w:space="0" w:color="auto"/>
        <w:left w:val="none" w:sz="0" w:space="0" w:color="auto"/>
        <w:bottom w:val="none" w:sz="0" w:space="0" w:color="auto"/>
        <w:right w:val="none" w:sz="0" w:space="0" w:color="auto"/>
      </w:divBdr>
    </w:div>
    <w:div w:id="1326974492">
      <w:bodyDiv w:val="1"/>
      <w:marLeft w:val="0"/>
      <w:marRight w:val="0"/>
      <w:marTop w:val="0"/>
      <w:marBottom w:val="0"/>
      <w:divBdr>
        <w:top w:val="none" w:sz="0" w:space="0" w:color="auto"/>
        <w:left w:val="none" w:sz="0" w:space="0" w:color="auto"/>
        <w:bottom w:val="none" w:sz="0" w:space="0" w:color="auto"/>
        <w:right w:val="none" w:sz="0" w:space="0" w:color="auto"/>
      </w:divBdr>
    </w:div>
    <w:div w:id="1348365839">
      <w:bodyDiv w:val="1"/>
      <w:marLeft w:val="0"/>
      <w:marRight w:val="0"/>
      <w:marTop w:val="0"/>
      <w:marBottom w:val="0"/>
      <w:divBdr>
        <w:top w:val="none" w:sz="0" w:space="0" w:color="auto"/>
        <w:left w:val="none" w:sz="0" w:space="0" w:color="auto"/>
        <w:bottom w:val="none" w:sz="0" w:space="0" w:color="auto"/>
        <w:right w:val="none" w:sz="0" w:space="0" w:color="auto"/>
      </w:divBdr>
    </w:div>
    <w:div w:id="1379278531">
      <w:bodyDiv w:val="1"/>
      <w:marLeft w:val="0"/>
      <w:marRight w:val="0"/>
      <w:marTop w:val="0"/>
      <w:marBottom w:val="0"/>
      <w:divBdr>
        <w:top w:val="none" w:sz="0" w:space="0" w:color="auto"/>
        <w:left w:val="none" w:sz="0" w:space="0" w:color="auto"/>
        <w:bottom w:val="none" w:sz="0" w:space="0" w:color="auto"/>
        <w:right w:val="none" w:sz="0" w:space="0" w:color="auto"/>
      </w:divBdr>
    </w:div>
    <w:div w:id="1422919165">
      <w:bodyDiv w:val="1"/>
      <w:marLeft w:val="0"/>
      <w:marRight w:val="0"/>
      <w:marTop w:val="0"/>
      <w:marBottom w:val="0"/>
      <w:divBdr>
        <w:top w:val="none" w:sz="0" w:space="0" w:color="auto"/>
        <w:left w:val="none" w:sz="0" w:space="0" w:color="auto"/>
        <w:bottom w:val="none" w:sz="0" w:space="0" w:color="auto"/>
        <w:right w:val="none" w:sz="0" w:space="0" w:color="auto"/>
      </w:divBdr>
    </w:div>
    <w:div w:id="1442143958">
      <w:bodyDiv w:val="1"/>
      <w:marLeft w:val="0"/>
      <w:marRight w:val="0"/>
      <w:marTop w:val="0"/>
      <w:marBottom w:val="0"/>
      <w:divBdr>
        <w:top w:val="none" w:sz="0" w:space="0" w:color="auto"/>
        <w:left w:val="none" w:sz="0" w:space="0" w:color="auto"/>
        <w:bottom w:val="none" w:sz="0" w:space="0" w:color="auto"/>
        <w:right w:val="none" w:sz="0" w:space="0" w:color="auto"/>
      </w:divBdr>
    </w:div>
    <w:div w:id="1475559956">
      <w:bodyDiv w:val="1"/>
      <w:marLeft w:val="0"/>
      <w:marRight w:val="0"/>
      <w:marTop w:val="0"/>
      <w:marBottom w:val="0"/>
      <w:divBdr>
        <w:top w:val="none" w:sz="0" w:space="0" w:color="auto"/>
        <w:left w:val="none" w:sz="0" w:space="0" w:color="auto"/>
        <w:bottom w:val="none" w:sz="0" w:space="0" w:color="auto"/>
        <w:right w:val="none" w:sz="0" w:space="0" w:color="auto"/>
      </w:divBdr>
    </w:div>
    <w:div w:id="1509440843">
      <w:bodyDiv w:val="1"/>
      <w:marLeft w:val="0"/>
      <w:marRight w:val="0"/>
      <w:marTop w:val="0"/>
      <w:marBottom w:val="0"/>
      <w:divBdr>
        <w:top w:val="none" w:sz="0" w:space="0" w:color="auto"/>
        <w:left w:val="none" w:sz="0" w:space="0" w:color="auto"/>
        <w:bottom w:val="none" w:sz="0" w:space="0" w:color="auto"/>
        <w:right w:val="none" w:sz="0" w:space="0" w:color="auto"/>
      </w:divBdr>
    </w:div>
    <w:div w:id="1611816282">
      <w:bodyDiv w:val="1"/>
      <w:marLeft w:val="0"/>
      <w:marRight w:val="0"/>
      <w:marTop w:val="0"/>
      <w:marBottom w:val="0"/>
      <w:divBdr>
        <w:top w:val="none" w:sz="0" w:space="0" w:color="auto"/>
        <w:left w:val="none" w:sz="0" w:space="0" w:color="auto"/>
        <w:bottom w:val="none" w:sz="0" w:space="0" w:color="auto"/>
        <w:right w:val="none" w:sz="0" w:space="0" w:color="auto"/>
      </w:divBdr>
    </w:div>
    <w:div w:id="1621035722">
      <w:bodyDiv w:val="1"/>
      <w:marLeft w:val="0"/>
      <w:marRight w:val="0"/>
      <w:marTop w:val="0"/>
      <w:marBottom w:val="0"/>
      <w:divBdr>
        <w:top w:val="none" w:sz="0" w:space="0" w:color="auto"/>
        <w:left w:val="none" w:sz="0" w:space="0" w:color="auto"/>
        <w:bottom w:val="none" w:sz="0" w:space="0" w:color="auto"/>
        <w:right w:val="none" w:sz="0" w:space="0" w:color="auto"/>
      </w:divBdr>
    </w:div>
    <w:div w:id="1653757443">
      <w:bodyDiv w:val="1"/>
      <w:marLeft w:val="0"/>
      <w:marRight w:val="0"/>
      <w:marTop w:val="0"/>
      <w:marBottom w:val="0"/>
      <w:divBdr>
        <w:top w:val="none" w:sz="0" w:space="0" w:color="auto"/>
        <w:left w:val="none" w:sz="0" w:space="0" w:color="auto"/>
        <w:bottom w:val="none" w:sz="0" w:space="0" w:color="auto"/>
        <w:right w:val="none" w:sz="0" w:space="0" w:color="auto"/>
      </w:divBdr>
    </w:div>
    <w:div w:id="1778020889">
      <w:bodyDiv w:val="1"/>
      <w:marLeft w:val="0"/>
      <w:marRight w:val="0"/>
      <w:marTop w:val="0"/>
      <w:marBottom w:val="0"/>
      <w:divBdr>
        <w:top w:val="none" w:sz="0" w:space="0" w:color="auto"/>
        <w:left w:val="none" w:sz="0" w:space="0" w:color="auto"/>
        <w:bottom w:val="none" w:sz="0" w:space="0" w:color="auto"/>
        <w:right w:val="none" w:sz="0" w:space="0" w:color="auto"/>
      </w:divBdr>
    </w:div>
    <w:div w:id="1795057299">
      <w:bodyDiv w:val="1"/>
      <w:marLeft w:val="0"/>
      <w:marRight w:val="0"/>
      <w:marTop w:val="0"/>
      <w:marBottom w:val="0"/>
      <w:divBdr>
        <w:top w:val="none" w:sz="0" w:space="0" w:color="auto"/>
        <w:left w:val="none" w:sz="0" w:space="0" w:color="auto"/>
        <w:bottom w:val="none" w:sz="0" w:space="0" w:color="auto"/>
        <w:right w:val="none" w:sz="0" w:space="0" w:color="auto"/>
      </w:divBdr>
    </w:div>
    <w:div w:id="1802264137">
      <w:bodyDiv w:val="1"/>
      <w:marLeft w:val="0"/>
      <w:marRight w:val="0"/>
      <w:marTop w:val="0"/>
      <w:marBottom w:val="0"/>
      <w:divBdr>
        <w:top w:val="none" w:sz="0" w:space="0" w:color="auto"/>
        <w:left w:val="none" w:sz="0" w:space="0" w:color="auto"/>
        <w:bottom w:val="none" w:sz="0" w:space="0" w:color="auto"/>
        <w:right w:val="none" w:sz="0" w:space="0" w:color="auto"/>
      </w:divBdr>
    </w:div>
    <w:div w:id="1810248600">
      <w:bodyDiv w:val="1"/>
      <w:marLeft w:val="0"/>
      <w:marRight w:val="0"/>
      <w:marTop w:val="0"/>
      <w:marBottom w:val="0"/>
      <w:divBdr>
        <w:top w:val="none" w:sz="0" w:space="0" w:color="auto"/>
        <w:left w:val="none" w:sz="0" w:space="0" w:color="auto"/>
        <w:bottom w:val="none" w:sz="0" w:space="0" w:color="auto"/>
        <w:right w:val="none" w:sz="0" w:space="0" w:color="auto"/>
      </w:divBdr>
    </w:div>
    <w:div w:id="1861163730">
      <w:bodyDiv w:val="1"/>
      <w:marLeft w:val="0"/>
      <w:marRight w:val="0"/>
      <w:marTop w:val="0"/>
      <w:marBottom w:val="0"/>
      <w:divBdr>
        <w:top w:val="none" w:sz="0" w:space="0" w:color="auto"/>
        <w:left w:val="none" w:sz="0" w:space="0" w:color="auto"/>
        <w:bottom w:val="none" w:sz="0" w:space="0" w:color="auto"/>
        <w:right w:val="none" w:sz="0" w:space="0" w:color="auto"/>
      </w:divBdr>
    </w:div>
    <w:div w:id="1880583938">
      <w:bodyDiv w:val="1"/>
      <w:marLeft w:val="0"/>
      <w:marRight w:val="0"/>
      <w:marTop w:val="0"/>
      <w:marBottom w:val="0"/>
      <w:divBdr>
        <w:top w:val="none" w:sz="0" w:space="0" w:color="auto"/>
        <w:left w:val="none" w:sz="0" w:space="0" w:color="auto"/>
        <w:bottom w:val="none" w:sz="0" w:space="0" w:color="auto"/>
        <w:right w:val="none" w:sz="0" w:space="0" w:color="auto"/>
      </w:divBdr>
    </w:div>
    <w:div w:id="2029796736">
      <w:bodyDiv w:val="1"/>
      <w:marLeft w:val="0"/>
      <w:marRight w:val="0"/>
      <w:marTop w:val="0"/>
      <w:marBottom w:val="0"/>
      <w:divBdr>
        <w:top w:val="none" w:sz="0" w:space="0" w:color="auto"/>
        <w:left w:val="none" w:sz="0" w:space="0" w:color="auto"/>
        <w:bottom w:val="none" w:sz="0" w:space="0" w:color="auto"/>
        <w:right w:val="none" w:sz="0" w:space="0" w:color="auto"/>
      </w:divBdr>
    </w:div>
    <w:div w:id="2033339297">
      <w:bodyDiv w:val="1"/>
      <w:marLeft w:val="0"/>
      <w:marRight w:val="0"/>
      <w:marTop w:val="0"/>
      <w:marBottom w:val="0"/>
      <w:divBdr>
        <w:top w:val="none" w:sz="0" w:space="0" w:color="auto"/>
        <w:left w:val="none" w:sz="0" w:space="0" w:color="auto"/>
        <w:bottom w:val="none" w:sz="0" w:space="0" w:color="auto"/>
        <w:right w:val="none" w:sz="0" w:space="0" w:color="auto"/>
      </w:divBdr>
    </w:div>
    <w:div w:id="2051492961">
      <w:bodyDiv w:val="1"/>
      <w:marLeft w:val="0"/>
      <w:marRight w:val="0"/>
      <w:marTop w:val="0"/>
      <w:marBottom w:val="0"/>
      <w:divBdr>
        <w:top w:val="none" w:sz="0" w:space="0" w:color="auto"/>
        <w:left w:val="none" w:sz="0" w:space="0" w:color="auto"/>
        <w:bottom w:val="none" w:sz="0" w:space="0" w:color="auto"/>
        <w:right w:val="none" w:sz="0" w:space="0" w:color="auto"/>
      </w:divBdr>
    </w:div>
    <w:div w:id="20733874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775DA8E0BF19748BB24D462BA49B2B8" ma:contentTypeVersion="10" ma:contentTypeDescription="Создание документа." ma:contentTypeScope="" ma:versionID="93adfe8bfb6fe53b3f7b89e4ef7448c6">
  <xsd:schema xmlns:xsd="http://www.w3.org/2001/XMLSchema" xmlns:xs="http://www.w3.org/2001/XMLSchema" xmlns:p="http://schemas.microsoft.com/office/2006/metadata/properties" xmlns:ns2="3d16ac60-ca44-4310-891e-6ee324d946e9" xmlns:ns3="8c8bead1-c00a-4acf-9384-c08cb59451be" targetNamespace="http://schemas.microsoft.com/office/2006/metadata/properties" ma:root="true" ma:fieldsID="b5a6208bdaadf79a83c39e9f0f5812d6" ns2:_="" ns3:_="">
    <xsd:import namespace="3d16ac60-ca44-4310-891e-6ee324d946e9"/>
    <xsd:import namespace="8c8bead1-c00a-4acf-9384-c08cb5945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6ac60-ca44-4310-891e-6ee324d94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bead1-c00a-4acf-9384-c08cb59451be"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E216B-65A0-4BC7-BE0C-14D81405C56E}">
  <ds:schemaRefs>
    <ds:schemaRef ds:uri="http://schemas.microsoft.com/sharepoint/v3/contenttype/forms"/>
  </ds:schemaRefs>
</ds:datastoreItem>
</file>

<file path=customXml/itemProps2.xml><?xml version="1.0" encoding="utf-8"?>
<ds:datastoreItem xmlns:ds="http://schemas.openxmlformats.org/officeDocument/2006/customXml" ds:itemID="{99530582-ED6C-4AEF-AA5A-B6532BC59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6ac60-ca44-4310-891e-6ee324d946e9"/>
    <ds:schemaRef ds:uri="8c8bead1-c00a-4acf-9384-c08cb5945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D74CC-D00E-43EB-9714-C8883C47C9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7EDB08-D739-4F67-AE03-211A06FE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2566</Words>
  <Characters>14627</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17159</CharactersWithSpaces>
  <SharedDoc>false</SharedDoc>
  <HLinks>
    <vt:vector size="12" baseType="variant">
      <vt:variant>
        <vt:i4>5767234</vt:i4>
      </vt:variant>
      <vt:variant>
        <vt:i4>6</vt:i4>
      </vt:variant>
      <vt:variant>
        <vt:i4>0</vt:i4>
      </vt:variant>
      <vt:variant>
        <vt:i4>5</vt:i4>
      </vt:variant>
      <vt:variant>
        <vt:lpwstr>http://www.nyse.com/</vt:lpwstr>
      </vt:variant>
      <vt:variant>
        <vt:lpwstr/>
      </vt:variant>
      <vt:variant>
        <vt:i4>5767234</vt:i4>
      </vt:variant>
      <vt:variant>
        <vt:i4>3</vt:i4>
      </vt:variant>
      <vt:variant>
        <vt:i4>0</vt:i4>
      </vt:variant>
      <vt:variant>
        <vt:i4>5</vt:i4>
      </vt:variant>
      <vt:variant>
        <vt:lpwstr>http://www.nyse.com/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dc:creator>
  <cp:keywords/>
  <cp:lastModifiedBy>Бандакова Екатерина Игоревна</cp:lastModifiedBy>
  <cp:revision>2</cp:revision>
  <cp:lastPrinted>2022-08-09T12:34:00Z</cp:lastPrinted>
  <dcterms:created xsi:type="dcterms:W3CDTF">2022-11-23T10:24:00Z</dcterms:created>
  <dcterms:modified xsi:type="dcterms:W3CDTF">2022-11-23T10:24:00Z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0x010100B775DA8E0BF19748BB24D462BA49B2B8</vt:lpwstr>
  </property>
</Properties>
</file>