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552F4951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3"/>
          </w:tcPr>
          <w:p w14:paraId="540E22A3" w14:textId="2589B943" w:rsidR="00FE26D0" w:rsidRPr="00F213BF" w:rsidRDefault="009A4410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3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7504E4" w14:paraId="221915A0" w14:textId="77777777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14:paraId="46418807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00396D86" w14:textId="21587B54" w:rsidR="00B8045F" w:rsidRPr="00AE4E33" w:rsidRDefault="009A4410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14:paraId="362B4CA0" w14:textId="4C7F1C7C" w:rsidR="00B8045F" w:rsidRPr="00AE4E33" w:rsidRDefault="009A4410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F04F91" w14:paraId="206596CC" w14:textId="77777777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14:paraId="375F70F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637EA041" w14:textId="77777777" w:rsidR="00B8045F" w:rsidRPr="007504E4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14:paraId="0BD6D19B" w14:textId="77777777" w:rsidR="00B8045F" w:rsidRPr="007504E4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F04F91" w14:paraId="3788C416" w14:textId="77777777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B8045F" w:rsidRPr="00F04F91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B8045F" w:rsidRPr="00F04F91" w:rsidRDefault="009A4410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B8045F" w:rsidRPr="00AE4E33" w:rsidRDefault="009A4410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3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700EE8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9A4410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9A4410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11481B84" w:rsidR="00397C25" w:rsidRPr="00F04F91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484A77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6594605F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061EBCF6" w14:textId="23C20707"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484A77">
        <w:trPr>
          <w:trHeight w:val="676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484A77">
        <w:trPr>
          <w:trHeight w:val="840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484A77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484A77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Клиринговый(ые)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9A4410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19949B5B" w14:textId="0E9A36D3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02EC6A6B" w14:textId="1945A637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3D65B24D" w14:textId="32CF9F18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484A77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(4)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0DDCA894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По умолчанию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AD9F7" w14:textId="21C2F886"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14:paraId="33C86CDE" w14:textId="77777777" w:rsidTr="00484A77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9A4410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9A4410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745B4988" w14:textId="77777777" w:rsidTr="00484A77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9A4410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9A4410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9A4410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9A4410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3E177135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CFFFF30" w14:textId="3DA4CF9E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3D981816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E819E06" w14:textId="3C429E0E" w:rsidR="003B094A" w:rsidRPr="00F04F91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52F7986A" w14:textId="0F61EB5E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14:paraId="60330691" w14:textId="77777777" w:rsidTr="00484A77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1B60284E" w:rsidR="003B094A" w:rsidRPr="00C508C4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НТПро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ЦК в качестве принципала НТПро</w:t>
            </w:r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MFIX Transactional</w:t>
            </w:r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-менеджера на стороне участника клиринга, ответственного за работу с программным обеспечением НТПро:</w:t>
            </w:r>
          </w:p>
          <w:p w14:paraId="1C1FB89C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C75044E" w14:textId="77777777" w:rsidR="003B094A" w:rsidRPr="00915780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-коннекта от НКЦ к копии НТПро Участника клиринга (Приложение №7).</w:t>
            </w:r>
          </w:p>
        </w:tc>
      </w:tr>
      <w:tr w:rsidR="003B094A" w:rsidRPr="00F04F91" w14:paraId="0A2DBED9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484A77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B89792A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484A77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484A77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484A77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484A77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484A77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484A77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484A77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484A77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484A77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484A77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Идентификатора(ов) спонсируемого 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через ВПТС (за исключением MFIX Transactional)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9A4410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9A441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«оператор+переводы» (идентификатор при этом не может быть ограничен по ТКС. При ограничении по ТКС полномочия автоматически изменяются на «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оператор+переводы»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2C1B4E6A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; при аннулировании полномочий потребителя полномочия наблюдателя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>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НТПро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НТПро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MFIX Transactional;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НТПро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НТПро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НТПро,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14740D70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Идентификатора(ов)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2F3D9633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Идентификатора(ов) спонсируемого доступа» при наличии у идентификатора полномочий «Клиринговый менеджер» они автоматически изменяются на полномочия «оператор+переводы».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4" w:name="_Hlk108608447"/>
    <w:bookmarkEnd w:id="3"/>
    <w:p w14:paraId="7ABF2E2E" w14:textId="1924EE66" w:rsidR="00ED2A75" w:rsidRPr="004B23DD" w:rsidRDefault="009A4410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ED2A75" w:rsidRPr="00F04F91" w14:paraId="11CE9773" w14:textId="77777777" w:rsidTr="008C42CB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3A8F892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F8CBF8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59BB61E" w14:textId="000A6462" w:rsidR="00ED2A75" w:rsidRPr="000A3DF9" w:rsidRDefault="009A4410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5682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b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MOEX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Trade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Currency</w:t>
            </w:r>
          </w:p>
          <w:p w14:paraId="01A67937" w14:textId="77777777" w:rsidR="00ED2A75" w:rsidRPr="000A3DF9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A84DE10" w14:textId="2B5D91B9" w:rsidR="00ED2A75" w:rsidRPr="000A3DF9" w:rsidRDefault="009A4410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198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i/>
              </w:rPr>
              <w:t xml:space="preserve"> </w:t>
            </w:r>
            <w:r w:rsidR="00ED2A75" w:rsidRPr="000A3DF9">
              <w:rPr>
                <w:iCs/>
              </w:rPr>
              <w:t>Универсальное рабочее место CMA</w:t>
            </w:r>
            <w:r w:rsidR="00ED2A75" w:rsidRPr="000A3DF9">
              <w:rPr>
                <w:i/>
              </w:rPr>
              <w:t xml:space="preserve"> </w:t>
            </w:r>
          </w:p>
          <w:p w14:paraId="0647F6AA" w14:textId="7569FA90" w:rsidR="00ED2A75" w:rsidRPr="008C42CB" w:rsidRDefault="008C42C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ED2A75" w:rsidRPr="00F04F91" w14:paraId="21E23FD5" w14:textId="77777777" w:rsidTr="00DB179A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DB179A">
        <w:trPr>
          <w:trHeight w:val="690"/>
        </w:trPr>
        <w:tc>
          <w:tcPr>
            <w:tcW w:w="6804" w:type="dxa"/>
            <w:gridSpan w:val="2"/>
          </w:tcPr>
          <w:p w14:paraId="7FB7854C" w14:textId="5893C6E4" w:rsidR="00ED2A75" w:rsidRPr="00F04F91" w:rsidRDefault="009A4410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ED2A75" w:rsidRPr="00F04F91">
              <w:rPr>
                <w:b/>
                <w:spacing w:val="-5"/>
                <w:vertAlign w:val="superscript"/>
              </w:rPr>
              <w:t>(2)</w:t>
            </w:r>
          </w:p>
          <w:p w14:paraId="3E81BA48" w14:textId="77777777" w:rsidR="00ED2A75" w:rsidRPr="007C44FC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04F91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DB179A">
        <w:trPr>
          <w:trHeight w:val="736"/>
        </w:trPr>
        <w:tc>
          <w:tcPr>
            <w:tcW w:w="6804" w:type="dxa"/>
            <w:gridSpan w:val="2"/>
          </w:tcPr>
          <w:p w14:paraId="1C2B2278" w14:textId="6FE18747" w:rsidR="00ED2A75" w:rsidRPr="00AE4E33" w:rsidRDefault="009A4410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3DD60673" w14:textId="1AFFBF00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DB179A">
        <w:trPr>
          <w:trHeight w:val="736"/>
        </w:trPr>
        <w:tc>
          <w:tcPr>
            <w:tcW w:w="6804" w:type="dxa"/>
            <w:gridSpan w:val="2"/>
          </w:tcPr>
          <w:p w14:paraId="20D881DB" w14:textId="0C6B4BB8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>Colocation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CFA828E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DB179A">
        <w:trPr>
          <w:trHeight w:val="736"/>
        </w:trPr>
        <w:tc>
          <w:tcPr>
            <w:tcW w:w="6804" w:type="dxa"/>
            <w:gridSpan w:val="2"/>
          </w:tcPr>
          <w:p w14:paraId="247325C7" w14:textId="7A161873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707D1530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DB179A">
        <w:trPr>
          <w:trHeight w:val="748"/>
        </w:trPr>
        <w:tc>
          <w:tcPr>
            <w:tcW w:w="6804" w:type="dxa"/>
            <w:gridSpan w:val="2"/>
          </w:tcPr>
          <w:p w14:paraId="04CE27C6" w14:textId="087CA01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>подключение терминала через шлюз Personal ASTSBridge</w:t>
            </w:r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(2)  (4)</w:t>
            </w:r>
          </w:p>
          <w:p w14:paraId="73D89857" w14:textId="604F2DC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668BD402" w:rsidR="00ED6B31" w:rsidRPr="00B3690C" w:rsidRDefault="009A4410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ASTSBridge</w:t>
            </w:r>
            <w:r w:rsidR="00ED6B31" w:rsidRPr="00747F2F">
              <w:rPr>
                <w:b/>
                <w:spacing w:val="-5"/>
              </w:rPr>
              <w:t xml:space="preserve"> (Выделенный 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ED2A75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4685C914" w:rsidR="00ED6B31" w:rsidRPr="00747F2F" w:rsidRDefault="009A4410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ASTSBridge</w:t>
            </w:r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6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6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04172AED" w:rsidR="00ED6B31" w:rsidRPr="00FB36F9" w:rsidRDefault="009A4410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ASTSBridge</w:t>
            </w:r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B36F9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081BE339"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26EBD03" w14:textId="77777777" w:rsidR="00362D09" w:rsidRPr="007C44FC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16C6A694" w14:textId="75E01163" w:rsidR="00CC25EB" w:rsidRPr="00F04F91" w:rsidRDefault="009A4410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851"/>
        <w:gridCol w:w="1701"/>
        <w:gridCol w:w="567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432411C8" w:rsidR="005B7239" w:rsidRPr="00F04F91" w:rsidRDefault="009A4410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49269CB7" w14:textId="3A4D18CE" w:rsidR="005B7239" w:rsidRPr="00AE4E33" w:rsidRDefault="009A4410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5C0C41E7" w:rsidR="005B7239" w:rsidRPr="00AE4E33" w:rsidRDefault="009A441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49ACE817" w:rsidR="005B7239" w:rsidRPr="00F04F91" w:rsidRDefault="009A441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36C028E" w:rsidR="005B7239" w:rsidRPr="00AC4F8A" w:rsidRDefault="009A441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400FC4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721F7F" w14:textId="4716868E" w:rsidR="005B7239" w:rsidRPr="00F04F91" w:rsidRDefault="009A441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4"/>
      <w:tr w:rsidR="001709C0" w:rsidRPr="00F04F91" w14:paraId="353C2C58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65AEA1F0"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Trade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Универсальное рабочее место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CMA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DFServer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66E5BA17"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ASTSBridge»,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795D611D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1F1FAD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700EE8">
          <w:headerReference w:type="default" r:id="rId9"/>
          <w:footerReference w:type="default" r:id="rId10"/>
          <w:headerReference w:type="first" r:id="rId11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идентификатора(ов):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05881882" w:rsidR="00877D0B" w:rsidRPr="0054069F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8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877D0B" w:rsidRPr="00B37CD7" w14:paraId="744D8A93" w14:textId="77777777" w:rsidTr="00467B51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877D0B" w:rsidRPr="00B37CD7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620" w14:textId="77777777" w:rsidR="00877D0B" w:rsidRPr="00B37CD7" w:rsidRDefault="009A4410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E21993D" w14:textId="77777777" w:rsidR="00877D0B" w:rsidRPr="00B37CD7" w:rsidRDefault="009A4410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A009B2B" w14:textId="77777777" w:rsidR="00877D0B" w:rsidRPr="00B37CD7" w:rsidRDefault="009A4410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877D0B" w:rsidRPr="00B37CD7" w14:paraId="536DABF4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77777777" w:rsidR="00877D0B" w:rsidRPr="006A402A" w:rsidRDefault="009A4410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77777777" w:rsidR="00877D0B" w:rsidRPr="00B37CD7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7777777" w:rsidR="00877D0B" w:rsidRPr="00B37CD7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C97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BC2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533" w14:textId="17E08AED" w:rsidR="00877D0B" w:rsidRPr="00B37CD7" w:rsidRDefault="00877D0B" w:rsidP="003E210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2B181C94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77777777" w:rsidR="00877D0B" w:rsidRPr="006A402A" w:rsidRDefault="009A4410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77777777" w:rsidR="00877D0B" w:rsidRPr="00B37CD7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77777777" w:rsidR="00877D0B" w:rsidRPr="00B37CD7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26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BD34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46DF93A7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77777777" w:rsidR="00877D0B" w:rsidRPr="006A402A" w:rsidRDefault="009A4410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877D0B" w:rsidRPr="00F04F91">
              <w:rPr>
                <w:i/>
              </w:rPr>
              <w:t xml:space="preserve"> </w:t>
            </w:r>
            <w:r w:rsidR="00877D0B" w:rsidRPr="00F04F91">
              <w:rPr>
                <w:b/>
                <w:spacing w:val="-5"/>
                <w:vertAlign w:val="superscript"/>
              </w:rPr>
              <w:t>(</w:t>
            </w:r>
            <w:r w:rsidR="00877D0B">
              <w:rPr>
                <w:b/>
                <w:spacing w:val="-5"/>
                <w:vertAlign w:val="superscript"/>
                <w:lang w:val="en-US"/>
              </w:rPr>
              <w:t>*</w:t>
            </w:r>
            <w:r w:rsidR="00877D0B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77777777" w:rsidR="00877D0B" w:rsidRPr="00B37CD7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77777777" w:rsidR="00877D0B" w:rsidRPr="00B37CD7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F4E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77777777" w:rsidR="00877D0B" w:rsidRPr="006A402A" w:rsidRDefault="009A4410" w:rsidP="00467B51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77777777" w:rsidR="00877D0B" w:rsidRPr="006A402A" w:rsidRDefault="009A4410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530" w14:textId="77777777" w:rsidR="00877D0B" w:rsidRPr="00B37CD7" w:rsidRDefault="009A4410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877D0B" w:rsidRPr="00B37CD7" w14:paraId="105AE601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37105443" w:rsidR="00877D0B" w:rsidRPr="00952F82" w:rsidRDefault="009A4410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B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77777777" w:rsidR="00877D0B" w:rsidRPr="00952F82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77777777" w:rsidR="00877D0B" w:rsidRPr="00952F82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A" w14:textId="77777777" w:rsidR="00877D0B" w:rsidRPr="00952F82" w:rsidRDefault="009A4410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B5E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77777777" w:rsidR="00877D0B" w:rsidRPr="00B37CD7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877D0B" w:rsidRPr="00B37CD7" w14:paraId="5F456A6C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77777777" w:rsidR="00877D0B" w:rsidRPr="00952F82" w:rsidRDefault="009A4410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7777777" w:rsidR="00877D0B" w:rsidRPr="00952F82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77777777" w:rsidR="00877D0B" w:rsidRPr="00952F82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4B3" w14:textId="77777777" w:rsidR="00877D0B" w:rsidRPr="00952F82" w:rsidRDefault="009A4410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77777777" w:rsidR="00877D0B" w:rsidRPr="00952F82" w:rsidRDefault="009A4410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77777777" w:rsidR="00877D0B" w:rsidRPr="00B37CD7" w:rsidRDefault="009A4410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B68" w14:textId="77777777" w:rsidR="00877D0B" w:rsidRPr="00B37CD7" w:rsidRDefault="009A4410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877D0B" w:rsidRPr="00B37CD7" w14:paraId="2C8D0D86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77777777" w:rsidR="00877D0B" w:rsidRPr="00952F82" w:rsidRDefault="009A4410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77777777" w:rsidR="00877D0B" w:rsidRPr="00952F82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77777777" w:rsidR="00877D0B" w:rsidRPr="00952F82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77777777" w:rsidR="00877D0B" w:rsidRPr="00952F82" w:rsidRDefault="009A4410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77777777" w:rsidR="00877D0B" w:rsidRPr="00952F82" w:rsidRDefault="009A4410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77777777" w:rsidR="00877D0B" w:rsidRPr="00B37CD7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00983798" w14:textId="77777777" w:rsidTr="00467B51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5392933F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4E6BCD3A" w:rsidR="00877D0B" w:rsidRPr="00952F82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7777777" w:rsidR="00877D0B" w:rsidRPr="00952F82" w:rsidRDefault="009A4410" w:rsidP="00467B51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77777777" w:rsidR="00877D0B" w:rsidRPr="00952F82" w:rsidRDefault="009A4410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77777777" w:rsidR="00877D0B" w:rsidRPr="00952F82" w:rsidRDefault="009A4410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6D9C17B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77777777" w:rsidR="00877D0B" w:rsidRPr="00B37CD7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77D0B" w:rsidRPr="00B37CD7" w14:paraId="6B6DA682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1FDBF85E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612F400B" w:rsidR="00877D0B" w:rsidRPr="00952F82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77777777" w:rsidR="00877D0B" w:rsidRPr="00952F82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7777777" w:rsidR="00877D0B" w:rsidRPr="00952F82" w:rsidRDefault="009A4410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77777777" w:rsidR="00877D0B" w:rsidRPr="00952F82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2CFC57BC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77777777" w:rsidR="00877D0B" w:rsidRPr="00B37CD7" w:rsidRDefault="009A4410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B37CD7" w14:paraId="6786D4CD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03EA8F68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1A307B79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777777" w:rsidR="00F12E4E" w:rsidRPr="00B37CD7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77777777" w:rsidR="00F12E4E" w:rsidRPr="00B37CD7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B37CD7" w14:paraId="7641EF12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6180DD8F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77A00D93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62F61FDE" w:rsidR="00F12E4E" w:rsidRPr="00354303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77777777" w:rsidR="00F12E4E" w:rsidRPr="00B37CD7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B37CD7" w14:paraId="09EECD11" w14:textId="77777777" w:rsidTr="00467B51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23991CAE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47DF8FBF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31FC9DB" w:rsidR="00F12E4E" w:rsidRPr="00354303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77777777" w:rsidR="00F12E4E" w:rsidRPr="00B37CD7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B37CD7" w14:paraId="665C6906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4D5" w14:textId="2635E8F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F16F0" w14:textId="474911BD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A92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5485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5838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3761" w14:textId="2880028A" w:rsidR="00F12E4E" w:rsidRPr="00354303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78AD" w14:textId="77777777" w:rsidR="00F12E4E" w:rsidRPr="00B37CD7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B37CD7" w14:paraId="14CDCEDE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5C4" w14:textId="5355DBB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7E9F8" w14:textId="30B4D93C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106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C63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473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313" w14:textId="687FF470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F7AF" w14:textId="77777777" w:rsidR="00F12E4E" w:rsidRPr="00B37CD7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B37CD7" w14:paraId="54AA67E0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C968" w14:textId="5F84E07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5B72" w14:textId="07D3994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F4E3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574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769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187" w14:textId="487F2E9E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FA5" w14:textId="77777777" w:rsidR="00F12E4E" w:rsidRPr="00B37CD7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B37CD7" w14:paraId="7CF1EB51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049" w14:textId="562915C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F2A5" w14:textId="1E76FBF0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5A6B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05F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A83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0CD" w14:textId="33F53F32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60D0" w14:textId="77777777" w:rsidR="00F12E4E" w:rsidRPr="00B37CD7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B37CD7" w14:paraId="31D6702B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87DF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32F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E81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E8D3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F2D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4307" w14:textId="0A47E185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276D" w14:textId="77777777" w:rsidR="00F12E4E" w:rsidRPr="00B37CD7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B37CD7" w14:paraId="3C54763C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E6DC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331A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5A97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D2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B98F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9F9" w14:textId="02EF34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C4B" w14:textId="77777777" w:rsidR="00F12E4E" w:rsidRPr="00B37CD7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B37CD7" w14:paraId="4AFCB179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9F3C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68D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38B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34E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6242" w14:textId="13C007DE" w:rsidR="00F12E4E" w:rsidRPr="00952F82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245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F9D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B139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6213A7AC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9A9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5E9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C322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BEA1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0B5" w14:textId="48FA87D8" w:rsidR="00F12E4E" w:rsidRPr="00952F82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6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5EC4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44F7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7BFB4FAD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5990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840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8F45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12BF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0A91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D11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0B3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275B42D7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9914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9093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811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14A7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014A" w14:textId="4E3A4C26" w:rsidR="00F12E4E" w:rsidRPr="00952F82" w:rsidRDefault="009A4410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438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DAF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C856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03DE756F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366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6355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7058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D03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855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073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50E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bookmarkEnd w:id="8"/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877D0B" w:rsidRPr="00F04F91" w14:paraId="4C7041ED" w14:textId="77777777" w:rsidTr="00467B51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9" w:name="_Hlk139032701"/>
          <w:p w14:paraId="048E947F" w14:textId="79FC0460" w:rsidR="00877D0B" w:rsidRPr="00F04F91" w:rsidRDefault="009A4410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9A441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9A441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9A4410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3EA845E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95D" w14:textId="77777777" w:rsidR="00877D0B" w:rsidRPr="00BA37EE" w:rsidRDefault="00877D0B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866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877D0B" w:rsidRPr="00F04F91" w14:paraId="6F47C2E9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E82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5AA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EE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877D0B" w:rsidRPr="00F04F91" w14:paraId="3A3D53B1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F7B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877D0B" w:rsidRPr="00F04F91" w14:paraId="14BDCB4C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11A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877D0B" w:rsidRPr="00F04F91" w14:paraId="675E83EB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4DD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877D0B" w:rsidRPr="00F04F91" w14:paraId="190935E6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77777777" w:rsidR="00877D0B" w:rsidRPr="00BA37EE" w:rsidRDefault="00877D0B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2AE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77777777" w:rsidR="00877D0B" w:rsidRPr="006A402A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877D0B" w:rsidRPr="00F04F91" w14:paraId="6F886AAB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61C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392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91C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E65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D82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5BE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AFC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7D0B" w:rsidRPr="00F04F91" w14:paraId="008680A0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A01" w14:textId="77777777" w:rsidR="00877D0B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A2F" w14:textId="77777777" w:rsidR="00877D0B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D2E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8B7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780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D3B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149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877D0B" w:rsidRPr="00F04F91" w14:paraId="4B73FF66" w14:textId="77777777" w:rsidTr="00467B51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47308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F41" w14:textId="77777777" w:rsidR="00877D0B" w:rsidRPr="00C27A3F" w:rsidRDefault="009A441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49FD2" w14:textId="77777777" w:rsidR="00877D0B" w:rsidRPr="00C27A3F" w:rsidRDefault="009A441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877D0B" w:rsidRPr="00F04F91" w14:paraId="2EB9346A" w14:textId="77777777" w:rsidTr="00467B51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77777777" w:rsidR="00877D0B" w:rsidRPr="00F04F91" w:rsidRDefault="00877D0B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9A441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9A441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9A4410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77D0B" w:rsidRPr="00F04F91" w14:paraId="3777CF9F" w14:textId="77777777" w:rsidTr="00467B5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F6A0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2561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B820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52D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8B6F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043B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C48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877D0B" w:rsidRPr="00F04F91" w14:paraId="4B98C760" w14:textId="77777777" w:rsidTr="00467B51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A570DA2" w14:textId="77777777" w:rsidR="00877D0B" w:rsidRPr="00F04F91" w:rsidRDefault="009A4410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8B2F291" w14:textId="77777777" w:rsidR="00877D0B" w:rsidRPr="00F04F91" w:rsidRDefault="009A4410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9A4410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9A4410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3C4BD244" w14:textId="77777777" w:rsidTr="00467B51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5120EB33" w:rsidR="00877D0B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76EBD14D" w:rsidR="00877D0B" w:rsidRPr="00F04F91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77D0B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9DEA65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36099E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1BE5F0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51057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877D0B" w:rsidRPr="00F04F91" w14:paraId="34869372" w14:textId="77777777" w:rsidTr="00034884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DD32710" w14:textId="77777777" w:rsidR="00877D0B" w:rsidRPr="00F04F91" w:rsidRDefault="00877D0B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88E7A64" w14:textId="77777777" w:rsidR="00877D0B" w:rsidRPr="00F04F91" w:rsidRDefault="009A4410" w:rsidP="00467B5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CF9FF2E" w14:textId="77777777" w:rsidR="00877D0B" w:rsidRPr="00F04F91" w:rsidRDefault="009A4410" w:rsidP="00467B5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DBF7208" w14:textId="77777777" w:rsidR="00877D0B" w:rsidRPr="00F04F91" w:rsidRDefault="009A4410" w:rsidP="00467B51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D4EC0F5" w14:textId="77777777" w:rsidTr="00034884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9D33DAE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1F7B5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896C6" w14:textId="77777777" w:rsidR="00877D0B" w:rsidRPr="00BA37EE" w:rsidRDefault="009A4410" w:rsidP="00467B5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7CF05D" w14:textId="77777777" w:rsidR="00877D0B" w:rsidRPr="00034884" w:rsidRDefault="009A4410" w:rsidP="00034884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034884">
                  <w:rPr>
                    <w:rFonts w:ascii="Times New Roman" w:eastAsia="MS Gothic" w:hAnsi="Times New Roman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034884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EURRUB_TMB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1DEFBC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82D1DF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BA11EE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9"/>
    </w:tbl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1" w:name="_Hlk139032770"/>
    </w:p>
    <w:p w14:paraId="3DBD683A" w14:textId="7C4D295A" w:rsidR="00186801" w:rsidRPr="00B37CD7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67B51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9A4410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9A4410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9A4410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9A4410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334A4E12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F6B50E2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9A4410" w:rsidP="00467B51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9A4410" w:rsidP="00467B5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67B5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67B5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9A4410" w:rsidP="00467B5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9A4410" w:rsidP="00467B5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9A4410" w:rsidP="00467B5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9A4410" w:rsidP="00467B5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9A4410" w:rsidP="00467B51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39CAF50C" w:rsidR="003566A4" w:rsidRPr="00B37CD7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5D6D3B3A" w:rsidR="003566A4" w:rsidRPr="00B37CD7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03D28795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02A62D82" w:rsidR="003566A4" w:rsidRPr="00952F82" w:rsidRDefault="003566A4" w:rsidP="00467B5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38593CCF" w:rsidR="003566A4" w:rsidRPr="00952F82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952F82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952F82" w:rsidRDefault="009A4410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952F82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40A0196C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9A4410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00EFB997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54AFC974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49A5F67E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4A74432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6BF672F9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0BF2FC9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AE283B" w14:paraId="70C4768E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608BF9F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29621161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3B521480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AE283B" w14:paraId="0F46C6DA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47A44D28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37FB92E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2109D026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54F023D5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445418B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6B5B1CF0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87046DF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AE283B" w14:paraId="18917F5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7B969F44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0A6E09F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0E440191" w:rsidR="00F12E4E" w:rsidRPr="00354303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AE283B" w14:paraId="73208DF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2FC4642A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2C2D4B8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23B83DA8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AE283B" w14:paraId="6DB89EDA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35CA15A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4AB97791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02D4E5B3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AE283B" w14:paraId="70D9CFAF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5909D243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22D3DF39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60E97BC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AE283B" w14:paraId="12622834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03DDE94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AE283B" w14:paraId="592848E2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58C7DFDC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F12E4E" w:rsidRPr="00AE283B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AE283B" w14:paraId="3D706055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1D5DB8D4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77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32875ED0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2F885510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602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DD14E76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1C341B8F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672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6E456ACC" w14:textId="77777777" w:rsidTr="00467B51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B26FC40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4AC48D1A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16120123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435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0697D0F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F12E4E" w:rsidRPr="00952F82" w:rsidRDefault="009A4410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F12E4E" w:rsidRPr="00952F82" w:rsidRDefault="009A4410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F12E4E" w:rsidRPr="00952F82" w:rsidRDefault="009A4410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ED29B8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2" w:name="_Hlk139033175"/>
      <w:bookmarkStart w:id="13" w:name="_Hlk139033887"/>
      <w:bookmarkEnd w:id="10"/>
      <w:bookmarkEnd w:id="11"/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3566A4" w:rsidRPr="00F04F91" w14:paraId="563AEF32" w14:textId="77777777" w:rsidTr="00467B51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9A441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9A441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9A4410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01BD4E8F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567B856F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5BBAEA16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CB33B04" w14:textId="77777777" w:rsidR="003566A4" w:rsidRPr="000A01EC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72EBC6F1" w14:textId="77777777" w:rsidR="003566A4" w:rsidRPr="000A01EC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A3BF81F" w14:textId="77777777" w:rsidR="003566A4" w:rsidRPr="000A01EC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9A4410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4CC79323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F6473CB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6BBAF08F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DAB9887" w14:textId="77777777" w:rsidR="003566A4" w:rsidRPr="000A01EC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3B07798A" w14:textId="77777777" w:rsidR="003566A4" w:rsidRPr="000A01EC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8CE7EC6" w14:textId="77777777" w:rsidR="003566A4" w:rsidRPr="000A01EC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9A4410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703AB954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17E4B5D7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3C20C95B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D97024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0AFE4E1" w14:textId="77777777" w:rsidR="003566A4" w:rsidRPr="000A01EC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6EC5060" w14:textId="77777777" w:rsidR="003566A4" w:rsidRPr="000A01EC" w:rsidRDefault="009A4410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9A4410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1BC62E1C" w14:textId="77777777" w:rsidR="003566A4" w:rsidRPr="00BA37EE" w:rsidRDefault="009A4410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1CE3B31A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665AB87F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4164C7FD" w14:textId="77777777" w:rsidR="003566A4" w:rsidRPr="000A01EC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5259054F" w14:textId="77777777" w:rsidR="003566A4" w:rsidRPr="000A01EC" w:rsidRDefault="009A4410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C2D7DB8" w14:textId="77777777" w:rsidR="003566A4" w:rsidRPr="000A01EC" w:rsidRDefault="009A4410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9A4410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24CE98F5" w14:textId="77777777" w:rsidR="003566A4" w:rsidRPr="00BA37EE" w:rsidRDefault="009A4410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24CEAE8C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80AE589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51486D8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F85F0A6" w14:textId="77777777" w:rsidR="003566A4" w:rsidRPr="000A01EC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06DE487" w14:textId="77777777" w:rsidR="003566A4" w:rsidRPr="000A01EC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9A4410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4863371D" w14:textId="77777777" w:rsidR="003566A4" w:rsidRPr="00BA37EE" w:rsidRDefault="009A4410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2146414F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1F442B26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538142B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36A746A" w14:textId="77777777" w:rsidR="003566A4" w:rsidRPr="000A01EC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600C23A" w14:textId="77777777" w:rsidR="003566A4" w:rsidRPr="000A01EC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9A4410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4AFC33D3" w14:textId="77777777" w:rsidR="003566A4" w:rsidRPr="00BA37EE" w:rsidRDefault="009A4410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485D1406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35D5F303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BD882D8" w14:textId="77777777" w:rsidR="003566A4" w:rsidRPr="00BA37EE" w:rsidRDefault="009A4410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6C20809E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5F319D2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9A4410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350F23F8" w14:textId="77777777" w:rsidR="003566A4" w:rsidRPr="00BA37EE" w:rsidRDefault="009A4410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20E3B637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5AD21CA4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9A1B66A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BDFDD7E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6411493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467B51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9A4410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18F2B602" w14:textId="77777777" w:rsidR="003566A4" w:rsidRPr="00BA37EE" w:rsidRDefault="009A4410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323D2F36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70490534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C598CE2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27E90A5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5C7FDBE9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2C0937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3566A4" w:rsidRPr="007504E4" w14:paraId="36F9C75A" w14:textId="77777777" w:rsidTr="00467B51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7E6A673B" w14:textId="77777777" w:rsidR="003566A4" w:rsidRPr="00F04F91" w:rsidRDefault="009A4410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77777777" w:rsidR="003566A4" w:rsidRPr="007504E4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9A441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9A441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9A4410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0F0ABE14" w14:textId="77777777" w:rsidTr="00467B51">
        <w:trPr>
          <w:trHeight w:val="283"/>
        </w:trPr>
        <w:tc>
          <w:tcPr>
            <w:tcW w:w="1702" w:type="dxa"/>
            <w:vAlign w:val="center"/>
          </w:tcPr>
          <w:p w14:paraId="27619985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664B4447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874423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04DE595" w14:textId="77777777" w:rsidR="003566A4" w:rsidRPr="007504E4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76D4A24" w14:textId="77777777" w:rsidR="003566A4" w:rsidRPr="007504E4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56C205B8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C6237FC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66A4" w:rsidRPr="007504E4" w14:paraId="405A00D7" w14:textId="77777777" w:rsidTr="00467B51">
        <w:trPr>
          <w:trHeight w:val="283"/>
        </w:trPr>
        <w:tc>
          <w:tcPr>
            <w:tcW w:w="1702" w:type="dxa"/>
            <w:vAlign w:val="center"/>
          </w:tcPr>
          <w:p w14:paraId="2A2ABEBD" w14:textId="77777777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44E41859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86F74E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DCA5788" w14:textId="77777777" w:rsidR="003566A4" w:rsidRPr="007504E4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68CE156" w14:textId="77777777" w:rsidR="003566A4" w:rsidRPr="007504E4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AD6D6B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94B7F28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3566A4" w:rsidRPr="007504E4" w14:paraId="761F8FCC" w14:textId="77777777" w:rsidTr="00467B51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24053F7C" w14:textId="77777777" w:rsidR="003566A4" w:rsidRPr="00F04F91" w:rsidRDefault="009A4410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9A4410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9A4410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9A4410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359A583A" w14:textId="77777777" w:rsidTr="00467B51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33DC6C96" w14:textId="37386DAA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E8A7D" w14:textId="0AD3D1ED" w:rsidR="003566A4" w:rsidRPr="00BA37EE" w:rsidRDefault="009A441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566A4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3A8A4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795D23" w14:textId="77777777" w:rsidR="003566A4" w:rsidRPr="007504E4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F70571" w14:textId="77777777" w:rsidR="003566A4" w:rsidRPr="007504E4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8B875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AE95CD0" w14:textId="77777777" w:rsidR="003566A4" w:rsidRPr="007504E4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2"/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3"/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7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9A4410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9A4410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_Hlk139033237"/>
      <w:bookmarkStart w:id="15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указанного(ых) в Заявлении/ присвоенного(ых) в соответствии с настоящим Заявлением пользовательского(их) идентификатора(ов)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67B51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9A4410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9A4410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14:paraId="0D4FD7A5" w14:textId="77777777" w:rsidTr="00467B51">
        <w:trPr>
          <w:trHeight w:val="289"/>
        </w:trPr>
        <w:tc>
          <w:tcPr>
            <w:tcW w:w="1560" w:type="dxa"/>
            <w:shd w:val="clear" w:color="auto" w:fill="auto"/>
          </w:tcPr>
          <w:p w14:paraId="001DACB4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771371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4E0D2B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1BB5CCC4" w:rsidR="00AB404F" w:rsidRPr="007504E4" w:rsidRDefault="009A4410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B404F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35259DEA" w14:textId="4C95BCC8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67B51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7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9A4410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9A4410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131F72AE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3566A4" w:rsidRPr="00D93133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3566A4" w:rsidRPr="00D93133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3566A4" w:rsidRPr="00D93133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3566A4" w:rsidRPr="00D93133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459E02C2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3566A4" w:rsidRPr="00D93133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77777777" w:rsidR="003566A4" w:rsidRPr="00D93133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3566A4" w:rsidRPr="00D93133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3566A4" w:rsidRPr="00D93133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6C7522A7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3566A4" w:rsidRPr="00D93133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3566A4" w:rsidRPr="00D93133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3566A4" w:rsidRPr="00D93133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3566A4" w:rsidRPr="00D93133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3CB9C964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21BA400D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12F0145E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3566A4" w:rsidRPr="00D93133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3566A4" w:rsidRPr="00961CAD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4E314CF2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6"/>
      <w:bookmarkEnd w:id="17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36297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3214D24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85BD882" w14:textId="6C59FBE4"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14:paraId="568DD9A7" w14:textId="458F7D6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566A4" w:rsidRPr="0092503F" w14:paraId="73C7E691" w14:textId="77777777" w:rsidTr="00467B51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3C120" w14:textId="77777777" w:rsidR="003566A4" w:rsidRPr="0092503F" w:rsidRDefault="003566A4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9DB" w14:textId="2ABDE3E7" w:rsidR="003566A4" w:rsidRPr="0092503F" w:rsidRDefault="009A4410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A3F26FF" w14:textId="4D8BB1DF" w:rsidR="003566A4" w:rsidRPr="0092503F" w:rsidRDefault="009A4410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92503F" w14:paraId="3E3911A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206" w14:textId="77777777" w:rsidR="003566A4" w:rsidRPr="00952F82" w:rsidRDefault="009A4410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901" w14:textId="77777777" w:rsidR="003566A4" w:rsidRPr="00952F82" w:rsidRDefault="009A4410" w:rsidP="00467B51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9A0" w14:textId="77777777" w:rsidR="003566A4" w:rsidRPr="00952F82" w:rsidRDefault="009A4410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5EF" w14:textId="4DDD9A7C" w:rsidR="003566A4" w:rsidRPr="00952F82" w:rsidRDefault="003566A4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E41" w14:textId="77777777" w:rsidR="003566A4" w:rsidRPr="00952F82" w:rsidRDefault="009A4410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195" w14:textId="77777777" w:rsidR="003566A4" w:rsidRPr="00952F82" w:rsidRDefault="009A4410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CED" w14:textId="77777777" w:rsidR="003566A4" w:rsidRPr="00952F82" w:rsidRDefault="009A4410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5F1A69" w:rsidRPr="0092503F" w14:paraId="5A1FC547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70" w14:textId="77777777" w:rsidR="005F1A69" w:rsidRPr="00952F82" w:rsidRDefault="009A4410" w:rsidP="005F1A69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123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033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8F1E" w14:textId="39D7B36F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C87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D95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577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5F1A69" w:rsidRPr="0092503F" w14:paraId="4A5E353A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6D6" w14:textId="77777777" w:rsidR="005F1A69" w:rsidRPr="00952F82" w:rsidRDefault="009A4410" w:rsidP="005F1A69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4C1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EC0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4643" w14:textId="27403545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B37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3A3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8ED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5DB1372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6B4" w14:textId="77777777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8B2" w14:textId="77777777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C11" w14:textId="77777777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C5A" w14:textId="21EB10AB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C0E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3D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83F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5F1A69" w:rsidRPr="0092503F" w14:paraId="28EC40F9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CD9" w14:textId="77777777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1E7" w14:textId="77777777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94A" w14:textId="77777777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C4B6" w14:textId="713A820D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93C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AF2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231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69" w:rsidRPr="0092503F" w14:paraId="20DA7A49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985" w14:textId="24FEC690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B41" w14:textId="77777777" w:rsidR="005F1A69" w:rsidRPr="00952F82" w:rsidRDefault="009A4410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F55" w14:textId="77777777" w:rsidR="005F1A69" w:rsidRPr="00952F82" w:rsidRDefault="009A4410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E19" w14:textId="713FD2CE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657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89B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35A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5F1A69" w:rsidRPr="0092503F" w14:paraId="0DE391C6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AE6" w14:textId="0732D7B4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C3C" w14:textId="77777777" w:rsidR="005F1A69" w:rsidRPr="00952F82" w:rsidRDefault="009A4410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4E1" w14:textId="77777777" w:rsidR="005F1A69" w:rsidRPr="00952F82" w:rsidRDefault="009A4410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696" w14:textId="27167DF6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33C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6FF" w14:textId="77777777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94C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5F1A69" w:rsidRPr="0092503F" w14:paraId="59B74125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163" w14:textId="56DA65D5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676" w14:textId="77777777" w:rsidR="005F1A69" w:rsidRPr="00952F82" w:rsidRDefault="009A4410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4AD" w14:textId="77777777" w:rsidR="005F1A69" w:rsidRPr="00952F82" w:rsidRDefault="009A4410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BB3" w14:textId="2031DD5F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640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63D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F1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034CF3E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DB4" w14:textId="1E82A9DA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7E" w14:textId="77777777" w:rsidR="005F1A69" w:rsidRPr="00952F82" w:rsidRDefault="009A4410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363" w14:textId="77777777" w:rsidR="005F1A69" w:rsidRPr="00952F82" w:rsidRDefault="009A4410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137" w14:textId="6083A2B2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C87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96A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9CF" w14:textId="77777777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5F1A69" w:rsidRPr="0092503F" w14:paraId="586D1BA7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D94" w14:textId="0C664B73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1B9" w14:textId="77777777" w:rsidR="005F1A69" w:rsidRPr="00952F82" w:rsidRDefault="009A4410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2D1" w14:textId="77777777" w:rsidR="005F1A69" w:rsidRPr="00952F82" w:rsidRDefault="009A4410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93F" w14:textId="62C38DC3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040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56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D25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2517FD41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F21" w14:textId="740E9FA5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08C" w14:textId="77777777" w:rsidR="005F1A69" w:rsidRPr="00952F82" w:rsidRDefault="009A4410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291" w14:textId="73A901C9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7FE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AE1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A1A" w14:textId="3D3BAD8A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68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578D0873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88D" w14:textId="3EF3721D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D11" w14:textId="77777777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8D5" w14:textId="4F656EB2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D2F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AB2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13E" w14:textId="1776423A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24D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801ABBB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3DE" w14:textId="1CF3EA90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1A9" w14:textId="77777777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2D74" w14:textId="35B66A8A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BE9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B5B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75D" w14:textId="26BA324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7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4AAD603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61E" w14:textId="1C339D19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EE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D9F" w14:textId="0377383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957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81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723" w14:textId="2833023A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8B8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76822584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E701" w14:textId="608EB548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BD7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EEE" w14:textId="0FB37C0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04D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A86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5" w14:textId="788BDECF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0BE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7D6EA021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9C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43F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459" w14:textId="7B3677BF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4C4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566" w14:textId="77777777" w:rsidR="005F1A69" w:rsidRPr="00952F82" w:rsidRDefault="009A4410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DDD" w14:textId="18C4B947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1924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8A9" w14:textId="4E04951C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305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F1A69" w:rsidRPr="0092503F" w14:paraId="041BAAF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A7B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79D1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3C6B" w14:textId="7DF68F19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8128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C6B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A40" w14:textId="20D9357B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9399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9E0" w14:textId="47E56F26" w:rsidR="005F1A69" w:rsidRPr="00952F82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5767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F1A69" w:rsidRPr="0092503F" w14:paraId="0B08F65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5AC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0F56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6A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3799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B02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A75" w14:textId="47E5D8E0" w:rsidR="005F1A69" w:rsidRPr="0023060D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343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25A" w14:textId="57BDDB92" w:rsidR="005F1A69" w:rsidRPr="0023060D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39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</w:tr>
      <w:tr w:rsidR="005F1A69" w:rsidRPr="0092503F" w14:paraId="414F5D8A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AF9E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343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AF4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B7D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D26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328B" w14:textId="299D53D8" w:rsidR="005F1A69" w:rsidRPr="0023060D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27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BC29" w14:textId="13A65D36" w:rsidR="005F1A69" w:rsidRPr="0023060D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350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F1A69" w:rsidRPr="0092503F" w14:paraId="05B984A4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9B8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C8BA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5C17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3FF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F1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C67" w14:textId="7052AEFD" w:rsidR="005F1A69" w:rsidRPr="0023060D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528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18F6" w14:textId="2F101FF7" w:rsidR="005F1A69" w:rsidRPr="0023060D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661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F1A69" w:rsidRPr="0092503F" w14:paraId="4B3997E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880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455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E9D5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3B1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0C0C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DAC" w14:textId="18A70A8B" w:rsidR="005F1A69" w:rsidRPr="0023060D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21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3A3" w14:textId="5B4C38BB" w:rsidR="005F1A69" w:rsidRPr="0023060D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5491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</w:tr>
      <w:tr w:rsidR="005F1A69" w:rsidRPr="0092503F" w14:paraId="5373921B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EA9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13D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E5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812B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7C2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9C9A" w14:textId="16294DA8" w:rsidR="005F1A69" w:rsidRPr="0023060D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0936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9297" w14:textId="4976217E" w:rsidR="005F1A69" w:rsidRPr="0023060D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35E7268D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0DC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966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370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12C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B487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3B8" w14:textId="4994D2D7" w:rsidR="005F1A69" w:rsidRPr="0023060D" w:rsidRDefault="009A4410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592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7EB" w14:textId="3DA597F9" w:rsidR="005F1A69" w:rsidRPr="0023060D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27AF3CF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45C717DC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7E11E629" w:rsidR="003566A4" w:rsidRPr="00B56486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</w:t>
      </w:r>
      <w:r w:rsidR="005F1A6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ыы</w:t>
      </w: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  <w:bookmarkEnd w:id="14"/>
    </w:p>
    <w:bookmarkEnd w:id="15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77777777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Параметры для подключения FIX-коннекта от НКЦ к копии НТПро Участника клиринга</w:t>
      </w:r>
    </w:p>
    <w:p w14:paraId="7686B3FA" w14:textId="77777777" w:rsidR="003566A4" w:rsidRDefault="003566A4" w:rsidP="003566A4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14:paraId="41C3C04A" w14:textId="77777777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67B51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67B51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67B51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BeginString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67B51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67B51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67B51"/>
        </w:tc>
      </w:tr>
      <w:tr w:rsidR="003566A4" w14:paraId="053D15A4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SenderCompID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67B51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67B51"/>
        </w:tc>
      </w:tr>
      <w:tr w:rsidR="003566A4" w14:paraId="395F33E9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SenderSubID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67B51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67B51"/>
        </w:tc>
      </w:tr>
      <w:tr w:rsidR="003566A4" w14:paraId="4FBB427B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67B51">
            <w:r>
              <w:t>SenderLocationID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735C5F1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TargetCompID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67B51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67B51"/>
        </w:tc>
      </w:tr>
      <w:tr w:rsidR="003566A4" w14:paraId="1D05A3FA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TargetSubID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67B51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67B51"/>
        </w:tc>
      </w:tr>
      <w:tr w:rsidR="003566A4" w14:paraId="1C78EE38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TargetLocationID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2304EB6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67B51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67B51"/>
        </w:tc>
      </w:tr>
      <w:tr w:rsidR="003566A4" w14:paraId="2F4B0DA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67B51"/>
        </w:tc>
      </w:tr>
      <w:tr w:rsidR="003566A4" w14:paraId="7B9D5186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67B51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67B51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67B51"/>
        </w:tc>
      </w:tr>
      <w:tr w:rsidR="003566A4" w14:paraId="69546F69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67B51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9A4410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77777777" w:rsidR="003566A4" w:rsidRPr="006D54B5" w:rsidRDefault="003566A4" w:rsidP="00467B51">
            <w:r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77777777" w:rsidR="003566A4" w:rsidRPr="003C1E15" w:rsidRDefault="003566A4" w:rsidP="00467B51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77777777" w:rsidR="003566A4" w:rsidRDefault="009A4410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</w:tbl>
    <w:p w14:paraId="4A34C6CA" w14:textId="77777777" w:rsidR="00C435CD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7505" w14:textId="77777777" w:rsidR="00467B51" w:rsidRDefault="00467B51">
      <w:pPr>
        <w:spacing w:after="0" w:line="240" w:lineRule="auto"/>
      </w:pPr>
      <w:r>
        <w:separator/>
      </w:r>
    </w:p>
  </w:endnote>
  <w:endnote w:type="continuationSeparator" w:id="0">
    <w:p w14:paraId="1ADC08E8" w14:textId="77777777" w:rsidR="00467B51" w:rsidRDefault="0046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467B51" w:rsidRDefault="00467B51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467B51" w:rsidRDefault="00467B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0DB9" w14:textId="77777777" w:rsidR="00467B51" w:rsidRDefault="00467B51">
      <w:pPr>
        <w:spacing w:after="0" w:line="240" w:lineRule="auto"/>
      </w:pPr>
      <w:r>
        <w:separator/>
      </w:r>
    </w:p>
  </w:footnote>
  <w:footnote w:type="continuationSeparator" w:id="0">
    <w:p w14:paraId="593C11A0" w14:textId="77777777" w:rsidR="00467B51" w:rsidRDefault="0046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8C6E" w14:textId="674EB37A" w:rsidR="00467B51" w:rsidRDefault="00467B51">
    <w:pPr>
      <w:pStyle w:val="aff1"/>
    </w:pPr>
  </w:p>
  <w:p w14:paraId="5AE39403" w14:textId="77777777" w:rsidR="00467B51" w:rsidRDefault="00467B51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9E82" w14:textId="5F5F7F00" w:rsidR="00467B51" w:rsidRDefault="00467B51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25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09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58E9188" w14:textId="2C2D8C84" w:rsidR="00467B51" w:rsidRDefault="00467B51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5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4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7D55"/>
    <w:rsid w:val="00030243"/>
    <w:rsid w:val="00034884"/>
    <w:rsid w:val="00036EF3"/>
    <w:rsid w:val="000377A3"/>
    <w:rsid w:val="00040E26"/>
    <w:rsid w:val="000442ED"/>
    <w:rsid w:val="000562AE"/>
    <w:rsid w:val="00057F74"/>
    <w:rsid w:val="00067994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9C0"/>
    <w:rsid w:val="001758D7"/>
    <w:rsid w:val="00186801"/>
    <w:rsid w:val="00193C03"/>
    <w:rsid w:val="00195BFF"/>
    <w:rsid w:val="00196312"/>
    <w:rsid w:val="001A04E0"/>
    <w:rsid w:val="001A4848"/>
    <w:rsid w:val="001A6FF8"/>
    <w:rsid w:val="001B19CD"/>
    <w:rsid w:val="001B3C67"/>
    <w:rsid w:val="001B3D18"/>
    <w:rsid w:val="001B7305"/>
    <w:rsid w:val="001B78C5"/>
    <w:rsid w:val="001C669F"/>
    <w:rsid w:val="001C7C40"/>
    <w:rsid w:val="001D059A"/>
    <w:rsid w:val="001D1B53"/>
    <w:rsid w:val="001F1037"/>
    <w:rsid w:val="001F1FAD"/>
    <w:rsid w:val="001F3F7E"/>
    <w:rsid w:val="001F53B6"/>
    <w:rsid w:val="001F71A1"/>
    <w:rsid w:val="002003A0"/>
    <w:rsid w:val="00200CDD"/>
    <w:rsid w:val="0020163D"/>
    <w:rsid w:val="002069AE"/>
    <w:rsid w:val="00211623"/>
    <w:rsid w:val="00215F22"/>
    <w:rsid w:val="00224BD1"/>
    <w:rsid w:val="00226C68"/>
    <w:rsid w:val="0023060D"/>
    <w:rsid w:val="00247DCD"/>
    <w:rsid w:val="002519DF"/>
    <w:rsid w:val="00253E6D"/>
    <w:rsid w:val="00263059"/>
    <w:rsid w:val="0026364E"/>
    <w:rsid w:val="0026405F"/>
    <w:rsid w:val="00270FB8"/>
    <w:rsid w:val="0027377A"/>
    <w:rsid w:val="0028142F"/>
    <w:rsid w:val="002822AB"/>
    <w:rsid w:val="002830BF"/>
    <w:rsid w:val="002854C7"/>
    <w:rsid w:val="0029363D"/>
    <w:rsid w:val="00296349"/>
    <w:rsid w:val="00297720"/>
    <w:rsid w:val="002A105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2488F"/>
    <w:rsid w:val="0032637B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1FE5"/>
    <w:rsid w:val="0038267E"/>
    <w:rsid w:val="00385266"/>
    <w:rsid w:val="00387AE9"/>
    <w:rsid w:val="00393D48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36D"/>
    <w:rsid w:val="003C4C7B"/>
    <w:rsid w:val="003C6351"/>
    <w:rsid w:val="003E2101"/>
    <w:rsid w:val="003E503B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5F1A69"/>
    <w:rsid w:val="006005A3"/>
    <w:rsid w:val="006026F0"/>
    <w:rsid w:val="00613180"/>
    <w:rsid w:val="00613DBA"/>
    <w:rsid w:val="00614751"/>
    <w:rsid w:val="006247EC"/>
    <w:rsid w:val="006263F5"/>
    <w:rsid w:val="00634626"/>
    <w:rsid w:val="00637597"/>
    <w:rsid w:val="006446C6"/>
    <w:rsid w:val="00645498"/>
    <w:rsid w:val="00647992"/>
    <w:rsid w:val="00655A56"/>
    <w:rsid w:val="006575CA"/>
    <w:rsid w:val="006602FA"/>
    <w:rsid w:val="00663835"/>
    <w:rsid w:val="00667F1D"/>
    <w:rsid w:val="00670423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4AAC"/>
    <w:rsid w:val="00700EE8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3F81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3668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75ED"/>
    <w:rsid w:val="00894828"/>
    <w:rsid w:val="00894941"/>
    <w:rsid w:val="008955C0"/>
    <w:rsid w:val="00895B66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7C93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A4410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A021EE"/>
    <w:rsid w:val="00A029D1"/>
    <w:rsid w:val="00A13CED"/>
    <w:rsid w:val="00A15EE3"/>
    <w:rsid w:val="00A22AB2"/>
    <w:rsid w:val="00A36810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B404F"/>
    <w:rsid w:val="00AC0CE7"/>
    <w:rsid w:val="00AC4F8A"/>
    <w:rsid w:val="00AC5F59"/>
    <w:rsid w:val="00AC7F76"/>
    <w:rsid w:val="00AE4E33"/>
    <w:rsid w:val="00AE58A3"/>
    <w:rsid w:val="00AE745F"/>
    <w:rsid w:val="00AF0456"/>
    <w:rsid w:val="00AF2ACB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9650F"/>
    <w:rsid w:val="00C97E1E"/>
    <w:rsid w:val="00CA05DA"/>
    <w:rsid w:val="00CA334F"/>
    <w:rsid w:val="00CA5B9B"/>
    <w:rsid w:val="00CA7D61"/>
    <w:rsid w:val="00CB1C6E"/>
    <w:rsid w:val="00CB5B82"/>
    <w:rsid w:val="00CC1CBD"/>
    <w:rsid w:val="00CC2317"/>
    <w:rsid w:val="00CC25EB"/>
    <w:rsid w:val="00CD086E"/>
    <w:rsid w:val="00CD091D"/>
    <w:rsid w:val="00CD39A6"/>
    <w:rsid w:val="00CE0165"/>
    <w:rsid w:val="00CE29AF"/>
    <w:rsid w:val="00CE2B27"/>
    <w:rsid w:val="00CE6D2A"/>
    <w:rsid w:val="00CF1D31"/>
    <w:rsid w:val="00CF3E0E"/>
    <w:rsid w:val="00D121AE"/>
    <w:rsid w:val="00D1432B"/>
    <w:rsid w:val="00D20220"/>
    <w:rsid w:val="00D21FA0"/>
    <w:rsid w:val="00D24D94"/>
    <w:rsid w:val="00D257FF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85279"/>
    <w:rsid w:val="00D93133"/>
    <w:rsid w:val="00D93699"/>
    <w:rsid w:val="00D9375F"/>
    <w:rsid w:val="00DA1C22"/>
    <w:rsid w:val="00DA6720"/>
    <w:rsid w:val="00DB179A"/>
    <w:rsid w:val="00DB4F0D"/>
    <w:rsid w:val="00DB6AF3"/>
    <w:rsid w:val="00DC0D2E"/>
    <w:rsid w:val="00DC7EBF"/>
    <w:rsid w:val="00DD1A6F"/>
    <w:rsid w:val="00DE4FD5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5295"/>
    <w:rsid w:val="00E735A1"/>
    <w:rsid w:val="00E73D2D"/>
    <w:rsid w:val="00E802D3"/>
    <w:rsid w:val="00E821DD"/>
    <w:rsid w:val="00E82C6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2E4E"/>
    <w:rsid w:val="00F1347D"/>
    <w:rsid w:val="00F213BF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45E4-67B9-4AB9-97DA-DBBAAAA7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4915</Words>
  <Characters>28020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5</cp:revision>
  <cp:lastPrinted>2022-10-07T06:28:00Z</cp:lastPrinted>
  <dcterms:created xsi:type="dcterms:W3CDTF">2023-09-27T11:14:00Z</dcterms:created>
  <dcterms:modified xsi:type="dcterms:W3CDTF">2023-10-03T16:29:00Z</dcterms:modified>
</cp:coreProperties>
</file>