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222F" w14:textId="7AFBA52D" w:rsidR="00D61E6F" w:rsidRDefault="00EA2366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EA236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Заявление на услуги Кривые СПФИ (базовый набор) </w:t>
      </w:r>
      <w:r w:rsidR="00D61E6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D61E6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D61E6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D61E6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D61E6F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A1229B3" w14:textId="343E14C9" w:rsidR="00EA2366" w:rsidRDefault="00EA2366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EA236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для распространения</w:t>
      </w:r>
    </w:p>
    <w:p w14:paraId="1D834BD3" w14:textId="7A841E32" w:rsidR="005606D2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</w:p>
    <w:p w14:paraId="44E5BE82" w14:textId="77777777" w:rsidR="005606D2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AE76A40" w14:textId="6E8FB93F" w:rsidR="00C65861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</w:t>
      </w:r>
      <w:bookmarkStart w:id="1" w:name="_Hlk209196896"/>
      <w:r>
        <w:rPr>
          <w:rFonts w:ascii="Times New Roman" w:hAnsi="Times New Roman" w:cs="Times New Roman"/>
          <w:b/>
        </w:rPr>
        <w:t>п</w:t>
      </w:r>
      <w:r w:rsidRPr="005606D2">
        <w:rPr>
          <w:rFonts w:ascii="Times New Roman" w:hAnsi="Times New Roman" w:cs="Times New Roman"/>
          <w:b/>
        </w:rPr>
        <w:t>редоставлени</w:t>
      </w:r>
      <w:r>
        <w:rPr>
          <w:rFonts w:ascii="Times New Roman" w:hAnsi="Times New Roman" w:cs="Times New Roman"/>
          <w:b/>
        </w:rPr>
        <w:t>я</w:t>
      </w:r>
      <w:r w:rsidRPr="005606D2">
        <w:rPr>
          <w:rFonts w:ascii="Times New Roman" w:hAnsi="Times New Roman" w:cs="Times New Roman"/>
          <w:b/>
        </w:rPr>
        <w:t xml:space="preserve"> </w:t>
      </w:r>
      <w:r w:rsidRPr="00D7496A">
        <w:rPr>
          <w:rFonts w:ascii="Times New Roman" w:hAnsi="Times New Roman" w:cs="Times New Roman"/>
          <w:b/>
          <w:u w:val="single"/>
        </w:rPr>
        <w:t>информации о кривых рынка СПФИ</w:t>
      </w:r>
      <w:r w:rsidRPr="005606D2">
        <w:rPr>
          <w:rFonts w:ascii="Times New Roman" w:hAnsi="Times New Roman" w:cs="Times New Roman"/>
          <w:b/>
        </w:rPr>
        <w:t xml:space="preserve"> (ежедневные обновления) </w:t>
      </w:r>
      <w:r w:rsidRPr="00D7496A">
        <w:rPr>
          <w:rFonts w:ascii="Times New Roman" w:hAnsi="Times New Roman" w:cs="Times New Roman"/>
          <w:b/>
          <w:u w:val="single"/>
        </w:rPr>
        <w:t>для дальнейшего распространения / демонстрации третьим лицам путём неавторизованного доступа</w:t>
      </w:r>
      <w:r w:rsidRPr="005606D2">
        <w:rPr>
          <w:rFonts w:ascii="Times New Roman" w:hAnsi="Times New Roman" w:cs="Times New Roman"/>
          <w:b/>
        </w:rPr>
        <w:t xml:space="preserve"> к интернет-сайтам, терминалам, мобильным приложениям </w:t>
      </w:r>
      <w:r w:rsidRPr="00D7496A">
        <w:rPr>
          <w:rFonts w:ascii="Times New Roman" w:hAnsi="Times New Roman" w:cs="Times New Roman"/>
          <w:b/>
          <w:u w:val="single"/>
        </w:rPr>
        <w:t>в объёме базового набора</w:t>
      </w:r>
      <w:r w:rsidRPr="005606D2">
        <w:rPr>
          <w:rFonts w:ascii="Times New Roman" w:hAnsi="Times New Roman" w:cs="Times New Roman"/>
          <w:b/>
        </w:rPr>
        <w:t xml:space="preserve"> Кривых рынка СПФИ и их параметров</w:t>
      </w:r>
      <w:bookmarkEnd w:id="1"/>
      <w:r>
        <w:rPr>
          <w:rFonts w:ascii="Times New Roman" w:hAnsi="Times New Roman" w:cs="Times New Roman"/>
          <w:b/>
        </w:rPr>
        <w:t xml:space="preserve">, </w:t>
      </w:r>
    </w:p>
    <w:p w14:paraId="3CCA4C4E" w14:textId="2E53AB82" w:rsidR="005606D2" w:rsidRPr="001E7298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центра </w:t>
      </w:r>
      <w:r w:rsidRPr="001E7298">
        <w:rPr>
          <w:rFonts w:ascii="Times New Roman" w:hAnsi="Times New Roman" w:cs="Times New Roman"/>
          <w:b/>
        </w:rPr>
        <w:t>№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37DE2653" w14:textId="77777777" w:rsidR="005606D2" w:rsidRPr="001E7298" w:rsidRDefault="005606D2" w:rsidP="005606D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5606D2" w:rsidRPr="001E7298" w14:paraId="1506C2E3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60711DC2" w14:textId="77777777" w:rsidR="005606D2" w:rsidRPr="001E7298" w:rsidRDefault="005606D2" w:rsidP="00D67C58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6E8F92FC" w14:textId="77777777" w:rsidR="005606D2" w:rsidRPr="001E7298" w:rsidRDefault="00A62A95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FC016B3011A24644A4B25568B9C715B8"/>
                </w:placeholder>
                <w:showingPlcHdr/>
              </w:sdtPr>
              <w:sdtEndPr/>
              <w:sdtContent>
                <w:r w:rsidR="005606D2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5606D2" w:rsidRPr="001E7298">
              <w:rPr>
                <w:rFonts w:ascii="Times New Roman" w:hAnsi="Times New Roman" w:cs="Times New Roman"/>
              </w:rPr>
              <w:fldChar w:fldCharType="begin"/>
            </w:r>
            <w:r w:rsidR="005606D2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5606D2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6F4353" w14:textId="77777777" w:rsidR="005606D2" w:rsidRDefault="005606D2" w:rsidP="005606D2">
      <w:pPr>
        <w:rPr>
          <w:rFonts w:ascii="Times New Roman" w:hAnsi="Times New Roman" w:cs="Times New Roman"/>
        </w:rPr>
      </w:pPr>
    </w:p>
    <w:p w14:paraId="2A769E38" w14:textId="77777777" w:rsidR="005606D2" w:rsidRPr="001E7298" w:rsidRDefault="005606D2" w:rsidP="005606D2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23A0A6BB" w14:textId="77777777" w:rsidR="005606D2" w:rsidRPr="001E7298" w:rsidRDefault="005606D2" w:rsidP="005606D2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А, В или С)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1E7298" w14:paraId="21A579BE" w14:textId="77777777" w:rsidTr="00D67C58">
        <w:tc>
          <w:tcPr>
            <w:tcW w:w="9747" w:type="dxa"/>
            <w:shd w:val="clear" w:color="auto" w:fill="auto"/>
          </w:tcPr>
          <w:p w14:paraId="65292C59" w14:textId="1AC2A9C4" w:rsidR="005606D2" w:rsidRPr="00E92FA8" w:rsidRDefault="005606D2" w:rsidP="00E92FA8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596" w:hanging="596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для следующих логинов 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E92FA8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</w:t>
            </w:r>
            <w:r w:rsidR="00C65861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E92F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информации о кривых рынка СПФИ (ежедневные обновления) для дальнейшего распространения / демонстрации третьим лицам путём неавторизованного доступа к интернет-сайтам, терминалам, мобильным приложениям в объёме базового набора Кривых рынка СПФИ и их параметров *</w:t>
            </w:r>
            <w:r w:rsidR="00BA13D0" w:rsidRPr="00E92FA8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Pr="00E92FA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5606D2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7797390E" w14:textId="77777777" w:rsidR="005606D2" w:rsidRPr="00C14C84" w:rsidRDefault="005606D2" w:rsidP="005606D2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7F74CF69" w14:textId="77777777" w:rsidR="005606D2" w:rsidRPr="0092020D" w:rsidRDefault="005606D2" w:rsidP="005606D2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A2E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(</w:t>
            </w:r>
            <w:r w:rsidRPr="003A2EE3">
              <w:rPr>
                <w:rFonts w:ascii="Times New Roman" w:eastAsia="Times New Roman" w:hAnsi="Times New Roman" w:cs="Times New Roman"/>
                <w:i/>
                <w:lang w:eastAsia="ru-RU"/>
              </w:rPr>
              <w:t>для технического резервирования доступа)</w:t>
            </w:r>
          </w:p>
          <w:p w14:paraId="7C20C997" w14:textId="1EED6EC2" w:rsidR="00BA13D0" w:rsidRPr="00BA13D0" w:rsidRDefault="00BA13D0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указать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адреса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https://passport.moex.com)</w:t>
            </w:r>
            <w:r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76331B26" w14:textId="0D9DD35B" w:rsidR="005606D2" w:rsidRPr="005606D2" w:rsidRDefault="005606D2" w:rsidP="005606D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="00BA13D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Описани</w:t>
            </w:r>
            <w:r w:rsidR="00C65861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я</w:t>
            </w:r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базового набор</w:t>
            </w:r>
            <w:r w:rsidR="0037165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Кривых рынка СПФИ и их параметров приведены на сайте ПАО Московская Биржа в сети Интернет по адресу https://www.moex.com/ru/orders?curves.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</w:tc>
      </w:tr>
    </w:tbl>
    <w:p w14:paraId="643C2817" w14:textId="77777777" w:rsidR="005606D2" w:rsidRPr="001E7298" w:rsidRDefault="005606D2" w:rsidP="005606D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55"/>
      </w:tblGrid>
      <w:tr w:rsidR="005606D2" w:rsidRPr="001E7298" w14:paraId="62C0412F" w14:textId="77777777" w:rsidTr="00D67C58">
        <w:tc>
          <w:tcPr>
            <w:tcW w:w="9747" w:type="dxa"/>
            <w:shd w:val="clear" w:color="auto" w:fill="auto"/>
          </w:tcPr>
          <w:p w14:paraId="72DAF1CA" w14:textId="77777777" w:rsidR="005606D2" w:rsidRPr="00226BF7" w:rsidRDefault="00A62A95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>изменить параметры услуги, в т.ч.:</w:t>
            </w:r>
          </w:p>
          <w:p w14:paraId="547AC0C0" w14:textId="38F7773B" w:rsidR="005606D2" w:rsidRPr="005606D2" w:rsidRDefault="00A62A95" w:rsidP="005606D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ind w:left="598" w:hanging="28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6590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606D2"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изменить 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список логинов доступа </w:t>
            </w:r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5606D2" w:rsidRPr="005606D2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</w:t>
            </w:r>
            <w:r w:rsidR="00C65861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5606D2" w:rsidRPr="005606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5606D2" w:rsidRPr="005606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нформации о кривых рынка СПФИ (ежедневные обновления) для дальнейшего распространения / демонстрации третьим лицам путём неавторизованного доступа к интернет-сайтам, терминалам, мобильным приложениям в объёме базового набора Кривых рынка СПФИ и их параметров </w:t>
            </w:r>
            <w:r w:rsidR="00D31531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="005606D2" w:rsidRPr="005606D2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14:paraId="5E33108A" w14:textId="5D1A45B2" w:rsidR="005606D2" w:rsidRPr="001A0D6B" w:rsidRDefault="00C74E88" w:rsidP="00D67C58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</w:t>
            </w:r>
            <w:r w:rsidR="005606D2" w:rsidRPr="001A0D6B">
              <w:rPr>
                <w:rFonts w:ascii="Times New Roman" w:hAnsi="Times New Roman" w:cs="Times New Roman"/>
                <w:lang w:eastAsia="ar-SA"/>
              </w:rPr>
              <w:t>менить логин</w:t>
            </w:r>
            <w:r>
              <w:rPr>
                <w:rFonts w:ascii="Times New Roman" w:hAnsi="Times New Roman" w:cs="Times New Roman"/>
                <w:lang w:eastAsia="ar-SA"/>
              </w:rPr>
              <w:t>ы</w:t>
            </w:r>
            <w:r w:rsidR="005606D2" w:rsidRPr="001A0D6B">
              <w:rPr>
                <w:rFonts w:ascii="Times New Roman" w:hAnsi="Times New Roman" w:cs="Times New Roman"/>
                <w:lang w:eastAsia="ar-SA"/>
              </w:rPr>
              <w:t xml:space="preserve"> доступа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логины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указанные в таблице ниже, отменяют доступ для логинов, использовавшихся ранее; если какой-то из ранее использовавшихся логинов должен сохраниться, укажите его в таблице ниже)</w:t>
            </w:r>
            <w:r w:rsidR="005606D2" w:rsidRPr="001A0D6B">
              <w:rPr>
                <w:rFonts w:ascii="Times New Roman" w:hAnsi="Times New Roman" w:cs="Times New Roman"/>
                <w:lang w:eastAsia="ar-SA"/>
              </w:rPr>
              <w:t>:</w:t>
            </w:r>
          </w:p>
          <w:tbl>
            <w:tblPr>
              <w:tblStyle w:val="a3"/>
              <w:tblW w:w="9103" w:type="dxa"/>
              <w:tblInd w:w="426" w:type="dxa"/>
              <w:tblLook w:val="04A0" w:firstRow="1" w:lastRow="0" w:firstColumn="1" w:lastColumn="0" w:noHBand="0" w:noVBand="1"/>
            </w:tblPr>
            <w:tblGrid>
              <w:gridCol w:w="5843"/>
              <w:gridCol w:w="3260"/>
            </w:tblGrid>
            <w:tr w:rsidR="00C74E88" w:rsidRPr="001A0D6B" w14:paraId="01F5170B" w14:textId="77777777" w:rsidTr="001B1544">
              <w:tc>
                <w:tcPr>
                  <w:tcW w:w="5843" w:type="dxa"/>
                  <w:shd w:val="clear" w:color="auto" w:fill="E7E6E6" w:themeFill="background2"/>
                </w:tcPr>
                <w:p w14:paraId="680E6229" w14:textId="209B5812" w:rsidR="00C74E88" w:rsidRPr="001A0D6B" w:rsidRDefault="00C74E88" w:rsidP="00D67C58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Логин системы MOEХ </w:t>
                  </w:r>
                  <w:proofErr w:type="spellStart"/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passport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*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</w:tcPr>
                <w:p w14:paraId="0AD8AB8B" w14:textId="77777777" w:rsidR="00C74E88" w:rsidRPr="001A0D6B" w:rsidRDefault="00C74E88" w:rsidP="00D67C58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Предоставить доступ</w:t>
                  </w: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C74E88" w14:paraId="118991AC" w14:textId="77777777" w:rsidTr="001B1544">
              <w:tc>
                <w:tcPr>
                  <w:tcW w:w="5843" w:type="dxa"/>
                </w:tcPr>
                <w:p w14:paraId="3281BA2B" w14:textId="23E940D0" w:rsidR="00C74E88" w:rsidRPr="00800B4C" w:rsidRDefault="00C74E88" w:rsidP="005606D2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bookmarkStart w:id="2" w:name="_Hlk210237446"/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</w:t>
                  </w:r>
                  <w:r w:rsidR="001B1544">
                    <w:rPr>
                      <w:rFonts w:ascii="Tahoma" w:hAnsi="Tahoma" w:cs="Tahoma"/>
                      <w:sz w:val="20"/>
                      <w:lang w:eastAsia="ar-SA"/>
                    </w:rPr>
                    <w:t>________________</w:t>
                  </w:r>
                </w:p>
              </w:tc>
              <w:tc>
                <w:tcPr>
                  <w:tcW w:w="3260" w:type="dxa"/>
                </w:tcPr>
                <w:p w14:paraId="35CFCDCE" w14:textId="77777777" w:rsidR="00C74E88" w:rsidRPr="00800B4C" w:rsidRDefault="00A62A95" w:rsidP="00D67C58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530618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4E88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C74E88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bookmarkEnd w:id="2"/>
            <w:tr w:rsidR="00C74E88" w14:paraId="3FAF0F5F" w14:textId="77777777" w:rsidTr="001B1544">
              <w:tc>
                <w:tcPr>
                  <w:tcW w:w="5843" w:type="dxa"/>
                </w:tcPr>
                <w:p w14:paraId="65A640F6" w14:textId="162D22EF" w:rsidR="00C74E88" w:rsidRPr="00800B4C" w:rsidRDefault="00C74E88" w:rsidP="005606D2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</w:t>
                  </w:r>
                  <w:r w:rsidR="001B1544">
                    <w:rPr>
                      <w:rFonts w:ascii="Tahoma" w:hAnsi="Tahoma" w:cs="Tahoma"/>
                      <w:sz w:val="20"/>
                      <w:lang w:eastAsia="ar-SA"/>
                    </w:rPr>
                    <w:t>________________</w:t>
                  </w: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</w:t>
                  </w:r>
                </w:p>
              </w:tc>
              <w:tc>
                <w:tcPr>
                  <w:tcW w:w="3260" w:type="dxa"/>
                </w:tcPr>
                <w:p w14:paraId="3616FDD2" w14:textId="77777777" w:rsidR="00C74E88" w:rsidRDefault="00A62A95" w:rsidP="00D67C58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2097150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4E88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C74E88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</w:tbl>
          <w:p w14:paraId="3CC817B9" w14:textId="400EA073" w:rsidR="005606D2" w:rsidRPr="00D31531" w:rsidRDefault="005606D2" w:rsidP="00D67C58">
            <w:pPr>
              <w:spacing w:before="120"/>
              <w:ind w:firstLine="363"/>
              <w:rPr>
                <w:rFonts w:ascii="Tahoma" w:hAnsi="Tahoma" w:cs="Tahoma"/>
                <w:i/>
                <w:sz w:val="16"/>
                <w:u w:val="single"/>
              </w:rPr>
            </w:pPr>
            <w:r w:rsidRPr="00D31531">
              <w:rPr>
                <w:rFonts w:ascii="Tahoma" w:hAnsi="Tahoma" w:cs="Tahoma"/>
                <w:i/>
                <w:sz w:val="16"/>
                <w:u w:val="single"/>
              </w:rPr>
              <w:t xml:space="preserve">Все изменения производятся только для действующей услуги. </w:t>
            </w:r>
          </w:p>
          <w:p w14:paraId="6342E953" w14:textId="77777777" w:rsidR="005606D2" w:rsidRPr="0047314E" w:rsidRDefault="005606D2" w:rsidP="00D67C58">
            <w:pPr>
              <w:spacing w:before="120"/>
              <w:ind w:left="601" w:hanging="238"/>
              <w:rPr>
                <w:rFonts w:ascii="Tahoma" w:hAnsi="Tahoma" w:cs="Tahoma"/>
                <w:sz w:val="16"/>
              </w:rPr>
            </w:pPr>
          </w:p>
          <w:p w14:paraId="46932FBD" w14:textId="0122A0C9" w:rsidR="005606D2" w:rsidRPr="00BA13D0" w:rsidRDefault="00A62A95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r w:rsidR="005606D2" w:rsidRPr="005606D2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</w:t>
            </w:r>
            <w:r w:rsidR="00C65861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5606D2" w:rsidRPr="005606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5606D2" w:rsidRPr="005606D2">
              <w:rPr>
                <w:rFonts w:ascii="Times New Roman" w:eastAsia="Times New Roman" w:hAnsi="Times New Roman" w:cs="Times New Roman"/>
                <w:b/>
                <w:lang w:eastAsia="ru-RU"/>
              </w:rPr>
              <w:t>нформации о кривых рынка СПФИ (ежедневные обновления) для дальнейшего распространения / демонстрации третьим лицам путём неавторизованного доступа к интернет-сайтам, терминалам, мобильным приложениям в объёме базового набора Кривых рынка СПФИ и их параметров</w:t>
            </w:r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="005606D2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5606D2">
              <w:rPr>
                <w:rFonts w:ascii="Times New Roman" w:eastAsia="Times New Roman" w:hAnsi="Times New Roman" w:cs="Times New Roman"/>
                <w:b/>
                <w:lang w:eastAsia="ru-RU"/>
              </w:rPr>
              <w:t>всех</w:t>
            </w:r>
            <w:r w:rsidR="005606D2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логинов </w:t>
            </w:r>
            <w:r w:rsidR="005606D2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92FA8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  <w:p w14:paraId="18FDFC2E" w14:textId="75909438" w:rsidR="00BA13D0" w:rsidRPr="001E7298" w:rsidRDefault="00BA13D0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04918510" w14:textId="77777777" w:rsidR="005606D2" w:rsidRPr="00C14C84" w:rsidRDefault="005606D2" w:rsidP="005606D2">
      <w:pPr>
        <w:pStyle w:val="a8"/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lastRenderedPageBreak/>
        <w:t>Технический центр обращает внимание:</w:t>
      </w:r>
    </w:p>
    <w:p w14:paraId="5DAA7A3F" w14:textId="77777777" w:rsidR="005606D2" w:rsidRPr="00C14C84" w:rsidRDefault="005606D2" w:rsidP="005606D2">
      <w:pPr>
        <w:pStyle w:val="a8"/>
        <w:numPr>
          <w:ilvl w:val="0"/>
          <w:numId w:val="3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 xml:space="preserve">В случае, если в разделе </w:t>
      </w:r>
      <w:r>
        <w:rPr>
          <w:rFonts w:eastAsiaTheme="minorHAnsi"/>
          <w:sz w:val="22"/>
          <w:szCs w:val="22"/>
          <w:lang w:eastAsia="en-US"/>
        </w:rPr>
        <w:t xml:space="preserve">В </w:t>
      </w:r>
      <w:r w:rsidRPr="00C14C84">
        <w:rPr>
          <w:rFonts w:eastAsiaTheme="minorHAnsi"/>
          <w:sz w:val="22"/>
          <w:szCs w:val="22"/>
          <w:lang w:eastAsia="en-US"/>
        </w:rPr>
        <w:t>указан логин, не имеющий актуального доступа к услуге</w:t>
      </w:r>
      <w:r>
        <w:rPr>
          <w:rFonts w:eastAsiaTheme="minorHAnsi"/>
          <w:sz w:val="22"/>
          <w:szCs w:val="22"/>
          <w:lang w:eastAsia="en-US"/>
        </w:rPr>
        <w:t>,</w:t>
      </w:r>
      <w:r w:rsidRPr="00C14C84">
        <w:rPr>
          <w:rFonts w:eastAsiaTheme="minorHAnsi"/>
          <w:sz w:val="22"/>
          <w:szCs w:val="22"/>
          <w:lang w:eastAsia="en-US"/>
        </w:rPr>
        <w:t xml:space="preserve"> заявление признается недействительным.</w:t>
      </w:r>
    </w:p>
    <w:p w14:paraId="7020AF01" w14:textId="77777777" w:rsidR="005606D2" w:rsidRPr="00485306" w:rsidRDefault="005606D2" w:rsidP="005606D2">
      <w:pPr>
        <w:pStyle w:val="a8"/>
        <w:numPr>
          <w:ilvl w:val="0"/>
          <w:numId w:val="3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>В случае, если в разделе А указан e-</w:t>
      </w:r>
      <w:proofErr w:type="spellStart"/>
      <w:r w:rsidRPr="00C14C8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C14C84">
        <w:rPr>
          <w:rFonts w:eastAsiaTheme="minorHAnsi"/>
          <w:sz w:val="22"/>
          <w:szCs w:val="22"/>
          <w:lang w:eastAsia="en-US"/>
        </w:rPr>
        <w:t>, не зарегистрированный в системе passport.moex.com</w:t>
      </w:r>
      <w:r w:rsidRPr="003863FE">
        <w:rPr>
          <w:rFonts w:eastAsiaTheme="minorHAnsi"/>
          <w:sz w:val="22"/>
          <w:szCs w:val="22"/>
          <w:lang w:eastAsia="en-US"/>
        </w:rPr>
        <w:t xml:space="preserve"> </w:t>
      </w:r>
      <w:r w:rsidRPr="00C14C84">
        <w:rPr>
          <w:rFonts w:eastAsiaTheme="minorHAnsi"/>
          <w:sz w:val="22"/>
          <w:szCs w:val="22"/>
          <w:lang w:eastAsia="en-US"/>
        </w:rPr>
        <w:t>заявление признается недействительным.</w:t>
      </w:r>
    </w:p>
    <w:p w14:paraId="30E6BDB0" w14:textId="77777777" w:rsidR="005606D2" w:rsidRPr="001E7298" w:rsidRDefault="005606D2" w:rsidP="005606D2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5606D2" w:rsidRPr="001E7298" w14:paraId="5FB7C5B6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F07DA63" w14:textId="77777777" w:rsidR="005606D2" w:rsidRPr="001E7298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0B51CC74" w14:textId="77777777" w:rsidR="005606D2" w:rsidRPr="001E7298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C1D325D" w14:textId="77777777" w:rsidR="005606D2" w:rsidRPr="001E7298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7220AC6" w14:textId="77777777" w:rsidR="005606D2" w:rsidRPr="001E7298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44AD6" w14:textId="77777777" w:rsidR="005606D2" w:rsidRPr="001E7298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5606D2" w:rsidRPr="001E7298" w14:paraId="53D342C5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28CC62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0358958" w14:textId="77777777" w:rsidR="005606D2" w:rsidRPr="001E7298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60E2C238" w14:textId="77777777" w:rsidR="005606D2" w:rsidRPr="001E7298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41C298" w14:textId="77777777" w:rsidR="005606D2" w:rsidRPr="001E7298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1E7298" w14:paraId="1D3461AD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AB55BA7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4A89F893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11F040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3AA0B8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1E7298" w14:paraId="25411C9D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3F17A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FA3C809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93DDEB5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958CA4" w14:textId="77777777" w:rsidR="005606D2" w:rsidRPr="001E7298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F36CE1" w14:textId="77777777" w:rsidR="005606D2" w:rsidRPr="001E7298" w:rsidRDefault="005606D2" w:rsidP="005606D2">
      <w:pPr>
        <w:pStyle w:val="a5"/>
        <w:rPr>
          <w:rFonts w:ascii="Times New Roman" w:hAnsi="Times New Roman" w:cs="Times New Roman"/>
        </w:rPr>
      </w:pPr>
    </w:p>
    <w:p w14:paraId="0EA4D646" w14:textId="77777777" w:rsidR="005606D2" w:rsidRPr="001E7298" w:rsidRDefault="005606D2" w:rsidP="005606D2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4BCE96F" w14:textId="77777777" w:rsidR="005606D2" w:rsidRPr="001E7298" w:rsidRDefault="005606D2" w:rsidP="005606D2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5606D2" w:rsidRPr="001E7298" w14:paraId="0FD5482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3E543565" w14:textId="77777777" w:rsidR="005606D2" w:rsidRPr="001E7298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F913703" w14:textId="77777777" w:rsidR="005606D2" w:rsidRPr="001E7298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0F84754" w14:textId="77777777" w:rsidR="005606D2" w:rsidRPr="001E7298" w:rsidRDefault="005606D2" w:rsidP="00D67C58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1E7298" w14:paraId="669B3D16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043E6D9F" w14:textId="77777777" w:rsidR="005606D2" w:rsidRPr="001E7298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6A0011A0" w14:textId="77777777" w:rsidR="005606D2" w:rsidRPr="001E7298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FB10F0E" w14:textId="77777777" w:rsidR="005606D2" w:rsidRPr="001E7298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1E7298" w14:paraId="3AEA6016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6C836D40" w14:textId="77777777" w:rsidR="005606D2" w:rsidRPr="001E7298" w:rsidRDefault="005606D2" w:rsidP="00D67C58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9031E8C" w14:textId="77777777" w:rsidR="005606D2" w:rsidRPr="001E7298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7B7A2B8" w14:textId="77777777" w:rsidR="005606D2" w:rsidRPr="001E7298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1E7298" w14:paraId="4D84824D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4C74ED67" w14:textId="77777777" w:rsidR="005606D2" w:rsidRPr="001E7298" w:rsidRDefault="005606D2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CC47836" w14:textId="77777777" w:rsidR="005606D2" w:rsidRPr="001E7298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4489C1" w14:textId="77777777" w:rsidR="005606D2" w:rsidRPr="001E7298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8659EA8" w14:textId="77777777" w:rsidR="005606D2" w:rsidRPr="001E7298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F8793B2" w14:textId="77777777" w:rsidR="005606D2" w:rsidRDefault="005606D2" w:rsidP="005606D2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2D25" wp14:editId="47D7C4B9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20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3F39F7B2" w14:textId="77777777" w:rsidR="005606D2" w:rsidRPr="001E7298" w:rsidRDefault="005606D2" w:rsidP="005606D2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1E7298" w14:paraId="4FFFAC96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2DE02E06" w14:textId="77777777" w:rsidR="005606D2" w:rsidRPr="001E7298" w:rsidRDefault="005606D2" w:rsidP="00D67C5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0C52652A" w14:textId="77777777" w:rsidR="005606D2" w:rsidRPr="001E7298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1E7298" w14:paraId="44E561C1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8CD667" w14:textId="77777777" w:rsidR="005606D2" w:rsidRPr="001E7298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1C09F414" w14:textId="77777777" w:rsidR="005606D2" w:rsidRPr="001E7298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2EE415B0" w14:textId="77777777" w:rsidR="005606D2" w:rsidRPr="001E7298" w:rsidRDefault="005606D2" w:rsidP="005606D2">
      <w:pPr>
        <w:rPr>
          <w:rFonts w:ascii="Times New Roman" w:hAnsi="Times New Roman" w:cs="Times New Roman"/>
        </w:rPr>
      </w:pPr>
    </w:p>
    <w:p w14:paraId="7F20BBFA" w14:textId="77777777" w:rsidR="005606D2" w:rsidRPr="001E7298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5D86B1F" w14:textId="77777777" w:rsidR="005606D2" w:rsidRPr="001E7298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A923D21" w14:textId="77777777" w:rsidR="005606D2" w:rsidRPr="001E7298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5099A18C" w14:textId="3A03531E" w:rsidR="005606D2" w:rsidRPr="00125EEC" w:rsidRDefault="005606D2" w:rsidP="005F2E3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sectPr w:rsidR="005606D2" w:rsidRPr="00125EEC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F"/>
    <w:rsid w:val="00191DCB"/>
    <w:rsid w:val="001B1544"/>
    <w:rsid w:val="0026271B"/>
    <w:rsid w:val="0030342F"/>
    <w:rsid w:val="00307616"/>
    <w:rsid w:val="0037165F"/>
    <w:rsid w:val="005328A7"/>
    <w:rsid w:val="005606D2"/>
    <w:rsid w:val="005A7268"/>
    <w:rsid w:val="005F2E32"/>
    <w:rsid w:val="006D6C41"/>
    <w:rsid w:val="0070057E"/>
    <w:rsid w:val="0074796D"/>
    <w:rsid w:val="007C03CB"/>
    <w:rsid w:val="00853215"/>
    <w:rsid w:val="009B641C"/>
    <w:rsid w:val="00A62A95"/>
    <w:rsid w:val="00AB0515"/>
    <w:rsid w:val="00B9301B"/>
    <w:rsid w:val="00BA13D0"/>
    <w:rsid w:val="00C65861"/>
    <w:rsid w:val="00C74E88"/>
    <w:rsid w:val="00C91B93"/>
    <w:rsid w:val="00D31531"/>
    <w:rsid w:val="00D61E6F"/>
    <w:rsid w:val="00D7496A"/>
    <w:rsid w:val="00DA1FC4"/>
    <w:rsid w:val="00E92FA8"/>
    <w:rsid w:val="00EA2366"/>
    <w:rsid w:val="00E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84F"/>
  <w15:chartTrackingRefBased/>
  <w15:docId w15:val="{2A28BD8E-10A8-45A5-B02B-C91CAA6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06D2"/>
    <w:rPr>
      <w:color w:val="808080"/>
    </w:rPr>
  </w:style>
  <w:style w:type="paragraph" w:styleId="a5">
    <w:name w:val="List Paragraph"/>
    <w:basedOn w:val="a"/>
    <w:uiPriority w:val="34"/>
    <w:qFormat/>
    <w:rsid w:val="005606D2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606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06D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6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16B3011A24644A4B25568B9C7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D14F-A794-4DEC-802E-DD0BA30ADF6E}"/>
      </w:docPartPr>
      <w:docPartBody>
        <w:p w:rsidR="00C643FF" w:rsidRDefault="008B3405" w:rsidP="008B3405">
          <w:pPr>
            <w:pStyle w:val="FC016B3011A24644A4B25568B9C715B8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5"/>
    <w:rsid w:val="008B3405"/>
    <w:rsid w:val="00C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405"/>
    <w:rPr>
      <w:color w:val="808080"/>
    </w:rPr>
  </w:style>
  <w:style w:type="paragraph" w:customStyle="1" w:styleId="FC016B3011A24644A4B25568B9C715B8">
    <w:name w:val="FC016B3011A24644A4B25568B9C715B8"/>
    <w:rsid w:val="008B3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Васильев Сергей Викторович</cp:lastModifiedBy>
  <cp:revision>5</cp:revision>
  <dcterms:created xsi:type="dcterms:W3CDTF">2025-10-02T13:49:00Z</dcterms:created>
  <dcterms:modified xsi:type="dcterms:W3CDTF">2025-11-21T15:11:00Z</dcterms:modified>
</cp:coreProperties>
</file>