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7AE5F" w14:textId="77777777" w:rsidR="001B7FE8" w:rsidRPr="00860FBF" w:rsidRDefault="001B7FE8" w:rsidP="001B7FE8">
      <w:pPr>
        <w:rPr>
          <w:rFonts w:cs="Tahoma"/>
          <w:szCs w:val="20"/>
          <w:lang w:val="en-US"/>
        </w:rPr>
      </w:pPr>
    </w:p>
    <w:p w14:paraId="445D6EC5" w14:textId="77777777" w:rsidR="007C5012" w:rsidRPr="00117BFE" w:rsidRDefault="007C5012" w:rsidP="001B7FE8">
      <w:pPr>
        <w:rPr>
          <w:rFonts w:cs="Tahoma"/>
          <w:sz w:val="22"/>
          <w:szCs w:val="22"/>
        </w:rPr>
      </w:pPr>
    </w:p>
    <w:p w14:paraId="79038FCE" w14:textId="77777777" w:rsidR="00117BFE" w:rsidRPr="00284406" w:rsidRDefault="002F1DA6" w:rsidP="00275DA8">
      <w:pPr>
        <w:autoSpaceDE w:val="0"/>
        <w:autoSpaceDN w:val="0"/>
        <w:adjustRightInd w:val="0"/>
        <w:spacing w:after="120"/>
        <w:rPr>
          <w:rFonts w:cs="Tahoma"/>
          <w:color w:val="000000"/>
          <w:sz w:val="22"/>
          <w:szCs w:val="22"/>
        </w:rPr>
      </w:pPr>
      <w:r>
        <w:rPr>
          <w:b/>
          <w:color w:val="000000"/>
          <w:sz w:val="22"/>
        </w:rPr>
        <w:t xml:space="preserve">APPROVED </w:t>
      </w:r>
    </w:p>
    <w:p w14:paraId="18B0D962" w14:textId="77777777" w:rsidR="00117BFE" w:rsidRPr="00284406" w:rsidRDefault="002F1DA6" w:rsidP="00275DA8">
      <w:pPr>
        <w:autoSpaceDE w:val="0"/>
        <w:autoSpaceDN w:val="0"/>
        <w:adjustRightInd w:val="0"/>
        <w:rPr>
          <w:rFonts w:cs="Tahoma"/>
          <w:color w:val="000000"/>
          <w:sz w:val="22"/>
          <w:szCs w:val="22"/>
        </w:rPr>
      </w:pPr>
      <w:r>
        <w:rPr>
          <w:color w:val="000000"/>
          <w:sz w:val="22"/>
        </w:rPr>
        <w:t xml:space="preserve">By the Moscow Exchange Executive Board </w:t>
      </w:r>
    </w:p>
    <w:p w14:paraId="53904EB4" w14:textId="653E8AB3" w:rsidR="00117BFE" w:rsidRPr="00284406" w:rsidRDefault="00430010" w:rsidP="00275DA8">
      <w:pPr>
        <w:autoSpaceDE w:val="0"/>
        <w:autoSpaceDN w:val="0"/>
        <w:adjustRightInd w:val="0"/>
        <w:spacing w:after="120"/>
        <w:rPr>
          <w:rFonts w:cs="Tahoma"/>
          <w:color w:val="000000"/>
          <w:sz w:val="22"/>
          <w:szCs w:val="22"/>
        </w:rPr>
      </w:pPr>
      <w:r>
        <w:rPr>
          <w:color w:val="000000"/>
          <w:sz w:val="22"/>
        </w:rPr>
        <w:t>24 September 2026, Minutes No. 68</w:t>
      </w:r>
    </w:p>
    <w:p w14:paraId="3050913A" w14:textId="77777777" w:rsidR="00117BFE" w:rsidRPr="00284406" w:rsidRDefault="00117BFE" w:rsidP="00117BFE">
      <w:pPr>
        <w:ind w:left="5245"/>
        <w:rPr>
          <w:rFonts w:cs="Tahoma"/>
          <w:sz w:val="22"/>
          <w:szCs w:val="22"/>
        </w:rPr>
      </w:pPr>
    </w:p>
    <w:p w14:paraId="7E379C6C" w14:textId="77777777" w:rsidR="007C5012" w:rsidRPr="00284406" w:rsidRDefault="007C5012" w:rsidP="001B7FE8">
      <w:pPr>
        <w:rPr>
          <w:rFonts w:cs="Tahoma"/>
          <w:sz w:val="22"/>
          <w:szCs w:val="22"/>
        </w:rPr>
      </w:pPr>
    </w:p>
    <w:p w14:paraId="3678DB5D" w14:textId="77777777" w:rsidR="007C5012" w:rsidRPr="00284406" w:rsidRDefault="007C5012" w:rsidP="001B7FE8">
      <w:pPr>
        <w:rPr>
          <w:rFonts w:cs="Tahoma"/>
          <w:sz w:val="22"/>
          <w:szCs w:val="22"/>
        </w:rPr>
      </w:pPr>
    </w:p>
    <w:p w14:paraId="7B483E92" w14:textId="77777777" w:rsidR="00E212F7" w:rsidRPr="00284406" w:rsidRDefault="00E212F7" w:rsidP="00E212F7">
      <w:pPr>
        <w:rPr>
          <w:rFonts w:cs="Tahoma"/>
          <w:sz w:val="22"/>
          <w:szCs w:val="22"/>
        </w:rPr>
      </w:pPr>
    </w:p>
    <w:p w14:paraId="1D95696B" w14:textId="77777777" w:rsidR="00E212F7" w:rsidRPr="00284406" w:rsidRDefault="00E212F7" w:rsidP="00E212F7">
      <w:pPr>
        <w:rPr>
          <w:rFonts w:cs="Tahoma"/>
          <w:sz w:val="22"/>
          <w:szCs w:val="22"/>
        </w:rPr>
      </w:pPr>
    </w:p>
    <w:p w14:paraId="07F9E373" w14:textId="77777777" w:rsidR="00E212F7" w:rsidRPr="00284406" w:rsidRDefault="00E212F7" w:rsidP="00E212F7">
      <w:pPr>
        <w:rPr>
          <w:rFonts w:cs="Tahoma"/>
          <w:sz w:val="22"/>
          <w:szCs w:val="22"/>
        </w:rPr>
      </w:pPr>
    </w:p>
    <w:p w14:paraId="18976163" w14:textId="77777777" w:rsidR="00E212F7" w:rsidRPr="00284406" w:rsidRDefault="00E212F7" w:rsidP="00E212F7">
      <w:pPr>
        <w:rPr>
          <w:rFonts w:cs="Tahoma"/>
          <w:sz w:val="22"/>
          <w:szCs w:val="22"/>
        </w:rPr>
      </w:pPr>
    </w:p>
    <w:p w14:paraId="027FC5B2" w14:textId="77777777" w:rsidR="00E212F7" w:rsidRPr="00284406" w:rsidRDefault="00E212F7" w:rsidP="00E212F7">
      <w:pPr>
        <w:rPr>
          <w:rFonts w:cs="Tahoma"/>
          <w:sz w:val="22"/>
          <w:szCs w:val="22"/>
        </w:rPr>
      </w:pPr>
    </w:p>
    <w:p w14:paraId="7ACFF003" w14:textId="77777777" w:rsidR="003A4FD0" w:rsidRPr="00284406" w:rsidRDefault="003A4FD0" w:rsidP="00E212F7">
      <w:pPr>
        <w:rPr>
          <w:rFonts w:cs="Tahoma"/>
          <w:sz w:val="22"/>
          <w:szCs w:val="22"/>
        </w:rPr>
      </w:pPr>
    </w:p>
    <w:p w14:paraId="1637A5B2" w14:textId="77777777" w:rsidR="003A4FD0" w:rsidRPr="00284406" w:rsidRDefault="003A4FD0" w:rsidP="00E212F7">
      <w:pPr>
        <w:rPr>
          <w:rFonts w:cs="Tahoma"/>
          <w:sz w:val="22"/>
          <w:szCs w:val="22"/>
        </w:rPr>
      </w:pPr>
    </w:p>
    <w:p w14:paraId="6FDC58C8" w14:textId="77777777" w:rsidR="003A4FD0" w:rsidRPr="00284406" w:rsidRDefault="003A4FD0" w:rsidP="00E212F7">
      <w:pPr>
        <w:rPr>
          <w:rFonts w:cs="Tahoma"/>
          <w:sz w:val="22"/>
          <w:szCs w:val="22"/>
        </w:rPr>
      </w:pPr>
    </w:p>
    <w:p w14:paraId="7346D68E" w14:textId="77777777" w:rsidR="003A4FD0" w:rsidRPr="00284406" w:rsidRDefault="003A4FD0" w:rsidP="00E212F7">
      <w:pPr>
        <w:rPr>
          <w:rFonts w:cs="Tahoma"/>
          <w:sz w:val="22"/>
          <w:szCs w:val="22"/>
        </w:rPr>
      </w:pPr>
    </w:p>
    <w:p w14:paraId="7FA206FC" w14:textId="77777777" w:rsidR="003A4FD0" w:rsidRPr="00284406" w:rsidRDefault="003A4FD0" w:rsidP="00E212F7">
      <w:pPr>
        <w:rPr>
          <w:rFonts w:cs="Tahoma"/>
          <w:sz w:val="22"/>
          <w:szCs w:val="22"/>
        </w:rPr>
      </w:pPr>
    </w:p>
    <w:p w14:paraId="05F2E610" w14:textId="77777777" w:rsidR="003A4FD0" w:rsidRPr="00284406" w:rsidRDefault="003A4FD0" w:rsidP="00E212F7">
      <w:pPr>
        <w:rPr>
          <w:rFonts w:cs="Tahoma"/>
          <w:sz w:val="22"/>
          <w:szCs w:val="22"/>
        </w:rPr>
      </w:pPr>
    </w:p>
    <w:p w14:paraId="5270B8AC" w14:textId="77777777" w:rsidR="003A4FD0" w:rsidRPr="00284406" w:rsidRDefault="003A4FD0" w:rsidP="00E212F7">
      <w:pPr>
        <w:rPr>
          <w:rFonts w:cs="Tahoma"/>
          <w:sz w:val="22"/>
          <w:szCs w:val="22"/>
        </w:rPr>
      </w:pPr>
    </w:p>
    <w:p w14:paraId="4969758D" w14:textId="77777777" w:rsidR="003A4FD0" w:rsidRPr="00284406" w:rsidRDefault="003A4FD0" w:rsidP="00E212F7">
      <w:pPr>
        <w:rPr>
          <w:rFonts w:cs="Tahoma"/>
          <w:sz w:val="22"/>
          <w:szCs w:val="22"/>
        </w:rPr>
      </w:pPr>
    </w:p>
    <w:p w14:paraId="6DCF7E9B" w14:textId="77777777" w:rsidR="003A4FD0" w:rsidRPr="00284406" w:rsidRDefault="003A4FD0" w:rsidP="00E212F7">
      <w:pPr>
        <w:rPr>
          <w:rFonts w:cs="Tahoma"/>
          <w:sz w:val="22"/>
          <w:szCs w:val="22"/>
        </w:rPr>
      </w:pPr>
    </w:p>
    <w:p w14:paraId="4C38FF16" w14:textId="77777777" w:rsidR="003A4FD0" w:rsidRPr="00284406" w:rsidRDefault="003A4FD0" w:rsidP="00E212F7">
      <w:pPr>
        <w:rPr>
          <w:rFonts w:cs="Tahoma"/>
          <w:sz w:val="22"/>
          <w:szCs w:val="22"/>
        </w:rPr>
      </w:pPr>
    </w:p>
    <w:p w14:paraId="419ED5B8" w14:textId="77777777" w:rsidR="003A4FD0" w:rsidRPr="00284406" w:rsidRDefault="003A4FD0" w:rsidP="00E212F7">
      <w:pPr>
        <w:rPr>
          <w:rFonts w:cs="Tahoma"/>
          <w:sz w:val="22"/>
          <w:szCs w:val="22"/>
        </w:rPr>
      </w:pPr>
    </w:p>
    <w:p w14:paraId="0579CED0" w14:textId="77777777" w:rsidR="003A4FD0" w:rsidRPr="00284406" w:rsidRDefault="003A4FD0" w:rsidP="00E212F7">
      <w:pPr>
        <w:rPr>
          <w:rFonts w:cs="Tahoma"/>
          <w:sz w:val="22"/>
          <w:szCs w:val="22"/>
        </w:rPr>
      </w:pPr>
    </w:p>
    <w:p w14:paraId="2CFFA24F" w14:textId="474FDA04" w:rsidR="00E212F7" w:rsidRPr="00284406" w:rsidRDefault="002F1DA6" w:rsidP="00E212F7">
      <w:pPr>
        <w:jc w:val="center"/>
        <w:rPr>
          <w:rFonts w:cs="Tahoma"/>
          <w:b/>
          <w:sz w:val="22"/>
          <w:szCs w:val="22"/>
        </w:rPr>
      </w:pPr>
      <w:r>
        <w:rPr>
          <w:b/>
          <w:sz w:val="22"/>
        </w:rPr>
        <w:t>MOEX Calm Index Calculation Methodology</w:t>
      </w:r>
    </w:p>
    <w:p w14:paraId="660272A2" w14:textId="77777777" w:rsidR="00E212F7" w:rsidRPr="00284406" w:rsidRDefault="00E212F7" w:rsidP="00E212F7">
      <w:pPr>
        <w:rPr>
          <w:rFonts w:cs="Tahoma"/>
          <w:sz w:val="22"/>
          <w:szCs w:val="22"/>
        </w:rPr>
      </w:pPr>
    </w:p>
    <w:p w14:paraId="06F4AB10" w14:textId="77777777" w:rsidR="00E212F7" w:rsidRPr="00284406" w:rsidRDefault="00E212F7" w:rsidP="00E212F7">
      <w:pPr>
        <w:rPr>
          <w:rFonts w:cs="Tahoma"/>
          <w:sz w:val="22"/>
          <w:szCs w:val="22"/>
        </w:rPr>
      </w:pPr>
    </w:p>
    <w:p w14:paraId="7353421A" w14:textId="77777777" w:rsidR="00E212F7" w:rsidRPr="00284406" w:rsidRDefault="00E212F7" w:rsidP="00E212F7">
      <w:pPr>
        <w:rPr>
          <w:rFonts w:cs="Tahoma"/>
          <w:sz w:val="22"/>
          <w:szCs w:val="22"/>
        </w:rPr>
      </w:pPr>
    </w:p>
    <w:p w14:paraId="2737F2A3" w14:textId="71E97EA0" w:rsidR="00E212F7" w:rsidRPr="00284406" w:rsidRDefault="00E212F7" w:rsidP="00E212F7">
      <w:pPr>
        <w:rPr>
          <w:rFonts w:cs="Tahoma"/>
          <w:sz w:val="22"/>
          <w:szCs w:val="22"/>
        </w:rPr>
      </w:pPr>
    </w:p>
    <w:p w14:paraId="25ABB17E" w14:textId="77777777" w:rsidR="00117BFE" w:rsidRPr="00284406" w:rsidRDefault="00117BFE" w:rsidP="00E212F7">
      <w:pPr>
        <w:rPr>
          <w:rFonts w:cs="Tahoma"/>
          <w:sz w:val="22"/>
          <w:szCs w:val="22"/>
        </w:rPr>
      </w:pPr>
    </w:p>
    <w:p w14:paraId="28641003" w14:textId="77777777" w:rsidR="00E212F7" w:rsidRPr="00284406" w:rsidRDefault="00E212F7" w:rsidP="00E212F7">
      <w:pPr>
        <w:rPr>
          <w:rFonts w:cs="Tahoma"/>
          <w:sz w:val="22"/>
          <w:szCs w:val="22"/>
        </w:rPr>
      </w:pPr>
    </w:p>
    <w:p w14:paraId="21C710CB" w14:textId="77777777" w:rsidR="00E212F7" w:rsidRPr="00284406" w:rsidRDefault="00E212F7" w:rsidP="00E212F7">
      <w:pPr>
        <w:rPr>
          <w:rFonts w:cs="Tahoma"/>
          <w:sz w:val="22"/>
          <w:szCs w:val="22"/>
        </w:rPr>
      </w:pPr>
    </w:p>
    <w:p w14:paraId="6CDBFD15" w14:textId="77777777" w:rsidR="00E212F7" w:rsidRPr="00284406" w:rsidRDefault="00E212F7" w:rsidP="00E212F7">
      <w:pPr>
        <w:rPr>
          <w:rFonts w:cs="Tahoma"/>
          <w:sz w:val="22"/>
          <w:szCs w:val="22"/>
        </w:rPr>
      </w:pPr>
    </w:p>
    <w:p w14:paraId="4E88F774" w14:textId="77777777" w:rsidR="00E212F7" w:rsidRPr="00284406" w:rsidRDefault="00E212F7" w:rsidP="00E212F7">
      <w:pPr>
        <w:rPr>
          <w:rFonts w:cs="Tahoma"/>
          <w:sz w:val="22"/>
          <w:szCs w:val="22"/>
        </w:rPr>
      </w:pPr>
    </w:p>
    <w:p w14:paraId="7789FB79" w14:textId="77777777" w:rsidR="00E212F7" w:rsidRPr="00284406" w:rsidRDefault="00E212F7" w:rsidP="00E212F7">
      <w:pPr>
        <w:rPr>
          <w:rFonts w:cs="Tahoma"/>
          <w:sz w:val="22"/>
          <w:szCs w:val="22"/>
        </w:rPr>
      </w:pPr>
    </w:p>
    <w:p w14:paraId="0381451A" w14:textId="77777777" w:rsidR="00E212F7" w:rsidRPr="00284406" w:rsidRDefault="00E212F7" w:rsidP="00E212F7">
      <w:pPr>
        <w:rPr>
          <w:rFonts w:cs="Tahoma"/>
          <w:sz w:val="22"/>
          <w:szCs w:val="22"/>
        </w:rPr>
      </w:pPr>
    </w:p>
    <w:p w14:paraId="1144988A" w14:textId="77777777" w:rsidR="00E212F7" w:rsidRPr="00284406" w:rsidRDefault="00E212F7" w:rsidP="00E212F7">
      <w:pPr>
        <w:rPr>
          <w:rFonts w:cs="Tahoma"/>
          <w:sz w:val="22"/>
          <w:szCs w:val="22"/>
        </w:rPr>
      </w:pPr>
    </w:p>
    <w:p w14:paraId="0F9CB26A" w14:textId="77777777" w:rsidR="00E212F7" w:rsidRPr="00284406" w:rsidRDefault="00E212F7" w:rsidP="00E212F7">
      <w:pPr>
        <w:rPr>
          <w:rFonts w:cs="Tahoma"/>
          <w:sz w:val="22"/>
          <w:szCs w:val="22"/>
        </w:rPr>
      </w:pPr>
    </w:p>
    <w:p w14:paraId="09753C8A" w14:textId="77777777" w:rsidR="00E212F7" w:rsidRPr="00284406" w:rsidRDefault="00E212F7" w:rsidP="00E212F7">
      <w:pPr>
        <w:rPr>
          <w:rFonts w:cs="Tahoma"/>
          <w:sz w:val="22"/>
          <w:szCs w:val="22"/>
        </w:rPr>
      </w:pPr>
    </w:p>
    <w:p w14:paraId="71A03E2A" w14:textId="77777777" w:rsidR="00E212F7" w:rsidRPr="00284406" w:rsidRDefault="00E212F7" w:rsidP="00E212F7">
      <w:pPr>
        <w:rPr>
          <w:rFonts w:cs="Tahoma"/>
          <w:sz w:val="22"/>
          <w:szCs w:val="22"/>
        </w:rPr>
      </w:pPr>
    </w:p>
    <w:p w14:paraId="2B7DCEC4" w14:textId="77777777" w:rsidR="00E212F7" w:rsidRPr="00284406" w:rsidRDefault="00E212F7" w:rsidP="00E212F7">
      <w:pPr>
        <w:rPr>
          <w:rFonts w:cs="Tahoma"/>
          <w:sz w:val="22"/>
          <w:szCs w:val="22"/>
        </w:rPr>
      </w:pPr>
    </w:p>
    <w:p w14:paraId="1471F246" w14:textId="77777777" w:rsidR="00E212F7" w:rsidRPr="00284406" w:rsidRDefault="00E212F7" w:rsidP="00E212F7">
      <w:pPr>
        <w:rPr>
          <w:rFonts w:cs="Tahoma"/>
          <w:sz w:val="22"/>
          <w:szCs w:val="22"/>
        </w:rPr>
      </w:pPr>
    </w:p>
    <w:p w14:paraId="72681C54" w14:textId="77777777" w:rsidR="00E212F7" w:rsidRPr="00284406" w:rsidRDefault="00E212F7" w:rsidP="00E212F7">
      <w:pPr>
        <w:rPr>
          <w:rFonts w:cs="Tahoma"/>
          <w:sz w:val="22"/>
          <w:szCs w:val="22"/>
        </w:rPr>
      </w:pPr>
    </w:p>
    <w:p w14:paraId="1F13A580" w14:textId="77777777" w:rsidR="00E212F7" w:rsidRPr="00284406" w:rsidRDefault="00E212F7" w:rsidP="00E212F7">
      <w:pPr>
        <w:rPr>
          <w:rFonts w:cs="Tahoma"/>
          <w:sz w:val="22"/>
          <w:szCs w:val="22"/>
        </w:rPr>
      </w:pPr>
    </w:p>
    <w:p w14:paraId="4FC0D107" w14:textId="77777777" w:rsidR="00E212F7" w:rsidRPr="00284406" w:rsidRDefault="00E212F7" w:rsidP="00E212F7">
      <w:pPr>
        <w:rPr>
          <w:rFonts w:cs="Tahoma"/>
          <w:sz w:val="22"/>
          <w:szCs w:val="22"/>
        </w:rPr>
      </w:pPr>
    </w:p>
    <w:p w14:paraId="718D4334" w14:textId="77777777" w:rsidR="00E212F7" w:rsidRPr="00284406" w:rsidRDefault="00E212F7" w:rsidP="00E212F7">
      <w:pPr>
        <w:rPr>
          <w:rFonts w:cs="Tahoma"/>
          <w:sz w:val="22"/>
          <w:szCs w:val="22"/>
        </w:rPr>
      </w:pPr>
    </w:p>
    <w:p w14:paraId="5BD56910" w14:textId="77777777" w:rsidR="00902485" w:rsidRPr="00284406" w:rsidRDefault="00902485" w:rsidP="008E3002">
      <w:pPr>
        <w:jc w:val="center"/>
        <w:rPr>
          <w:rFonts w:cs="Tahoma"/>
          <w:b/>
          <w:sz w:val="22"/>
          <w:szCs w:val="22"/>
        </w:rPr>
      </w:pPr>
    </w:p>
    <w:p w14:paraId="252C6EEB" w14:textId="77777777" w:rsidR="00902485" w:rsidRPr="00284406" w:rsidRDefault="00902485" w:rsidP="008E3002">
      <w:pPr>
        <w:jc w:val="center"/>
        <w:rPr>
          <w:rFonts w:cs="Tahoma"/>
          <w:b/>
          <w:sz w:val="22"/>
          <w:szCs w:val="22"/>
        </w:rPr>
      </w:pPr>
    </w:p>
    <w:p w14:paraId="34A7FAA0" w14:textId="77777777" w:rsidR="00902485" w:rsidRPr="00284406" w:rsidRDefault="00902485" w:rsidP="008E3002">
      <w:pPr>
        <w:jc w:val="center"/>
        <w:rPr>
          <w:rFonts w:cs="Tahoma"/>
          <w:b/>
          <w:sz w:val="22"/>
          <w:szCs w:val="22"/>
        </w:rPr>
      </w:pPr>
    </w:p>
    <w:p w14:paraId="535812E2" w14:textId="63C693CE" w:rsidR="00596498" w:rsidRPr="00500C12" w:rsidRDefault="002F1DA6" w:rsidP="008E3002">
      <w:pPr>
        <w:jc w:val="center"/>
        <w:rPr>
          <w:rFonts w:cs="Tahoma"/>
          <w:b/>
          <w:sz w:val="22"/>
          <w:szCs w:val="22"/>
        </w:rPr>
        <w:sectPr w:rsidR="00596498" w:rsidRPr="00500C12" w:rsidSect="00466FC1">
          <w:footerReference w:type="even" r:id="rId8"/>
          <w:footerReference w:type="default" r:id="rId9"/>
          <w:pgSz w:w="11906" w:h="16838"/>
          <w:pgMar w:top="1077" w:right="1134" w:bottom="1077" w:left="1418" w:header="709" w:footer="709" w:gutter="0"/>
          <w:cols w:space="708"/>
          <w:titlePg/>
          <w:docGrid w:linePitch="360"/>
        </w:sectPr>
      </w:pPr>
      <w:r>
        <w:rPr>
          <w:b/>
          <w:sz w:val="22"/>
        </w:rPr>
        <w:t>Moscow 2026</w:t>
      </w:r>
    </w:p>
    <w:p w14:paraId="74D93EA4" w14:textId="77777777" w:rsidR="00DF65DB" w:rsidRPr="00284406" w:rsidRDefault="002F1DA6" w:rsidP="00047157">
      <w:pPr>
        <w:spacing w:after="240"/>
        <w:jc w:val="center"/>
        <w:rPr>
          <w:b/>
        </w:rPr>
      </w:pPr>
      <w:r>
        <w:rPr>
          <w:b/>
        </w:rPr>
        <w:lastRenderedPageBreak/>
        <w:t>CONTENTS</w:t>
      </w:r>
    </w:p>
    <w:p w14:paraId="5EC61FFE" w14:textId="48C9DC47" w:rsidR="00275DA8" w:rsidRDefault="002F1DA6">
      <w:pPr>
        <w:pStyle w:val="14"/>
        <w:rPr>
          <w:rFonts w:asciiTheme="minorHAnsi" w:eastAsiaTheme="minorEastAsia" w:hAnsiTheme="minorHAnsi" w:cstheme="minorBidi"/>
          <w:b w:val="0"/>
          <w:bCs w:val="0"/>
          <w:caps w:val="0"/>
          <w:noProof/>
          <w:sz w:val="22"/>
          <w:szCs w:val="22"/>
          <w:lang w:val="ru-RU"/>
        </w:rPr>
      </w:pPr>
      <w:r w:rsidRPr="00284406">
        <w:fldChar w:fldCharType="begin"/>
      </w:r>
      <w:r w:rsidRPr="00284406">
        <w:instrText xml:space="preserve"> TOC \o "2-3" \h \z \t "Заголовок 1;1;Название;2" </w:instrText>
      </w:r>
      <w:r w:rsidRPr="00284406">
        <w:fldChar w:fldCharType="separate"/>
      </w:r>
      <w:hyperlink w:anchor="_Toc243658351" w:history="1">
        <w:r w:rsidR="00275DA8" w:rsidRPr="00760253">
          <w:rPr>
            <w:rStyle w:val="a8"/>
            <w:rFonts w:cs="Tahoma"/>
            <w:noProof/>
          </w:rPr>
          <w:t>1.</w:t>
        </w:r>
        <w:r w:rsidR="00275DA8">
          <w:rPr>
            <w:rFonts w:asciiTheme="minorHAnsi" w:eastAsiaTheme="minorEastAsia" w:hAnsiTheme="minorHAnsi" w:cstheme="minorBidi"/>
            <w:b w:val="0"/>
            <w:bCs w:val="0"/>
            <w:caps w:val="0"/>
            <w:noProof/>
            <w:sz w:val="22"/>
            <w:szCs w:val="22"/>
            <w:lang w:val="ru-RU"/>
          </w:rPr>
          <w:tab/>
        </w:r>
        <w:r w:rsidR="00275DA8" w:rsidRPr="00760253">
          <w:rPr>
            <w:rStyle w:val="a8"/>
            <w:noProof/>
          </w:rPr>
          <w:t>General provisions</w:t>
        </w:r>
        <w:r w:rsidR="00275DA8">
          <w:rPr>
            <w:noProof/>
            <w:webHidden/>
          </w:rPr>
          <w:tab/>
        </w:r>
        <w:r w:rsidR="00275DA8">
          <w:rPr>
            <w:noProof/>
            <w:webHidden/>
          </w:rPr>
          <w:fldChar w:fldCharType="begin"/>
        </w:r>
        <w:r w:rsidR="00275DA8">
          <w:rPr>
            <w:noProof/>
            <w:webHidden/>
          </w:rPr>
          <w:instrText xml:space="preserve"> PAGEREF _Toc243658351 \h </w:instrText>
        </w:r>
        <w:r w:rsidR="00275DA8">
          <w:rPr>
            <w:noProof/>
            <w:webHidden/>
          </w:rPr>
        </w:r>
        <w:r w:rsidR="00275DA8">
          <w:rPr>
            <w:noProof/>
            <w:webHidden/>
          </w:rPr>
          <w:fldChar w:fldCharType="separate"/>
        </w:r>
        <w:r w:rsidR="00275DA8">
          <w:rPr>
            <w:noProof/>
            <w:webHidden/>
          </w:rPr>
          <w:t>3</w:t>
        </w:r>
        <w:r w:rsidR="00275DA8">
          <w:rPr>
            <w:noProof/>
            <w:webHidden/>
          </w:rPr>
          <w:fldChar w:fldCharType="end"/>
        </w:r>
      </w:hyperlink>
    </w:p>
    <w:p w14:paraId="71C62B63" w14:textId="20E3AC65" w:rsidR="00275DA8" w:rsidRDefault="00275DA8">
      <w:pPr>
        <w:pStyle w:val="23"/>
        <w:rPr>
          <w:rFonts w:asciiTheme="minorHAnsi" w:eastAsiaTheme="minorEastAsia" w:hAnsiTheme="minorHAnsi" w:cstheme="minorBidi"/>
          <w:noProof/>
          <w:sz w:val="22"/>
          <w:szCs w:val="22"/>
          <w:lang w:val="ru-RU"/>
        </w:rPr>
      </w:pPr>
      <w:hyperlink w:anchor="_Toc243658352" w:history="1">
        <w:r w:rsidRPr="00760253">
          <w:rPr>
            <w:rStyle w:val="a8"/>
            <w:noProof/>
          </w:rPr>
          <w:t>1.1.</w:t>
        </w:r>
        <w:r>
          <w:rPr>
            <w:rFonts w:asciiTheme="minorHAnsi" w:eastAsiaTheme="minorEastAsia" w:hAnsiTheme="minorHAnsi" w:cstheme="minorBidi"/>
            <w:noProof/>
            <w:sz w:val="22"/>
            <w:szCs w:val="22"/>
            <w:lang w:val="ru-RU"/>
          </w:rPr>
          <w:tab/>
        </w:r>
        <w:r w:rsidRPr="00760253">
          <w:rPr>
            <w:rStyle w:val="a8"/>
            <w:noProof/>
          </w:rPr>
          <w:t>Terms and definitions</w:t>
        </w:r>
        <w:r>
          <w:rPr>
            <w:noProof/>
            <w:webHidden/>
          </w:rPr>
          <w:tab/>
        </w:r>
        <w:r>
          <w:rPr>
            <w:noProof/>
            <w:webHidden/>
          </w:rPr>
          <w:fldChar w:fldCharType="begin"/>
        </w:r>
        <w:r>
          <w:rPr>
            <w:noProof/>
            <w:webHidden/>
          </w:rPr>
          <w:instrText xml:space="preserve"> PAGEREF _Toc243658352 \h </w:instrText>
        </w:r>
        <w:r>
          <w:rPr>
            <w:noProof/>
            <w:webHidden/>
          </w:rPr>
        </w:r>
        <w:r>
          <w:rPr>
            <w:noProof/>
            <w:webHidden/>
          </w:rPr>
          <w:fldChar w:fldCharType="separate"/>
        </w:r>
        <w:r>
          <w:rPr>
            <w:noProof/>
            <w:webHidden/>
          </w:rPr>
          <w:t>3</w:t>
        </w:r>
        <w:r>
          <w:rPr>
            <w:noProof/>
            <w:webHidden/>
          </w:rPr>
          <w:fldChar w:fldCharType="end"/>
        </w:r>
      </w:hyperlink>
    </w:p>
    <w:p w14:paraId="5A7B662E" w14:textId="24AA74B9" w:rsidR="00275DA8" w:rsidRDefault="00275DA8">
      <w:pPr>
        <w:pStyle w:val="23"/>
        <w:rPr>
          <w:rFonts w:asciiTheme="minorHAnsi" w:eastAsiaTheme="minorEastAsia" w:hAnsiTheme="minorHAnsi" w:cstheme="minorBidi"/>
          <w:noProof/>
          <w:sz w:val="22"/>
          <w:szCs w:val="22"/>
          <w:lang w:val="ru-RU"/>
        </w:rPr>
      </w:pPr>
      <w:hyperlink w:anchor="_Toc243658353" w:history="1">
        <w:r w:rsidRPr="00760253">
          <w:rPr>
            <w:rStyle w:val="a8"/>
            <w:rFonts w:cs="Tahoma"/>
            <w:noProof/>
          </w:rPr>
          <w:t>1.2.</w:t>
        </w:r>
        <w:r>
          <w:rPr>
            <w:rFonts w:asciiTheme="minorHAnsi" w:eastAsiaTheme="minorEastAsia" w:hAnsiTheme="minorHAnsi" w:cstheme="minorBidi"/>
            <w:noProof/>
            <w:sz w:val="22"/>
            <w:szCs w:val="22"/>
            <w:lang w:val="ru-RU"/>
          </w:rPr>
          <w:tab/>
        </w:r>
        <w:r w:rsidRPr="00760253">
          <w:rPr>
            <w:rStyle w:val="a8"/>
            <w:noProof/>
          </w:rPr>
          <w:t>General provisions</w:t>
        </w:r>
        <w:r>
          <w:rPr>
            <w:noProof/>
            <w:webHidden/>
          </w:rPr>
          <w:tab/>
        </w:r>
        <w:r>
          <w:rPr>
            <w:noProof/>
            <w:webHidden/>
          </w:rPr>
          <w:fldChar w:fldCharType="begin"/>
        </w:r>
        <w:r>
          <w:rPr>
            <w:noProof/>
            <w:webHidden/>
          </w:rPr>
          <w:instrText xml:space="preserve"> PAGEREF _Toc243658353 \h </w:instrText>
        </w:r>
        <w:r>
          <w:rPr>
            <w:noProof/>
            <w:webHidden/>
          </w:rPr>
        </w:r>
        <w:r>
          <w:rPr>
            <w:noProof/>
            <w:webHidden/>
          </w:rPr>
          <w:fldChar w:fldCharType="separate"/>
        </w:r>
        <w:r>
          <w:rPr>
            <w:noProof/>
            <w:webHidden/>
          </w:rPr>
          <w:t>3</w:t>
        </w:r>
        <w:r>
          <w:rPr>
            <w:noProof/>
            <w:webHidden/>
          </w:rPr>
          <w:fldChar w:fldCharType="end"/>
        </w:r>
      </w:hyperlink>
    </w:p>
    <w:p w14:paraId="4B0BDE3C" w14:textId="31DA2495" w:rsidR="00275DA8" w:rsidRDefault="00275DA8">
      <w:pPr>
        <w:pStyle w:val="14"/>
        <w:rPr>
          <w:rFonts w:asciiTheme="minorHAnsi" w:eastAsiaTheme="minorEastAsia" w:hAnsiTheme="minorHAnsi" w:cstheme="minorBidi"/>
          <w:b w:val="0"/>
          <w:bCs w:val="0"/>
          <w:caps w:val="0"/>
          <w:noProof/>
          <w:sz w:val="22"/>
          <w:szCs w:val="22"/>
          <w:lang w:val="ru-RU"/>
        </w:rPr>
      </w:pPr>
      <w:hyperlink w:anchor="_Toc243658354" w:history="1">
        <w:r w:rsidRPr="00760253">
          <w:rPr>
            <w:rStyle w:val="a8"/>
            <w:rFonts w:cs="Tahoma"/>
            <w:noProof/>
          </w:rPr>
          <w:t>2.</w:t>
        </w:r>
        <w:r>
          <w:rPr>
            <w:rFonts w:asciiTheme="minorHAnsi" w:eastAsiaTheme="minorEastAsia" w:hAnsiTheme="minorHAnsi" w:cstheme="minorBidi"/>
            <w:b w:val="0"/>
            <w:bCs w:val="0"/>
            <w:caps w:val="0"/>
            <w:noProof/>
            <w:sz w:val="22"/>
            <w:szCs w:val="22"/>
            <w:lang w:val="ru-RU"/>
          </w:rPr>
          <w:tab/>
        </w:r>
        <w:r w:rsidRPr="00760253">
          <w:rPr>
            <w:rStyle w:val="a8"/>
            <w:noProof/>
          </w:rPr>
          <w:t>Index calculation</w:t>
        </w:r>
        <w:r>
          <w:rPr>
            <w:noProof/>
            <w:webHidden/>
          </w:rPr>
          <w:tab/>
        </w:r>
        <w:r>
          <w:rPr>
            <w:noProof/>
            <w:webHidden/>
          </w:rPr>
          <w:fldChar w:fldCharType="begin"/>
        </w:r>
        <w:r>
          <w:rPr>
            <w:noProof/>
            <w:webHidden/>
          </w:rPr>
          <w:instrText xml:space="preserve"> PAGEREF _Toc243658354 \h </w:instrText>
        </w:r>
        <w:r>
          <w:rPr>
            <w:noProof/>
            <w:webHidden/>
          </w:rPr>
        </w:r>
        <w:r>
          <w:rPr>
            <w:noProof/>
            <w:webHidden/>
          </w:rPr>
          <w:fldChar w:fldCharType="separate"/>
        </w:r>
        <w:r>
          <w:rPr>
            <w:noProof/>
            <w:webHidden/>
          </w:rPr>
          <w:t>3</w:t>
        </w:r>
        <w:r>
          <w:rPr>
            <w:noProof/>
            <w:webHidden/>
          </w:rPr>
          <w:fldChar w:fldCharType="end"/>
        </w:r>
      </w:hyperlink>
    </w:p>
    <w:p w14:paraId="21597060" w14:textId="280C6C10" w:rsidR="00275DA8" w:rsidRDefault="00275DA8">
      <w:pPr>
        <w:pStyle w:val="23"/>
        <w:rPr>
          <w:rFonts w:asciiTheme="minorHAnsi" w:eastAsiaTheme="minorEastAsia" w:hAnsiTheme="minorHAnsi" w:cstheme="minorBidi"/>
          <w:noProof/>
          <w:sz w:val="22"/>
          <w:szCs w:val="22"/>
          <w:lang w:val="ru-RU"/>
        </w:rPr>
      </w:pPr>
      <w:hyperlink w:anchor="_Toc243658355" w:history="1">
        <w:r w:rsidRPr="00760253">
          <w:rPr>
            <w:rStyle w:val="a8"/>
            <w:noProof/>
          </w:rPr>
          <w:t>2.1.</w:t>
        </w:r>
        <w:r>
          <w:rPr>
            <w:rFonts w:asciiTheme="minorHAnsi" w:eastAsiaTheme="minorEastAsia" w:hAnsiTheme="minorHAnsi" w:cstheme="minorBidi"/>
            <w:noProof/>
            <w:sz w:val="22"/>
            <w:szCs w:val="22"/>
            <w:lang w:val="ru-RU"/>
          </w:rPr>
          <w:tab/>
        </w:r>
        <w:r w:rsidRPr="00760253">
          <w:rPr>
            <w:rStyle w:val="a8"/>
            <w:noProof/>
          </w:rPr>
          <w:t>Price index calculation</w:t>
        </w:r>
        <w:r>
          <w:rPr>
            <w:noProof/>
            <w:webHidden/>
          </w:rPr>
          <w:tab/>
        </w:r>
        <w:r>
          <w:rPr>
            <w:noProof/>
            <w:webHidden/>
          </w:rPr>
          <w:fldChar w:fldCharType="begin"/>
        </w:r>
        <w:r>
          <w:rPr>
            <w:noProof/>
            <w:webHidden/>
          </w:rPr>
          <w:instrText xml:space="preserve"> PAGEREF _Toc243658355 \h </w:instrText>
        </w:r>
        <w:r>
          <w:rPr>
            <w:noProof/>
            <w:webHidden/>
          </w:rPr>
        </w:r>
        <w:r>
          <w:rPr>
            <w:noProof/>
            <w:webHidden/>
          </w:rPr>
          <w:fldChar w:fldCharType="separate"/>
        </w:r>
        <w:r>
          <w:rPr>
            <w:noProof/>
            <w:webHidden/>
          </w:rPr>
          <w:t>3</w:t>
        </w:r>
        <w:r>
          <w:rPr>
            <w:noProof/>
            <w:webHidden/>
          </w:rPr>
          <w:fldChar w:fldCharType="end"/>
        </w:r>
      </w:hyperlink>
    </w:p>
    <w:p w14:paraId="7F38DEC6" w14:textId="50DD3920" w:rsidR="00275DA8" w:rsidRDefault="00275DA8">
      <w:pPr>
        <w:pStyle w:val="23"/>
        <w:rPr>
          <w:rFonts w:asciiTheme="minorHAnsi" w:eastAsiaTheme="minorEastAsia" w:hAnsiTheme="minorHAnsi" w:cstheme="minorBidi"/>
          <w:noProof/>
          <w:sz w:val="22"/>
          <w:szCs w:val="22"/>
          <w:lang w:val="ru-RU"/>
        </w:rPr>
      </w:pPr>
      <w:hyperlink w:anchor="_Toc243658356" w:history="1">
        <w:r w:rsidRPr="00760253">
          <w:rPr>
            <w:rStyle w:val="a8"/>
            <w:noProof/>
          </w:rPr>
          <w:t>2.2.</w:t>
        </w:r>
        <w:r>
          <w:rPr>
            <w:rFonts w:asciiTheme="minorHAnsi" w:eastAsiaTheme="minorEastAsia" w:hAnsiTheme="minorHAnsi" w:cstheme="minorBidi"/>
            <w:noProof/>
            <w:sz w:val="22"/>
            <w:szCs w:val="22"/>
            <w:lang w:val="ru-RU"/>
          </w:rPr>
          <w:tab/>
        </w:r>
        <w:r w:rsidRPr="00760253">
          <w:rPr>
            <w:rStyle w:val="a8"/>
            <w:noProof/>
          </w:rPr>
          <w:t>Determining the Fund Unit price</w:t>
        </w:r>
        <w:r>
          <w:rPr>
            <w:noProof/>
            <w:webHidden/>
          </w:rPr>
          <w:tab/>
        </w:r>
        <w:r>
          <w:rPr>
            <w:noProof/>
            <w:webHidden/>
          </w:rPr>
          <w:fldChar w:fldCharType="begin"/>
        </w:r>
        <w:r>
          <w:rPr>
            <w:noProof/>
            <w:webHidden/>
          </w:rPr>
          <w:instrText xml:space="preserve"> PAGEREF _Toc243658356 \h </w:instrText>
        </w:r>
        <w:r>
          <w:rPr>
            <w:noProof/>
            <w:webHidden/>
          </w:rPr>
        </w:r>
        <w:r>
          <w:rPr>
            <w:noProof/>
            <w:webHidden/>
          </w:rPr>
          <w:fldChar w:fldCharType="separate"/>
        </w:r>
        <w:r>
          <w:rPr>
            <w:noProof/>
            <w:webHidden/>
          </w:rPr>
          <w:t>4</w:t>
        </w:r>
        <w:r>
          <w:rPr>
            <w:noProof/>
            <w:webHidden/>
          </w:rPr>
          <w:fldChar w:fldCharType="end"/>
        </w:r>
      </w:hyperlink>
    </w:p>
    <w:p w14:paraId="43C75235" w14:textId="3ED18082" w:rsidR="00275DA8" w:rsidRDefault="00275DA8">
      <w:pPr>
        <w:pStyle w:val="23"/>
        <w:rPr>
          <w:rFonts w:asciiTheme="minorHAnsi" w:eastAsiaTheme="minorEastAsia" w:hAnsiTheme="minorHAnsi" w:cstheme="minorBidi"/>
          <w:noProof/>
          <w:sz w:val="22"/>
          <w:szCs w:val="22"/>
          <w:lang w:val="ru-RU"/>
        </w:rPr>
      </w:pPr>
      <w:hyperlink w:anchor="_Toc243658357" w:history="1">
        <w:r w:rsidRPr="00760253">
          <w:rPr>
            <w:rStyle w:val="a8"/>
            <w:noProof/>
          </w:rPr>
          <w:t>2.3.</w:t>
        </w:r>
        <w:r>
          <w:rPr>
            <w:rFonts w:asciiTheme="minorHAnsi" w:eastAsiaTheme="minorEastAsia" w:hAnsiTheme="minorHAnsi" w:cstheme="minorBidi"/>
            <w:noProof/>
            <w:sz w:val="22"/>
            <w:szCs w:val="22"/>
            <w:lang w:val="ru-RU"/>
          </w:rPr>
          <w:tab/>
        </w:r>
        <w:r w:rsidRPr="00760253">
          <w:rPr>
            <w:rStyle w:val="a8"/>
            <w:noProof/>
          </w:rPr>
          <w:t>Calculating weighting cactors</w:t>
        </w:r>
        <w:r>
          <w:rPr>
            <w:noProof/>
            <w:webHidden/>
          </w:rPr>
          <w:tab/>
        </w:r>
        <w:r>
          <w:rPr>
            <w:noProof/>
            <w:webHidden/>
          </w:rPr>
          <w:fldChar w:fldCharType="begin"/>
        </w:r>
        <w:r>
          <w:rPr>
            <w:noProof/>
            <w:webHidden/>
          </w:rPr>
          <w:instrText xml:space="preserve"> PAGEREF _Toc243658357 \h </w:instrText>
        </w:r>
        <w:r>
          <w:rPr>
            <w:noProof/>
            <w:webHidden/>
          </w:rPr>
        </w:r>
        <w:r>
          <w:rPr>
            <w:noProof/>
            <w:webHidden/>
          </w:rPr>
          <w:fldChar w:fldCharType="separate"/>
        </w:r>
        <w:r>
          <w:rPr>
            <w:noProof/>
            <w:webHidden/>
          </w:rPr>
          <w:t>4</w:t>
        </w:r>
        <w:r>
          <w:rPr>
            <w:noProof/>
            <w:webHidden/>
          </w:rPr>
          <w:fldChar w:fldCharType="end"/>
        </w:r>
      </w:hyperlink>
    </w:p>
    <w:p w14:paraId="50A993E5" w14:textId="7ED49E6F" w:rsidR="00275DA8" w:rsidRDefault="00275DA8">
      <w:pPr>
        <w:pStyle w:val="14"/>
        <w:rPr>
          <w:rFonts w:asciiTheme="minorHAnsi" w:eastAsiaTheme="minorEastAsia" w:hAnsiTheme="minorHAnsi" w:cstheme="minorBidi"/>
          <w:b w:val="0"/>
          <w:bCs w:val="0"/>
          <w:caps w:val="0"/>
          <w:noProof/>
          <w:sz w:val="22"/>
          <w:szCs w:val="22"/>
          <w:lang w:val="ru-RU"/>
        </w:rPr>
      </w:pPr>
      <w:hyperlink w:anchor="_Toc243658358" w:history="1">
        <w:r w:rsidRPr="00760253">
          <w:rPr>
            <w:rStyle w:val="a8"/>
            <w:rFonts w:cs="Tahoma"/>
            <w:noProof/>
          </w:rPr>
          <w:t>3.</w:t>
        </w:r>
        <w:r>
          <w:rPr>
            <w:rFonts w:asciiTheme="minorHAnsi" w:eastAsiaTheme="minorEastAsia" w:hAnsiTheme="minorHAnsi" w:cstheme="minorBidi"/>
            <w:b w:val="0"/>
            <w:bCs w:val="0"/>
            <w:caps w:val="0"/>
            <w:noProof/>
            <w:sz w:val="22"/>
            <w:szCs w:val="22"/>
            <w:lang w:val="ru-RU"/>
          </w:rPr>
          <w:tab/>
        </w:r>
        <w:r w:rsidRPr="00760253">
          <w:rPr>
            <w:rStyle w:val="a8"/>
            <w:noProof/>
          </w:rPr>
          <w:t>Index construction and review</w:t>
        </w:r>
        <w:r>
          <w:rPr>
            <w:noProof/>
            <w:webHidden/>
          </w:rPr>
          <w:tab/>
        </w:r>
        <w:r>
          <w:rPr>
            <w:noProof/>
            <w:webHidden/>
          </w:rPr>
          <w:fldChar w:fldCharType="begin"/>
        </w:r>
        <w:r>
          <w:rPr>
            <w:noProof/>
            <w:webHidden/>
          </w:rPr>
          <w:instrText xml:space="preserve"> PAGEREF _Toc243658358 \h </w:instrText>
        </w:r>
        <w:r>
          <w:rPr>
            <w:noProof/>
            <w:webHidden/>
          </w:rPr>
        </w:r>
        <w:r>
          <w:rPr>
            <w:noProof/>
            <w:webHidden/>
          </w:rPr>
          <w:fldChar w:fldCharType="separate"/>
        </w:r>
        <w:r>
          <w:rPr>
            <w:noProof/>
            <w:webHidden/>
          </w:rPr>
          <w:t>4</w:t>
        </w:r>
        <w:r>
          <w:rPr>
            <w:noProof/>
            <w:webHidden/>
          </w:rPr>
          <w:fldChar w:fldCharType="end"/>
        </w:r>
      </w:hyperlink>
    </w:p>
    <w:p w14:paraId="149B8D76" w14:textId="1C6729EF" w:rsidR="00275DA8" w:rsidRDefault="00275DA8">
      <w:pPr>
        <w:pStyle w:val="23"/>
        <w:rPr>
          <w:rFonts w:asciiTheme="minorHAnsi" w:eastAsiaTheme="minorEastAsia" w:hAnsiTheme="minorHAnsi" w:cstheme="minorBidi"/>
          <w:noProof/>
          <w:sz w:val="22"/>
          <w:szCs w:val="22"/>
          <w:lang w:val="ru-RU"/>
        </w:rPr>
      </w:pPr>
      <w:hyperlink w:anchor="_Toc243658359" w:history="1">
        <w:r w:rsidRPr="00760253">
          <w:rPr>
            <w:rStyle w:val="a8"/>
            <w:noProof/>
          </w:rPr>
          <w:t>3.1.</w:t>
        </w:r>
        <w:r>
          <w:rPr>
            <w:rFonts w:asciiTheme="minorHAnsi" w:eastAsiaTheme="minorEastAsia" w:hAnsiTheme="minorHAnsi" w:cstheme="minorBidi"/>
            <w:noProof/>
            <w:sz w:val="22"/>
            <w:szCs w:val="22"/>
            <w:lang w:val="ru-RU"/>
          </w:rPr>
          <w:tab/>
        </w:r>
        <w:r w:rsidRPr="00760253">
          <w:rPr>
            <w:rStyle w:val="a8"/>
            <w:noProof/>
          </w:rPr>
          <w:t>Index ronstruction principles</w:t>
        </w:r>
        <w:r>
          <w:rPr>
            <w:noProof/>
            <w:webHidden/>
          </w:rPr>
          <w:tab/>
        </w:r>
        <w:r>
          <w:rPr>
            <w:noProof/>
            <w:webHidden/>
          </w:rPr>
          <w:fldChar w:fldCharType="begin"/>
        </w:r>
        <w:r>
          <w:rPr>
            <w:noProof/>
            <w:webHidden/>
          </w:rPr>
          <w:instrText xml:space="preserve"> PAGEREF _Toc243658359 \h </w:instrText>
        </w:r>
        <w:r>
          <w:rPr>
            <w:noProof/>
            <w:webHidden/>
          </w:rPr>
        </w:r>
        <w:r>
          <w:rPr>
            <w:noProof/>
            <w:webHidden/>
          </w:rPr>
          <w:fldChar w:fldCharType="separate"/>
        </w:r>
        <w:r>
          <w:rPr>
            <w:noProof/>
            <w:webHidden/>
          </w:rPr>
          <w:t>4</w:t>
        </w:r>
        <w:r>
          <w:rPr>
            <w:noProof/>
            <w:webHidden/>
          </w:rPr>
          <w:fldChar w:fldCharType="end"/>
        </w:r>
      </w:hyperlink>
    </w:p>
    <w:p w14:paraId="2E8EB678" w14:textId="6A34985D" w:rsidR="00275DA8" w:rsidRDefault="00275DA8">
      <w:pPr>
        <w:pStyle w:val="23"/>
        <w:rPr>
          <w:rFonts w:asciiTheme="minorHAnsi" w:eastAsiaTheme="minorEastAsia" w:hAnsiTheme="minorHAnsi" w:cstheme="minorBidi"/>
          <w:noProof/>
          <w:sz w:val="22"/>
          <w:szCs w:val="22"/>
          <w:lang w:val="ru-RU"/>
        </w:rPr>
      </w:pPr>
      <w:hyperlink w:anchor="_Toc243658360" w:history="1">
        <w:r w:rsidRPr="00760253">
          <w:rPr>
            <w:rStyle w:val="a8"/>
            <w:noProof/>
          </w:rPr>
          <w:t>3.2.</w:t>
        </w:r>
        <w:r>
          <w:rPr>
            <w:rFonts w:asciiTheme="minorHAnsi" w:eastAsiaTheme="minorEastAsia" w:hAnsiTheme="minorHAnsi" w:cstheme="minorBidi"/>
            <w:noProof/>
            <w:sz w:val="22"/>
            <w:szCs w:val="22"/>
            <w:lang w:val="ru-RU"/>
          </w:rPr>
          <w:tab/>
        </w:r>
        <w:r w:rsidRPr="00760253">
          <w:rPr>
            <w:rStyle w:val="a8"/>
            <w:noProof/>
          </w:rPr>
          <w:t>Index review</w:t>
        </w:r>
        <w:r>
          <w:rPr>
            <w:noProof/>
            <w:webHidden/>
          </w:rPr>
          <w:tab/>
        </w:r>
        <w:r>
          <w:rPr>
            <w:noProof/>
            <w:webHidden/>
          </w:rPr>
          <w:fldChar w:fldCharType="begin"/>
        </w:r>
        <w:r>
          <w:rPr>
            <w:noProof/>
            <w:webHidden/>
          </w:rPr>
          <w:instrText xml:space="preserve"> PAGEREF _Toc243658360 \h </w:instrText>
        </w:r>
        <w:r>
          <w:rPr>
            <w:noProof/>
            <w:webHidden/>
          </w:rPr>
        </w:r>
        <w:r>
          <w:rPr>
            <w:noProof/>
            <w:webHidden/>
          </w:rPr>
          <w:fldChar w:fldCharType="separate"/>
        </w:r>
        <w:r>
          <w:rPr>
            <w:noProof/>
            <w:webHidden/>
          </w:rPr>
          <w:t>4</w:t>
        </w:r>
        <w:r>
          <w:rPr>
            <w:noProof/>
            <w:webHidden/>
          </w:rPr>
          <w:fldChar w:fldCharType="end"/>
        </w:r>
      </w:hyperlink>
    </w:p>
    <w:p w14:paraId="33FAE1D3" w14:textId="73D749CA" w:rsidR="00275DA8" w:rsidRDefault="00275DA8">
      <w:pPr>
        <w:pStyle w:val="23"/>
        <w:rPr>
          <w:rFonts w:asciiTheme="minorHAnsi" w:eastAsiaTheme="minorEastAsia" w:hAnsiTheme="minorHAnsi" w:cstheme="minorBidi"/>
          <w:noProof/>
          <w:sz w:val="22"/>
          <w:szCs w:val="22"/>
          <w:lang w:val="ru-RU"/>
        </w:rPr>
      </w:pPr>
      <w:hyperlink w:anchor="_Toc243658361" w:history="1">
        <w:r w:rsidRPr="00760253">
          <w:rPr>
            <w:rStyle w:val="a8"/>
            <w:noProof/>
          </w:rPr>
          <w:t>3.3.</w:t>
        </w:r>
        <w:r>
          <w:rPr>
            <w:rFonts w:asciiTheme="minorHAnsi" w:eastAsiaTheme="minorEastAsia" w:hAnsiTheme="minorHAnsi" w:cstheme="minorBidi"/>
            <w:noProof/>
            <w:sz w:val="22"/>
            <w:szCs w:val="22"/>
            <w:lang w:val="ru-RU"/>
          </w:rPr>
          <w:tab/>
        </w:r>
        <w:r w:rsidRPr="00760253">
          <w:rPr>
            <w:rStyle w:val="a8"/>
            <w:noProof/>
          </w:rPr>
          <w:t>Treatment of corporate events</w:t>
        </w:r>
        <w:r>
          <w:rPr>
            <w:noProof/>
            <w:webHidden/>
          </w:rPr>
          <w:tab/>
        </w:r>
        <w:r>
          <w:rPr>
            <w:noProof/>
            <w:webHidden/>
          </w:rPr>
          <w:fldChar w:fldCharType="begin"/>
        </w:r>
        <w:r>
          <w:rPr>
            <w:noProof/>
            <w:webHidden/>
          </w:rPr>
          <w:instrText xml:space="preserve"> PAGEREF _Toc243658361 \h </w:instrText>
        </w:r>
        <w:r>
          <w:rPr>
            <w:noProof/>
            <w:webHidden/>
          </w:rPr>
        </w:r>
        <w:r>
          <w:rPr>
            <w:noProof/>
            <w:webHidden/>
          </w:rPr>
          <w:fldChar w:fldCharType="separate"/>
        </w:r>
        <w:r>
          <w:rPr>
            <w:noProof/>
            <w:webHidden/>
          </w:rPr>
          <w:t>5</w:t>
        </w:r>
        <w:r>
          <w:rPr>
            <w:noProof/>
            <w:webHidden/>
          </w:rPr>
          <w:fldChar w:fldCharType="end"/>
        </w:r>
      </w:hyperlink>
    </w:p>
    <w:p w14:paraId="3AB63963" w14:textId="4AFE755F" w:rsidR="00275DA8" w:rsidRDefault="00275DA8">
      <w:pPr>
        <w:pStyle w:val="14"/>
        <w:rPr>
          <w:rFonts w:asciiTheme="minorHAnsi" w:eastAsiaTheme="minorEastAsia" w:hAnsiTheme="minorHAnsi" w:cstheme="minorBidi"/>
          <w:b w:val="0"/>
          <w:bCs w:val="0"/>
          <w:caps w:val="0"/>
          <w:noProof/>
          <w:sz w:val="22"/>
          <w:szCs w:val="22"/>
          <w:lang w:val="ru-RU"/>
        </w:rPr>
      </w:pPr>
      <w:hyperlink w:anchor="_Toc243658362" w:history="1">
        <w:r w:rsidRPr="00760253">
          <w:rPr>
            <w:rStyle w:val="a8"/>
            <w:rFonts w:cs="Tahoma"/>
            <w:noProof/>
          </w:rPr>
          <w:t>4.</w:t>
        </w:r>
        <w:r>
          <w:rPr>
            <w:rFonts w:asciiTheme="minorHAnsi" w:eastAsiaTheme="minorEastAsia" w:hAnsiTheme="minorHAnsi" w:cstheme="minorBidi"/>
            <w:b w:val="0"/>
            <w:bCs w:val="0"/>
            <w:caps w:val="0"/>
            <w:noProof/>
            <w:sz w:val="22"/>
            <w:szCs w:val="22"/>
            <w:lang w:val="ru-RU"/>
          </w:rPr>
          <w:tab/>
        </w:r>
        <w:r w:rsidRPr="00760253">
          <w:rPr>
            <w:rStyle w:val="a8"/>
            <w:noProof/>
          </w:rPr>
          <w:t>Calculation timing and disclosure of the Indices</w:t>
        </w:r>
        <w:r>
          <w:rPr>
            <w:noProof/>
            <w:webHidden/>
          </w:rPr>
          <w:tab/>
        </w:r>
        <w:r>
          <w:rPr>
            <w:noProof/>
            <w:webHidden/>
          </w:rPr>
          <w:fldChar w:fldCharType="begin"/>
        </w:r>
        <w:r>
          <w:rPr>
            <w:noProof/>
            <w:webHidden/>
          </w:rPr>
          <w:instrText xml:space="preserve"> PAGEREF _Toc243658362 \h </w:instrText>
        </w:r>
        <w:r>
          <w:rPr>
            <w:noProof/>
            <w:webHidden/>
          </w:rPr>
        </w:r>
        <w:r>
          <w:rPr>
            <w:noProof/>
            <w:webHidden/>
          </w:rPr>
          <w:fldChar w:fldCharType="separate"/>
        </w:r>
        <w:r>
          <w:rPr>
            <w:noProof/>
            <w:webHidden/>
          </w:rPr>
          <w:t>5</w:t>
        </w:r>
        <w:r>
          <w:rPr>
            <w:noProof/>
            <w:webHidden/>
          </w:rPr>
          <w:fldChar w:fldCharType="end"/>
        </w:r>
      </w:hyperlink>
    </w:p>
    <w:p w14:paraId="7BC46DB8" w14:textId="55FC816D" w:rsidR="00275DA8" w:rsidRDefault="00275DA8">
      <w:pPr>
        <w:pStyle w:val="23"/>
        <w:rPr>
          <w:rFonts w:asciiTheme="minorHAnsi" w:eastAsiaTheme="minorEastAsia" w:hAnsiTheme="minorHAnsi" w:cstheme="minorBidi"/>
          <w:noProof/>
          <w:sz w:val="22"/>
          <w:szCs w:val="22"/>
          <w:lang w:val="ru-RU"/>
        </w:rPr>
      </w:pPr>
      <w:hyperlink w:anchor="_Toc243658363" w:history="1">
        <w:r w:rsidRPr="00760253">
          <w:rPr>
            <w:rStyle w:val="a8"/>
            <w:noProof/>
          </w:rPr>
          <w:t>4.1.</w:t>
        </w:r>
        <w:r>
          <w:rPr>
            <w:rFonts w:asciiTheme="minorHAnsi" w:eastAsiaTheme="minorEastAsia" w:hAnsiTheme="minorHAnsi" w:cstheme="minorBidi"/>
            <w:noProof/>
            <w:sz w:val="22"/>
            <w:szCs w:val="22"/>
            <w:lang w:val="ru-RU"/>
          </w:rPr>
          <w:tab/>
        </w:r>
        <w:r w:rsidRPr="00760253">
          <w:rPr>
            <w:rStyle w:val="a8"/>
            <w:noProof/>
          </w:rPr>
          <w:t>Calculation schedule</w:t>
        </w:r>
        <w:r>
          <w:rPr>
            <w:noProof/>
            <w:webHidden/>
          </w:rPr>
          <w:tab/>
        </w:r>
        <w:r>
          <w:rPr>
            <w:noProof/>
            <w:webHidden/>
          </w:rPr>
          <w:fldChar w:fldCharType="begin"/>
        </w:r>
        <w:r>
          <w:rPr>
            <w:noProof/>
            <w:webHidden/>
          </w:rPr>
          <w:instrText xml:space="preserve"> PAGEREF _Toc243658363 \h </w:instrText>
        </w:r>
        <w:r>
          <w:rPr>
            <w:noProof/>
            <w:webHidden/>
          </w:rPr>
        </w:r>
        <w:r>
          <w:rPr>
            <w:noProof/>
            <w:webHidden/>
          </w:rPr>
          <w:fldChar w:fldCharType="separate"/>
        </w:r>
        <w:r>
          <w:rPr>
            <w:noProof/>
            <w:webHidden/>
          </w:rPr>
          <w:t>5</w:t>
        </w:r>
        <w:r>
          <w:rPr>
            <w:noProof/>
            <w:webHidden/>
          </w:rPr>
          <w:fldChar w:fldCharType="end"/>
        </w:r>
      </w:hyperlink>
    </w:p>
    <w:p w14:paraId="39B2151E" w14:textId="6808E1A7" w:rsidR="00275DA8" w:rsidRDefault="00275DA8">
      <w:pPr>
        <w:pStyle w:val="23"/>
        <w:rPr>
          <w:rFonts w:asciiTheme="minorHAnsi" w:eastAsiaTheme="minorEastAsia" w:hAnsiTheme="minorHAnsi" w:cstheme="minorBidi"/>
          <w:noProof/>
          <w:sz w:val="22"/>
          <w:szCs w:val="22"/>
          <w:lang w:val="ru-RU"/>
        </w:rPr>
      </w:pPr>
      <w:hyperlink w:anchor="_Toc243658364" w:history="1">
        <w:r w:rsidRPr="00760253">
          <w:rPr>
            <w:rStyle w:val="a8"/>
            <w:noProof/>
          </w:rPr>
          <w:t>4.2.</w:t>
        </w:r>
        <w:r>
          <w:rPr>
            <w:rFonts w:asciiTheme="minorHAnsi" w:eastAsiaTheme="minorEastAsia" w:hAnsiTheme="minorHAnsi" w:cstheme="minorBidi"/>
            <w:noProof/>
            <w:sz w:val="22"/>
            <w:szCs w:val="22"/>
            <w:lang w:val="ru-RU"/>
          </w:rPr>
          <w:tab/>
        </w:r>
        <w:r w:rsidRPr="00760253">
          <w:rPr>
            <w:rStyle w:val="a8"/>
            <w:noProof/>
          </w:rPr>
          <w:t>Index calculation supervision</w:t>
        </w:r>
        <w:r>
          <w:rPr>
            <w:noProof/>
            <w:webHidden/>
          </w:rPr>
          <w:tab/>
        </w:r>
        <w:r>
          <w:rPr>
            <w:noProof/>
            <w:webHidden/>
          </w:rPr>
          <w:fldChar w:fldCharType="begin"/>
        </w:r>
        <w:r>
          <w:rPr>
            <w:noProof/>
            <w:webHidden/>
          </w:rPr>
          <w:instrText xml:space="preserve"> PAGEREF _Toc243658364 \h </w:instrText>
        </w:r>
        <w:r>
          <w:rPr>
            <w:noProof/>
            <w:webHidden/>
          </w:rPr>
        </w:r>
        <w:r>
          <w:rPr>
            <w:noProof/>
            <w:webHidden/>
          </w:rPr>
          <w:fldChar w:fldCharType="separate"/>
        </w:r>
        <w:r>
          <w:rPr>
            <w:noProof/>
            <w:webHidden/>
          </w:rPr>
          <w:t>5</w:t>
        </w:r>
        <w:r>
          <w:rPr>
            <w:noProof/>
            <w:webHidden/>
          </w:rPr>
          <w:fldChar w:fldCharType="end"/>
        </w:r>
      </w:hyperlink>
    </w:p>
    <w:p w14:paraId="7FE101AD" w14:textId="3E6DD854" w:rsidR="00275DA8" w:rsidRDefault="00275DA8">
      <w:pPr>
        <w:pStyle w:val="23"/>
        <w:rPr>
          <w:rFonts w:asciiTheme="minorHAnsi" w:eastAsiaTheme="minorEastAsia" w:hAnsiTheme="minorHAnsi" w:cstheme="minorBidi"/>
          <w:noProof/>
          <w:sz w:val="22"/>
          <w:szCs w:val="22"/>
          <w:lang w:val="ru-RU"/>
        </w:rPr>
      </w:pPr>
      <w:hyperlink w:anchor="_Toc243658365" w:history="1">
        <w:r w:rsidRPr="00760253">
          <w:rPr>
            <w:rStyle w:val="a8"/>
            <w:noProof/>
          </w:rPr>
          <w:t>4.3.</w:t>
        </w:r>
        <w:r>
          <w:rPr>
            <w:rFonts w:asciiTheme="minorHAnsi" w:eastAsiaTheme="minorEastAsia" w:hAnsiTheme="minorHAnsi" w:cstheme="minorBidi"/>
            <w:noProof/>
            <w:sz w:val="22"/>
            <w:szCs w:val="22"/>
            <w:lang w:val="ru-RU"/>
          </w:rPr>
          <w:tab/>
        </w:r>
        <w:r w:rsidRPr="00760253">
          <w:rPr>
            <w:rStyle w:val="a8"/>
            <w:noProof/>
          </w:rPr>
          <w:t>Publication</w:t>
        </w:r>
        <w:r>
          <w:rPr>
            <w:noProof/>
            <w:webHidden/>
          </w:rPr>
          <w:tab/>
        </w:r>
        <w:r>
          <w:rPr>
            <w:noProof/>
            <w:webHidden/>
          </w:rPr>
          <w:fldChar w:fldCharType="begin"/>
        </w:r>
        <w:r>
          <w:rPr>
            <w:noProof/>
            <w:webHidden/>
          </w:rPr>
          <w:instrText xml:space="preserve"> PAGEREF _Toc243658365 \h </w:instrText>
        </w:r>
        <w:r>
          <w:rPr>
            <w:noProof/>
            <w:webHidden/>
          </w:rPr>
        </w:r>
        <w:r>
          <w:rPr>
            <w:noProof/>
            <w:webHidden/>
          </w:rPr>
          <w:fldChar w:fldCharType="separate"/>
        </w:r>
        <w:r>
          <w:rPr>
            <w:noProof/>
            <w:webHidden/>
          </w:rPr>
          <w:t>5</w:t>
        </w:r>
        <w:r>
          <w:rPr>
            <w:noProof/>
            <w:webHidden/>
          </w:rPr>
          <w:fldChar w:fldCharType="end"/>
        </w:r>
      </w:hyperlink>
    </w:p>
    <w:p w14:paraId="760A4B9F" w14:textId="2082CADC" w:rsidR="00275DA8" w:rsidRDefault="00275DA8">
      <w:pPr>
        <w:pStyle w:val="14"/>
        <w:rPr>
          <w:rFonts w:asciiTheme="minorHAnsi" w:eastAsiaTheme="minorEastAsia" w:hAnsiTheme="minorHAnsi" w:cstheme="minorBidi"/>
          <w:b w:val="0"/>
          <w:bCs w:val="0"/>
          <w:caps w:val="0"/>
          <w:noProof/>
          <w:sz w:val="22"/>
          <w:szCs w:val="22"/>
          <w:lang w:val="ru-RU"/>
        </w:rPr>
      </w:pPr>
      <w:hyperlink w:anchor="_Toc243658366" w:history="1">
        <w:r w:rsidRPr="00760253">
          <w:rPr>
            <w:rStyle w:val="a8"/>
            <w:noProof/>
          </w:rPr>
          <w:t>Appendix 1</w:t>
        </w:r>
        <w:r>
          <w:rPr>
            <w:noProof/>
            <w:webHidden/>
          </w:rPr>
          <w:tab/>
        </w:r>
        <w:r>
          <w:rPr>
            <w:noProof/>
            <w:webHidden/>
          </w:rPr>
          <w:fldChar w:fldCharType="begin"/>
        </w:r>
        <w:r>
          <w:rPr>
            <w:noProof/>
            <w:webHidden/>
          </w:rPr>
          <w:instrText xml:space="preserve"> PAGEREF _Toc243658366 \h </w:instrText>
        </w:r>
        <w:r>
          <w:rPr>
            <w:noProof/>
            <w:webHidden/>
          </w:rPr>
        </w:r>
        <w:r>
          <w:rPr>
            <w:noProof/>
            <w:webHidden/>
          </w:rPr>
          <w:fldChar w:fldCharType="separate"/>
        </w:r>
        <w:r>
          <w:rPr>
            <w:noProof/>
            <w:webHidden/>
          </w:rPr>
          <w:t>7</w:t>
        </w:r>
        <w:r>
          <w:rPr>
            <w:noProof/>
            <w:webHidden/>
          </w:rPr>
          <w:fldChar w:fldCharType="end"/>
        </w:r>
      </w:hyperlink>
    </w:p>
    <w:p w14:paraId="3DEF2CE1" w14:textId="5F3DBE9B" w:rsidR="00047157" w:rsidRPr="00284406" w:rsidRDefault="002F1DA6" w:rsidP="00047157">
      <w:r w:rsidRPr="00284406">
        <w:fldChar w:fldCharType="end"/>
      </w:r>
    </w:p>
    <w:p w14:paraId="6AB9FC58" w14:textId="77777777" w:rsidR="00E17B1E" w:rsidRPr="00284406" w:rsidRDefault="002F1DA6" w:rsidP="00E17B1E">
      <w:pPr>
        <w:pStyle w:val="10"/>
        <w:rPr>
          <w:rFonts w:cs="Tahoma"/>
        </w:rPr>
      </w:pPr>
      <w:r>
        <w:br w:type="page"/>
      </w:r>
      <w:bookmarkStart w:id="0" w:name="_Toc438206722"/>
      <w:bookmarkStart w:id="1" w:name="_Toc438206758"/>
      <w:bookmarkStart w:id="2" w:name="_Toc438206978"/>
      <w:bookmarkStart w:id="3" w:name="_Toc433902894"/>
      <w:bookmarkStart w:id="4" w:name="_Toc463443748"/>
      <w:bookmarkStart w:id="5" w:name="_Toc488065461"/>
      <w:bookmarkStart w:id="6" w:name="_Toc243658351"/>
      <w:r>
        <w:lastRenderedPageBreak/>
        <w:t>General provisions</w:t>
      </w:r>
      <w:bookmarkEnd w:id="0"/>
      <w:bookmarkEnd w:id="1"/>
      <w:bookmarkEnd w:id="2"/>
      <w:bookmarkEnd w:id="3"/>
      <w:bookmarkEnd w:id="4"/>
      <w:bookmarkEnd w:id="5"/>
      <w:bookmarkEnd w:id="6"/>
    </w:p>
    <w:p w14:paraId="7C1298F4" w14:textId="77777777" w:rsidR="00AF15EE" w:rsidRPr="00284406" w:rsidRDefault="002F1DA6" w:rsidP="00D136DE">
      <w:pPr>
        <w:pStyle w:val="a"/>
        <w:spacing w:before="120"/>
      </w:pPr>
      <w:bookmarkStart w:id="7" w:name="_Toc424122347"/>
      <w:bookmarkStart w:id="8" w:name="_Toc438206723"/>
      <w:bookmarkStart w:id="9" w:name="_Toc438206759"/>
      <w:bookmarkStart w:id="10" w:name="_Toc438206979"/>
      <w:bookmarkStart w:id="11" w:name="_Toc433902895"/>
      <w:bookmarkStart w:id="12" w:name="_Toc463443749"/>
      <w:bookmarkStart w:id="13" w:name="_Toc488065462"/>
      <w:bookmarkStart w:id="14" w:name="_Toc243658352"/>
      <w:r>
        <w:t>Terms and definitions</w:t>
      </w:r>
      <w:bookmarkEnd w:id="7"/>
      <w:bookmarkEnd w:id="8"/>
      <w:bookmarkEnd w:id="9"/>
      <w:bookmarkEnd w:id="10"/>
      <w:bookmarkEnd w:id="11"/>
      <w:bookmarkEnd w:id="12"/>
      <w:bookmarkEnd w:id="13"/>
      <w:bookmarkEnd w:id="14"/>
    </w:p>
    <w:p w14:paraId="7082B270" w14:textId="40FC25AD" w:rsidR="007C42B0" w:rsidRPr="00284406" w:rsidRDefault="002F1DA6" w:rsidP="00D136DE">
      <w:pPr>
        <w:pStyle w:val="30"/>
        <w:spacing w:before="120"/>
        <w:ind w:left="1078" w:hanging="794"/>
      </w:pPr>
      <w:bookmarkStart w:id="15" w:name="_Ref424309154"/>
      <w:r>
        <w:t>The following terms and definitions shall apply in this MOEX Calm Index Calculation Methodology by Public Joint-Stock Company Moscow Exchange MICEX-RTS (the "Methodology"):</w:t>
      </w:r>
      <w:bookmarkEnd w:id="15"/>
    </w:p>
    <w:p w14:paraId="61045ECF" w14:textId="7A3A45F0" w:rsidR="00A8347F" w:rsidRPr="00284406" w:rsidRDefault="00955D89" w:rsidP="007C42B0">
      <w:pPr>
        <w:pStyle w:val="11"/>
      </w:pPr>
      <w:r>
        <w:rPr>
          <w:u w:val="single"/>
        </w:rPr>
        <w:t>Fund Unit</w:t>
      </w:r>
      <w:r>
        <w:t xml:space="preserve"> means a unit of closed-end and open-end unit investment funds (UIF) admitted to trading on the Exchange.</w:t>
      </w:r>
    </w:p>
    <w:p w14:paraId="7FB6093B" w14:textId="1D719114" w:rsidR="00D16E10" w:rsidRPr="00284406" w:rsidRDefault="002F1DA6" w:rsidP="00D16E10">
      <w:pPr>
        <w:pStyle w:val="11"/>
        <w:rPr>
          <w:rStyle w:val="af7"/>
          <w:rFonts w:ascii="Tahoma" w:hAnsi="Tahoma" w:cs="Tahoma"/>
        </w:rPr>
      </w:pPr>
      <w:r>
        <w:rPr>
          <w:rStyle w:val="af7"/>
          <w:rFonts w:ascii="Tahoma" w:hAnsi="Tahoma"/>
          <w:u w:val="single"/>
        </w:rPr>
        <w:t>Index Constituents</w:t>
      </w:r>
      <w:r>
        <w:rPr>
          <w:rStyle w:val="af7"/>
          <w:rFonts w:ascii="Tahoma" w:hAnsi="Tahoma"/>
        </w:rPr>
        <w:t xml:space="preserve"> means all Fund Units in the Index.</w:t>
      </w:r>
    </w:p>
    <w:p w14:paraId="058D1B11" w14:textId="3E9B41D0" w:rsidR="001D1A32" w:rsidRPr="00284406" w:rsidRDefault="002F1DA6" w:rsidP="00B80C62">
      <w:pPr>
        <w:pStyle w:val="11"/>
        <w:rPr>
          <w:rStyle w:val="af7"/>
          <w:rFonts w:ascii="Tahoma" w:hAnsi="Tahoma" w:cs="Tahoma"/>
        </w:rPr>
      </w:pPr>
      <w:r>
        <w:rPr>
          <w:rStyle w:val="af7"/>
          <w:rFonts w:ascii="Tahoma" w:hAnsi="Tahoma"/>
          <w:u w:val="single"/>
        </w:rPr>
        <w:t>The Exchange, Moscow Exchange, MOEX</w:t>
      </w:r>
      <w:r>
        <w:rPr>
          <w:rStyle w:val="af7"/>
          <w:rFonts w:ascii="Tahoma" w:hAnsi="Tahoma"/>
        </w:rPr>
        <w:t xml:space="preserve"> means Public Joint-Stock Company Moscow Exchange MICEX-RTS </w:t>
      </w:r>
    </w:p>
    <w:p w14:paraId="2EEB2F4B" w14:textId="770C5B31" w:rsidR="00B330B7" w:rsidRPr="00B330B7" w:rsidRDefault="00B330B7" w:rsidP="00B330B7">
      <w:pPr>
        <w:pStyle w:val="11"/>
        <w:rPr>
          <w:rStyle w:val="af7"/>
          <w:rFonts w:ascii="Tahoma" w:hAnsi="Tahoma" w:cs="Tahoma"/>
        </w:rPr>
      </w:pPr>
      <w:r>
        <w:rPr>
          <w:rStyle w:val="af7"/>
          <w:rFonts w:ascii="Tahoma" w:hAnsi="Tahoma"/>
          <w:u w:val="single"/>
        </w:rPr>
        <w:t>Index Review Date</w:t>
      </w:r>
      <w:r>
        <w:rPr>
          <w:rStyle w:val="af7"/>
          <w:rFonts w:ascii="Tahoma" w:hAnsi="Tahoma"/>
        </w:rPr>
        <w:t xml:space="preserve"> means a trading day preceding the date of entry into force of the Index Constituents after review.</w:t>
      </w:r>
    </w:p>
    <w:p w14:paraId="11540DC1" w14:textId="7B5EA7A6" w:rsidR="00B17569" w:rsidRPr="00284406" w:rsidRDefault="000F47D3" w:rsidP="00AE3C79">
      <w:pPr>
        <w:pStyle w:val="11"/>
        <w:rPr>
          <w:rFonts w:cs="Tahoma"/>
        </w:rPr>
      </w:pPr>
      <w:r>
        <w:rPr>
          <w:rStyle w:val="af7"/>
          <w:rFonts w:ascii="Tahoma" w:hAnsi="Tahoma"/>
          <w:u w:val="single"/>
        </w:rPr>
        <w:t>Index Formation Date</w:t>
      </w:r>
      <w:r>
        <w:rPr>
          <w:rStyle w:val="af7"/>
          <w:rFonts w:ascii="Tahoma" w:hAnsi="Tahoma"/>
        </w:rPr>
        <w:t xml:space="preserve"> means a trading day preceding the day of disclosure of information on change of the Index Constituents and/or the Index Constituents Parameters as of which the Parameters are determined.</w:t>
      </w:r>
    </w:p>
    <w:p w14:paraId="60A06FE4" w14:textId="0F098F4B" w:rsidR="00565F71" w:rsidRPr="00284406" w:rsidRDefault="002F1DA6" w:rsidP="00657BDB">
      <w:pPr>
        <w:pStyle w:val="11"/>
        <w:rPr>
          <w:rStyle w:val="af7"/>
          <w:rFonts w:ascii="Tahoma" w:hAnsi="Tahoma" w:cs="Tahoma"/>
        </w:rPr>
      </w:pPr>
      <w:r>
        <w:rPr>
          <w:rStyle w:val="af7"/>
          <w:rFonts w:ascii="Tahoma" w:hAnsi="Tahoma"/>
          <w:u w:val="single"/>
        </w:rPr>
        <w:t>Index</w:t>
      </w:r>
      <w:r>
        <w:t xml:space="preserve"> means a benchmark calculated by the Exchange on the basis of trades executed on the Exchange measuring the aggregate price performance in RUB for a selection of Fund Units.</w:t>
      </w:r>
    </w:p>
    <w:p w14:paraId="2BFC0E84" w14:textId="52295D90" w:rsidR="008A7ABC" w:rsidRDefault="002F1DA6" w:rsidP="00657BDB">
      <w:pPr>
        <w:pStyle w:val="11"/>
        <w:rPr>
          <w:rFonts w:cs="Tahoma"/>
        </w:rPr>
      </w:pPr>
      <w:r>
        <w:rPr>
          <w:u w:val="single"/>
        </w:rPr>
        <w:t>Fund Unit Weight</w:t>
      </w:r>
      <w:r>
        <w:t xml:space="preserve"> means the Fund Unit’s value as a percentage of the total value of all Fund Units which are Index Constituents.</w:t>
      </w:r>
    </w:p>
    <w:p w14:paraId="2CB52B12" w14:textId="160A3724" w:rsidR="006E67B1" w:rsidRPr="00284406" w:rsidRDefault="006E67B1" w:rsidP="00657BDB">
      <w:pPr>
        <w:pStyle w:val="11"/>
        <w:rPr>
          <w:rFonts w:cs="Tahoma"/>
        </w:rPr>
      </w:pPr>
      <w:r>
        <w:rPr>
          <w:u w:val="single"/>
        </w:rPr>
        <w:t>Asset Management Company</w:t>
      </w:r>
      <w:r>
        <w:t xml:space="preserve"> means a management company of an exchange-traded fund or an open-ended unit investment fund.</w:t>
      </w:r>
    </w:p>
    <w:p w14:paraId="5C8DD66C" w14:textId="49092355" w:rsidR="001D1A32" w:rsidRPr="00284406" w:rsidRDefault="002F1DA6" w:rsidP="000925DA">
      <w:pPr>
        <w:pStyle w:val="30"/>
        <w:ind w:left="1078" w:hanging="794"/>
      </w:pPr>
      <w:r>
        <w:t>Terms not specifically defined herein shall be construed in accordance with other documents of the Exchange as well as the law and regulatory acts of the Bank of Russia.</w:t>
      </w:r>
    </w:p>
    <w:p w14:paraId="63C07C4B" w14:textId="77777777" w:rsidR="00A74367" w:rsidRPr="00284406" w:rsidRDefault="00A74367" w:rsidP="00D136DE">
      <w:pPr>
        <w:pStyle w:val="a"/>
        <w:spacing w:before="120"/>
        <w:rPr>
          <w:rStyle w:val="af7"/>
          <w:rFonts w:ascii="Tahoma" w:hAnsi="Tahoma" w:cs="Tahoma"/>
        </w:rPr>
      </w:pPr>
      <w:bookmarkStart w:id="16" w:name="_Toc65591897"/>
      <w:bookmarkStart w:id="17" w:name="_Toc155794155"/>
      <w:bookmarkStart w:id="18" w:name="_Toc243658353"/>
      <w:r>
        <w:t>General provisions</w:t>
      </w:r>
      <w:bookmarkEnd w:id="16"/>
      <w:bookmarkEnd w:id="17"/>
      <w:bookmarkEnd w:id="18"/>
    </w:p>
    <w:p w14:paraId="6A6D4420" w14:textId="243E4028" w:rsidR="00A74367" w:rsidRPr="00284406" w:rsidRDefault="00A74367" w:rsidP="00D136DE">
      <w:pPr>
        <w:pStyle w:val="30"/>
        <w:spacing w:before="120"/>
        <w:ind w:left="1361"/>
      </w:pPr>
      <w:r>
        <w:t xml:space="preserve">In accordance with the Methodology, the Exchange calculates the composite MOEX Calm Index. The English name of the index is MOEX Calm Index. The Index code is </w:t>
      </w:r>
      <w:proofErr w:type="spellStart"/>
      <w:r>
        <w:t>ICALM</w:t>
      </w:r>
      <w:proofErr w:type="spellEnd"/>
      <w:r>
        <w:t>.</w:t>
      </w:r>
    </w:p>
    <w:p w14:paraId="0B22C0EF" w14:textId="790A486F" w:rsidR="00A74367" w:rsidRPr="00284406" w:rsidRDefault="00A74367" w:rsidP="00A74367">
      <w:pPr>
        <w:pStyle w:val="30"/>
        <w:ind w:left="1361"/>
      </w:pPr>
      <w:r>
        <w:t>The word mark "MOEX Index" is a trademark of Moscow Exchange registered by the State Register of Trademarks and Service Marks of the Russian Federation on 18 September 2017 (Trademark Certificate No. 630519). The word mark "MOEX" is a trademark of Moscow Exchange registered by the Federal Service for Intellectual Property in the State Register of Trademarks and Service Marks of the Russian Federation on 29 August 2014 (trademark certificate No. 521450).</w:t>
      </w:r>
    </w:p>
    <w:p w14:paraId="4F504499" w14:textId="0970FE46" w:rsidR="00A74367" w:rsidRPr="00284406" w:rsidRDefault="00A74367" w:rsidP="00A74367">
      <w:pPr>
        <w:pStyle w:val="30"/>
        <w:ind w:left="1361"/>
        <w:rPr>
          <w:rFonts w:cs="Tahoma"/>
        </w:rPr>
      </w:pPr>
      <w:r>
        <w:t>This Methodology as amended from time to time is subject to approval by the Exchange and come into effect on the date determined by the Exchange.</w:t>
      </w:r>
    </w:p>
    <w:p w14:paraId="7EB0A658" w14:textId="39D44125" w:rsidR="00657BF4" w:rsidRPr="002C702C" w:rsidRDefault="00A74367" w:rsidP="002C702C">
      <w:pPr>
        <w:pStyle w:val="30"/>
        <w:ind w:left="1361"/>
        <w:rPr>
          <w:rFonts w:cs="Tahoma"/>
        </w:rPr>
      </w:pPr>
      <w:r>
        <w:t>It may be amended and supplemented no more frequently than once a quarter. Information on changes introduced, including in the form of a new version of the Methodology, shall be disclosed by the Exchange not later than three business days prior to the effective date.</w:t>
      </w:r>
    </w:p>
    <w:p w14:paraId="1447AC1D" w14:textId="77777777" w:rsidR="00960720" w:rsidRPr="00284406" w:rsidRDefault="002F1DA6" w:rsidP="00D136DE">
      <w:pPr>
        <w:pStyle w:val="10"/>
        <w:spacing w:before="120"/>
        <w:rPr>
          <w:rFonts w:cs="Tahoma"/>
        </w:rPr>
      </w:pPr>
      <w:bookmarkStart w:id="19" w:name="_Toc424906484"/>
      <w:bookmarkStart w:id="20" w:name="_Toc424906555"/>
      <w:bookmarkStart w:id="21" w:name="_Toc424906587"/>
      <w:bookmarkStart w:id="22" w:name="_Toc424906631"/>
      <w:bookmarkStart w:id="23" w:name="_Toc424906675"/>
      <w:bookmarkStart w:id="24" w:name="_Toc424906713"/>
      <w:bookmarkStart w:id="25" w:name="_Toc424909130"/>
      <w:bookmarkStart w:id="26" w:name="_Toc425425252"/>
      <w:bookmarkStart w:id="27" w:name="_Toc424906485"/>
      <w:bookmarkStart w:id="28" w:name="_Toc424906556"/>
      <w:bookmarkStart w:id="29" w:name="_Toc424906588"/>
      <w:bookmarkStart w:id="30" w:name="_Toc424906632"/>
      <w:bookmarkStart w:id="31" w:name="_Toc424906676"/>
      <w:bookmarkStart w:id="32" w:name="_Toc424906714"/>
      <w:bookmarkStart w:id="33" w:name="_Toc424909131"/>
      <w:bookmarkStart w:id="34" w:name="_Toc425425253"/>
      <w:bookmarkStart w:id="35" w:name="_Toc424122349"/>
      <w:bookmarkStart w:id="36" w:name="_Toc438206725"/>
      <w:bookmarkStart w:id="37" w:name="_Toc438206761"/>
      <w:bookmarkStart w:id="38" w:name="_Toc438206981"/>
      <w:bookmarkStart w:id="39" w:name="_Toc433902897"/>
      <w:bookmarkStart w:id="40" w:name="_Toc463443751"/>
      <w:bookmarkStart w:id="41" w:name="_Toc488065464"/>
      <w:bookmarkStart w:id="42" w:name="_Toc243658354"/>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t>Index calculation</w:t>
      </w:r>
      <w:bookmarkEnd w:id="35"/>
      <w:bookmarkEnd w:id="36"/>
      <w:bookmarkEnd w:id="37"/>
      <w:bookmarkEnd w:id="38"/>
      <w:bookmarkEnd w:id="39"/>
      <w:bookmarkEnd w:id="40"/>
      <w:bookmarkEnd w:id="41"/>
      <w:bookmarkEnd w:id="42"/>
    </w:p>
    <w:p w14:paraId="1CA28E3C" w14:textId="150C3CC3" w:rsidR="009D567F" w:rsidRPr="00284406" w:rsidRDefault="001F110A" w:rsidP="00D136DE">
      <w:pPr>
        <w:pStyle w:val="a"/>
        <w:spacing w:before="120"/>
      </w:pPr>
      <w:bookmarkStart w:id="43" w:name="_Toc424291531"/>
      <w:bookmarkStart w:id="44" w:name="_Toc424641373"/>
      <w:bookmarkStart w:id="45" w:name="_Toc424811488"/>
      <w:bookmarkStart w:id="46" w:name="_Toc424291532"/>
      <w:bookmarkStart w:id="47" w:name="_Toc424641374"/>
      <w:bookmarkStart w:id="48" w:name="_Toc424811489"/>
      <w:bookmarkStart w:id="49" w:name="_Toc424291533"/>
      <w:bookmarkStart w:id="50" w:name="_Toc424641375"/>
      <w:bookmarkStart w:id="51" w:name="_Toc424811490"/>
      <w:bookmarkStart w:id="52" w:name="_Toc424641376"/>
      <w:bookmarkStart w:id="53" w:name="_Toc424811491"/>
      <w:bookmarkStart w:id="54" w:name="_Toc424291535"/>
      <w:bookmarkStart w:id="55" w:name="_Toc424641377"/>
      <w:bookmarkStart w:id="56" w:name="_Toc424811492"/>
      <w:bookmarkStart w:id="57" w:name="_Ref272311215"/>
      <w:bookmarkStart w:id="58" w:name="_Ref335645386"/>
      <w:bookmarkStart w:id="59" w:name="_Ref410391505"/>
      <w:bookmarkStart w:id="60" w:name="п_2_3"/>
      <w:bookmarkStart w:id="61" w:name="_Toc243658355"/>
      <w:bookmarkEnd w:id="43"/>
      <w:bookmarkEnd w:id="44"/>
      <w:bookmarkEnd w:id="45"/>
      <w:bookmarkEnd w:id="46"/>
      <w:bookmarkEnd w:id="47"/>
      <w:bookmarkEnd w:id="48"/>
      <w:bookmarkEnd w:id="49"/>
      <w:bookmarkEnd w:id="50"/>
      <w:bookmarkEnd w:id="51"/>
      <w:bookmarkEnd w:id="52"/>
      <w:bookmarkEnd w:id="53"/>
      <w:bookmarkEnd w:id="54"/>
      <w:bookmarkEnd w:id="55"/>
      <w:bookmarkEnd w:id="56"/>
      <w:r>
        <w:t>Price index calculation</w:t>
      </w:r>
      <w:bookmarkEnd w:id="61"/>
    </w:p>
    <w:p w14:paraId="08ED5C03" w14:textId="77777777" w:rsidR="001070AE" w:rsidRPr="001F6033" w:rsidRDefault="001070AE" w:rsidP="00536B73">
      <w:pPr>
        <w:pStyle w:val="30"/>
        <w:spacing w:before="120"/>
        <w:ind w:hanging="794"/>
      </w:pPr>
      <w:bookmarkStart w:id="62" w:name="_Toc487630327"/>
      <w:bookmarkStart w:id="63" w:name="_Ref332015395"/>
      <w:bookmarkEnd w:id="57"/>
      <w:bookmarkEnd w:id="58"/>
      <w:bookmarkEnd w:id="59"/>
      <w:bookmarkEnd w:id="60"/>
      <w:r>
        <w:t>The value of the Index is calculated using the following formula:</w:t>
      </w:r>
      <w:bookmarkEnd w:id="62"/>
    </w:p>
    <w:p w14:paraId="14EF8AC7" w14:textId="77777777" w:rsidR="001070AE" w:rsidRPr="001070AE" w:rsidRDefault="00275DA8" w:rsidP="001070AE">
      <w:pPr>
        <w:pStyle w:val="afb"/>
      </w:pPr>
      <m:oMathPara>
        <m:oMathParaPr>
          <m:jc m:val="center"/>
        </m:oMathParaPr>
        <m:oMath>
          <m:sSub>
            <m:sSubPr>
              <m:ctrlPr/>
            </m:sSubPr>
            <m:e>
              <m:r>
                <m:t>I</m:t>
              </m:r>
            </m:e>
            <m:sub>
              <m:r>
                <m:t>n</m:t>
              </m:r>
            </m:sub>
          </m:sSub>
          <m:r>
            <m:t>=</m:t>
          </m:r>
          <m:f>
            <m:fPr>
              <m:ctrlPr/>
            </m:fPr>
            <m:num>
              <m:sSub>
                <m:sSubPr>
                  <m:ctrlPr/>
                </m:sSubPr>
                <m:e>
                  <m:r>
                    <m:t>I</m:t>
                  </m:r>
                </m:e>
                <m:sub>
                  <m:r>
                    <m:t>0</m:t>
                  </m:r>
                </m:sub>
              </m:sSub>
            </m:num>
            <m:den>
              <m:r>
                <m:t>N</m:t>
              </m:r>
            </m:den>
          </m:f>
          <m:r>
            <m:t>∙</m:t>
          </m:r>
          <m:nary>
            <m:naryPr>
              <m:chr m:val="∑"/>
              <m:limLoc m:val="undOvr"/>
              <m:ctrlPr/>
            </m:naryPr>
            <m:sub>
              <m:r>
                <m:t>i=1</m:t>
              </m:r>
            </m:sub>
            <m:sup>
              <m:r>
                <m:t>N</m:t>
              </m:r>
            </m:sup>
            <m:e>
              <m:f>
                <m:fPr>
                  <m:ctrlPr/>
                </m:fPr>
                <m:num>
                  <m:sSub>
                    <m:sSubPr>
                      <m:ctrlPr/>
                    </m:sSubPr>
                    <m:e>
                      <m:r>
                        <m:t>P</m:t>
                      </m:r>
                    </m:e>
                    <m:sub>
                      <m:r>
                        <m:t>i</m:t>
                      </m:r>
                    </m:sub>
                  </m:sSub>
                </m:num>
                <m:den>
                  <m:sSubSup>
                    <m:sSubSupPr>
                      <m:ctrlPr/>
                    </m:sSubSupPr>
                    <m:e>
                      <m:r>
                        <m:t>P</m:t>
                      </m:r>
                    </m:e>
                    <m:sub>
                      <m:r>
                        <m:t>i</m:t>
                      </m:r>
                    </m:sub>
                    <m:sup>
                      <m:r>
                        <m:t>0</m:t>
                      </m:r>
                    </m:sup>
                  </m:sSubSup>
                </m:den>
              </m:f>
            </m:e>
          </m:nary>
          <m:r>
            <m:t xml:space="preserve"> ,</m:t>
          </m:r>
        </m:oMath>
      </m:oMathPara>
    </w:p>
    <w:p w14:paraId="44ABAF4D" w14:textId="77777777" w:rsidR="001070AE" w:rsidRPr="001A16A5" w:rsidRDefault="001070AE" w:rsidP="001070AE">
      <w:pPr>
        <w:pStyle w:val="af9"/>
      </w:pPr>
      <w:r>
        <w:t>where:</w:t>
      </w:r>
    </w:p>
    <w:tbl>
      <w:tblPr>
        <w:tblW w:w="8124" w:type="dxa"/>
        <w:tblInd w:w="1129" w:type="dxa"/>
        <w:tblLook w:val="04A0" w:firstRow="1" w:lastRow="0" w:firstColumn="1" w:lastColumn="0" w:noHBand="0" w:noVBand="1"/>
      </w:tblPr>
      <w:tblGrid>
        <w:gridCol w:w="572"/>
        <w:gridCol w:w="7552"/>
      </w:tblGrid>
      <w:tr w:rsidR="001070AE" w:rsidRPr="001F6033" w14:paraId="576F56C3" w14:textId="77777777" w:rsidTr="00986751">
        <w:tc>
          <w:tcPr>
            <w:tcW w:w="572" w:type="dxa"/>
            <w:shd w:val="clear" w:color="auto" w:fill="auto"/>
          </w:tcPr>
          <w:p w14:paraId="0970E53F" w14:textId="77777777" w:rsidR="001070AE" w:rsidRPr="001A16A5" w:rsidRDefault="001070AE" w:rsidP="00986751">
            <w:pPr>
              <w:jc w:val="both"/>
            </w:pPr>
            <w:r>
              <w:t>I</w:t>
            </w:r>
            <w:r>
              <w:rPr>
                <w:vertAlign w:val="subscript"/>
              </w:rPr>
              <w:t>n</w:t>
            </w:r>
          </w:p>
        </w:tc>
        <w:tc>
          <w:tcPr>
            <w:tcW w:w="7552" w:type="dxa"/>
            <w:shd w:val="clear" w:color="auto" w:fill="auto"/>
          </w:tcPr>
          <w:p w14:paraId="4B174999" w14:textId="77777777" w:rsidR="001070AE" w:rsidRPr="001F6033" w:rsidRDefault="001070AE" w:rsidP="00986751">
            <w:pPr>
              <w:jc w:val="both"/>
            </w:pPr>
            <w:r>
              <w:t>–  the Index value at the n</w:t>
            </w:r>
            <w:r>
              <w:rPr>
                <w:vertAlign w:val="superscript"/>
              </w:rPr>
              <w:t>th</w:t>
            </w:r>
            <w:r>
              <w:t xml:space="preserve"> moment;</w:t>
            </w:r>
          </w:p>
        </w:tc>
      </w:tr>
      <w:tr w:rsidR="001070AE" w:rsidRPr="001F6033" w14:paraId="533555B1" w14:textId="77777777" w:rsidTr="00986751">
        <w:tc>
          <w:tcPr>
            <w:tcW w:w="572" w:type="dxa"/>
            <w:shd w:val="clear" w:color="auto" w:fill="auto"/>
          </w:tcPr>
          <w:p w14:paraId="65604B0F" w14:textId="77777777" w:rsidR="001070AE" w:rsidRPr="001A16A5" w:rsidRDefault="001070AE" w:rsidP="00986751">
            <w:pPr>
              <w:jc w:val="both"/>
            </w:pPr>
            <w:r>
              <w:t>P</w:t>
            </w:r>
            <w:r>
              <w:rPr>
                <w:vertAlign w:val="subscript"/>
              </w:rPr>
              <w:t>i</w:t>
            </w:r>
          </w:p>
        </w:tc>
        <w:tc>
          <w:tcPr>
            <w:tcW w:w="7552" w:type="dxa"/>
            <w:shd w:val="clear" w:color="auto" w:fill="auto"/>
          </w:tcPr>
          <w:p w14:paraId="3A2C5E95" w14:textId="67EA3495" w:rsidR="001070AE" w:rsidRPr="001F6033" w:rsidRDefault="001070AE" w:rsidP="00986751">
            <w:pPr>
              <w:jc w:val="both"/>
            </w:pPr>
            <w:r>
              <w:t xml:space="preserve">the price of the </w:t>
            </w:r>
            <w:proofErr w:type="spellStart"/>
            <w:r>
              <w:t>i</w:t>
            </w:r>
            <w:r>
              <w:rPr>
                <w:vertAlign w:val="superscript"/>
              </w:rPr>
              <w:t>th</w:t>
            </w:r>
            <w:proofErr w:type="spellEnd"/>
            <w:r>
              <w:t xml:space="preserve"> Fund Unit in the Index;</w:t>
            </w:r>
          </w:p>
        </w:tc>
      </w:tr>
      <w:tr w:rsidR="001070AE" w:rsidRPr="001F6033" w14:paraId="4114D41C" w14:textId="77777777" w:rsidTr="00986751">
        <w:tc>
          <w:tcPr>
            <w:tcW w:w="572" w:type="dxa"/>
            <w:shd w:val="clear" w:color="auto" w:fill="auto"/>
          </w:tcPr>
          <w:p w14:paraId="40253FCB" w14:textId="77777777" w:rsidR="001070AE" w:rsidRPr="001A16A5" w:rsidRDefault="001070AE" w:rsidP="00986751">
            <w:pPr>
              <w:jc w:val="both"/>
            </w:pPr>
            <w:r>
              <w:t>P</w:t>
            </w:r>
            <w:r>
              <w:rPr>
                <w:vertAlign w:val="subscript"/>
              </w:rPr>
              <w:t>i</w:t>
            </w:r>
            <w:r>
              <w:rPr>
                <w:vertAlign w:val="superscript"/>
              </w:rPr>
              <w:t>0</w:t>
            </w:r>
          </w:p>
        </w:tc>
        <w:tc>
          <w:tcPr>
            <w:tcW w:w="7552" w:type="dxa"/>
            <w:shd w:val="clear" w:color="auto" w:fill="auto"/>
          </w:tcPr>
          <w:p w14:paraId="700D1613" w14:textId="584E5B53" w:rsidR="001070AE" w:rsidRPr="001A16A5" w:rsidRDefault="001070AE" w:rsidP="00986751">
            <w:pPr>
              <w:jc w:val="both"/>
            </w:pPr>
            <w:r>
              <w:t xml:space="preserve">the price of the </w:t>
            </w:r>
            <w:proofErr w:type="spellStart"/>
            <w:r>
              <w:t>i</w:t>
            </w:r>
            <w:r>
              <w:rPr>
                <w:vertAlign w:val="superscript"/>
              </w:rPr>
              <w:t>th</w:t>
            </w:r>
            <w:proofErr w:type="spellEnd"/>
            <w:r>
              <w:t xml:space="preserve"> Fund Unit as of the Index Review Date;</w:t>
            </w:r>
          </w:p>
        </w:tc>
      </w:tr>
      <w:tr w:rsidR="001070AE" w:rsidRPr="001F6033" w14:paraId="5D3D68E8" w14:textId="77777777" w:rsidTr="00986751">
        <w:tc>
          <w:tcPr>
            <w:tcW w:w="572" w:type="dxa"/>
            <w:shd w:val="clear" w:color="auto" w:fill="auto"/>
          </w:tcPr>
          <w:p w14:paraId="5719FDBA" w14:textId="77777777" w:rsidR="001070AE" w:rsidRPr="001F6033" w:rsidRDefault="001070AE" w:rsidP="00986751">
            <w:pPr>
              <w:jc w:val="both"/>
              <w:rPr>
                <w:rFonts w:cs="Tahoma"/>
                <w:szCs w:val="20"/>
              </w:rPr>
            </w:pPr>
            <w:r>
              <w:t xml:space="preserve">N </w:t>
            </w:r>
          </w:p>
        </w:tc>
        <w:tc>
          <w:tcPr>
            <w:tcW w:w="7552" w:type="dxa"/>
            <w:shd w:val="clear" w:color="auto" w:fill="auto"/>
          </w:tcPr>
          <w:p w14:paraId="1B27B452" w14:textId="0BB54DC7" w:rsidR="001070AE" w:rsidRPr="00171EE3" w:rsidRDefault="001070AE" w:rsidP="00986751">
            <w:pPr>
              <w:jc w:val="both"/>
              <w:rPr>
                <w:rFonts w:cs="Tahoma"/>
                <w:szCs w:val="20"/>
              </w:rPr>
            </w:pPr>
            <w:r>
              <w:t>– the number of Fund Units in the Index;</w:t>
            </w:r>
          </w:p>
        </w:tc>
      </w:tr>
      <w:tr w:rsidR="001070AE" w:rsidRPr="001F6033" w14:paraId="47D1369C" w14:textId="77777777" w:rsidTr="00986751">
        <w:tc>
          <w:tcPr>
            <w:tcW w:w="572" w:type="dxa"/>
            <w:shd w:val="clear" w:color="auto" w:fill="auto"/>
          </w:tcPr>
          <w:p w14:paraId="17EE7230" w14:textId="77777777" w:rsidR="001070AE" w:rsidRPr="008821B5" w:rsidRDefault="001070AE" w:rsidP="00986751">
            <w:pPr>
              <w:jc w:val="both"/>
              <w:rPr>
                <w:i/>
                <w:vertAlign w:val="subscript"/>
              </w:rPr>
            </w:pPr>
            <w:r>
              <w:t>I</w:t>
            </w:r>
            <w:r>
              <w:rPr>
                <w:vertAlign w:val="subscript"/>
              </w:rPr>
              <w:t>0</w:t>
            </w:r>
          </w:p>
        </w:tc>
        <w:tc>
          <w:tcPr>
            <w:tcW w:w="7552" w:type="dxa"/>
            <w:shd w:val="clear" w:color="auto" w:fill="auto"/>
          </w:tcPr>
          <w:p w14:paraId="319F501D" w14:textId="4BC6CD96" w:rsidR="001070AE" w:rsidRPr="008821B5" w:rsidRDefault="001070AE" w:rsidP="00986751">
            <w:pPr>
              <w:jc w:val="both"/>
            </w:pPr>
            <w:r>
              <w:t>– the Index closing value as of the Index Review Date.</w:t>
            </w:r>
          </w:p>
        </w:tc>
      </w:tr>
    </w:tbl>
    <w:p w14:paraId="4028E2DA" w14:textId="77777777" w:rsidR="001070AE" w:rsidRPr="00A8634E" w:rsidRDefault="001070AE" w:rsidP="001070AE">
      <w:pPr>
        <w:ind w:left="1276"/>
        <w:jc w:val="both"/>
      </w:pPr>
    </w:p>
    <w:p w14:paraId="401B33CB" w14:textId="5525FFE1" w:rsidR="001F110A" w:rsidRPr="00284406" w:rsidRDefault="001F110A" w:rsidP="001F110A">
      <w:pPr>
        <w:pStyle w:val="30"/>
        <w:ind w:left="1078" w:hanging="794"/>
      </w:pPr>
      <w:r>
        <w:t>The value of the MOEX Calm Index at the time of its first calculation is: I</w:t>
      </w:r>
      <w:r>
        <w:rPr>
          <w:vertAlign w:val="subscript"/>
        </w:rPr>
        <w:t>1</w:t>
      </w:r>
      <w:r>
        <w:t xml:space="preserve"> = 1,000 as of 30 December 2025.</w:t>
      </w:r>
    </w:p>
    <w:bookmarkEnd w:id="63"/>
    <w:p w14:paraId="7B294C80" w14:textId="61E5F9D8" w:rsidR="00B61B3D" w:rsidRDefault="002F1DA6" w:rsidP="000925DA">
      <w:pPr>
        <w:pStyle w:val="30"/>
        <w:ind w:left="1078" w:hanging="794"/>
      </w:pPr>
      <w:r>
        <w:t>The Indices are expressed in points and rounded to two decimals.</w:t>
      </w:r>
    </w:p>
    <w:p w14:paraId="203B2A5A" w14:textId="1FA27E53" w:rsidR="00536B73" w:rsidRPr="001A16A5" w:rsidRDefault="00536B73" w:rsidP="00536B73">
      <w:pPr>
        <w:pStyle w:val="30"/>
        <w:ind w:left="1078" w:hanging="794"/>
      </w:pPr>
      <w:r>
        <w:t xml:space="preserve">The Index closing value as of the Index Review Date (I0) shall be used for further Index calculation starting from the trading day following the specified Review Date until a new Index Review and/or the occurrence of corporate actions in cases provided for in Clause </w:t>
      </w:r>
      <w:r>
        <w:fldChar w:fldCharType="begin"/>
      </w:r>
      <w:r>
        <w:instrText xml:space="preserve"> REF _Ref423520053 \r \h </w:instrText>
      </w:r>
      <w:r>
        <w:fldChar w:fldCharType="separate"/>
      </w:r>
      <w:r>
        <w:t>3.3</w:t>
      </w:r>
      <w:r>
        <w:fldChar w:fldCharType="end"/>
      </w:r>
      <w:r>
        <w:t xml:space="preserve"> of this Methodology.</w:t>
      </w:r>
    </w:p>
    <w:p w14:paraId="4EAEBAA5" w14:textId="77777777" w:rsidR="00536B73" w:rsidRPr="00284406" w:rsidRDefault="00536B73" w:rsidP="00536B73">
      <w:pPr>
        <w:pStyle w:val="30"/>
        <w:numPr>
          <w:ilvl w:val="0"/>
          <w:numId w:val="0"/>
        </w:numPr>
        <w:ind w:left="1078"/>
      </w:pPr>
    </w:p>
    <w:p w14:paraId="42EB4942" w14:textId="5C60B483" w:rsidR="00C41EDC" w:rsidRPr="00284406" w:rsidRDefault="00C41EDC" w:rsidP="00667B99">
      <w:pPr>
        <w:pStyle w:val="a"/>
      </w:pPr>
      <w:bookmarkStart w:id="64" w:name="_Toc65591901"/>
      <w:bookmarkStart w:id="65" w:name="_Ref323388095"/>
      <w:bookmarkStart w:id="66" w:name="_Ref332097595"/>
      <w:bookmarkStart w:id="67" w:name="_Ref488404578"/>
      <w:bookmarkStart w:id="68" w:name="п_3_2"/>
      <w:bookmarkStart w:id="69" w:name="_Ref235351856"/>
      <w:bookmarkStart w:id="70" w:name="_Ref306365601"/>
      <w:bookmarkStart w:id="71" w:name="_Ref306199762"/>
      <w:bookmarkStart w:id="72" w:name="_Toc243658356"/>
      <w:r>
        <w:t>Determining the Fund Unit price</w:t>
      </w:r>
      <w:bookmarkEnd w:id="64"/>
      <w:bookmarkEnd w:id="72"/>
    </w:p>
    <w:p w14:paraId="57663A46" w14:textId="33089333" w:rsidR="00C41EDC" w:rsidRPr="00284406" w:rsidRDefault="00C41EDC" w:rsidP="00D136DE">
      <w:pPr>
        <w:pStyle w:val="30"/>
        <w:spacing w:before="120"/>
        <w:ind w:left="1078" w:hanging="794"/>
      </w:pPr>
      <w:bookmarkStart w:id="73" w:name="_Ref323385773"/>
      <w:r>
        <w:t xml:space="preserve">As the price of the </w:t>
      </w:r>
      <w:proofErr w:type="spellStart"/>
      <w:r>
        <w:t>i</w:t>
      </w:r>
      <w:r>
        <w:rPr>
          <w:vertAlign w:val="superscript"/>
        </w:rPr>
        <w:t>th</w:t>
      </w:r>
      <w:proofErr w:type="spellEnd"/>
      <w:r>
        <w:t xml:space="preserve"> Fund Unit (P</w:t>
      </w:r>
      <w:r>
        <w:rPr>
          <w:vertAlign w:val="subscript"/>
        </w:rPr>
        <w:t>i</w:t>
      </w:r>
      <w:r>
        <w:t>) is used the closing price of this Unit determined at the close of trading on the Exchange in accordance with the Trading Rules for the Equity, Deposit and Credit Markets.</w:t>
      </w:r>
      <w:bookmarkEnd w:id="73"/>
    </w:p>
    <w:p w14:paraId="07D66C58" w14:textId="512EA73A" w:rsidR="00C41EDC" w:rsidRPr="00284406" w:rsidRDefault="00C41EDC" w:rsidP="00C41EDC">
      <w:pPr>
        <w:pStyle w:val="30"/>
        <w:ind w:left="1078" w:hanging="794"/>
      </w:pPr>
      <w:bookmarkStart w:id="74" w:name="_Ref62235920"/>
      <w:r>
        <w:t xml:space="preserve">The price of the </w:t>
      </w:r>
      <w:proofErr w:type="spellStart"/>
      <w:r>
        <w:t>i</w:t>
      </w:r>
      <w:r>
        <w:rPr>
          <w:vertAlign w:val="superscript"/>
        </w:rPr>
        <w:t>th</w:t>
      </w:r>
      <w:proofErr w:type="spellEnd"/>
      <w:r>
        <w:t xml:space="preserve"> Fund Unit (Pi) is determined with the accuracy of the price tick set for this Unit in the Trading Rules for the Equity &amp; Bond, Deposit and Credit Markets.</w:t>
      </w:r>
      <w:bookmarkEnd w:id="74"/>
    </w:p>
    <w:p w14:paraId="48072870" w14:textId="01411291" w:rsidR="00C41EDC" w:rsidRPr="00284406" w:rsidRDefault="00C41EDC" w:rsidP="00C41EDC">
      <w:pPr>
        <w:pStyle w:val="30"/>
        <w:ind w:left="1078" w:hanging="794"/>
      </w:pPr>
      <w:r>
        <w:t xml:space="preserve">The procedure for determining the price of the </w:t>
      </w:r>
      <w:proofErr w:type="spellStart"/>
      <w:r>
        <w:t>i</w:t>
      </w:r>
      <w:r>
        <w:rPr>
          <w:vertAlign w:val="superscript"/>
        </w:rPr>
        <w:t>th</w:t>
      </w:r>
      <w:proofErr w:type="spellEnd"/>
      <w:r>
        <w:t xml:space="preserve"> Fund Unit (Pi) stipulated in clauses </w:t>
      </w:r>
      <w:fldSimple w:instr=" REF _Ref323385773 \r  \* MERGEFORMAT ">
        <w:r w:rsidR="006014C9">
          <w:t>2.2.1</w:t>
        </w:r>
      </w:fldSimple>
      <w:r>
        <w:t>-</w:t>
      </w:r>
      <w:fldSimple w:instr=" REF _Ref62235920 \r  \* MERGEFORMAT ">
        <w:r w:rsidR="006014C9">
          <w:t>2.2.2</w:t>
        </w:r>
      </w:fldSimple>
      <w:r>
        <w:t xml:space="preserve"> of this Methodology shall not apply in the case stipulated in clause </w:t>
      </w:r>
      <w:r w:rsidRPr="00284406">
        <w:fldChar w:fldCharType="begin"/>
      </w:r>
      <w:r w:rsidRPr="00284406">
        <w:instrText xml:space="preserve"> REF _Ref235351831 \r \h  \* MERGEFORMAT </w:instrText>
      </w:r>
      <w:r w:rsidRPr="00284406">
        <w:fldChar w:fldCharType="separate"/>
      </w:r>
      <w:r w:rsidR="00536B73">
        <w:t>3.3.3</w:t>
      </w:r>
      <w:r w:rsidRPr="00284406">
        <w:fldChar w:fldCharType="end"/>
      </w:r>
      <w:r>
        <w:t xml:space="preserve"> of this Methodology.</w:t>
      </w:r>
    </w:p>
    <w:p w14:paraId="566AED98" w14:textId="77777777" w:rsidR="00451250" w:rsidRPr="00284406" w:rsidRDefault="00451250" w:rsidP="00451250">
      <w:pPr>
        <w:pStyle w:val="a"/>
        <w:spacing w:before="120"/>
      </w:pPr>
      <w:bookmarkStart w:id="75" w:name="_Ref482878825"/>
      <w:bookmarkStart w:id="76" w:name="_Toc488065472"/>
      <w:bookmarkStart w:id="77" w:name="_Toc65591903"/>
      <w:bookmarkStart w:id="78" w:name="_Toc155794161"/>
      <w:bookmarkStart w:id="79" w:name="_Ref482878774"/>
      <w:bookmarkStart w:id="80" w:name="_Toc488065473"/>
      <w:bookmarkStart w:id="81" w:name="_Toc424122354"/>
      <w:bookmarkStart w:id="82" w:name="_Toc243658357"/>
      <w:bookmarkEnd w:id="65"/>
      <w:bookmarkEnd w:id="66"/>
      <w:bookmarkEnd w:id="67"/>
      <w:bookmarkEnd w:id="68"/>
      <w:bookmarkEnd w:id="69"/>
      <w:bookmarkEnd w:id="70"/>
      <w:bookmarkEnd w:id="71"/>
      <w:r>
        <w:t xml:space="preserve">Calculating weighting </w:t>
      </w:r>
      <w:proofErr w:type="spellStart"/>
      <w:r>
        <w:t>cactors</w:t>
      </w:r>
      <w:bookmarkEnd w:id="75"/>
      <w:bookmarkEnd w:id="76"/>
      <w:bookmarkEnd w:id="77"/>
      <w:bookmarkEnd w:id="78"/>
      <w:bookmarkEnd w:id="82"/>
      <w:proofErr w:type="spellEnd"/>
    </w:p>
    <w:p w14:paraId="4B7116E5" w14:textId="0E76601E" w:rsidR="00A01951" w:rsidRDefault="00451250" w:rsidP="00A01951">
      <w:pPr>
        <w:pStyle w:val="30"/>
        <w:keepNext/>
        <w:spacing w:before="120"/>
        <w:ind w:left="1078" w:hanging="794"/>
      </w:pPr>
      <w:r>
        <w:t xml:space="preserve">The Weight of the </w:t>
      </w:r>
      <w:proofErr w:type="spellStart"/>
      <w:r>
        <w:t>i</w:t>
      </w:r>
      <w:r>
        <w:rPr>
          <w:vertAlign w:val="superscript"/>
        </w:rPr>
        <w:t>th</w:t>
      </w:r>
      <w:proofErr w:type="spellEnd"/>
      <w:r>
        <w:t xml:space="preserve"> Fund Unit is calculated according to the following formula:</w:t>
      </w:r>
    </w:p>
    <w:p w14:paraId="39D19E81" w14:textId="77777777" w:rsidR="00A01951" w:rsidRPr="00A01951" w:rsidRDefault="00A01951" w:rsidP="00A01951">
      <w:pPr>
        <w:pStyle w:val="afb"/>
      </w:pPr>
      <w:bookmarkStart w:id="83" w:name="_Hlk240468227"/>
      <m:oMathPara>
        <m:oMathParaPr>
          <m:jc m:val="center"/>
        </m:oMathParaPr>
        <m:oMath>
          <m:r>
            <m:t>Wgh</m:t>
          </m:r>
          <m:sSub>
            <m:sSubPr>
              <m:ctrlPr/>
            </m:sSubPr>
            <m:e>
              <m:r>
                <m:t>t</m:t>
              </m:r>
            </m:e>
            <m:sub>
              <m:r>
                <m:t>i</m:t>
              </m:r>
            </m:sub>
          </m:sSub>
          <m:r>
            <m:t>=</m:t>
          </m:r>
          <m:f>
            <m:fPr>
              <m:ctrlPr/>
            </m:fPr>
            <m:num>
              <m:f>
                <m:fPr>
                  <m:ctrlPr/>
                </m:fPr>
                <m:num>
                  <m:sSub>
                    <m:sSubPr>
                      <m:ctrlPr/>
                    </m:sSubPr>
                    <m:e>
                      <m:r>
                        <m:t>P</m:t>
                      </m:r>
                    </m:e>
                    <m:sub>
                      <m:r>
                        <m:t>i</m:t>
                      </m:r>
                    </m:sub>
                  </m:sSub>
                </m:num>
                <m:den>
                  <m:sSubSup>
                    <m:sSubSupPr>
                      <m:ctrlPr/>
                    </m:sSubSupPr>
                    <m:e>
                      <m:r>
                        <m:t>P</m:t>
                      </m:r>
                    </m:e>
                    <m:sub>
                      <m:r>
                        <m:t>i</m:t>
                      </m:r>
                    </m:sub>
                    <m:sup>
                      <m:r>
                        <m:t>0</m:t>
                      </m:r>
                    </m:sup>
                  </m:sSubSup>
                </m:den>
              </m:f>
            </m:num>
            <m:den>
              <m:nary>
                <m:naryPr>
                  <m:chr m:val="∑"/>
                  <m:limLoc m:val="undOvr"/>
                  <m:ctrlPr/>
                </m:naryPr>
                <m:sub>
                  <m:r>
                    <m:t>i=1</m:t>
                  </m:r>
                </m:sub>
                <m:sup>
                  <m:r>
                    <m:t>N</m:t>
                  </m:r>
                </m:sup>
                <m:e>
                  <m:f>
                    <m:fPr>
                      <m:ctrlPr/>
                    </m:fPr>
                    <m:num>
                      <m:sSub>
                        <m:sSubPr>
                          <m:ctrlPr/>
                        </m:sSubPr>
                        <m:e>
                          <m:r>
                            <m:t>P</m:t>
                          </m:r>
                        </m:e>
                        <m:sub>
                          <m:r>
                            <m:t>i</m:t>
                          </m:r>
                        </m:sub>
                      </m:sSub>
                    </m:num>
                    <m:den>
                      <m:sSubSup>
                        <m:sSubSupPr>
                          <m:ctrlPr/>
                        </m:sSubSupPr>
                        <m:e>
                          <m:r>
                            <m:t>P</m:t>
                          </m:r>
                        </m:e>
                        <m:sub>
                          <m:r>
                            <m:t>i</m:t>
                          </m:r>
                        </m:sub>
                        <m:sup>
                          <m:r>
                            <m:t>0</m:t>
                          </m:r>
                        </m:sup>
                      </m:sSubSup>
                    </m:den>
                  </m:f>
                </m:e>
              </m:nary>
            </m:den>
          </m:f>
          <m:r>
            <m:t>∙100%</m:t>
          </m:r>
        </m:oMath>
      </m:oMathPara>
    </w:p>
    <w:p w14:paraId="39BA9C7F" w14:textId="77777777" w:rsidR="00A01951" w:rsidRPr="006B1432" w:rsidRDefault="00A01951" w:rsidP="00A01951">
      <w:pPr>
        <w:pStyle w:val="af9"/>
      </w:pPr>
      <w:r>
        <w:t>where:</w:t>
      </w:r>
    </w:p>
    <w:tbl>
      <w:tblPr>
        <w:tblW w:w="8105" w:type="dxa"/>
        <w:tblInd w:w="1470" w:type="dxa"/>
        <w:tblLook w:val="04A0" w:firstRow="1" w:lastRow="0" w:firstColumn="1" w:lastColumn="0" w:noHBand="0" w:noVBand="1"/>
      </w:tblPr>
      <w:tblGrid>
        <w:gridCol w:w="940"/>
        <w:gridCol w:w="7165"/>
      </w:tblGrid>
      <w:tr w:rsidR="00A01951" w:rsidRPr="001F6033" w14:paraId="125B5835" w14:textId="77777777" w:rsidTr="00986751">
        <w:tc>
          <w:tcPr>
            <w:tcW w:w="940" w:type="dxa"/>
            <w:shd w:val="clear" w:color="auto" w:fill="auto"/>
          </w:tcPr>
          <w:p w14:paraId="4712819D" w14:textId="77777777" w:rsidR="00A01951" w:rsidRPr="001F6033" w:rsidRDefault="00A01951" w:rsidP="00986751">
            <w:pPr>
              <w:jc w:val="both"/>
            </w:pPr>
            <w:proofErr w:type="spellStart"/>
            <w:r>
              <w:t>Wght</w:t>
            </w:r>
            <w:r>
              <w:rPr>
                <w:vertAlign w:val="subscript"/>
              </w:rPr>
              <w:t>i</w:t>
            </w:r>
            <w:proofErr w:type="spellEnd"/>
          </w:p>
        </w:tc>
        <w:tc>
          <w:tcPr>
            <w:tcW w:w="7165" w:type="dxa"/>
            <w:shd w:val="clear" w:color="auto" w:fill="auto"/>
          </w:tcPr>
          <w:p w14:paraId="2C0336D5" w14:textId="23083BD6" w:rsidR="00A01951" w:rsidRPr="001F6033" w:rsidRDefault="00A01951" w:rsidP="00986751">
            <w:pPr>
              <w:jc w:val="both"/>
            </w:pPr>
            <w:r>
              <w:t xml:space="preserve">– the weight of the </w:t>
            </w:r>
            <w:proofErr w:type="spellStart"/>
            <w:r>
              <w:t>i</w:t>
            </w:r>
            <w:r>
              <w:rPr>
                <w:vertAlign w:val="superscript"/>
              </w:rPr>
              <w:t>th</w:t>
            </w:r>
            <w:proofErr w:type="spellEnd"/>
            <w:r>
              <w:t xml:space="preserve"> Fund Unit;</w:t>
            </w:r>
          </w:p>
        </w:tc>
      </w:tr>
      <w:tr w:rsidR="00A01951" w:rsidRPr="001F6033" w14:paraId="19CFDDE4" w14:textId="77777777" w:rsidTr="00986751">
        <w:tc>
          <w:tcPr>
            <w:tcW w:w="940" w:type="dxa"/>
            <w:shd w:val="clear" w:color="auto" w:fill="auto"/>
          </w:tcPr>
          <w:p w14:paraId="5553A007" w14:textId="77777777" w:rsidR="00A01951" w:rsidRPr="001A16A5" w:rsidRDefault="00A01951" w:rsidP="00986751">
            <w:pPr>
              <w:jc w:val="both"/>
            </w:pPr>
            <w:r>
              <w:t>P</w:t>
            </w:r>
            <w:r>
              <w:rPr>
                <w:vertAlign w:val="subscript"/>
              </w:rPr>
              <w:t>i</w:t>
            </w:r>
          </w:p>
        </w:tc>
        <w:tc>
          <w:tcPr>
            <w:tcW w:w="7165" w:type="dxa"/>
            <w:shd w:val="clear" w:color="auto" w:fill="auto"/>
          </w:tcPr>
          <w:p w14:paraId="042EFDEB" w14:textId="670D3E58" w:rsidR="00A01951" w:rsidRPr="001F6033" w:rsidRDefault="00A01951" w:rsidP="00986751">
            <w:pPr>
              <w:jc w:val="both"/>
            </w:pPr>
            <w:r>
              <w:t xml:space="preserve">the price of the </w:t>
            </w:r>
            <w:proofErr w:type="spellStart"/>
            <w:r>
              <w:t>i</w:t>
            </w:r>
            <w:r>
              <w:rPr>
                <w:vertAlign w:val="superscript"/>
              </w:rPr>
              <w:t>th</w:t>
            </w:r>
            <w:proofErr w:type="spellEnd"/>
            <w:r>
              <w:t xml:space="preserve"> Fund Unit in the Index;</w:t>
            </w:r>
          </w:p>
        </w:tc>
      </w:tr>
      <w:tr w:rsidR="00A01951" w:rsidRPr="001F6033" w14:paraId="368AE203" w14:textId="77777777" w:rsidTr="00986751">
        <w:tc>
          <w:tcPr>
            <w:tcW w:w="940" w:type="dxa"/>
            <w:shd w:val="clear" w:color="auto" w:fill="auto"/>
          </w:tcPr>
          <w:p w14:paraId="56802C2C" w14:textId="77777777" w:rsidR="00A01951" w:rsidRPr="001A16A5" w:rsidRDefault="00A01951" w:rsidP="00986751">
            <w:pPr>
              <w:jc w:val="both"/>
            </w:pPr>
            <w:r>
              <w:t>P</w:t>
            </w:r>
            <w:r>
              <w:rPr>
                <w:vertAlign w:val="subscript"/>
              </w:rPr>
              <w:t>i</w:t>
            </w:r>
            <w:r>
              <w:rPr>
                <w:vertAlign w:val="superscript"/>
              </w:rPr>
              <w:t>0</w:t>
            </w:r>
          </w:p>
        </w:tc>
        <w:tc>
          <w:tcPr>
            <w:tcW w:w="7165" w:type="dxa"/>
            <w:shd w:val="clear" w:color="auto" w:fill="auto"/>
          </w:tcPr>
          <w:p w14:paraId="0E2B849B" w14:textId="6778660C" w:rsidR="00A01951" w:rsidRPr="001A16A5" w:rsidRDefault="00A01951" w:rsidP="00986751">
            <w:pPr>
              <w:jc w:val="both"/>
            </w:pPr>
            <w:r>
              <w:t xml:space="preserve">the price of the </w:t>
            </w:r>
            <w:proofErr w:type="spellStart"/>
            <w:r>
              <w:t>i</w:t>
            </w:r>
            <w:r>
              <w:rPr>
                <w:vertAlign w:val="superscript"/>
              </w:rPr>
              <w:t>th</w:t>
            </w:r>
            <w:proofErr w:type="spellEnd"/>
            <w:r>
              <w:t xml:space="preserve"> Fund Unit as of the Index Review Date;</w:t>
            </w:r>
          </w:p>
        </w:tc>
      </w:tr>
      <w:tr w:rsidR="00A01951" w:rsidRPr="001F6033" w14:paraId="75D89D22" w14:textId="77777777" w:rsidTr="00986751">
        <w:trPr>
          <w:trHeight w:val="80"/>
        </w:trPr>
        <w:tc>
          <w:tcPr>
            <w:tcW w:w="940" w:type="dxa"/>
            <w:shd w:val="clear" w:color="auto" w:fill="auto"/>
          </w:tcPr>
          <w:p w14:paraId="090D4D4F" w14:textId="77777777" w:rsidR="00A01951" w:rsidRPr="001F6033" w:rsidRDefault="00A01951" w:rsidP="00986751">
            <w:pPr>
              <w:jc w:val="both"/>
              <w:rPr>
                <w:rFonts w:cs="Tahoma"/>
                <w:szCs w:val="20"/>
              </w:rPr>
            </w:pPr>
            <w:r>
              <w:t>N</w:t>
            </w:r>
          </w:p>
        </w:tc>
        <w:tc>
          <w:tcPr>
            <w:tcW w:w="7165" w:type="dxa"/>
            <w:shd w:val="clear" w:color="auto" w:fill="auto"/>
          </w:tcPr>
          <w:p w14:paraId="5E5B765C" w14:textId="1E82C74A" w:rsidR="00A01951" w:rsidRPr="00A01951" w:rsidRDefault="00A01951" w:rsidP="00986751">
            <w:pPr>
              <w:jc w:val="both"/>
              <w:rPr>
                <w:rFonts w:cs="Tahoma"/>
                <w:szCs w:val="20"/>
              </w:rPr>
            </w:pPr>
            <w:r>
              <w:t>– the number of Fund Units in the Index.</w:t>
            </w:r>
          </w:p>
        </w:tc>
      </w:tr>
      <w:bookmarkEnd w:id="83"/>
    </w:tbl>
    <w:p w14:paraId="36440588" w14:textId="41B8D3C2" w:rsidR="00A01951" w:rsidRDefault="00A01951" w:rsidP="00A01951"/>
    <w:p w14:paraId="77A407B3" w14:textId="274EB74D" w:rsidR="00D136DE" w:rsidRPr="004F6462" w:rsidRDefault="00D136DE" w:rsidP="00D136DE">
      <w:pPr>
        <w:pStyle w:val="10"/>
        <w:spacing w:before="120"/>
        <w:rPr>
          <w:rFonts w:cs="Tahoma"/>
        </w:rPr>
      </w:pPr>
      <w:bookmarkStart w:id="84" w:name="_Формирование_и_пересмотр"/>
      <w:bookmarkStart w:id="85" w:name="_Toc243658358"/>
      <w:bookmarkEnd w:id="79"/>
      <w:bookmarkEnd w:id="80"/>
      <w:bookmarkEnd w:id="81"/>
      <w:bookmarkEnd w:id="84"/>
      <w:r>
        <w:t>Index construction and review</w:t>
      </w:r>
      <w:bookmarkEnd w:id="85"/>
    </w:p>
    <w:p w14:paraId="6AC86499" w14:textId="046A298E" w:rsidR="00D136DE" w:rsidRPr="00284406" w:rsidRDefault="00D136DE" w:rsidP="00D136DE">
      <w:pPr>
        <w:pStyle w:val="a"/>
        <w:spacing w:before="120"/>
        <w:jc w:val="both"/>
      </w:pPr>
      <w:bookmarkStart w:id="86" w:name="_Ref423512999"/>
      <w:bookmarkStart w:id="87" w:name="_Ref423518818"/>
      <w:bookmarkStart w:id="88" w:name="_Toc424122355"/>
      <w:bookmarkStart w:id="89" w:name="_Toc438206730"/>
      <w:bookmarkStart w:id="90" w:name="_Toc438206766"/>
      <w:bookmarkStart w:id="91" w:name="_Toc438206986"/>
      <w:bookmarkStart w:id="92" w:name="_Toc433902902"/>
      <w:bookmarkStart w:id="93" w:name="_Toc463443760"/>
      <w:bookmarkStart w:id="94" w:name="_Toc488065475"/>
      <w:bookmarkStart w:id="95" w:name="_Toc65591906"/>
      <w:bookmarkStart w:id="96" w:name="_Toc155794164"/>
      <w:bookmarkStart w:id="97" w:name="_Toc243658359"/>
      <w:r>
        <w:t xml:space="preserve">Index </w:t>
      </w:r>
      <w:r w:rsidR="00275DA8">
        <w:t>c</w:t>
      </w:r>
      <w:r>
        <w:t>onstruction principles</w:t>
      </w:r>
      <w:bookmarkEnd w:id="86"/>
      <w:bookmarkEnd w:id="87"/>
      <w:bookmarkEnd w:id="88"/>
      <w:bookmarkEnd w:id="89"/>
      <w:bookmarkEnd w:id="90"/>
      <w:bookmarkEnd w:id="91"/>
      <w:bookmarkEnd w:id="92"/>
      <w:bookmarkEnd w:id="93"/>
      <w:bookmarkEnd w:id="94"/>
      <w:bookmarkEnd w:id="95"/>
      <w:bookmarkEnd w:id="96"/>
      <w:bookmarkEnd w:id="97"/>
    </w:p>
    <w:p w14:paraId="2D1E40FB" w14:textId="003FDFCF" w:rsidR="00D136DE" w:rsidRPr="00284406" w:rsidRDefault="00D136DE" w:rsidP="00E424CE">
      <w:pPr>
        <w:pStyle w:val="30"/>
        <w:ind w:left="1276" w:hanging="709"/>
      </w:pPr>
      <w:bookmarkStart w:id="98" w:name="_Ref162528694"/>
      <w:r>
        <w:t>The list of the Index Constituents includes the names of unit investment funds and the names of Asset Management Companies that have launched these funds.</w:t>
      </w:r>
      <w:bookmarkEnd w:id="98"/>
    </w:p>
    <w:p w14:paraId="7CAFABDB" w14:textId="610E3018" w:rsidR="00D136DE" w:rsidRPr="00284406" w:rsidRDefault="00D136DE" w:rsidP="00D136DE">
      <w:pPr>
        <w:pStyle w:val="30"/>
        <w:ind w:left="1276" w:hanging="709"/>
      </w:pPr>
      <w:bookmarkStart w:id="99" w:name="_Ref61890143"/>
      <w:r>
        <w:t>The Index is constructed according to the following algorithm:</w:t>
      </w:r>
      <w:bookmarkEnd w:id="99"/>
    </w:p>
    <w:p w14:paraId="0D55303B" w14:textId="3F6DDA9C" w:rsidR="00C0150E" w:rsidRPr="00D04015" w:rsidRDefault="00D04015" w:rsidP="00CD4C74">
      <w:pPr>
        <w:pStyle w:val="11"/>
        <w:rPr>
          <w:rFonts w:cs="Tahoma"/>
        </w:rPr>
      </w:pPr>
      <w:proofErr w:type="spellStart"/>
      <w:r>
        <w:t>UIFs</w:t>
      </w:r>
      <w:proofErr w:type="spellEnd"/>
      <w:r>
        <w:t xml:space="preserve"> established no later than three years from the start date of the calendar month preceding the Index Formation Date are selected;</w:t>
      </w:r>
    </w:p>
    <w:p w14:paraId="6AF6AA5D" w14:textId="2065828D" w:rsidR="00291FB4" w:rsidRDefault="00402D1D" w:rsidP="00402D1D">
      <w:pPr>
        <w:pStyle w:val="11"/>
        <w:rPr>
          <w:rFonts w:cs="Tahoma"/>
        </w:rPr>
      </w:pPr>
      <w:r>
        <w:t xml:space="preserve">Funds are selected for which the percentage of reported trading volume (pursuant to Bank of Russia Ordinance No. 6264-U dated 26 September 2022) for such </w:t>
      </w:r>
      <w:proofErr w:type="spellStart"/>
      <w:r>
        <w:t>UIFs</w:t>
      </w:r>
      <w:proofErr w:type="spellEnd"/>
      <w:r>
        <w:t xml:space="preserve"> executed in the over-the-counter (OTC) market (excluding the aggregate trading volume for such </w:t>
      </w:r>
      <w:proofErr w:type="spellStart"/>
      <w:r>
        <w:t>UIFs</w:t>
      </w:r>
      <w:proofErr w:type="spellEnd"/>
      <w:r>
        <w:t xml:space="preserve"> executed through the MOEX Continuous Auction with </w:t>
      </w:r>
      <w:proofErr w:type="spellStart"/>
      <w:r>
        <w:t>CCP</w:t>
      </w:r>
      <w:proofErr w:type="spellEnd"/>
      <w:r>
        <w:t xml:space="preserve"> board) in the total trading volume for such </w:t>
      </w:r>
      <w:proofErr w:type="spellStart"/>
      <w:r>
        <w:t>UIFs</w:t>
      </w:r>
      <w:proofErr w:type="spellEnd"/>
      <w:r>
        <w:t xml:space="preserve"> executed through the MOEX Central Order Book T+ board, as well as reported trading volume (pursuant to Bank of Russia Ordinance No. 6264-U dated 26 September 2022) for such </w:t>
      </w:r>
      <w:proofErr w:type="spellStart"/>
      <w:r>
        <w:t>UIFs</w:t>
      </w:r>
      <w:proofErr w:type="spellEnd"/>
      <w:r>
        <w:t xml:space="preserve"> executed in the OTC market, for the calendar month preceding the Index Formation Date, does not exceed 30%;</w:t>
      </w:r>
    </w:p>
    <w:p w14:paraId="787124C5" w14:textId="5C8B66E1" w:rsidR="00C0150E" w:rsidRPr="00291FB4" w:rsidRDefault="00D04015" w:rsidP="00402D1D">
      <w:pPr>
        <w:pStyle w:val="11"/>
        <w:rPr>
          <w:rFonts w:cs="Tahoma"/>
        </w:rPr>
      </w:pPr>
      <w:r>
        <w:t xml:space="preserve">The 25 </w:t>
      </w:r>
      <w:proofErr w:type="spellStart"/>
      <w:r>
        <w:t>UIFs</w:t>
      </w:r>
      <w:proofErr w:type="spellEnd"/>
      <w:r>
        <w:t xml:space="preserve"> with the largest volume of shares held by individuals as of the end of the calendar month preceding the Index Formation Date are selected;</w:t>
      </w:r>
    </w:p>
    <w:p w14:paraId="35773AF0" w14:textId="5CCE395D" w:rsidR="00CD4C74" w:rsidRPr="00D04015" w:rsidRDefault="00D04015" w:rsidP="00CD4C74">
      <w:pPr>
        <w:pStyle w:val="11"/>
        <w:rPr>
          <w:rFonts w:cs="Tahoma"/>
        </w:rPr>
      </w:pPr>
      <w:r>
        <w:t xml:space="preserve">The 10 </w:t>
      </w:r>
      <w:proofErr w:type="spellStart"/>
      <w:r>
        <w:t>UIFs</w:t>
      </w:r>
      <w:proofErr w:type="spellEnd"/>
      <w:r>
        <w:t xml:space="preserve"> with the minimum trading volatility, determined using the Yang-Zhang estimator, are selected. The volatility calculation algorithm is presented in Appendix 1.</w:t>
      </w:r>
    </w:p>
    <w:p w14:paraId="4E9E9342" w14:textId="4F94F307" w:rsidR="00D136DE" w:rsidRPr="004F6462" w:rsidRDefault="00D136DE" w:rsidP="00D136DE">
      <w:pPr>
        <w:pStyle w:val="30"/>
        <w:ind w:left="1361"/>
        <w:rPr>
          <w:rFonts w:cs="Tahoma"/>
        </w:rPr>
      </w:pPr>
      <w:bookmarkStart w:id="100" w:name="_Ref424048119"/>
      <w:r>
        <w:t xml:space="preserve">The Exchange may decide to add (remove) a Fund Unit in (from) the Index that is not included (included) in the Index in accordance with the requirements set in clause </w:t>
      </w:r>
      <w:r w:rsidRPr="004F6462">
        <w:rPr>
          <w:rStyle w:val="af7"/>
          <w:rFonts w:ascii="Tahoma" w:hAnsi="Tahoma" w:cs="Tahoma"/>
        </w:rPr>
        <w:fldChar w:fldCharType="begin"/>
      </w:r>
      <w:r w:rsidRPr="004F6462">
        <w:rPr>
          <w:rStyle w:val="af7"/>
          <w:rFonts w:ascii="Tahoma" w:hAnsi="Tahoma" w:cs="Tahoma"/>
        </w:rPr>
        <w:instrText xml:space="preserve"> REF _Ref61890143 \r \h  \* MERGEFORMAT </w:instrText>
      </w:r>
      <w:r w:rsidRPr="004F6462">
        <w:rPr>
          <w:rStyle w:val="af7"/>
          <w:rFonts w:ascii="Tahoma" w:hAnsi="Tahoma" w:cs="Tahoma"/>
        </w:rPr>
      </w:r>
      <w:r w:rsidRPr="004F6462">
        <w:rPr>
          <w:rStyle w:val="af7"/>
          <w:rFonts w:ascii="Tahoma" w:hAnsi="Tahoma" w:cs="Tahoma"/>
        </w:rPr>
        <w:fldChar w:fldCharType="separate"/>
      </w:r>
      <w:r w:rsidR="00536B73">
        <w:rPr>
          <w:rStyle w:val="af7"/>
          <w:rFonts w:ascii="Tahoma" w:hAnsi="Tahoma" w:cs="Tahoma"/>
        </w:rPr>
        <w:t>3.1.2</w:t>
      </w:r>
      <w:r w:rsidRPr="004F6462">
        <w:rPr>
          <w:rStyle w:val="af7"/>
          <w:rFonts w:ascii="Tahoma" w:hAnsi="Tahoma" w:cs="Tahoma"/>
        </w:rPr>
        <w:fldChar w:fldCharType="end"/>
      </w:r>
      <w:r>
        <w:t xml:space="preserve"> of this Methodology.</w:t>
      </w:r>
      <w:r>
        <w:rPr>
          <w:rStyle w:val="af7"/>
          <w:rFonts w:ascii="Tahoma" w:hAnsi="Tahoma"/>
        </w:rPr>
        <w:t xml:space="preserve"> Such decision shall be made subject to the requirements to the content of the Constituent Stocks list established by these Methodology and the regulations of the Bank of Russia.</w:t>
      </w:r>
      <w:bookmarkEnd w:id="100"/>
    </w:p>
    <w:p w14:paraId="40CF2723" w14:textId="3ED8056B" w:rsidR="000E48CF" w:rsidRPr="00284406" w:rsidRDefault="002F1DA6" w:rsidP="00D136DE">
      <w:pPr>
        <w:pStyle w:val="a"/>
        <w:spacing w:before="120"/>
      </w:pPr>
      <w:bookmarkStart w:id="101" w:name="_Toc424291542"/>
      <w:bookmarkStart w:id="102" w:name="_Toc424641384"/>
      <w:bookmarkStart w:id="103" w:name="_Toc424811499"/>
      <w:bookmarkStart w:id="104" w:name="_Toc424291543"/>
      <w:bookmarkStart w:id="105" w:name="_Toc424641385"/>
      <w:bookmarkStart w:id="106" w:name="_Toc424811500"/>
      <w:bookmarkStart w:id="107" w:name="_Toc424291544"/>
      <w:bookmarkStart w:id="108" w:name="_Toc424641386"/>
      <w:bookmarkStart w:id="109" w:name="_Toc424811501"/>
      <w:bookmarkStart w:id="110" w:name="_Toc424291545"/>
      <w:bookmarkStart w:id="111" w:name="_Toc424641387"/>
      <w:bookmarkStart w:id="112" w:name="_Toc424811502"/>
      <w:bookmarkStart w:id="113" w:name="_Toc424291546"/>
      <w:bookmarkStart w:id="114" w:name="_Toc424641388"/>
      <w:bookmarkStart w:id="115" w:name="_Toc424811503"/>
      <w:bookmarkStart w:id="116" w:name="_Toc424291547"/>
      <w:bookmarkStart w:id="117" w:name="_Toc424641389"/>
      <w:bookmarkStart w:id="118" w:name="_Toc424811504"/>
      <w:bookmarkStart w:id="119" w:name="_Toc424291548"/>
      <w:bookmarkStart w:id="120" w:name="_Toc424641390"/>
      <w:bookmarkStart w:id="121" w:name="_Toc424811505"/>
      <w:bookmarkStart w:id="122" w:name="_Toc424291549"/>
      <w:bookmarkStart w:id="123" w:name="_Toc424641391"/>
      <w:bookmarkStart w:id="124" w:name="_Toc424811506"/>
      <w:bookmarkStart w:id="125" w:name="_Toc424291550"/>
      <w:bookmarkStart w:id="126" w:name="_Toc424641392"/>
      <w:bookmarkStart w:id="127" w:name="_Toc424811507"/>
      <w:bookmarkStart w:id="128" w:name="_Toc424291551"/>
      <w:bookmarkStart w:id="129" w:name="_Toc424641393"/>
      <w:bookmarkStart w:id="130" w:name="_Toc424811508"/>
      <w:bookmarkStart w:id="131" w:name="_Toc424291552"/>
      <w:bookmarkStart w:id="132" w:name="_Toc424641394"/>
      <w:bookmarkStart w:id="133" w:name="_Toc424811509"/>
      <w:bookmarkStart w:id="134" w:name="_Toc424291553"/>
      <w:bookmarkStart w:id="135" w:name="_Toc424641395"/>
      <w:bookmarkStart w:id="136" w:name="_Toc424811510"/>
      <w:bookmarkStart w:id="137" w:name="_Toc424291554"/>
      <w:bookmarkStart w:id="138" w:name="_Toc424641396"/>
      <w:bookmarkStart w:id="139" w:name="_Toc424811511"/>
      <w:bookmarkStart w:id="140" w:name="_Toc424291555"/>
      <w:bookmarkStart w:id="141" w:name="_Toc424641397"/>
      <w:bookmarkStart w:id="142" w:name="_Toc424811512"/>
      <w:bookmarkStart w:id="143" w:name="_Toc424291556"/>
      <w:bookmarkStart w:id="144" w:name="_Toc424641398"/>
      <w:bookmarkStart w:id="145" w:name="_Toc424811513"/>
      <w:bookmarkStart w:id="146" w:name="_Toc424291557"/>
      <w:bookmarkStart w:id="147" w:name="_Toc424641399"/>
      <w:bookmarkStart w:id="148" w:name="_Toc424811514"/>
      <w:bookmarkStart w:id="149" w:name="_Toc424121800"/>
      <w:bookmarkStart w:id="150" w:name="_Toc424231494"/>
      <w:bookmarkStart w:id="151" w:name="_Toc424231642"/>
      <w:bookmarkStart w:id="152" w:name="_Toc424122372"/>
      <w:bookmarkStart w:id="153" w:name="_Toc438206738"/>
      <w:bookmarkStart w:id="154" w:name="_Toc438206774"/>
      <w:bookmarkStart w:id="155" w:name="_Toc438206994"/>
      <w:bookmarkStart w:id="156" w:name="_Toc433902910"/>
      <w:bookmarkStart w:id="157" w:name="_Toc463443768"/>
      <w:bookmarkStart w:id="158" w:name="_Toc488065483"/>
      <w:bookmarkStart w:id="159" w:name="_Toc24365836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t>Index review</w:t>
      </w:r>
      <w:bookmarkEnd w:id="152"/>
      <w:bookmarkEnd w:id="153"/>
      <w:bookmarkEnd w:id="154"/>
      <w:bookmarkEnd w:id="155"/>
      <w:bookmarkEnd w:id="156"/>
      <w:bookmarkEnd w:id="157"/>
      <w:bookmarkEnd w:id="158"/>
      <w:bookmarkEnd w:id="159"/>
    </w:p>
    <w:p w14:paraId="661D4EA4" w14:textId="62A9E305" w:rsidR="00D27107" w:rsidRPr="00284406" w:rsidRDefault="002F1DA6" w:rsidP="00D136DE">
      <w:pPr>
        <w:pStyle w:val="30"/>
        <w:keepNext/>
        <w:spacing w:before="120"/>
        <w:ind w:left="1078" w:hanging="794"/>
      </w:pPr>
      <w:r>
        <w:t>Fund Units are added to and removed from the Index at the Index Reviews.</w:t>
      </w:r>
    </w:p>
    <w:p w14:paraId="73C99549" w14:textId="7222E225" w:rsidR="007428D5" w:rsidRPr="00636E22" w:rsidRDefault="002F1DA6" w:rsidP="007428D5">
      <w:pPr>
        <w:pStyle w:val="30"/>
        <w:keepNext/>
        <w:ind w:left="1078" w:hanging="794"/>
      </w:pPr>
      <w:bookmarkStart w:id="160" w:name="_Ref511664437"/>
      <w:r>
        <w:t xml:space="preserve">Regular index reviews shall be carried out once a month, except for cases provided by this Methodology. </w:t>
      </w:r>
      <w:bookmarkEnd w:id="160"/>
      <w:r>
        <w:t xml:space="preserve">The revised Index </w:t>
      </w:r>
      <w:r w:rsidR="00275DA8">
        <w:t>Constituents</w:t>
      </w:r>
      <w:r>
        <w:t xml:space="preserve"> shall enter into force from the beginning of the main trading session of the trading day following the second Thursday of the month. The Exchange may decide to set other dates for the entry into force of the reconstituted Index.</w:t>
      </w:r>
    </w:p>
    <w:p w14:paraId="746553AF" w14:textId="7FE8A988" w:rsidR="007F430A" w:rsidRPr="00284406" w:rsidRDefault="007F430A" w:rsidP="007428D5">
      <w:pPr>
        <w:pStyle w:val="30"/>
        <w:keepNext/>
        <w:ind w:left="1078" w:hanging="794"/>
      </w:pPr>
      <w:r>
        <w:t>An unscheduled review of the Index may take place in the following cases:</w:t>
      </w:r>
    </w:p>
    <w:p w14:paraId="6E48584F" w14:textId="33199C47" w:rsidR="007F430A" w:rsidRPr="00395FBA" w:rsidRDefault="007F430A" w:rsidP="007F430A">
      <w:pPr>
        <w:pStyle w:val="11"/>
        <w:rPr>
          <w:rFonts w:cs="Tahoma"/>
        </w:rPr>
      </w:pPr>
      <w:r>
        <w:t>when trading in the Fund Unit on the Exchange is ceased;</w:t>
      </w:r>
    </w:p>
    <w:p w14:paraId="6870B2BA" w14:textId="055F42CF" w:rsidR="007F430A" w:rsidRPr="00284406" w:rsidRDefault="007F430A" w:rsidP="007F430A">
      <w:pPr>
        <w:pStyle w:val="11"/>
        <w:rPr>
          <w:rFonts w:cs="Tahoma"/>
        </w:rPr>
      </w:pPr>
      <w:r>
        <w:t xml:space="preserve">following the introduction of trading restrictions on the Fund Unit in the section/trading board used for the calculation of the Indices in accordance with clause </w:t>
      </w:r>
      <w:r w:rsidR="003D35F1">
        <w:rPr>
          <w:rFonts w:cs="Tahoma"/>
        </w:rPr>
        <w:fldChar w:fldCharType="begin"/>
      </w:r>
      <w:r w:rsidR="003D35F1">
        <w:rPr>
          <w:rFonts w:cs="Tahoma"/>
        </w:rPr>
        <w:instrText xml:space="preserve"> REF _Ref323385773 \r \h </w:instrText>
      </w:r>
      <w:r w:rsidR="003D35F1">
        <w:rPr>
          <w:rFonts w:cs="Tahoma"/>
        </w:rPr>
      </w:r>
      <w:r w:rsidR="003D35F1">
        <w:rPr>
          <w:rFonts w:cs="Tahoma"/>
        </w:rPr>
        <w:fldChar w:fldCharType="separate"/>
      </w:r>
      <w:r w:rsidR="006014C9">
        <w:rPr>
          <w:rFonts w:cs="Tahoma"/>
        </w:rPr>
        <w:t>2.2.1</w:t>
      </w:r>
      <w:r w:rsidR="003D35F1">
        <w:rPr>
          <w:rFonts w:cs="Tahoma"/>
        </w:rPr>
        <w:fldChar w:fldCharType="end"/>
      </w:r>
      <w:r>
        <w:t xml:space="preserve"> of this Methodology;</w:t>
      </w:r>
    </w:p>
    <w:p w14:paraId="07C7CCA1" w14:textId="6EE00CB2" w:rsidR="00395FBA" w:rsidRPr="00395FBA" w:rsidRDefault="00395FBA" w:rsidP="00395FBA">
      <w:pPr>
        <w:pStyle w:val="11"/>
        <w:rPr>
          <w:rFonts w:cs="Tahoma"/>
        </w:rPr>
      </w:pPr>
      <w:r>
        <w:t>in the event of the reorganization of an UIF;</w:t>
      </w:r>
    </w:p>
    <w:p w14:paraId="4685764B" w14:textId="2453F9F5" w:rsidR="007F430A" w:rsidRPr="00395FBA" w:rsidRDefault="007F430A" w:rsidP="007F430A">
      <w:pPr>
        <w:pStyle w:val="11"/>
        <w:rPr>
          <w:rFonts w:cs="Tahoma"/>
        </w:rPr>
      </w:pPr>
      <w:r>
        <w:t>in the event of the termination of an UIF;</w:t>
      </w:r>
    </w:p>
    <w:p w14:paraId="0917E43B" w14:textId="77777777" w:rsidR="007F430A" w:rsidRPr="00284406" w:rsidRDefault="007F430A" w:rsidP="007F430A">
      <w:pPr>
        <w:pStyle w:val="11"/>
        <w:rPr>
          <w:rFonts w:cs="Tahoma"/>
        </w:rPr>
      </w:pPr>
      <w:r>
        <w:lastRenderedPageBreak/>
        <w:t>in other cases that may have a material impact on the calculation of the Index.</w:t>
      </w:r>
    </w:p>
    <w:p w14:paraId="5AE51124" w14:textId="017D0499" w:rsidR="00FB7740" w:rsidRPr="00284406" w:rsidRDefault="002F1DA6" w:rsidP="000925DA">
      <w:pPr>
        <w:pStyle w:val="30"/>
        <w:keepNext/>
        <w:ind w:left="1078" w:hanging="794"/>
      </w:pPr>
      <w:r>
        <w:t xml:space="preserve">At the time of its review, the Index is structured in accordance with clauses </w:t>
      </w:r>
      <w:r w:rsidR="00FB7740" w:rsidRPr="00284406">
        <w:fldChar w:fldCharType="begin"/>
      </w:r>
      <w:r w:rsidR="00FB7740" w:rsidRPr="00284406">
        <w:instrText xml:space="preserve"> REF _Ref162528694 \r \h </w:instrText>
      </w:r>
      <w:r w:rsidR="00284406">
        <w:instrText xml:space="preserve"> \* MERGEFORMAT </w:instrText>
      </w:r>
      <w:r w:rsidR="00FB7740" w:rsidRPr="00284406">
        <w:fldChar w:fldCharType="separate"/>
      </w:r>
      <w:r w:rsidR="006014C9">
        <w:t>3.1.1</w:t>
      </w:r>
      <w:r w:rsidR="00FB7740" w:rsidRPr="00284406">
        <w:fldChar w:fldCharType="end"/>
      </w:r>
      <w:r>
        <w:t>-</w:t>
      </w:r>
      <w:r w:rsidR="00FB7740" w:rsidRPr="00284406">
        <w:fldChar w:fldCharType="begin"/>
      </w:r>
      <w:r w:rsidR="00FB7740" w:rsidRPr="00284406">
        <w:instrText xml:space="preserve"> REF _Ref424048119 \r \h </w:instrText>
      </w:r>
      <w:r w:rsidR="00FB7740" w:rsidRPr="00284406">
        <w:fldChar w:fldCharType="separate"/>
      </w:r>
      <w:r w:rsidR="006014C9">
        <w:t>3.1.3</w:t>
      </w:r>
      <w:r w:rsidR="00FB7740" w:rsidRPr="00284406">
        <w:fldChar w:fldCharType="end"/>
      </w:r>
      <w:r>
        <w:t xml:space="preserve"> of this Methodology.</w:t>
      </w:r>
    </w:p>
    <w:p w14:paraId="1ED13B03" w14:textId="139C57CF" w:rsidR="00D27107" w:rsidRPr="00284406" w:rsidRDefault="002F1DA6" w:rsidP="000925DA">
      <w:pPr>
        <w:pStyle w:val="30"/>
        <w:keepNext/>
        <w:ind w:left="1078" w:hanging="794"/>
      </w:pPr>
      <w:r>
        <w:t>Regular Index Reviews are announced no later than one week before the Exchange's decision to approve new Index Constituents takes effect.</w:t>
      </w:r>
    </w:p>
    <w:p w14:paraId="5BD1AEBD" w14:textId="1E9839C1" w:rsidR="00B63D82" w:rsidRPr="00284406" w:rsidRDefault="00602525" w:rsidP="000925DA">
      <w:pPr>
        <w:pStyle w:val="30"/>
        <w:keepNext/>
        <w:ind w:left="1078" w:hanging="794"/>
      </w:pPr>
      <w:bookmarkStart w:id="161" w:name="_Hlk162958084"/>
      <w:r>
        <w:t>Notice of an extraordinary index review shall be given no later than the day before the new Index Constituents take effect.</w:t>
      </w:r>
    </w:p>
    <w:p w14:paraId="63186782" w14:textId="77777777" w:rsidR="00C41EDC" w:rsidRPr="00284406" w:rsidRDefault="00C41EDC" w:rsidP="00D136DE">
      <w:pPr>
        <w:pStyle w:val="a"/>
        <w:tabs>
          <w:tab w:val="clear" w:pos="9344"/>
        </w:tabs>
        <w:spacing w:before="120"/>
      </w:pPr>
      <w:bookmarkStart w:id="162" w:name="_Ref423520053"/>
      <w:bookmarkStart w:id="163" w:name="_Toc424122375"/>
      <w:bookmarkStart w:id="164" w:name="_Toc438206741"/>
      <w:bookmarkStart w:id="165" w:name="_Toc438206777"/>
      <w:bookmarkStart w:id="166" w:name="_Toc438206997"/>
      <w:bookmarkStart w:id="167" w:name="_Toc433902913"/>
      <w:bookmarkStart w:id="168" w:name="_Toc463443771"/>
      <w:bookmarkStart w:id="169" w:name="_Toc488065484"/>
      <w:bookmarkStart w:id="170" w:name="_Toc65591908"/>
      <w:bookmarkStart w:id="171" w:name="_Toc155794166"/>
      <w:bookmarkStart w:id="172" w:name="_Ref335748680"/>
      <w:bookmarkStart w:id="173" w:name="_Toc243658361"/>
      <w:bookmarkEnd w:id="161"/>
      <w:r>
        <w:t>Treatment of corporate events</w:t>
      </w:r>
      <w:bookmarkEnd w:id="162"/>
      <w:bookmarkEnd w:id="163"/>
      <w:bookmarkEnd w:id="164"/>
      <w:bookmarkEnd w:id="165"/>
      <w:bookmarkEnd w:id="166"/>
      <w:bookmarkEnd w:id="167"/>
      <w:bookmarkEnd w:id="168"/>
      <w:bookmarkEnd w:id="169"/>
      <w:bookmarkEnd w:id="170"/>
      <w:bookmarkEnd w:id="171"/>
      <w:bookmarkEnd w:id="173"/>
    </w:p>
    <w:p w14:paraId="3A47C337" w14:textId="406B9DED" w:rsidR="00C41EDC" w:rsidRPr="004965D3" w:rsidRDefault="00C41EDC" w:rsidP="004965D3">
      <w:pPr>
        <w:pStyle w:val="30"/>
        <w:keepNext/>
        <w:spacing w:before="120"/>
        <w:ind w:left="1078" w:hanging="794"/>
      </w:pPr>
      <w:r>
        <w:t xml:space="preserve">In the event of a Fund Unit split, or a change in the volume and/or procedure for exercising the rights attached to the </w:t>
      </w:r>
      <w:proofErr w:type="spellStart"/>
      <w:r>
        <w:t>Fudn</w:t>
      </w:r>
      <w:proofErr w:type="spellEnd"/>
      <w:r>
        <w:t xml:space="preserve"> Unit, the decision on processing such events shall be made by the Exchange.</w:t>
      </w:r>
    </w:p>
    <w:p w14:paraId="5A4E6F25" w14:textId="545F5234" w:rsidR="00F033F1" w:rsidRPr="00033EEA" w:rsidRDefault="00C41EDC" w:rsidP="004965D3">
      <w:pPr>
        <w:pStyle w:val="30"/>
        <w:keepNext/>
        <w:spacing w:before="120"/>
        <w:ind w:left="1078" w:hanging="794"/>
      </w:pPr>
      <w:r>
        <w:t xml:space="preserve">If trading in the </w:t>
      </w:r>
      <w:proofErr w:type="spellStart"/>
      <w:r>
        <w:t>i</w:t>
      </w:r>
      <w:r>
        <w:rPr>
          <w:vertAlign w:val="superscript"/>
        </w:rPr>
        <w:t>th</w:t>
      </w:r>
      <w:proofErr w:type="spellEnd"/>
      <w:r>
        <w:t xml:space="preserve"> Fund Unit has been suspended for more than one trading day, the price measured in the Indices shall remain equal to the price calculated on the day of trading suspension.</w:t>
      </w:r>
    </w:p>
    <w:p w14:paraId="4A3346A1" w14:textId="2BA82545" w:rsidR="00C41EDC" w:rsidRPr="00033EEA" w:rsidRDefault="00C41EDC" w:rsidP="004965D3">
      <w:pPr>
        <w:pStyle w:val="30"/>
        <w:keepNext/>
        <w:spacing w:before="120"/>
        <w:ind w:left="1078" w:hanging="794"/>
      </w:pPr>
      <w:bookmarkStart w:id="174" w:name="_Ref61885035"/>
      <w:bookmarkStart w:id="175" w:name="_Ref235351831"/>
      <w:r>
        <w:t xml:space="preserve">In the event of a split or reverse split of the </w:t>
      </w:r>
      <w:proofErr w:type="spellStart"/>
      <w:r>
        <w:t>i</w:t>
      </w:r>
      <w:r>
        <w:rPr>
          <w:vertAlign w:val="superscript"/>
        </w:rPr>
        <w:t>th</w:t>
      </w:r>
      <w:proofErr w:type="spellEnd"/>
      <w:r>
        <w:t xml:space="preserve"> Fund Units, the price of the Fund Unit (Pi) calculated at the end of the trading day preceding the date of admission to trading of Fund Units resulting from conversion due to such split or reverse split, shall be recalculated on the date of admission. In such recalculation, the price of the </w:t>
      </w:r>
      <w:proofErr w:type="spellStart"/>
      <w:r>
        <w:t>i</w:t>
      </w:r>
      <w:r>
        <w:rPr>
          <w:vertAlign w:val="superscript"/>
        </w:rPr>
        <w:t>th</w:t>
      </w:r>
      <w:proofErr w:type="spellEnd"/>
      <w:r>
        <w:t xml:space="preserve"> Fund Units (Pi) shall be divided by the split ratio or multiplied by the reverse split ratio.</w:t>
      </w:r>
      <w:bookmarkEnd w:id="174"/>
      <w:bookmarkEnd w:id="175"/>
    </w:p>
    <w:p w14:paraId="2D304CFA" w14:textId="721A31E5" w:rsidR="00D27107" w:rsidRPr="00E70146" w:rsidRDefault="00C41EDC" w:rsidP="004965D3">
      <w:pPr>
        <w:pStyle w:val="30"/>
        <w:keepNext/>
        <w:spacing w:before="120"/>
        <w:ind w:left="1078" w:hanging="794"/>
      </w:pPr>
      <w:bookmarkStart w:id="176" w:name="_Toc487630360"/>
      <w:r>
        <w:t xml:space="preserve">When an UIF is reorganised, the price of the Fund Unit is frozen at the price level at the end of the trading day preceding the date of freezing. Depending on the results of the reorganisation, after the price of the </w:t>
      </w:r>
      <w:proofErr w:type="spellStart"/>
      <w:r>
        <w:t>i</w:t>
      </w:r>
      <w:r>
        <w:rPr>
          <w:vertAlign w:val="superscript"/>
        </w:rPr>
        <w:t>th</w:t>
      </w:r>
      <w:proofErr w:type="spellEnd"/>
      <w:r>
        <w:t xml:space="preserve"> Fund Unit ceases to be frozen, the price and/or other parameters of the </w:t>
      </w:r>
      <w:proofErr w:type="spellStart"/>
      <w:r>
        <w:t>i</w:t>
      </w:r>
      <w:r>
        <w:rPr>
          <w:vertAlign w:val="superscript"/>
        </w:rPr>
        <w:t>th</w:t>
      </w:r>
      <w:proofErr w:type="spellEnd"/>
      <w:r>
        <w:t xml:space="preserve"> Fund Unit may be adjusted. The cut-off date for parameters, as well as the conditions under which they will no longer be cut off, are determined on the basis of judgement (expert opinion).</w:t>
      </w:r>
      <w:bookmarkEnd w:id="176"/>
    </w:p>
    <w:p w14:paraId="7D30A83E" w14:textId="14CCE4D3" w:rsidR="00C14780" w:rsidRPr="00284406" w:rsidRDefault="00C14780" w:rsidP="00D136DE">
      <w:pPr>
        <w:pStyle w:val="10"/>
        <w:spacing w:before="120"/>
        <w:rPr>
          <w:rFonts w:cs="Tahoma"/>
        </w:rPr>
      </w:pPr>
      <w:bookmarkStart w:id="177" w:name="_Toc424906503"/>
      <w:bookmarkStart w:id="178" w:name="_Toc424906574"/>
      <w:bookmarkStart w:id="179" w:name="_Toc424906606"/>
      <w:bookmarkStart w:id="180" w:name="_Toc424906650"/>
      <w:bookmarkStart w:id="181" w:name="_Toc424906694"/>
      <w:bookmarkStart w:id="182" w:name="_Toc424906732"/>
      <w:bookmarkStart w:id="183" w:name="_Toc424909149"/>
      <w:bookmarkStart w:id="184" w:name="_Toc425425272"/>
      <w:bookmarkStart w:id="185" w:name="_Toc65591909"/>
      <w:bookmarkStart w:id="186" w:name="_Toc155794167"/>
      <w:bookmarkStart w:id="187" w:name="_Toc424122379"/>
      <w:bookmarkStart w:id="188" w:name="_Toc438206744"/>
      <w:bookmarkStart w:id="189" w:name="_Toc438206780"/>
      <w:bookmarkStart w:id="190" w:name="_Toc438207000"/>
      <w:bookmarkStart w:id="191" w:name="_Toc433902916"/>
      <w:bookmarkStart w:id="192" w:name="_Toc463443774"/>
      <w:bookmarkStart w:id="193" w:name="_Toc488065487"/>
      <w:bookmarkStart w:id="194" w:name="_Toc243658362"/>
      <w:bookmarkEnd w:id="172"/>
      <w:bookmarkEnd w:id="177"/>
      <w:bookmarkEnd w:id="178"/>
      <w:bookmarkEnd w:id="179"/>
      <w:bookmarkEnd w:id="180"/>
      <w:bookmarkEnd w:id="181"/>
      <w:bookmarkEnd w:id="182"/>
      <w:bookmarkEnd w:id="183"/>
      <w:bookmarkEnd w:id="184"/>
      <w:r>
        <w:t>Calculation timing and disclosure of the Indices</w:t>
      </w:r>
      <w:bookmarkEnd w:id="185"/>
      <w:bookmarkEnd w:id="186"/>
      <w:bookmarkEnd w:id="194"/>
    </w:p>
    <w:p w14:paraId="4EB35353" w14:textId="77777777" w:rsidR="00C14780" w:rsidRPr="00284406" w:rsidRDefault="00C14780" w:rsidP="00D136DE">
      <w:pPr>
        <w:pStyle w:val="a"/>
        <w:spacing w:before="120"/>
      </w:pPr>
      <w:bookmarkStart w:id="195" w:name="_Toc65591910"/>
      <w:bookmarkStart w:id="196" w:name="_Toc155794168"/>
      <w:bookmarkStart w:id="197" w:name="_Toc243658363"/>
      <w:r>
        <w:t>Calculation schedule</w:t>
      </w:r>
      <w:bookmarkEnd w:id="187"/>
      <w:bookmarkEnd w:id="188"/>
      <w:bookmarkEnd w:id="189"/>
      <w:bookmarkEnd w:id="190"/>
      <w:bookmarkEnd w:id="191"/>
      <w:bookmarkEnd w:id="192"/>
      <w:bookmarkEnd w:id="193"/>
      <w:bookmarkEnd w:id="195"/>
      <w:bookmarkEnd w:id="196"/>
      <w:bookmarkEnd w:id="197"/>
    </w:p>
    <w:p w14:paraId="50907A48" w14:textId="2988AD51" w:rsidR="00C14780" w:rsidRPr="00284406" w:rsidRDefault="00C14780" w:rsidP="00D136DE">
      <w:pPr>
        <w:pStyle w:val="30"/>
        <w:spacing w:before="120"/>
        <w:ind w:left="1361"/>
      </w:pPr>
      <w:bookmarkStart w:id="198" w:name="_Ref422320147"/>
      <w:r>
        <w:t xml:space="preserve">The Index is </w:t>
      </w:r>
      <w:r w:rsidR="00275DA8">
        <w:t>calculated once</w:t>
      </w:r>
      <w:r>
        <w:t xml:space="preserve"> a day at the end of the main trading session. This single value of the Index for the day is both its current value and the closing value until the next calculation of this Index on the next trading day. </w:t>
      </w:r>
      <w:bookmarkEnd w:id="198"/>
    </w:p>
    <w:p w14:paraId="51B001E8" w14:textId="4E3D0531" w:rsidR="00C14780" w:rsidRPr="00284406" w:rsidRDefault="00C14780" w:rsidP="00C14780">
      <w:pPr>
        <w:pStyle w:val="30"/>
        <w:ind w:left="1361"/>
        <w:rPr>
          <w:rFonts w:cs="Tahoma"/>
        </w:rPr>
      </w:pPr>
      <w:r>
        <w:t>The Exchange has the right to change the time of index calculation, unless otherwise stipulated by the Bank of Russia. Decisions taken by the Exchange in compliance with this clause shall be notified to MOEX trading members not less than five working days prior to the date of coming into effect of respective changes, unless the Exchange has set another term, by announcement of respective information.</w:t>
      </w:r>
    </w:p>
    <w:p w14:paraId="6396B9B4" w14:textId="42957ECF" w:rsidR="00C14780" w:rsidRPr="00284406" w:rsidRDefault="00C14780" w:rsidP="00D136DE">
      <w:pPr>
        <w:pStyle w:val="a"/>
        <w:spacing w:before="120"/>
      </w:pPr>
      <w:bookmarkStart w:id="199" w:name="_Toc424122380"/>
      <w:bookmarkStart w:id="200" w:name="_Toc65591911"/>
      <w:bookmarkStart w:id="201" w:name="_Toc155794169"/>
      <w:bookmarkStart w:id="202" w:name="_Toc243658364"/>
      <w:bookmarkEnd w:id="199"/>
      <w:r>
        <w:t>Index calculation supervision</w:t>
      </w:r>
      <w:bookmarkEnd w:id="200"/>
      <w:bookmarkEnd w:id="201"/>
      <w:bookmarkEnd w:id="202"/>
    </w:p>
    <w:p w14:paraId="285F11D2" w14:textId="15FD15F9" w:rsidR="00C14780" w:rsidRPr="00284406" w:rsidRDefault="00C14780" w:rsidP="00D136DE">
      <w:pPr>
        <w:pStyle w:val="30"/>
        <w:spacing w:before="120"/>
        <w:ind w:left="1361"/>
      </w:pPr>
      <w:r>
        <w:t>The activities related to the creation, calculation, revision of the Index, and this Methodology are based on a set of management principles and rules described in the Index Management Policy of Moscow Exchange.</w:t>
      </w:r>
    </w:p>
    <w:p w14:paraId="623B808D" w14:textId="3D3AFD79" w:rsidR="00C14780" w:rsidRPr="00284406" w:rsidRDefault="00C14780" w:rsidP="00C14780">
      <w:pPr>
        <w:pStyle w:val="30"/>
        <w:ind w:left="1361"/>
      </w:pPr>
      <w:r>
        <w:t xml:space="preserve">In the event of a technical malfunction in the calculation of the </w:t>
      </w:r>
      <w:r w:rsidR="00275DA8">
        <w:t>Index,</w:t>
      </w:r>
      <w:r>
        <w:t xml:space="preserve"> or a technical malfunction in the trading of securities on the Exchange that results in a distortion of the data used for the calculation of the Index, a recalculation of the previously calculated Index values may take place. This recalculation shall be carried out within the shortest possible time from the moment of detection of the technical failure. Upon recalculation of the Index, the Exchange posts the relevant announcement on its website.</w:t>
      </w:r>
    </w:p>
    <w:p w14:paraId="1FBF8435" w14:textId="52D305A2" w:rsidR="00C14780" w:rsidRDefault="00C14780" w:rsidP="00C14780">
      <w:pPr>
        <w:pStyle w:val="30"/>
        <w:ind w:left="1361"/>
        <w:rPr>
          <w:rFonts w:cs="Tahoma"/>
        </w:rPr>
      </w:pPr>
      <w:r>
        <w:t>In case of circumstances that may adversely affect the adequacy of the Index in reflecting the real condition of the Russian financial market, the Exchange is entitled to take any actions necessary to ensure the adequacy of the indices, including excluding Fund Units from the Index, setting values of the parameters used to calculate the indices stipulated by this Methodology, etc.</w:t>
      </w:r>
    </w:p>
    <w:p w14:paraId="0836DFCE" w14:textId="77777777" w:rsidR="00626B18" w:rsidRDefault="00626B18" w:rsidP="00626B18">
      <w:pPr>
        <w:pStyle w:val="30"/>
        <w:ind w:left="1361"/>
        <w:rPr>
          <w:rFonts w:cs="Tahoma"/>
        </w:rPr>
      </w:pPr>
      <w:r>
        <w:t>The Moscow Exchange Regulations on Recalculation of Index Values specify the set of principles guiding the Exchange in the development, calculation and distribution of the Indices in the event of errors in the Index value.</w:t>
      </w:r>
    </w:p>
    <w:p w14:paraId="048BF4B1" w14:textId="77777777" w:rsidR="00626B18" w:rsidRPr="004F6462" w:rsidRDefault="00626B18" w:rsidP="00626B18">
      <w:pPr>
        <w:pStyle w:val="30"/>
        <w:numPr>
          <w:ilvl w:val="0"/>
          <w:numId w:val="0"/>
        </w:numPr>
        <w:ind w:left="1361"/>
        <w:rPr>
          <w:rFonts w:cs="Tahoma"/>
        </w:rPr>
      </w:pPr>
    </w:p>
    <w:p w14:paraId="4F857319" w14:textId="77777777" w:rsidR="00C14780" w:rsidRPr="00284406" w:rsidRDefault="00C14780" w:rsidP="00D136DE">
      <w:pPr>
        <w:pStyle w:val="a"/>
        <w:spacing w:before="120"/>
      </w:pPr>
      <w:bookmarkStart w:id="203" w:name="_Ref423537260"/>
      <w:bookmarkStart w:id="204" w:name="_Toc424122381"/>
      <w:bookmarkStart w:id="205" w:name="_Ref424288365"/>
      <w:bookmarkStart w:id="206" w:name="_Toc438206746"/>
      <w:bookmarkStart w:id="207" w:name="_Toc438206782"/>
      <w:bookmarkStart w:id="208" w:name="_Toc438207002"/>
      <w:bookmarkStart w:id="209" w:name="_Toc433902918"/>
      <w:bookmarkStart w:id="210" w:name="_Toc463443776"/>
      <w:bookmarkStart w:id="211" w:name="_Toc488065489"/>
      <w:bookmarkStart w:id="212" w:name="_Toc65591912"/>
      <w:bookmarkStart w:id="213" w:name="_Toc155794170"/>
      <w:bookmarkStart w:id="214" w:name="_Toc243658365"/>
      <w:r>
        <w:t>Publication</w:t>
      </w:r>
      <w:bookmarkEnd w:id="203"/>
      <w:bookmarkEnd w:id="204"/>
      <w:bookmarkEnd w:id="205"/>
      <w:bookmarkEnd w:id="206"/>
      <w:bookmarkEnd w:id="207"/>
      <w:bookmarkEnd w:id="208"/>
      <w:bookmarkEnd w:id="209"/>
      <w:bookmarkEnd w:id="210"/>
      <w:bookmarkEnd w:id="211"/>
      <w:bookmarkEnd w:id="212"/>
      <w:bookmarkEnd w:id="213"/>
      <w:bookmarkEnd w:id="214"/>
    </w:p>
    <w:p w14:paraId="4D9D5BA6" w14:textId="77777777" w:rsidR="00C14780" w:rsidRPr="00284406" w:rsidRDefault="00C14780" w:rsidP="00744A1A">
      <w:pPr>
        <w:pStyle w:val="30"/>
        <w:spacing w:before="120"/>
        <w:ind w:left="1361" w:hanging="794"/>
        <w:contextualSpacing/>
      </w:pPr>
      <w:r>
        <w:t>Information provided for by the Methodology and regulations of the Bank of Russia is disclosed on the Exchange's official website.</w:t>
      </w:r>
    </w:p>
    <w:p w14:paraId="28D1D9C8" w14:textId="5BEB5007" w:rsidR="00C14780" w:rsidRPr="00284406" w:rsidRDefault="00C14780" w:rsidP="00744A1A">
      <w:pPr>
        <w:pStyle w:val="30"/>
        <w:spacing w:before="120"/>
        <w:ind w:left="1361" w:hanging="794"/>
        <w:contextualSpacing/>
      </w:pPr>
      <w:r>
        <w:t xml:space="preserve">In case of a change in the factors used in the calculation of the Index that are based on judgment (expert opinion), the Exchange discloses on its official website circumstances </w:t>
      </w:r>
      <w:proofErr w:type="gramStart"/>
      <w:r>
        <w:t>taken into account</w:t>
      </w:r>
      <w:proofErr w:type="gramEnd"/>
      <w:r>
        <w:t xml:space="preserve"> in </w:t>
      </w:r>
      <w:r>
        <w:lastRenderedPageBreak/>
        <w:t>changing these factors and justification of such changes not later than the day following the day of their change.</w:t>
      </w:r>
    </w:p>
    <w:p w14:paraId="159C8568" w14:textId="2191140D" w:rsidR="00C14780" w:rsidRPr="00284406" w:rsidRDefault="00C14780" w:rsidP="00744A1A">
      <w:pPr>
        <w:pStyle w:val="30"/>
        <w:ind w:left="1361" w:hanging="794"/>
        <w:contextualSpacing/>
      </w:pPr>
      <w:r>
        <w:t>The values of the Index are published every trading day not later than one hour after the end of the main trading session of the given trading day.</w:t>
      </w:r>
    </w:p>
    <w:p w14:paraId="5A7BCCC6" w14:textId="0792A76E" w:rsidR="00C14780" w:rsidRPr="00284406" w:rsidRDefault="00C14780" w:rsidP="00744A1A">
      <w:pPr>
        <w:pStyle w:val="30"/>
        <w:ind w:left="1361" w:hanging="794"/>
        <w:contextualSpacing/>
      </w:pPr>
      <w:r>
        <w:t>This Methodology and Index values for the past year is available to any interested person on the Exchange official website.</w:t>
      </w:r>
    </w:p>
    <w:p w14:paraId="531DEA34" w14:textId="783DAB5C" w:rsidR="00997388" w:rsidRDefault="00C14780" w:rsidP="00997388">
      <w:pPr>
        <w:pStyle w:val="30"/>
        <w:ind w:left="1361" w:hanging="794"/>
        <w:contextualSpacing/>
      </w:pPr>
      <w:r>
        <w:t xml:space="preserve">Information subject to disclosure under this Methodology may also be disseminated by other means, including through information agencies that distribute </w:t>
      </w:r>
      <w:proofErr w:type="spellStart"/>
      <w:r>
        <w:t>MOEX's</w:t>
      </w:r>
      <w:proofErr w:type="spellEnd"/>
      <w:r>
        <w:t xml:space="preserve"> market data.</w:t>
      </w:r>
    </w:p>
    <w:p w14:paraId="36CF3707" w14:textId="77777777" w:rsidR="00986751" w:rsidRDefault="00986751" w:rsidP="00986751">
      <w:pPr>
        <w:pStyle w:val="a"/>
        <w:numPr>
          <w:ilvl w:val="0"/>
          <w:numId w:val="0"/>
        </w:numPr>
        <w:ind w:left="680" w:hanging="567"/>
        <w:sectPr w:rsidR="00986751" w:rsidSect="00C14780">
          <w:footerReference w:type="even" r:id="rId10"/>
          <w:footerReference w:type="default" r:id="rId11"/>
          <w:footerReference w:type="first" r:id="rId12"/>
          <w:pgSz w:w="11906" w:h="16838"/>
          <w:pgMar w:top="1077" w:right="709" w:bottom="1077" w:left="851" w:header="709" w:footer="466" w:gutter="0"/>
          <w:cols w:space="708"/>
          <w:titlePg/>
          <w:docGrid w:linePitch="360"/>
        </w:sectPr>
      </w:pPr>
    </w:p>
    <w:p w14:paraId="13102635" w14:textId="7A86D5AF" w:rsidR="00986751" w:rsidRPr="00636E22" w:rsidRDefault="00986751" w:rsidP="00275DA8">
      <w:pPr>
        <w:pStyle w:val="10"/>
        <w:numPr>
          <w:ilvl w:val="0"/>
          <w:numId w:val="0"/>
        </w:numPr>
        <w:ind w:left="397"/>
        <w:rPr>
          <w:rFonts w:cs="Tahoma"/>
        </w:rPr>
      </w:pPr>
      <w:bookmarkStart w:id="215" w:name="_Toc424122383"/>
      <w:bookmarkStart w:id="216" w:name="_Toc438206748"/>
      <w:bookmarkStart w:id="217" w:name="_Toc438206784"/>
      <w:bookmarkStart w:id="218" w:name="_Toc438207004"/>
      <w:bookmarkStart w:id="219" w:name="_Toc433902920"/>
      <w:bookmarkStart w:id="220" w:name="_Toc463443778"/>
      <w:bookmarkStart w:id="221" w:name="_Toc488065491"/>
      <w:bookmarkStart w:id="222" w:name="_Toc239680764"/>
      <w:bookmarkStart w:id="223" w:name="_Toc243658366"/>
      <w:r>
        <w:lastRenderedPageBreak/>
        <w:t>Appendix</w:t>
      </w:r>
      <w:bookmarkEnd w:id="215"/>
      <w:bookmarkEnd w:id="216"/>
      <w:bookmarkEnd w:id="217"/>
      <w:bookmarkEnd w:id="218"/>
      <w:bookmarkEnd w:id="219"/>
      <w:bookmarkEnd w:id="220"/>
      <w:bookmarkEnd w:id="221"/>
      <w:bookmarkEnd w:id="222"/>
      <w:r w:rsidR="00275DA8">
        <w:t xml:space="preserve"> </w:t>
      </w:r>
      <w:r>
        <w:t>1</w:t>
      </w:r>
      <w:bookmarkEnd w:id="223"/>
    </w:p>
    <w:p w14:paraId="6D96823D" w14:textId="3EA6E6F4" w:rsidR="00986751" w:rsidRPr="00636E22" w:rsidRDefault="00986751" w:rsidP="00275DA8">
      <w:pPr>
        <w:tabs>
          <w:tab w:val="left" w:pos="993"/>
        </w:tabs>
        <w:spacing w:after="240"/>
        <w:ind w:left="397"/>
        <w:rPr>
          <w:rFonts w:cs="Tahoma"/>
          <w:b/>
          <w:szCs w:val="20"/>
        </w:rPr>
      </w:pPr>
      <w:r>
        <w:rPr>
          <w:b/>
        </w:rPr>
        <w:t>MOEX Calm Index Calculation Methodology</w:t>
      </w:r>
    </w:p>
    <w:p w14:paraId="58770FF2" w14:textId="77777777" w:rsidR="00275DA8" w:rsidRDefault="00275DA8" w:rsidP="00986751">
      <w:pPr>
        <w:tabs>
          <w:tab w:val="left" w:pos="993"/>
        </w:tabs>
        <w:spacing w:after="240"/>
        <w:ind w:left="992"/>
        <w:jc w:val="center"/>
        <w:rPr>
          <w:b/>
        </w:rPr>
      </w:pPr>
    </w:p>
    <w:p w14:paraId="420F46D6" w14:textId="4FD92541" w:rsidR="00986751" w:rsidRPr="00636E22" w:rsidRDefault="00986751" w:rsidP="00986751">
      <w:pPr>
        <w:tabs>
          <w:tab w:val="left" w:pos="993"/>
        </w:tabs>
        <w:spacing w:after="240"/>
        <w:ind w:left="992"/>
        <w:jc w:val="center"/>
        <w:rPr>
          <w:rFonts w:cs="Tahoma"/>
          <w:b/>
          <w:szCs w:val="20"/>
        </w:rPr>
      </w:pPr>
      <w:r>
        <w:rPr>
          <w:b/>
        </w:rPr>
        <w:t>Volatility Calculation Procedure</w:t>
      </w:r>
    </w:p>
    <w:p w14:paraId="128460B6" w14:textId="0B8DBE84" w:rsidR="00986751" w:rsidRPr="00986751" w:rsidRDefault="00986751" w:rsidP="00275DA8">
      <w:pPr>
        <w:spacing w:before="120" w:after="120"/>
        <w:ind w:left="993"/>
        <w:rPr>
          <w:rFonts w:cs="Tahoma"/>
          <w:b/>
          <w:szCs w:val="20"/>
        </w:rPr>
      </w:pPr>
      <w:r>
        <w:rPr>
          <w:b/>
        </w:rPr>
        <w:t>Input Data Preparation</w:t>
      </w:r>
    </w:p>
    <w:p w14:paraId="4D37A4D6" w14:textId="13E0D7A6" w:rsidR="00986751" w:rsidRPr="00986751" w:rsidRDefault="00986751" w:rsidP="00275DA8">
      <w:pPr>
        <w:pStyle w:val="af4"/>
        <w:numPr>
          <w:ilvl w:val="0"/>
          <w:numId w:val="29"/>
        </w:numPr>
        <w:spacing w:before="120" w:after="120"/>
        <w:ind w:left="993" w:firstLine="0"/>
        <w:contextualSpacing w:val="0"/>
      </w:pPr>
      <w:r>
        <w:t>Input data:</w:t>
      </w:r>
    </w:p>
    <w:p w14:paraId="6ABB9190" w14:textId="77777777" w:rsidR="00986751" w:rsidRPr="00986751" w:rsidRDefault="00986751" w:rsidP="00275DA8">
      <w:pPr>
        <w:spacing w:before="120" w:after="120"/>
        <w:ind w:left="993"/>
      </w:pPr>
    </w:p>
    <w:p w14:paraId="4AC7377E" w14:textId="7520B339" w:rsidR="00986751" w:rsidRPr="00986751" w:rsidRDefault="00986751" w:rsidP="00275DA8">
      <w:pPr>
        <w:spacing w:before="120" w:after="120"/>
        <w:ind w:left="993"/>
        <w:jc w:val="both"/>
      </w:pPr>
      <w:r>
        <w:t>For each date T, the following candlestick price sequence is used: OT, HT, LT, CT, where:</w:t>
      </w:r>
    </w:p>
    <w:p w14:paraId="57A8B2DD" w14:textId="77777777" w:rsidR="00986751" w:rsidRPr="00986751" w:rsidRDefault="00986751" w:rsidP="00275DA8">
      <w:pPr>
        <w:spacing w:before="120" w:after="120"/>
        <w:ind w:left="993"/>
        <w:jc w:val="both"/>
      </w:pPr>
    </w:p>
    <w:p w14:paraId="7DE2BD2B" w14:textId="77777777" w:rsidR="00986751" w:rsidRPr="00986751" w:rsidRDefault="00986751" w:rsidP="00275DA8">
      <w:pPr>
        <w:spacing w:before="120" w:after="120"/>
        <w:ind w:left="993"/>
        <w:jc w:val="both"/>
      </w:pPr>
      <w:r>
        <w:t>O</w:t>
      </w:r>
      <w:r>
        <w:rPr>
          <w:vertAlign w:val="subscript"/>
        </w:rPr>
        <w:t>T</w:t>
      </w:r>
      <w:r>
        <w:t xml:space="preserve"> – opening price;</w:t>
      </w:r>
    </w:p>
    <w:p w14:paraId="7E80289B" w14:textId="77777777" w:rsidR="00986751" w:rsidRPr="00986751" w:rsidRDefault="00986751" w:rsidP="00275DA8">
      <w:pPr>
        <w:spacing w:before="120" w:after="120"/>
        <w:ind w:left="993"/>
        <w:jc w:val="both"/>
      </w:pPr>
      <w:r>
        <w:t>H</w:t>
      </w:r>
      <w:r>
        <w:rPr>
          <w:vertAlign w:val="subscript"/>
        </w:rPr>
        <w:t>T</w:t>
      </w:r>
      <w:r>
        <w:t xml:space="preserve"> – high price;</w:t>
      </w:r>
    </w:p>
    <w:p w14:paraId="15A2CA9B" w14:textId="77777777" w:rsidR="00986751" w:rsidRPr="00986751" w:rsidRDefault="00986751" w:rsidP="00275DA8">
      <w:pPr>
        <w:spacing w:before="120" w:after="120"/>
        <w:ind w:left="993"/>
        <w:jc w:val="both"/>
      </w:pPr>
      <w:r>
        <w:t>L</w:t>
      </w:r>
      <w:r>
        <w:rPr>
          <w:vertAlign w:val="subscript"/>
        </w:rPr>
        <w:t>T</w:t>
      </w:r>
      <w:r>
        <w:t xml:space="preserve"> – low price;</w:t>
      </w:r>
    </w:p>
    <w:p w14:paraId="21435F5F" w14:textId="77777777" w:rsidR="00986751" w:rsidRPr="00986751" w:rsidRDefault="00986751" w:rsidP="00275DA8">
      <w:pPr>
        <w:spacing w:before="120" w:after="120"/>
        <w:ind w:left="993"/>
        <w:jc w:val="both"/>
      </w:pPr>
      <w:r>
        <w:t>C</w:t>
      </w:r>
      <w:r>
        <w:rPr>
          <w:vertAlign w:val="subscript"/>
        </w:rPr>
        <w:t>T</w:t>
      </w:r>
      <w:r>
        <w:t xml:space="preserve"> – closing price;</w:t>
      </w:r>
    </w:p>
    <w:p w14:paraId="30AE88CB" w14:textId="77777777" w:rsidR="00986751" w:rsidRPr="00986751" w:rsidRDefault="00986751" w:rsidP="00275DA8">
      <w:pPr>
        <w:spacing w:before="120" w:after="120"/>
        <w:ind w:left="993"/>
        <w:jc w:val="both"/>
      </w:pPr>
    </w:p>
    <w:p w14:paraId="32C29FF3" w14:textId="38EB771D" w:rsidR="00986751" w:rsidRPr="00986751" w:rsidRDefault="00986751" w:rsidP="00275DA8">
      <w:pPr>
        <w:spacing w:before="120" w:after="120"/>
        <w:ind w:left="993"/>
        <w:jc w:val="both"/>
      </w:pPr>
      <w:r>
        <w:t xml:space="preserve">The calculation uses the </w:t>
      </w:r>
      <w:proofErr w:type="spellStart"/>
      <w:r>
        <w:t>OHLC</w:t>
      </w:r>
      <w:proofErr w:type="spellEnd"/>
      <w:r>
        <w:t xml:space="preserve"> sequence (the "candlestick") formed over the entire trading day (i.e., including prices from the main trading session and additional trading sessions, excluding the weekend trading session).</w:t>
      </w:r>
    </w:p>
    <w:p w14:paraId="6F7EFCB3" w14:textId="77777777" w:rsidR="00986751" w:rsidRPr="00986751" w:rsidRDefault="00986751" w:rsidP="00275DA8">
      <w:pPr>
        <w:spacing w:before="120" w:after="120"/>
        <w:ind w:left="993"/>
        <w:jc w:val="both"/>
      </w:pPr>
    </w:p>
    <w:p w14:paraId="759FF9E0" w14:textId="2DD2843C" w:rsidR="00986751" w:rsidRPr="00986751" w:rsidRDefault="00986751" w:rsidP="00275DA8">
      <w:pPr>
        <w:spacing w:before="120" w:after="120"/>
        <w:ind w:left="993"/>
        <w:jc w:val="both"/>
      </w:pPr>
      <w:r>
        <w:t xml:space="preserve">For each field </w:t>
      </w:r>
      <m:oMath>
        <m:r>
          <w:rPr>
            <w:rFonts w:ascii="Cambria Math" w:hAnsi="Cambria Math"/>
          </w:rPr>
          <m:t>X</m:t>
        </m:r>
        <m:r>
          <m:rPr>
            <m:sty m:val="p"/>
          </m:rPr>
          <w:rPr>
            <w:rFonts w:ascii="Cambria Math" w:hAnsi="Cambria Math"/>
          </w:rPr>
          <m:t>∈{</m:t>
        </m:r>
        <m:r>
          <w:rPr>
            <w:rFonts w:ascii="Cambria Math" w:hAnsi="Cambria Math"/>
          </w:rPr>
          <m:t>Open</m:t>
        </m:r>
        <m:r>
          <m:rPr>
            <m:sty m:val="p"/>
          </m:rPr>
          <w:rPr>
            <w:rFonts w:ascii="Cambria Math" w:hAnsi="Cambria Math"/>
          </w:rPr>
          <m:t xml:space="preserve">, </m:t>
        </m:r>
        <m:r>
          <w:rPr>
            <w:rFonts w:ascii="Cambria Math" w:hAnsi="Cambria Math"/>
          </w:rPr>
          <m:t>High</m:t>
        </m:r>
        <m:r>
          <m:rPr>
            <m:sty m:val="p"/>
          </m:rPr>
          <w:rPr>
            <w:rFonts w:ascii="Cambria Math" w:hAnsi="Cambria Math"/>
          </w:rPr>
          <m:t xml:space="preserve">, </m:t>
        </m:r>
        <m:r>
          <w:rPr>
            <w:rFonts w:ascii="Cambria Math" w:hAnsi="Cambria Math"/>
          </w:rPr>
          <m:t>Low</m:t>
        </m:r>
        <m:r>
          <m:rPr>
            <m:sty m:val="p"/>
          </m:rPr>
          <w:rPr>
            <w:rFonts w:ascii="Cambria Math" w:hAnsi="Cambria Math"/>
          </w:rPr>
          <m:t xml:space="preserve">, </m:t>
        </m:r>
        <m:r>
          <w:rPr>
            <w:rFonts w:ascii="Cambria Math" w:hAnsi="Cambria Math"/>
          </w:rPr>
          <m:t>Close</m:t>
        </m:r>
        <m:r>
          <m:rPr>
            <m:sty m:val="p"/>
          </m:rPr>
          <w:rPr>
            <w:rFonts w:ascii="Cambria Math" w:hAnsi="Cambria Math"/>
          </w:rPr>
          <m:t>}</m:t>
        </m:r>
      </m:oMath>
      <w:r>
        <w:t>, a historical window of 50 previous observations is created:</w:t>
      </w:r>
    </w:p>
    <w:p w14:paraId="1541EC48" w14:textId="77777777" w:rsidR="00986751" w:rsidRPr="00986751" w:rsidRDefault="00986751" w:rsidP="00275DA8">
      <w:pPr>
        <w:spacing w:before="120" w:after="120"/>
        <w:ind w:left="993"/>
        <w:jc w:val="both"/>
      </w:pPr>
    </w:p>
    <w:p w14:paraId="1D123AD5" w14:textId="77777777" w:rsidR="00986751" w:rsidRPr="00986751" w:rsidRDefault="00275DA8" w:rsidP="00275DA8">
      <w:pPr>
        <w:spacing w:before="120" w:after="120"/>
        <w:ind w:left="993"/>
        <w:jc w:val="both"/>
      </w:pPr>
      <m:oMathPara>
        <m:oMath>
          <m:sSub>
            <m:sSubPr>
              <m:ctrlPr>
                <w:rPr>
                  <w:rFonts w:ascii="Cambria Math" w:hAnsi="Cambria Math"/>
                </w:rPr>
              </m:ctrlPr>
            </m:sSubPr>
            <m:e>
              <m:r>
                <w:rPr>
                  <w:rFonts w:ascii="Cambria Math" w:hAnsi="Cambria Math"/>
                </w:rPr>
                <m:t>X</m:t>
              </m:r>
            </m:e>
            <m:sub>
              <m:r>
                <w:rPr>
                  <w:rFonts w:ascii="Cambria Math" w:hAnsi="Cambria Math"/>
                </w:rPr>
                <m:t>T</m:t>
              </m:r>
              <m:r>
                <m:rPr>
                  <m:sty m:val="p"/>
                </m:rPr>
                <w:rPr>
                  <w:rFonts w:ascii="Cambria Math" w:hAnsi="Cambria Math"/>
                </w:rPr>
                <m:t>-50</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X</m:t>
              </m:r>
            </m:e>
            <m:sub>
              <m:r>
                <w:rPr>
                  <w:rFonts w:ascii="Cambria Math" w:hAnsi="Cambria Math"/>
                </w:rPr>
                <m:t>T</m:t>
              </m:r>
              <m:r>
                <m:rPr>
                  <m:sty m:val="p"/>
                </m:rPr>
                <w:rPr>
                  <w:rFonts w:ascii="Cambria Math" w:hAnsi="Cambria Math"/>
                </w:rPr>
                <m:t>-49</m:t>
              </m:r>
            </m:sub>
          </m:sSub>
          <m:r>
            <m:rPr>
              <m:sty m:val="p"/>
            </m:rPr>
            <w:rPr>
              <w:rFonts w:ascii="Cambria Math" w:hAnsi="Cambria Math"/>
            </w:rPr>
            <m:t>,… ,</m:t>
          </m:r>
          <m:sSub>
            <m:sSubPr>
              <m:ctrlPr>
                <w:rPr>
                  <w:rFonts w:ascii="Cambria Math" w:hAnsi="Cambria Math"/>
                </w:rPr>
              </m:ctrlPr>
            </m:sSubPr>
            <m:e>
              <m:r>
                <w:rPr>
                  <w:rFonts w:ascii="Cambria Math" w:hAnsi="Cambria Math"/>
                </w:rPr>
                <m:t>X</m:t>
              </m:r>
            </m:e>
            <m:sub>
              <m:r>
                <w:rPr>
                  <w:rFonts w:ascii="Cambria Math" w:hAnsi="Cambria Math"/>
                </w:rPr>
                <m:t>T</m:t>
              </m:r>
              <m:r>
                <m:rPr>
                  <m:sty m:val="p"/>
                </m:rPr>
                <w:rPr>
                  <w:rFonts w:ascii="Cambria Math" w:hAnsi="Cambria Math"/>
                </w:rPr>
                <m:t>-1</m:t>
              </m:r>
            </m:sub>
          </m:sSub>
        </m:oMath>
      </m:oMathPara>
    </w:p>
    <w:p w14:paraId="5F67CB74" w14:textId="77777777" w:rsidR="00986751" w:rsidRPr="00986751" w:rsidRDefault="00986751" w:rsidP="00275DA8">
      <w:pPr>
        <w:spacing w:before="120" w:after="120"/>
        <w:ind w:left="993"/>
        <w:jc w:val="both"/>
      </w:pPr>
    </w:p>
    <w:p w14:paraId="2BF50552" w14:textId="77777777" w:rsidR="00986751" w:rsidRPr="00986751" w:rsidRDefault="00986751" w:rsidP="00275DA8">
      <w:pPr>
        <w:spacing w:before="120" w:after="120"/>
        <w:ind w:left="993"/>
        <w:jc w:val="both"/>
      </w:pPr>
      <w:r>
        <w:t>The current X</w:t>
      </w:r>
      <w:r>
        <w:rPr>
          <w:vertAlign w:val="subscript"/>
        </w:rPr>
        <w:t>T</w:t>
      </w:r>
      <w:r>
        <w:t xml:space="preserve"> candlestick is not included in the calculation.</w:t>
      </w:r>
    </w:p>
    <w:p w14:paraId="71D9EF01" w14:textId="77777777" w:rsidR="00986751" w:rsidRPr="00986751" w:rsidRDefault="00986751" w:rsidP="00275DA8">
      <w:pPr>
        <w:spacing w:before="120" w:after="120"/>
        <w:ind w:left="993"/>
        <w:jc w:val="both"/>
      </w:pPr>
    </w:p>
    <w:p w14:paraId="50B2FFDC" w14:textId="1056E1BB" w:rsidR="00986751" w:rsidRPr="00986751" w:rsidRDefault="00986751" w:rsidP="00275DA8">
      <w:pPr>
        <w:pStyle w:val="af4"/>
        <w:numPr>
          <w:ilvl w:val="0"/>
          <w:numId w:val="29"/>
        </w:numPr>
        <w:spacing w:before="120" w:after="120"/>
        <w:ind w:left="993" w:firstLine="0"/>
        <w:contextualSpacing w:val="0"/>
        <w:jc w:val="both"/>
      </w:pPr>
      <w:r>
        <w:t xml:space="preserve">For each date T, the sample mean is calculated for each </w:t>
      </w:r>
      <w:proofErr w:type="spellStart"/>
      <w:r>
        <w:t>OHLC</w:t>
      </w:r>
      <w:proofErr w:type="spellEnd"/>
      <w:r>
        <w:t xml:space="preserve"> field:</w:t>
      </w:r>
    </w:p>
    <w:p w14:paraId="7E0E768E" w14:textId="77777777" w:rsidR="00986751" w:rsidRPr="00986751" w:rsidRDefault="00986751" w:rsidP="00275DA8">
      <w:pPr>
        <w:spacing w:before="120" w:after="120"/>
        <w:ind w:left="993"/>
        <w:jc w:val="both"/>
      </w:pPr>
    </w:p>
    <w:p w14:paraId="0BE72B69" w14:textId="77777777" w:rsidR="00986751" w:rsidRPr="00986751" w:rsidRDefault="00275DA8" w:rsidP="00275DA8">
      <w:pPr>
        <w:spacing w:before="120" w:after="120"/>
        <w:ind w:left="993"/>
        <w:jc w:val="both"/>
      </w:pPr>
      <m:oMathPara>
        <m:oMath>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w:rPr>
                      <w:rFonts w:ascii="Cambria Math" w:hAnsi="Cambria Math"/>
                    </w:rPr>
                    <m:t>T</m:t>
                  </m:r>
                </m:sub>
              </m:sSub>
            </m:e>
          </m:acc>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50</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m:rPr>
                  <m:sty m:val="p"/>
                </m:rPr>
                <w:rPr>
                  <w:rFonts w:ascii="Cambria Math" w:hAnsi="Cambria Math"/>
                </w:rPr>
                <m:t>50</m:t>
              </m:r>
            </m:sup>
            <m:e>
              <m:sSub>
                <m:sSubPr>
                  <m:ctrlPr>
                    <w:rPr>
                      <w:rFonts w:ascii="Cambria Math" w:hAnsi="Cambria Math"/>
                    </w:rPr>
                  </m:ctrlPr>
                </m:sSubPr>
                <m:e>
                  <m:r>
                    <w:rPr>
                      <w:rFonts w:ascii="Cambria Math" w:hAnsi="Cambria Math"/>
                    </w:rPr>
                    <m:t>X</m:t>
                  </m:r>
                </m:e>
                <m:sub>
                  <m:r>
                    <w:rPr>
                      <w:rFonts w:ascii="Cambria Math" w:hAnsi="Cambria Math"/>
                    </w:rPr>
                    <m:t>T</m:t>
                  </m:r>
                  <m:r>
                    <m:rPr>
                      <m:sty m:val="p"/>
                    </m:rPr>
                    <w:rPr>
                      <w:rFonts w:ascii="Cambria Math" w:hAnsi="Cambria Math"/>
                    </w:rPr>
                    <m:t>-</m:t>
                  </m:r>
                  <m:r>
                    <w:rPr>
                      <w:rFonts w:ascii="Cambria Math" w:hAnsi="Cambria Math"/>
                    </w:rPr>
                    <m:t>i</m:t>
                  </m:r>
                </m:sub>
              </m:sSub>
            </m:e>
          </m:nary>
        </m:oMath>
      </m:oMathPara>
    </w:p>
    <w:p w14:paraId="3E791E81" w14:textId="77777777" w:rsidR="00986751" w:rsidRPr="00986751" w:rsidRDefault="00986751" w:rsidP="00275DA8">
      <w:pPr>
        <w:spacing w:before="120" w:after="120"/>
        <w:ind w:left="993"/>
        <w:jc w:val="both"/>
      </w:pPr>
    </w:p>
    <w:p w14:paraId="47942004" w14:textId="7F6690BF" w:rsidR="00986751" w:rsidRPr="00986751" w:rsidRDefault="00986751" w:rsidP="00275DA8">
      <w:pPr>
        <w:pStyle w:val="af4"/>
        <w:numPr>
          <w:ilvl w:val="0"/>
          <w:numId w:val="29"/>
        </w:numPr>
        <w:spacing w:before="120" w:after="120"/>
        <w:ind w:left="993" w:firstLine="0"/>
        <w:contextualSpacing w:val="0"/>
        <w:jc w:val="both"/>
      </w:pPr>
      <w:r>
        <w:t>For each X field, the sample standard deviation is calculated:</w:t>
      </w:r>
    </w:p>
    <w:p w14:paraId="51C4B078" w14:textId="77777777" w:rsidR="00772D92" w:rsidRPr="00772D92" w:rsidRDefault="00275DA8" w:rsidP="00275DA8">
      <w:pPr>
        <w:spacing w:before="120" w:after="120"/>
        <w:ind w:left="993"/>
        <w:jc w:val="both"/>
      </w:pPr>
      <m:oMathPara>
        <m:oMath>
          <m:sSub>
            <m:sSubPr>
              <m:ctrlPr>
                <w:rPr>
                  <w:rFonts w:ascii="Cambria Math" w:hAnsi="Cambria Math"/>
                </w:rPr>
              </m:ctrlPr>
            </m:sSubPr>
            <m:e>
              <m:r>
                <w:rPr>
                  <w:rFonts w:ascii="Cambria Math" w:hAnsi="Cambria Math"/>
                </w:rPr>
                <m:t>s</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m:t>
                  </m:r>
                </m:num>
                <m:den>
                  <m:r>
                    <m:rPr>
                      <m:sty m:val="p"/>
                    </m:rPr>
                    <w:rPr>
                      <w:rFonts w:ascii="Cambria Math" w:hAnsi="Cambria Math"/>
                    </w:rPr>
                    <m:t>49</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m:rPr>
                      <m:sty m:val="p"/>
                    </m:rPr>
                    <w:rPr>
                      <w:rFonts w:ascii="Cambria Math" w:hAnsi="Cambria Math"/>
                    </w:rPr>
                    <m:t>50</m:t>
                  </m:r>
                </m:sup>
                <m:e>
                  <m:sSup>
                    <m:sSupPr>
                      <m:ctrlPr>
                        <w:rPr>
                          <w:rFonts w:ascii="Cambria Math" w:hAnsi="Cambria Math"/>
                        </w:rPr>
                      </m:ctrlPr>
                    </m:sSupPr>
                    <m:e>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T</m:t>
                          </m:r>
                          <m:r>
                            <m:rPr>
                              <m:sty m:val="p"/>
                            </m:rPr>
                            <w:rPr>
                              <w:rFonts w:ascii="Cambria Math" w:hAnsi="Cambria Math"/>
                            </w:rPr>
                            <m:t>-</m:t>
                          </m:r>
                          <m:r>
                            <w:rPr>
                              <w:rFonts w:ascii="Cambria Math" w:hAnsi="Cambria Math"/>
                            </w:rPr>
                            <m:t>i</m:t>
                          </m:r>
                        </m:sub>
                      </m:sSub>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w:rPr>
                                  <w:rFonts w:ascii="Cambria Math" w:hAnsi="Cambria Math"/>
                                </w:rPr>
                                <m:t>T</m:t>
                              </m:r>
                            </m:sub>
                          </m:sSub>
                        </m:e>
                      </m:acc>
                      <m:r>
                        <m:rPr>
                          <m:sty m:val="p"/>
                        </m:rPr>
                        <w:rPr>
                          <w:rFonts w:ascii="Cambria Math" w:hAnsi="Cambria Math"/>
                        </w:rPr>
                        <m:t>)</m:t>
                      </m:r>
                    </m:e>
                    <m:sup>
                      <m:r>
                        <m:rPr>
                          <m:sty m:val="p"/>
                        </m:rPr>
                        <w:rPr>
                          <w:rFonts w:ascii="Cambria Math" w:hAnsi="Cambria Math"/>
                        </w:rPr>
                        <m:t>2</m:t>
                      </m:r>
                    </m:sup>
                  </m:sSup>
                </m:e>
              </m:nary>
            </m:e>
          </m:rad>
          <m:r>
            <m:rPr>
              <m:sty m:val="p"/>
            </m:rPr>
            <w:rPr>
              <w:rFonts w:ascii="Cambria Math" w:hAnsi="Cambria Math"/>
            </w:rPr>
            <w:br/>
          </m:r>
        </m:oMath>
      </m:oMathPara>
    </w:p>
    <w:p w14:paraId="189D1B89" w14:textId="54D32940" w:rsidR="00986751" w:rsidRDefault="00986751" w:rsidP="00275DA8">
      <w:pPr>
        <w:pStyle w:val="af4"/>
        <w:numPr>
          <w:ilvl w:val="0"/>
          <w:numId w:val="29"/>
        </w:numPr>
        <w:spacing w:before="120" w:after="120"/>
        <w:ind w:left="993" w:firstLine="0"/>
        <w:contextualSpacing w:val="0"/>
        <w:jc w:val="both"/>
      </w:pPr>
      <w:r>
        <w:t xml:space="preserve">For each </w:t>
      </w:r>
      <w:proofErr w:type="spellStart"/>
      <w:r>
        <w:t>OHLC</w:t>
      </w:r>
      <w:proofErr w:type="spellEnd"/>
      <w:r>
        <w:t xml:space="preserve"> field on date T, the lower and upper bounds are calculated:</w:t>
      </w:r>
    </w:p>
    <w:p w14:paraId="709D86FB" w14:textId="77777777" w:rsidR="00772D92" w:rsidRPr="00986751" w:rsidRDefault="00772D92" w:rsidP="00275DA8">
      <w:pPr>
        <w:spacing w:before="120" w:after="120"/>
        <w:ind w:left="993"/>
        <w:jc w:val="both"/>
      </w:pPr>
    </w:p>
    <w:p w14:paraId="5E3627B1" w14:textId="77777777" w:rsidR="00986751" w:rsidRPr="00986751" w:rsidRDefault="00275DA8" w:rsidP="00275DA8">
      <w:pPr>
        <w:spacing w:before="120" w:after="120"/>
        <w:ind w:left="993"/>
        <w:jc w:val="both"/>
      </w:pPr>
      <m:oMathPara>
        <m:oMath>
          <m:sSubSup>
            <m:sSubSupPr>
              <m:ctrlPr>
                <w:rPr>
                  <w:rFonts w:ascii="Cambria Math" w:hAnsi="Cambria Math"/>
                </w:rPr>
              </m:ctrlPr>
            </m:sSubSupPr>
            <m:e>
              <m:r>
                <w:rPr>
                  <w:rFonts w:ascii="Cambria Math" w:hAnsi="Cambria Math"/>
                </w:rPr>
                <m:t>X</m:t>
              </m:r>
            </m:e>
            <m:sub>
              <m:r>
                <w:rPr>
                  <w:rFonts w:ascii="Cambria Math" w:hAnsi="Cambria Math"/>
                </w:rPr>
                <m:t>T</m:t>
              </m:r>
            </m:sub>
            <m:sup>
              <m:r>
                <w:rPr>
                  <w:rFonts w:ascii="Cambria Math" w:hAnsi="Cambria Math"/>
                </w:rPr>
                <m:t>lower</m:t>
              </m:r>
            </m:sup>
          </m:sSubSup>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w:rPr>
                      <w:rFonts w:ascii="Cambria Math" w:hAnsi="Cambria Math"/>
                    </w:rPr>
                    <m:t>T</m:t>
                  </m:r>
                </m:sub>
              </m:sSub>
            </m:e>
          </m:acc>
          <m:r>
            <m:rPr>
              <m:sty m:val="p"/>
            </m:rPr>
            <w:rPr>
              <w:rFonts w:ascii="Cambria Math" w:hAnsi="Cambria Math"/>
            </w:rPr>
            <m:t>-</m:t>
          </m:r>
          <m:sSub>
            <m:sSubPr>
              <m:ctrlPr>
                <w:rPr>
                  <w:rFonts w:ascii="Cambria Math" w:hAnsi="Cambria Math"/>
                </w:rPr>
              </m:ctrlPr>
            </m:sSubPr>
            <m:e>
              <m:r>
                <m:rPr>
                  <m:sty m:val="p"/>
                </m:rPr>
                <w:rPr>
                  <w:rFonts w:ascii="Cambria Math" w:hAnsi="Cambria Math"/>
                </w:rPr>
                <m:t>3*</m:t>
              </m:r>
              <m:r>
                <w:rPr>
                  <w:rFonts w:ascii="Cambria Math" w:hAnsi="Cambria Math"/>
                </w:rPr>
                <m:t>s</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oMath>
      </m:oMathPara>
    </w:p>
    <w:p w14:paraId="5E9D91BB" w14:textId="77777777" w:rsidR="00986751" w:rsidRPr="00986751" w:rsidRDefault="00275DA8" w:rsidP="00275DA8">
      <w:pPr>
        <w:spacing w:before="120" w:after="120"/>
        <w:ind w:left="993"/>
        <w:jc w:val="both"/>
      </w:pPr>
      <m:oMathPara>
        <m:oMath>
          <m:sSubSup>
            <m:sSubSupPr>
              <m:ctrlPr>
                <w:rPr>
                  <w:rFonts w:ascii="Cambria Math" w:hAnsi="Cambria Math"/>
                </w:rPr>
              </m:ctrlPr>
            </m:sSubSupPr>
            <m:e>
              <m:r>
                <w:rPr>
                  <w:rFonts w:ascii="Cambria Math" w:hAnsi="Cambria Math"/>
                </w:rPr>
                <m:t>X</m:t>
              </m:r>
            </m:e>
            <m:sub>
              <m:r>
                <w:rPr>
                  <w:rFonts w:ascii="Cambria Math" w:hAnsi="Cambria Math"/>
                </w:rPr>
                <m:t>T</m:t>
              </m:r>
            </m:sub>
            <m:sup>
              <m:r>
                <w:rPr>
                  <w:rFonts w:ascii="Cambria Math" w:hAnsi="Cambria Math"/>
                </w:rPr>
                <m:t>upper</m:t>
              </m:r>
            </m:sup>
          </m:sSubSup>
          <m:r>
            <m:rPr>
              <m:sty m:val="p"/>
            </m:rPr>
            <w:rPr>
              <w:rFonts w:ascii="Cambria Math" w:hAnsi="Cambria Math"/>
            </w:rPr>
            <m:t>=</m:t>
          </m:r>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w:rPr>
                      <w:rFonts w:ascii="Cambria Math" w:hAnsi="Cambria Math"/>
                    </w:rPr>
                    <m:t>T</m:t>
                  </m:r>
                </m:sub>
              </m:sSub>
            </m:e>
          </m:acc>
          <m:r>
            <m:rPr>
              <m:sty m:val="p"/>
            </m:rPr>
            <w:rPr>
              <w:rFonts w:ascii="Cambria Math" w:hAnsi="Cambria Math"/>
            </w:rPr>
            <m:t>+</m:t>
          </m:r>
          <m:sSub>
            <m:sSubPr>
              <m:ctrlPr>
                <w:rPr>
                  <w:rFonts w:ascii="Cambria Math" w:hAnsi="Cambria Math"/>
                </w:rPr>
              </m:ctrlPr>
            </m:sSubPr>
            <m:e>
              <m:r>
                <m:rPr>
                  <m:sty m:val="p"/>
                </m:rPr>
                <w:rPr>
                  <w:rFonts w:ascii="Cambria Math" w:hAnsi="Cambria Math"/>
                </w:rPr>
                <m:t>3*</m:t>
              </m:r>
              <m:r>
                <w:rPr>
                  <w:rFonts w:ascii="Cambria Math" w:hAnsi="Cambria Math"/>
                </w:rPr>
                <m:t>s</m:t>
              </m:r>
            </m:e>
            <m:sub>
              <m:r>
                <w:rPr>
                  <w:rFonts w:ascii="Cambria Math" w:hAnsi="Cambria Math"/>
                </w:rPr>
                <m:t>X</m:t>
              </m:r>
            </m:sub>
          </m:sSub>
          <m:d>
            <m:dPr>
              <m:ctrlPr>
                <w:rPr>
                  <w:rFonts w:ascii="Cambria Math" w:hAnsi="Cambria Math"/>
                </w:rPr>
              </m:ctrlPr>
            </m:dPr>
            <m:e>
              <m:r>
                <w:rPr>
                  <w:rFonts w:ascii="Cambria Math" w:hAnsi="Cambria Math"/>
                </w:rPr>
                <m:t>T</m:t>
              </m:r>
            </m:e>
          </m:d>
        </m:oMath>
      </m:oMathPara>
    </w:p>
    <w:p w14:paraId="30EA6C67" w14:textId="77777777" w:rsidR="00772D92" w:rsidRDefault="00772D92" w:rsidP="00275DA8">
      <w:pPr>
        <w:spacing w:before="120" w:after="120"/>
        <w:ind w:left="993"/>
        <w:jc w:val="both"/>
      </w:pPr>
    </w:p>
    <w:p w14:paraId="5DECAA5E" w14:textId="36C598C5" w:rsidR="00986751" w:rsidRPr="00986751" w:rsidRDefault="00986751" w:rsidP="00275DA8">
      <w:pPr>
        <w:spacing w:before="120" w:after="120"/>
        <w:ind w:left="993"/>
        <w:jc w:val="both"/>
      </w:pPr>
      <w:r>
        <w:t>Thus, the bounds are determined separately for Open, High, Low, and Close.</w:t>
      </w:r>
    </w:p>
    <w:p w14:paraId="5B50C684" w14:textId="77777777" w:rsidR="00986751" w:rsidRPr="00986751" w:rsidRDefault="00986751" w:rsidP="00275DA8">
      <w:pPr>
        <w:spacing w:before="120" w:after="120"/>
        <w:ind w:left="993"/>
        <w:jc w:val="both"/>
      </w:pPr>
    </w:p>
    <w:p w14:paraId="44DCA526" w14:textId="38007776" w:rsidR="00986751" w:rsidRPr="00986751" w:rsidRDefault="00986751" w:rsidP="00275DA8">
      <w:pPr>
        <w:pStyle w:val="af4"/>
        <w:numPr>
          <w:ilvl w:val="0"/>
          <w:numId w:val="29"/>
        </w:numPr>
        <w:spacing w:before="120" w:after="120"/>
        <w:ind w:left="993" w:firstLine="0"/>
        <w:contextualSpacing w:val="0"/>
        <w:jc w:val="both"/>
      </w:pPr>
      <w:r>
        <w:lastRenderedPageBreak/>
        <w:t>Applying Sigma capping:</w:t>
      </w:r>
    </w:p>
    <w:p w14:paraId="5FB86B8F" w14:textId="52EA6A6E" w:rsidR="00986751" w:rsidRPr="00986751" w:rsidRDefault="00986751" w:rsidP="00275DA8">
      <w:pPr>
        <w:spacing w:before="120" w:after="120"/>
        <w:ind w:left="993"/>
        <w:jc w:val="both"/>
      </w:pPr>
      <w:r>
        <w:t xml:space="preserve">For the current candlestick on date T, each value </w:t>
      </w:r>
      <m:oMath>
        <m:sSub>
          <m:sSubPr>
            <m:ctrlPr>
              <w:rPr>
                <w:rFonts w:ascii="Cambria Math" w:hAnsi="Cambria Math"/>
              </w:rPr>
            </m:ctrlPr>
          </m:sSubPr>
          <m:e>
            <m:r>
              <w:rPr>
                <w:rFonts w:ascii="Cambria Math" w:hAnsi="Cambria Math"/>
              </w:rPr>
              <m:t>X</m:t>
            </m:r>
          </m:e>
          <m:sub>
            <m:r>
              <w:rPr>
                <w:rFonts w:ascii="Cambria Math" w:hAnsi="Cambria Math"/>
              </w:rPr>
              <m:t>T</m:t>
            </m:r>
          </m:sub>
        </m:sSub>
      </m:oMath>
      <w:r>
        <w:t xml:space="preserve"> is replaced with adjusted value of </w:t>
      </w:r>
      <m:oMath>
        <m:sSubSup>
          <m:sSubSupPr>
            <m:ctrlPr>
              <w:rPr>
                <w:rFonts w:ascii="Cambria Math" w:hAnsi="Cambria Math"/>
              </w:rPr>
            </m:ctrlPr>
          </m:sSubSupPr>
          <m:e>
            <m:r>
              <w:rPr>
                <w:rFonts w:ascii="Cambria Math" w:hAnsi="Cambria Math"/>
              </w:rPr>
              <m:t>X</m:t>
            </m:r>
          </m:e>
          <m:sub>
            <m:r>
              <w:rPr>
                <w:rFonts w:ascii="Cambria Math" w:hAnsi="Cambria Math"/>
              </w:rPr>
              <m:t>T</m:t>
            </m:r>
          </m:sub>
          <m:sup>
            <m:r>
              <w:rPr>
                <w:rFonts w:ascii="Cambria Math" w:hAnsi="Cambria Math"/>
              </w:rPr>
              <m:t>cap</m:t>
            </m:r>
          </m:sup>
        </m:sSubSup>
        <m:r>
          <m:rPr>
            <m:sty m:val="p"/>
          </m:rPr>
          <w:rPr>
            <w:rFonts w:ascii="Cambria Math" w:hAnsi="Cambria Math"/>
          </w:rPr>
          <m:t>:</m:t>
        </m:r>
      </m:oMath>
      <w:r>
        <w:t>.</w:t>
      </w:r>
    </w:p>
    <w:p w14:paraId="4103351A" w14:textId="77777777" w:rsidR="00986751" w:rsidRPr="00986751" w:rsidRDefault="00275DA8" w:rsidP="00275DA8">
      <w:pPr>
        <w:spacing w:before="120" w:after="120"/>
        <w:ind w:left="993"/>
        <w:jc w:val="both"/>
      </w:pPr>
      <m:oMathPara>
        <m:oMath>
          <m:sSubSup>
            <m:sSubSupPr>
              <m:ctrlPr>
                <w:rPr>
                  <w:rFonts w:ascii="Cambria Math" w:hAnsi="Cambria Math"/>
                </w:rPr>
              </m:ctrlPr>
            </m:sSubSupPr>
            <m:e>
              <m:r>
                <w:rPr>
                  <w:rFonts w:ascii="Cambria Math" w:hAnsi="Cambria Math"/>
                </w:rPr>
                <m:t>X</m:t>
              </m:r>
            </m:e>
            <m:sub>
              <m:r>
                <w:rPr>
                  <w:rFonts w:ascii="Cambria Math" w:hAnsi="Cambria Math"/>
                </w:rPr>
                <m:t>T</m:t>
              </m:r>
            </m:sub>
            <m:sup>
              <m:r>
                <w:rPr>
                  <w:rFonts w:ascii="Cambria Math" w:hAnsi="Cambria Math"/>
                </w:rPr>
                <m:t>cap</m:t>
              </m:r>
            </m:sup>
          </m:sSubSup>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sSubSup>
                    <m:sSubSupPr>
                      <m:ctrlPr>
                        <w:rPr>
                          <w:rFonts w:ascii="Cambria Math" w:hAnsi="Cambria Math"/>
                        </w:rPr>
                      </m:ctrlPr>
                    </m:sSubSupPr>
                    <m:e>
                      <m:r>
                        <w:rPr>
                          <w:rFonts w:ascii="Cambria Math" w:hAnsi="Cambria Math"/>
                        </w:rPr>
                        <m:t>X</m:t>
                      </m:r>
                    </m:e>
                    <m:sub>
                      <m:r>
                        <w:rPr>
                          <w:rFonts w:ascii="Cambria Math" w:hAnsi="Cambria Math"/>
                        </w:rPr>
                        <m:t>T</m:t>
                      </m:r>
                    </m:sub>
                    <m:sup>
                      <m:r>
                        <w:rPr>
                          <w:rFonts w:ascii="Cambria Math" w:hAnsi="Cambria Math"/>
                        </w:rPr>
                        <m:t>lower</m:t>
                      </m:r>
                    </m:sup>
                  </m:sSubSup>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 xml:space="preserve">            </m:t>
                      </m:r>
                      <m:r>
                        <w:rPr>
                          <w:rFonts w:ascii="Cambria Math" w:hAnsi="Cambria Math"/>
                        </w:rPr>
                        <m:t>X</m:t>
                      </m:r>
                    </m:e>
                    <m:sub>
                      <m:r>
                        <w:rPr>
                          <w:rFonts w:ascii="Cambria Math" w:hAnsi="Cambria Math"/>
                        </w:rPr>
                        <m:t>T</m:t>
                      </m:r>
                    </m:sub>
                  </m:sSub>
                  <m:r>
                    <m:rPr>
                      <m:sty m:val="p"/>
                    </m:rPr>
                    <w:rPr>
                      <w:rFonts w:ascii="Cambria Math" w:hAnsi="Cambria Math"/>
                    </w:rPr>
                    <m:t>&lt;</m:t>
                  </m:r>
                  <m:sSubSup>
                    <m:sSubSupPr>
                      <m:ctrlPr>
                        <w:rPr>
                          <w:rFonts w:ascii="Cambria Math" w:hAnsi="Cambria Math"/>
                        </w:rPr>
                      </m:ctrlPr>
                    </m:sSubSupPr>
                    <m:e>
                      <m:r>
                        <w:rPr>
                          <w:rFonts w:ascii="Cambria Math" w:hAnsi="Cambria Math"/>
                        </w:rPr>
                        <m:t>X</m:t>
                      </m:r>
                    </m:e>
                    <m:sub>
                      <m:r>
                        <w:rPr>
                          <w:rFonts w:ascii="Cambria Math" w:hAnsi="Cambria Math"/>
                        </w:rPr>
                        <m:t>T</m:t>
                      </m:r>
                    </m:sub>
                    <m:sup>
                      <m:r>
                        <w:rPr>
                          <w:rFonts w:ascii="Cambria Math" w:hAnsi="Cambria Math"/>
                        </w:rPr>
                        <m:t>lower</m:t>
                      </m:r>
                    </m:sup>
                  </m:sSubSup>
                </m:e>
                <m:e>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T</m:t>
                      </m:r>
                    </m:sub>
                    <m:sup>
                      <m:r>
                        <w:rPr>
                          <w:rFonts w:ascii="Cambria Math" w:hAnsi="Cambria Math"/>
                        </w:rPr>
                        <m:t>lower</m:t>
                      </m:r>
                    </m:sup>
                  </m:sSubSup>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T</m:t>
                      </m:r>
                    </m:sub>
                    <m:sup>
                      <m:r>
                        <w:rPr>
                          <w:rFonts w:ascii="Cambria Math" w:hAnsi="Cambria Math"/>
                        </w:rPr>
                        <m:t>lower</m:t>
                      </m:r>
                    </m:sup>
                  </m:sSubSup>
                  <m:r>
                    <m:rPr>
                      <m:sty m:val="p"/>
                    </m:rPr>
                    <w:rPr>
                      <w:rFonts w:ascii="Cambria Math" w:hAnsi="Cambria Math"/>
                    </w:rPr>
                    <m:t xml:space="preserve"> </m:t>
                  </m:r>
                </m:e>
                <m:e>
                  <m:sSubSup>
                    <m:sSubSupPr>
                      <m:ctrlPr>
                        <w:rPr>
                          <w:rFonts w:ascii="Cambria Math" w:hAnsi="Cambria Math"/>
                        </w:rPr>
                      </m:ctrlPr>
                    </m:sSubSupPr>
                    <m:e>
                      <m:r>
                        <w:rPr>
                          <w:rFonts w:ascii="Cambria Math" w:hAnsi="Cambria Math"/>
                        </w:rPr>
                        <m:t>X</m:t>
                      </m:r>
                    </m:e>
                    <m:sub>
                      <m:r>
                        <w:rPr>
                          <w:rFonts w:ascii="Cambria Math" w:hAnsi="Cambria Math"/>
                        </w:rPr>
                        <m:t>T</m:t>
                      </m:r>
                    </m:sub>
                    <m:sup>
                      <m:r>
                        <w:rPr>
                          <w:rFonts w:ascii="Cambria Math" w:hAnsi="Cambria Math"/>
                        </w:rPr>
                        <m:t>upper</m:t>
                      </m:r>
                    </m:sup>
                  </m:sSubSup>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 xml:space="preserve">          </m:t>
                      </m:r>
                      <m:r>
                        <w:rPr>
                          <w:rFonts w:ascii="Cambria Math" w:hAnsi="Cambria Math"/>
                        </w:rPr>
                        <m:t>X</m:t>
                      </m:r>
                    </m:e>
                    <m:sub>
                      <m:r>
                        <w:rPr>
                          <w:rFonts w:ascii="Cambria Math" w:hAnsi="Cambria Math"/>
                        </w:rPr>
                        <m:t>T</m:t>
                      </m:r>
                    </m:sub>
                  </m:sSub>
                  <m:r>
                    <m:rPr>
                      <m:sty m:val="p"/>
                    </m:rPr>
                    <w:rPr>
                      <w:rFonts w:ascii="Cambria Math" w:hAnsi="Cambria Math"/>
                    </w:rPr>
                    <m:t>&gt;</m:t>
                  </m:r>
                  <m:sSubSup>
                    <m:sSubSupPr>
                      <m:ctrlPr>
                        <w:rPr>
                          <w:rFonts w:ascii="Cambria Math" w:hAnsi="Cambria Math"/>
                        </w:rPr>
                      </m:ctrlPr>
                    </m:sSubSupPr>
                    <m:e>
                      <m:r>
                        <w:rPr>
                          <w:rFonts w:ascii="Cambria Math" w:hAnsi="Cambria Math"/>
                        </w:rPr>
                        <m:t>X</m:t>
                      </m:r>
                    </m:e>
                    <m:sub>
                      <m:r>
                        <w:rPr>
                          <w:rFonts w:ascii="Cambria Math" w:hAnsi="Cambria Math"/>
                        </w:rPr>
                        <m:t>T</m:t>
                      </m:r>
                    </m:sub>
                    <m:sup>
                      <m:r>
                        <w:rPr>
                          <w:rFonts w:ascii="Cambria Math" w:hAnsi="Cambria Math"/>
                        </w:rPr>
                        <m:t>upper</m:t>
                      </m:r>
                    </m:sup>
                  </m:sSubSup>
                </m:e>
              </m:eqArr>
            </m:e>
          </m:d>
        </m:oMath>
      </m:oMathPara>
    </w:p>
    <w:p w14:paraId="5E302497" w14:textId="58568DE0" w:rsidR="00986751" w:rsidRPr="00986751" w:rsidRDefault="00986751" w:rsidP="00275DA8">
      <w:pPr>
        <w:spacing w:before="120" w:after="120"/>
        <w:ind w:left="993"/>
        <w:jc w:val="both"/>
      </w:pPr>
      <w:r>
        <w:t xml:space="preserve">For all fields, the resulting values ​​form an adjusted candlestick: </w:t>
      </w:r>
      <m:oMath>
        <m:sSubSup>
          <m:sSubSupPr>
            <m:ctrlPr>
              <w:rPr>
                <w:rFonts w:ascii="Cambria Math" w:hAnsi="Cambria Math"/>
              </w:rPr>
            </m:ctrlPr>
          </m:sSubSupPr>
          <m:e>
            <m:r>
              <w:rPr>
                <w:rFonts w:ascii="Cambria Math" w:hAnsi="Cambria Math"/>
              </w:rPr>
              <m:t>O</m:t>
            </m:r>
          </m:e>
          <m:sub>
            <m:r>
              <w:rPr>
                <w:rFonts w:ascii="Cambria Math" w:hAnsi="Cambria Math"/>
              </w:rPr>
              <m:t>T</m:t>
            </m:r>
          </m:sub>
          <m:sup>
            <m:r>
              <w:rPr>
                <w:rFonts w:ascii="Cambria Math" w:hAnsi="Cambria Math"/>
              </w:rPr>
              <m:t>cap</m:t>
            </m:r>
          </m:sup>
        </m:sSubSup>
        <m:r>
          <m:rPr>
            <m:sty m:val="p"/>
          </m:rPr>
          <w:rPr>
            <w:rFonts w:ascii="Cambria Math" w:hAnsi="Cambria Math"/>
          </w:rPr>
          <m:t>,</m:t>
        </m:r>
        <m:sSubSup>
          <m:sSubSupPr>
            <m:ctrlPr>
              <w:rPr>
                <w:rFonts w:ascii="Cambria Math" w:hAnsi="Cambria Math"/>
              </w:rPr>
            </m:ctrlPr>
          </m:sSubSupPr>
          <m:e>
            <m:r>
              <w:rPr>
                <w:rFonts w:ascii="Cambria Math" w:hAnsi="Cambria Math"/>
              </w:rPr>
              <m:t>H</m:t>
            </m:r>
          </m:e>
          <m:sub>
            <m:r>
              <w:rPr>
                <w:rFonts w:ascii="Cambria Math" w:hAnsi="Cambria Math"/>
              </w:rPr>
              <m:t>T</m:t>
            </m:r>
          </m:sub>
          <m:sup>
            <m:r>
              <w:rPr>
                <w:rFonts w:ascii="Cambria Math" w:hAnsi="Cambria Math"/>
              </w:rPr>
              <m:t>cap</m:t>
            </m:r>
          </m:sup>
        </m:sSubSup>
        <m:r>
          <m:rPr>
            <m:sty m:val="p"/>
          </m:rPr>
          <w:rPr>
            <w:rFonts w:ascii="Cambria Math" w:hAnsi="Cambria Math"/>
          </w:rPr>
          <m:t>,</m:t>
        </m:r>
        <m:sSubSup>
          <m:sSubSupPr>
            <m:ctrlPr>
              <w:rPr>
                <w:rFonts w:ascii="Cambria Math" w:hAnsi="Cambria Math"/>
              </w:rPr>
            </m:ctrlPr>
          </m:sSubSupPr>
          <m:e>
            <m:r>
              <w:rPr>
                <w:rFonts w:ascii="Cambria Math" w:hAnsi="Cambria Math"/>
              </w:rPr>
              <m:t>L</m:t>
            </m:r>
          </m:e>
          <m:sub>
            <m:r>
              <w:rPr>
                <w:rFonts w:ascii="Cambria Math" w:hAnsi="Cambria Math"/>
              </w:rPr>
              <m:t>T</m:t>
            </m:r>
          </m:sub>
          <m:sup>
            <m:r>
              <w:rPr>
                <w:rFonts w:ascii="Cambria Math" w:hAnsi="Cambria Math"/>
              </w:rPr>
              <m:t>cap</m:t>
            </m:r>
          </m:sup>
        </m:sSubSup>
        <m:r>
          <m:rPr>
            <m:sty m:val="p"/>
          </m:rP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T</m:t>
            </m:r>
          </m:sub>
          <m:sup>
            <m:r>
              <w:rPr>
                <w:rFonts w:ascii="Cambria Math" w:hAnsi="Cambria Math"/>
              </w:rPr>
              <m:t>cap</m:t>
            </m:r>
          </m:sup>
        </m:sSubSup>
      </m:oMath>
    </w:p>
    <w:p w14:paraId="77F8A445" w14:textId="77777777" w:rsidR="00986751" w:rsidRPr="00986751" w:rsidRDefault="00986751" w:rsidP="00275DA8">
      <w:pPr>
        <w:spacing w:before="120" w:after="120"/>
        <w:ind w:left="993"/>
        <w:jc w:val="both"/>
      </w:pPr>
    </w:p>
    <w:p w14:paraId="18C2EF18" w14:textId="2B335FD9" w:rsidR="00986751" w:rsidRPr="00772D92" w:rsidRDefault="00986751" w:rsidP="00275DA8">
      <w:pPr>
        <w:spacing w:before="120" w:after="120"/>
        <w:ind w:left="993"/>
        <w:rPr>
          <w:rFonts w:cs="Tahoma"/>
          <w:b/>
          <w:szCs w:val="20"/>
        </w:rPr>
      </w:pPr>
      <w:r>
        <w:rPr>
          <w:b/>
        </w:rPr>
        <w:t>Yang-Zhang Volatility Estimator</w:t>
      </w:r>
    </w:p>
    <w:p w14:paraId="095B214C" w14:textId="1FAAC454" w:rsidR="00986751" w:rsidRPr="00986751" w:rsidRDefault="00986751" w:rsidP="00275DA8">
      <w:pPr>
        <w:spacing w:before="120" w:after="120"/>
        <w:ind w:left="993"/>
        <w:jc w:val="both"/>
      </w:pPr>
      <w:r>
        <w:t>A series of n trading periods is used, where n = 20. For each period t, the prices O</w:t>
      </w:r>
      <w:r>
        <w:rPr>
          <w:vertAlign w:val="subscript"/>
        </w:rPr>
        <w:t>i</w:t>
      </w:r>
      <w:r>
        <w:t>, H</w:t>
      </w:r>
      <w:r>
        <w:rPr>
          <w:vertAlign w:val="subscript"/>
        </w:rPr>
        <w:t>i</w:t>
      </w:r>
      <w:r>
        <w:t>, L</w:t>
      </w:r>
      <w:r>
        <w:rPr>
          <w:vertAlign w:val="subscript"/>
        </w:rPr>
        <w:t>i</w:t>
      </w:r>
      <w:r>
        <w:t>, C</w:t>
      </w:r>
      <w:r>
        <w:rPr>
          <w:vertAlign w:val="subscript"/>
        </w:rPr>
        <w:t>i</w:t>
      </w:r>
      <w:r>
        <w:t>, as well as the closing price of the previous trading day C</w:t>
      </w:r>
      <w:r>
        <w:rPr>
          <w:vertAlign w:val="subscript"/>
        </w:rPr>
        <w:t>i-1</w:t>
      </w:r>
      <w:r>
        <w:t xml:space="preserve"> are specified. All calculations are performed in logarithmic returns.</w:t>
      </w:r>
    </w:p>
    <w:p w14:paraId="08190F38" w14:textId="6DFE9A49" w:rsidR="00986751" w:rsidRPr="00986751" w:rsidRDefault="00986751" w:rsidP="00275DA8">
      <w:pPr>
        <w:pStyle w:val="af4"/>
        <w:numPr>
          <w:ilvl w:val="0"/>
          <w:numId w:val="30"/>
        </w:numPr>
        <w:spacing w:before="120" w:after="120"/>
        <w:ind w:left="993" w:firstLine="0"/>
        <w:contextualSpacing w:val="0"/>
      </w:pPr>
      <w:r>
        <w:t>The following components are calculated:</w:t>
      </w:r>
    </w:p>
    <w:p w14:paraId="44698A12" w14:textId="62E029D6" w:rsidR="00986751" w:rsidRPr="00986751" w:rsidRDefault="00986751" w:rsidP="00275DA8">
      <w:pPr>
        <w:spacing w:before="120" w:after="120"/>
        <w:ind w:left="1560"/>
        <w:jc w:val="both"/>
      </w:pPr>
      <w:r>
        <w:t xml:space="preserve">- Sample variance of overnight log returns:  </w:t>
      </w:r>
    </w:p>
    <w:p w14:paraId="1FE2AD42" w14:textId="77777777" w:rsidR="00986751" w:rsidRPr="00986751" w:rsidRDefault="00275DA8" w:rsidP="00275DA8">
      <w:pPr>
        <w:spacing w:before="120" w:after="120"/>
        <w:ind w:left="993"/>
        <w:jc w:val="both"/>
      </w:pPr>
      <m:oMathPara>
        <m:oMath>
          <m:sSubSup>
            <m:sSubSupPr>
              <m:ctrlPr>
                <w:rPr>
                  <w:rFonts w:ascii="Cambria Math" w:hAnsi="Cambria Math"/>
                </w:rPr>
              </m:ctrlPr>
            </m:sSubSupPr>
            <m:e>
              <m:r>
                <w:rPr>
                  <w:rFonts w:ascii="Cambria Math" w:hAnsi="Cambria Math"/>
                </w:rPr>
                <m:t>σ</m:t>
              </m:r>
            </m:e>
            <m:sub>
              <m:r>
                <w:rPr>
                  <w:rFonts w:ascii="Cambria Math" w:hAnsi="Cambria Math"/>
                </w:rPr>
                <m:t>o</m:t>
              </m:r>
            </m:sub>
            <m:sup>
              <m:r>
                <m:rPr>
                  <m:sty m:val="p"/>
                </m:rPr>
                <w:rPr>
                  <w:rFonts w:ascii="Cambria Math" w:hAnsi="Cambria Math"/>
                </w:rPr>
                <m:t>2</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r>
                <m:rPr>
                  <m:sty m:val="p"/>
                </m:rPr>
                <w:rPr>
                  <w:rFonts w:ascii="Cambria Math" w:hAnsi="Cambria Math"/>
                </w:rPr>
                <m:t>-1</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o</m:t>
                          </m:r>
                        </m:e>
                      </m:acc>
                    </m:e>
                  </m:d>
                </m:e>
                <m:sup>
                  <m:r>
                    <m:rPr>
                      <m:sty m:val="p"/>
                    </m:rPr>
                    <w:rPr>
                      <w:rFonts w:ascii="Cambria Math" w:hAnsi="Cambria Math"/>
                    </w:rPr>
                    <m:t>2</m:t>
                  </m:r>
                </m:sup>
              </m:sSup>
              <m:r>
                <m:rPr>
                  <m:sty m:val="p"/>
                </m:rPr>
                <w:rPr>
                  <w:rFonts w:ascii="Cambria Math" w:hAnsi="Cambria Math"/>
                </w:rPr>
                <m:t>,</m:t>
              </m:r>
            </m:e>
          </m:nary>
          <m:sSub>
            <m:sSubPr>
              <m:ctrlPr>
                <w:rPr>
                  <w:rFonts w:ascii="Cambria Math" w:hAnsi="Cambria Math"/>
                </w:rPr>
              </m:ctrlPr>
            </m:sSubPr>
            <m:e>
              <m:r>
                <m:rPr>
                  <m:sty m:val="p"/>
                </m:rPr>
                <w:rPr>
                  <w:rFonts w:ascii="Cambria Math" w:hAnsi="Cambria Math"/>
                </w:rPr>
                <m:t xml:space="preserve">    </m:t>
              </m:r>
              <m:r>
                <w:rPr>
                  <w:rFonts w:ascii="Cambria Math" w:hAnsi="Cambria Math"/>
                </w:rPr>
                <m:t>o</m:t>
              </m:r>
            </m:e>
            <m:sub>
              <m:r>
                <w:rPr>
                  <w:rFonts w:ascii="Cambria Math" w:hAnsi="Cambria Math"/>
                </w:rPr>
                <m:t>i</m:t>
              </m:r>
            </m:sub>
          </m:sSub>
          <m:r>
            <m:rPr>
              <m:sty m:val="p"/>
            </m:rPr>
            <w:rPr>
              <w:rFonts w:ascii="Cambria Math" w:hAnsi="Cambria Math"/>
            </w:rPr>
            <m:t>=</m:t>
          </m:r>
          <m:func>
            <m:funcPr>
              <m:ctrlPr>
                <w:rPr>
                  <w:rFonts w:ascii="Cambria Math" w:hAnsi="Cambria Math"/>
                </w:rPr>
              </m:ctrlPr>
            </m:funcPr>
            <m:fName>
              <m:r>
                <w:rPr>
                  <w:rFonts w:ascii="Cambria Math" w:hAnsi="Cambria Math"/>
                </w:rPr>
                <m:t>ln</m:t>
              </m:r>
            </m:fName>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O</m:t>
                          </m:r>
                        </m:e>
                        <m:sub>
                          <m:r>
                            <w:rPr>
                              <w:rFonts w:ascii="Cambria Math" w:hAnsi="Cambria Math"/>
                            </w:rPr>
                            <m:t>i</m:t>
                          </m:r>
                        </m:sub>
                      </m:sSub>
                    </m:num>
                    <m:den>
                      <m:sSub>
                        <m:sSubPr>
                          <m:ctrlPr>
                            <w:rPr>
                              <w:rFonts w:ascii="Cambria Math" w:hAnsi="Cambria Math"/>
                            </w:rPr>
                          </m:ctrlPr>
                        </m:sSubPr>
                        <m:e>
                          <m:r>
                            <w:rPr>
                              <w:rFonts w:ascii="Cambria Math" w:hAnsi="Cambria Math"/>
                            </w:rPr>
                            <m:t>C</m:t>
                          </m:r>
                        </m:e>
                        <m:sub>
                          <m:r>
                            <w:rPr>
                              <w:rFonts w:ascii="Cambria Math" w:hAnsi="Cambria Math"/>
                            </w:rPr>
                            <m:t>i</m:t>
                          </m:r>
                          <m:r>
                            <m:rPr>
                              <m:sty m:val="p"/>
                            </m:rPr>
                            <w:rPr>
                              <w:rFonts w:ascii="Cambria Math" w:hAnsi="Cambria Math"/>
                            </w:rPr>
                            <m:t>-1</m:t>
                          </m:r>
                        </m:sub>
                      </m:sSub>
                    </m:den>
                  </m:f>
                </m:e>
              </m:d>
            </m:e>
          </m:func>
          <m:r>
            <m:rPr>
              <m:sty m:val="p"/>
            </m:rPr>
            <w:rPr>
              <w:rFonts w:ascii="Cambria Math" w:hAnsi="Cambria Math"/>
            </w:rPr>
            <m:t xml:space="preserve">,        </m:t>
          </m:r>
          <m:acc>
            <m:accPr>
              <m:chr m:val="̅"/>
              <m:ctrlPr>
                <w:rPr>
                  <w:rFonts w:ascii="Cambria Math" w:hAnsi="Cambria Math"/>
                </w:rPr>
              </m:ctrlPr>
            </m:accPr>
            <m:e>
              <m:r>
                <w:rPr>
                  <w:rFonts w:ascii="Cambria Math" w:hAnsi="Cambria Math"/>
                </w:rPr>
                <m:t>o</m:t>
              </m:r>
            </m:e>
          </m:acc>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sub>
            <m:sup>
              <m:r>
                <w:rPr>
                  <w:rFonts w:ascii="Cambria Math" w:hAnsi="Cambria Math"/>
                </w:rPr>
                <m:t>n</m:t>
              </m:r>
            </m:sup>
            <m:e>
              <m:sSub>
                <m:sSubPr>
                  <m:ctrlPr>
                    <w:rPr>
                      <w:rFonts w:ascii="Cambria Math" w:hAnsi="Cambria Math"/>
                    </w:rPr>
                  </m:ctrlPr>
                </m:sSubPr>
                <m:e>
                  <m:r>
                    <w:rPr>
                      <w:rFonts w:ascii="Cambria Math" w:hAnsi="Cambria Math"/>
                    </w:rPr>
                    <m:t>o</m:t>
                  </m:r>
                </m:e>
                <m:sub>
                  <m:r>
                    <w:rPr>
                      <w:rFonts w:ascii="Cambria Math" w:hAnsi="Cambria Math"/>
                    </w:rPr>
                    <m:t>i</m:t>
                  </m:r>
                </m:sub>
              </m:sSub>
            </m:e>
          </m:nary>
          <m:r>
            <m:rPr>
              <m:sty m:val="p"/>
            </m:rPr>
            <w:rPr>
              <w:rFonts w:ascii="Cambria Math" w:hAnsi="Cambria Math"/>
            </w:rPr>
            <m:t>,</m:t>
          </m:r>
        </m:oMath>
      </m:oMathPara>
    </w:p>
    <w:p w14:paraId="561D72D9" w14:textId="77777777" w:rsidR="00986751" w:rsidRPr="00986751" w:rsidRDefault="00986751" w:rsidP="00275DA8">
      <w:pPr>
        <w:spacing w:before="120" w:after="120"/>
        <w:ind w:left="993"/>
        <w:jc w:val="both"/>
      </w:pPr>
    </w:p>
    <w:p w14:paraId="42CBDFAD" w14:textId="5F701536" w:rsidR="00986751" w:rsidRPr="00986751" w:rsidRDefault="00986751" w:rsidP="00275DA8">
      <w:pPr>
        <w:spacing w:before="120" w:after="120"/>
        <w:ind w:left="1560"/>
        <w:jc w:val="both"/>
      </w:pPr>
      <w:r>
        <w:t>- Sample variance of intraday open-to-close log returns:</w:t>
      </w:r>
    </w:p>
    <w:p w14:paraId="2250B875" w14:textId="77777777" w:rsidR="00986751" w:rsidRPr="00986751" w:rsidRDefault="00275DA8" w:rsidP="00275DA8">
      <w:pPr>
        <w:spacing w:before="120" w:after="120"/>
        <w:ind w:left="993"/>
        <w:jc w:val="both"/>
      </w:pPr>
      <m:oMathPara>
        <m:oMath>
          <m:sSubSup>
            <m:sSubSupPr>
              <m:ctrlPr>
                <w:rPr>
                  <w:rFonts w:ascii="Cambria Math" w:hAnsi="Cambria Math"/>
                </w:rPr>
              </m:ctrlPr>
            </m:sSubSupPr>
            <m:e>
              <m:r>
                <w:rPr>
                  <w:rFonts w:ascii="Cambria Math" w:hAnsi="Cambria Math"/>
                </w:rPr>
                <m:t>σ</m:t>
              </m:r>
            </m:e>
            <m:sub>
              <m:r>
                <w:rPr>
                  <w:rFonts w:ascii="Cambria Math" w:hAnsi="Cambria Math"/>
                </w:rPr>
                <m:t>c</m:t>
              </m:r>
            </m:sub>
            <m:sup>
              <m:r>
                <m:rPr>
                  <m:sty m:val="p"/>
                </m:rPr>
                <w:rPr>
                  <w:rFonts w:ascii="Cambria Math" w:hAnsi="Cambria Math"/>
                </w:rPr>
                <m:t>2</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r>
                <m:rPr>
                  <m:sty m:val="p"/>
                </m:rPr>
                <w:rPr>
                  <w:rFonts w:ascii="Cambria Math" w:hAnsi="Cambria Math"/>
                </w:rPr>
                <m:t>-1</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c</m:t>
                          </m:r>
                        </m:e>
                      </m:acc>
                    </m:e>
                  </m:d>
                </m:e>
                <m:sup>
                  <m:r>
                    <m:rPr>
                      <m:sty m:val="p"/>
                    </m:rPr>
                    <w:rPr>
                      <w:rFonts w:ascii="Cambria Math" w:hAnsi="Cambria Math"/>
                    </w:rPr>
                    <m:t>2</m:t>
                  </m:r>
                </m:sup>
              </m:sSup>
              <m:r>
                <m:rPr>
                  <m:sty m:val="p"/>
                </m:rPr>
                <w:rPr>
                  <w:rFonts w:ascii="Cambria Math" w:hAnsi="Cambria Math"/>
                </w:rPr>
                <m:t>,</m:t>
              </m:r>
            </m:e>
          </m:nary>
          <m:sSub>
            <m:sSubPr>
              <m:ctrlPr>
                <w:rPr>
                  <w:rFonts w:ascii="Cambria Math" w:hAnsi="Cambria Math"/>
                </w:rPr>
              </m:ctrlPr>
            </m:sSubPr>
            <m:e>
              <m:r>
                <m:rPr>
                  <m:sty m:val="p"/>
                </m:rPr>
                <w:rPr>
                  <w:rFonts w:ascii="Cambria Math" w:hAnsi="Cambria Math"/>
                </w:rPr>
                <m:t xml:space="preserve">    </m:t>
              </m:r>
              <m:r>
                <w:rPr>
                  <w:rFonts w:ascii="Cambria Math" w:hAnsi="Cambria Math"/>
                </w:rPr>
                <m:t>c</m:t>
              </m:r>
            </m:e>
            <m:sub>
              <m:r>
                <w:rPr>
                  <w:rFonts w:ascii="Cambria Math" w:hAnsi="Cambria Math"/>
                </w:rPr>
                <m:t>i</m:t>
              </m:r>
            </m:sub>
          </m:sSub>
          <m:r>
            <m:rPr>
              <m:sty m:val="p"/>
            </m:rPr>
            <w:rPr>
              <w:rFonts w:ascii="Cambria Math" w:hAnsi="Cambria Math"/>
            </w:rPr>
            <m:t>=</m:t>
          </m:r>
          <m:func>
            <m:funcPr>
              <m:ctrlPr>
                <w:rPr>
                  <w:rFonts w:ascii="Cambria Math" w:hAnsi="Cambria Math"/>
                </w:rPr>
              </m:ctrlPr>
            </m:funcPr>
            <m:fName>
              <m:r>
                <w:rPr>
                  <w:rFonts w:ascii="Cambria Math" w:hAnsi="Cambria Math"/>
                </w:rPr>
                <m:t>ln</m:t>
              </m:r>
            </m:fName>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i</m:t>
                          </m:r>
                        </m:sub>
                      </m:sSub>
                    </m:num>
                    <m:den>
                      <m:sSub>
                        <m:sSubPr>
                          <m:ctrlPr>
                            <w:rPr>
                              <w:rFonts w:ascii="Cambria Math" w:hAnsi="Cambria Math"/>
                            </w:rPr>
                          </m:ctrlPr>
                        </m:sSubPr>
                        <m:e>
                          <m:r>
                            <w:rPr>
                              <w:rFonts w:ascii="Cambria Math" w:hAnsi="Cambria Math"/>
                            </w:rPr>
                            <m:t>O</m:t>
                          </m:r>
                        </m:e>
                        <m:sub>
                          <m:r>
                            <w:rPr>
                              <w:rFonts w:ascii="Cambria Math" w:hAnsi="Cambria Math"/>
                            </w:rPr>
                            <m:t>i</m:t>
                          </m:r>
                        </m:sub>
                      </m:sSub>
                    </m:den>
                  </m:f>
                </m:e>
              </m:d>
            </m:e>
          </m:func>
          <m:r>
            <m:rPr>
              <m:sty m:val="p"/>
            </m:rPr>
            <w:rPr>
              <w:rFonts w:ascii="Cambria Math" w:hAnsi="Cambria Math"/>
            </w:rPr>
            <m:t xml:space="preserve">,        </m:t>
          </m:r>
          <m:acc>
            <m:accPr>
              <m:chr m:val="̅"/>
              <m:ctrlPr>
                <w:rPr>
                  <w:rFonts w:ascii="Cambria Math" w:hAnsi="Cambria Math"/>
                </w:rPr>
              </m:ctrlPr>
            </m:accPr>
            <m:e>
              <m:r>
                <w:rPr>
                  <w:rFonts w:ascii="Cambria Math" w:hAnsi="Cambria Math"/>
                </w:rPr>
                <m:t>c</m:t>
              </m:r>
            </m:e>
          </m:acc>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sub>
            <m:sup>
              <m:r>
                <w:rPr>
                  <w:rFonts w:ascii="Cambria Math" w:hAnsi="Cambria Math"/>
                </w:rPr>
                <m:t>n</m:t>
              </m:r>
            </m:sup>
            <m:e>
              <m:sSub>
                <m:sSubPr>
                  <m:ctrlPr>
                    <w:rPr>
                      <w:rFonts w:ascii="Cambria Math" w:hAnsi="Cambria Math"/>
                    </w:rPr>
                  </m:ctrlPr>
                </m:sSubPr>
                <m:e>
                  <m:r>
                    <w:rPr>
                      <w:rFonts w:ascii="Cambria Math" w:hAnsi="Cambria Math"/>
                    </w:rPr>
                    <m:t>c</m:t>
                  </m:r>
                </m:e>
                <m:sub>
                  <m:r>
                    <w:rPr>
                      <w:rFonts w:ascii="Cambria Math" w:hAnsi="Cambria Math"/>
                    </w:rPr>
                    <m:t>i</m:t>
                  </m:r>
                </m:sub>
              </m:sSub>
            </m:e>
          </m:nary>
          <m:r>
            <m:rPr>
              <m:sty m:val="p"/>
            </m:rPr>
            <w:rPr>
              <w:rFonts w:ascii="Cambria Math" w:hAnsi="Cambria Math"/>
            </w:rPr>
            <m:t>,</m:t>
          </m:r>
        </m:oMath>
      </m:oMathPara>
    </w:p>
    <w:p w14:paraId="0DC1145C" w14:textId="77777777" w:rsidR="00986751" w:rsidRPr="00986751" w:rsidRDefault="00986751" w:rsidP="00275DA8">
      <w:pPr>
        <w:spacing w:before="120" w:after="120"/>
        <w:ind w:left="993"/>
        <w:jc w:val="both"/>
      </w:pPr>
    </w:p>
    <w:p w14:paraId="4336B535" w14:textId="77777777" w:rsidR="00986751" w:rsidRPr="00986751" w:rsidRDefault="00986751" w:rsidP="00275DA8">
      <w:pPr>
        <w:spacing w:before="120" w:after="120"/>
        <w:ind w:left="1560"/>
        <w:jc w:val="both"/>
      </w:pPr>
      <w:r>
        <w:t>- Rogers-Satchell estimator (range, drift-independent):</w:t>
      </w:r>
    </w:p>
    <w:p w14:paraId="24D29D67" w14:textId="77777777" w:rsidR="00986751" w:rsidRPr="00986751" w:rsidRDefault="00275DA8" w:rsidP="00275DA8">
      <w:pPr>
        <w:spacing w:before="120" w:after="120"/>
        <w:ind w:left="993"/>
        <w:jc w:val="both"/>
      </w:pPr>
      <m:oMathPara>
        <m:oMath>
          <m:sSub>
            <m:sSubPr>
              <m:ctrlPr>
                <w:rPr>
                  <w:rFonts w:ascii="Cambria Math" w:hAnsi="Cambria Math"/>
                </w:rPr>
              </m:ctrlPr>
            </m:sSubPr>
            <m:e>
              <m:r>
                <w:rPr>
                  <w:rFonts w:ascii="Cambria Math" w:hAnsi="Cambria Math"/>
                </w:rPr>
                <m:t>RS</m:t>
              </m:r>
            </m:e>
            <m:sub>
              <m:r>
                <w:rPr>
                  <w:rFonts w:ascii="Cambria Math" w:hAnsi="Cambria Math"/>
                </w:rPr>
                <m:t>i</m:t>
              </m:r>
            </m:sub>
          </m:sSub>
          <m:r>
            <m:rPr>
              <m:sty m:val="p"/>
            </m:rPr>
            <w:rPr>
              <w:rFonts w:ascii="Cambria Math" w:hAnsi="Cambria Math"/>
            </w:rPr>
            <m:t>=</m:t>
          </m:r>
          <m:d>
            <m:dPr>
              <m:begChr m:val="["/>
              <m:endChr m:val="]"/>
              <m:ctrlPr>
                <w:rPr>
                  <w:rFonts w:ascii="Cambria Math" w:hAnsi="Cambria Math"/>
                </w:rPr>
              </m:ctrlPr>
            </m:dPr>
            <m:e>
              <m:r>
                <w:rPr>
                  <w:rFonts w:ascii="Cambria Math" w:hAnsi="Cambria Math"/>
                </w:rPr>
                <m:t>ln</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i</m:t>
                          </m:r>
                        </m:sub>
                      </m:sSub>
                    </m:num>
                    <m:den>
                      <m:sSub>
                        <m:sSubPr>
                          <m:ctrlPr>
                            <w:rPr>
                              <w:rFonts w:ascii="Cambria Math" w:hAnsi="Cambria Math"/>
                            </w:rPr>
                          </m:ctrlPr>
                        </m:sSubPr>
                        <m:e>
                          <m:r>
                            <w:rPr>
                              <w:rFonts w:ascii="Cambria Math" w:hAnsi="Cambria Math"/>
                            </w:rPr>
                            <m:t>O</m:t>
                          </m:r>
                        </m:e>
                        <m:sub>
                          <m:r>
                            <w:rPr>
                              <w:rFonts w:ascii="Cambria Math" w:hAnsi="Cambria Math"/>
                            </w:rPr>
                            <m:t>i</m:t>
                          </m:r>
                        </m:sub>
                      </m:sSub>
                    </m:den>
                  </m:f>
                </m:e>
              </m:d>
              <m:r>
                <m:rPr>
                  <m:sty m:val="p"/>
                </m:rPr>
                <w:rPr>
                  <w:rFonts w:ascii="Cambria Math" w:hAnsi="Cambria Math"/>
                </w:rPr>
                <m:t>*</m:t>
              </m:r>
              <m:r>
                <w:rPr>
                  <w:rFonts w:ascii="Cambria Math" w:hAnsi="Cambria Math"/>
                </w:rPr>
                <m:t>ln</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i</m:t>
                          </m:r>
                        </m:sub>
                      </m:sSub>
                    </m:num>
                    <m:den>
                      <m:sSub>
                        <m:sSubPr>
                          <m:ctrlPr>
                            <w:rPr>
                              <w:rFonts w:ascii="Cambria Math" w:hAnsi="Cambria Math"/>
                            </w:rPr>
                          </m:ctrlPr>
                        </m:sSubPr>
                        <m:e>
                          <m:r>
                            <w:rPr>
                              <w:rFonts w:ascii="Cambria Math" w:hAnsi="Cambria Math"/>
                            </w:rPr>
                            <m:t>C</m:t>
                          </m:r>
                        </m:e>
                        <m:sub>
                          <m:r>
                            <w:rPr>
                              <w:rFonts w:ascii="Cambria Math" w:hAnsi="Cambria Math"/>
                            </w:rPr>
                            <m:t>i</m:t>
                          </m:r>
                        </m:sub>
                      </m:sSub>
                    </m:den>
                  </m:f>
                </m:e>
              </m:d>
              <m:r>
                <m:rPr>
                  <m:sty m:val="p"/>
                </m:rPr>
                <w:rPr>
                  <w:rFonts w:ascii="Cambria Math" w:hAnsi="Cambria Math"/>
                </w:rPr>
                <m:t>+</m:t>
              </m:r>
              <m:r>
                <w:rPr>
                  <w:rFonts w:ascii="Cambria Math" w:hAnsi="Cambria Math"/>
                </w:rPr>
                <m:t>ln</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i</m:t>
                          </m:r>
                        </m:sub>
                      </m:sSub>
                    </m:num>
                    <m:den>
                      <m:sSub>
                        <m:sSubPr>
                          <m:ctrlPr>
                            <w:rPr>
                              <w:rFonts w:ascii="Cambria Math" w:hAnsi="Cambria Math"/>
                            </w:rPr>
                          </m:ctrlPr>
                        </m:sSubPr>
                        <m:e>
                          <m:r>
                            <w:rPr>
                              <w:rFonts w:ascii="Cambria Math" w:hAnsi="Cambria Math"/>
                            </w:rPr>
                            <m:t>O</m:t>
                          </m:r>
                        </m:e>
                        <m:sub>
                          <m:r>
                            <w:rPr>
                              <w:rFonts w:ascii="Cambria Math" w:hAnsi="Cambria Math"/>
                            </w:rPr>
                            <m:t>i</m:t>
                          </m:r>
                        </m:sub>
                      </m:sSub>
                    </m:den>
                  </m:f>
                </m:e>
              </m:d>
              <m:r>
                <m:rPr>
                  <m:sty m:val="p"/>
                </m:rPr>
                <w:rPr>
                  <w:rFonts w:ascii="Cambria Math" w:hAnsi="Cambria Math"/>
                </w:rPr>
                <m:t>*</m:t>
              </m:r>
              <m:r>
                <w:rPr>
                  <w:rFonts w:ascii="Cambria Math" w:hAnsi="Cambria Math"/>
                </w:rPr>
                <m:t>ln</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i</m:t>
                          </m:r>
                        </m:sub>
                      </m:sSub>
                    </m:num>
                    <m:den>
                      <m:sSub>
                        <m:sSubPr>
                          <m:ctrlPr>
                            <w:rPr>
                              <w:rFonts w:ascii="Cambria Math" w:hAnsi="Cambria Math"/>
                            </w:rPr>
                          </m:ctrlPr>
                        </m:sSubPr>
                        <m:e>
                          <m:r>
                            <w:rPr>
                              <w:rFonts w:ascii="Cambria Math" w:hAnsi="Cambria Math"/>
                            </w:rPr>
                            <m:t>C</m:t>
                          </m:r>
                        </m:e>
                        <m:sub>
                          <m:r>
                            <w:rPr>
                              <w:rFonts w:ascii="Cambria Math" w:hAnsi="Cambria Math"/>
                            </w:rPr>
                            <m:t>i</m:t>
                          </m:r>
                        </m:sub>
                      </m:sSub>
                    </m:den>
                  </m:f>
                </m:e>
              </m:d>
            </m:e>
          </m:d>
          <m:r>
            <m:rPr>
              <m:sty m:val="p"/>
            </m:rPr>
            <w:rPr>
              <w:rFonts w:ascii="Cambria Math" w:hAnsi="Cambria Math"/>
            </w:rPr>
            <m:t>,</m:t>
          </m:r>
          <m:sSubSup>
            <m:sSubSupPr>
              <m:ctrlPr>
                <w:rPr>
                  <w:rFonts w:ascii="Cambria Math" w:hAnsi="Cambria Math"/>
                </w:rPr>
              </m:ctrlPr>
            </m:sSubSupPr>
            <m:e>
              <m:r>
                <m:rPr>
                  <m:sty m:val="p"/>
                </m:rPr>
                <w:rPr>
                  <w:rFonts w:ascii="Cambria Math" w:hAnsi="Cambria Math"/>
                </w:rPr>
                <m:t xml:space="preserve">    </m:t>
              </m:r>
              <m:r>
                <w:rPr>
                  <w:rFonts w:ascii="Cambria Math" w:hAnsi="Cambria Math"/>
                </w:rPr>
                <m:t>σ</m:t>
              </m:r>
            </m:e>
            <m:sub>
              <m:r>
                <w:rPr>
                  <w:rFonts w:ascii="Cambria Math" w:hAnsi="Cambria Math"/>
                </w:rPr>
                <m:t>RS</m:t>
              </m:r>
            </m:sub>
            <m:sup>
              <m:r>
                <m:rPr>
                  <m:sty m:val="p"/>
                </m:rPr>
                <w:rPr>
                  <w:rFonts w:ascii="Cambria Math" w:hAnsi="Cambria Math"/>
                </w:rPr>
                <m:t>2</m:t>
              </m:r>
            </m:sup>
          </m:sSub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RS</m:t>
                  </m:r>
                </m:e>
                <m:sub>
                  <m:r>
                    <w:rPr>
                      <w:rFonts w:ascii="Cambria Math" w:hAnsi="Cambria Math"/>
                    </w:rPr>
                    <m:t>i</m:t>
                  </m:r>
                </m:sub>
              </m:sSub>
            </m:e>
          </m:nary>
        </m:oMath>
      </m:oMathPara>
    </w:p>
    <w:p w14:paraId="3EED4884" w14:textId="77777777" w:rsidR="00986751" w:rsidRPr="00986751" w:rsidRDefault="00986751" w:rsidP="00275DA8">
      <w:pPr>
        <w:spacing w:before="120" w:after="120"/>
        <w:ind w:left="993"/>
        <w:jc w:val="both"/>
      </w:pPr>
    </w:p>
    <w:p w14:paraId="3003D076" w14:textId="77777777" w:rsidR="00986751" w:rsidRPr="00986751" w:rsidRDefault="00986751" w:rsidP="00275DA8">
      <w:pPr>
        <w:spacing w:before="120" w:after="120"/>
        <w:ind w:left="993"/>
      </w:pPr>
      <w:r>
        <w:t>2. Calculation of the optimal weighting coefficient:</w:t>
      </w:r>
      <w:r>
        <w:br/>
      </w:r>
    </w:p>
    <w:p w14:paraId="1D6116E9" w14:textId="77777777" w:rsidR="00986751" w:rsidRPr="00986751" w:rsidRDefault="00986751" w:rsidP="00275DA8">
      <w:pPr>
        <w:spacing w:before="120" w:after="120"/>
        <w:ind w:left="993"/>
        <w:jc w:val="both"/>
      </w:pPr>
      <m:oMathPara>
        <m:oMath>
          <m:r>
            <w:rPr>
              <w:rFonts w:ascii="Cambria Math" w:hAnsi="Cambria Math"/>
            </w:rPr>
            <m:t>k</m:t>
          </m:r>
          <m:r>
            <m:rPr>
              <m:sty m:val="p"/>
            </m:rPr>
            <w:rPr>
              <w:rFonts w:ascii="Cambria Math" w:hAnsi="Cambria Math"/>
            </w:rPr>
            <m:t>=</m:t>
          </m:r>
          <m:f>
            <m:fPr>
              <m:ctrlPr>
                <w:rPr>
                  <w:rFonts w:ascii="Cambria Math" w:hAnsi="Cambria Math"/>
                </w:rPr>
              </m:ctrlPr>
            </m:fPr>
            <m:num>
              <m:r>
                <m:rPr>
                  <m:sty m:val="p"/>
                </m:rPr>
                <w:rPr>
                  <w:rFonts w:ascii="Cambria Math" w:hAnsi="Cambria Math"/>
                </w:rPr>
                <m:t>0,34</m:t>
              </m:r>
            </m:num>
            <m:den>
              <m:r>
                <m:rPr>
                  <m:sty m:val="p"/>
                </m:rPr>
                <w:rPr>
                  <w:rFonts w:ascii="Cambria Math" w:hAnsi="Cambria Math"/>
                </w:rPr>
                <m:t xml:space="preserve">1,34+ </m:t>
              </m:r>
              <m:f>
                <m:fPr>
                  <m:ctrlPr>
                    <w:rPr>
                      <w:rFonts w:ascii="Cambria Math" w:hAnsi="Cambria Math"/>
                    </w:rPr>
                  </m:ctrlPr>
                </m:fPr>
                <m:num>
                  <m:r>
                    <w:rPr>
                      <w:rFonts w:ascii="Cambria Math" w:hAnsi="Cambria Math"/>
                    </w:rPr>
                    <m:t>n</m:t>
                  </m:r>
                  <m:r>
                    <m:rPr>
                      <m:sty m:val="p"/>
                    </m:rPr>
                    <w:rPr>
                      <w:rFonts w:ascii="Cambria Math" w:hAnsi="Cambria Math"/>
                    </w:rPr>
                    <m:t>+1</m:t>
                  </m:r>
                </m:num>
                <m:den>
                  <m:r>
                    <w:rPr>
                      <w:rFonts w:ascii="Cambria Math" w:hAnsi="Cambria Math"/>
                    </w:rPr>
                    <m:t>n</m:t>
                  </m:r>
                  <m:r>
                    <m:rPr>
                      <m:sty m:val="p"/>
                    </m:rPr>
                    <w:rPr>
                      <w:rFonts w:ascii="Cambria Math" w:hAnsi="Cambria Math"/>
                    </w:rPr>
                    <m:t>-1</m:t>
                  </m:r>
                </m:den>
              </m:f>
            </m:den>
          </m:f>
        </m:oMath>
      </m:oMathPara>
    </w:p>
    <w:p w14:paraId="30B8AC88" w14:textId="77777777" w:rsidR="00986751" w:rsidRPr="00986751" w:rsidRDefault="00986751" w:rsidP="00275DA8">
      <w:pPr>
        <w:spacing w:before="120" w:after="120"/>
        <w:ind w:left="993"/>
        <w:jc w:val="both"/>
      </w:pPr>
    </w:p>
    <w:p w14:paraId="37BFA69D" w14:textId="77777777" w:rsidR="00986751" w:rsidRPr="00986751" w:rsidRDefault="00986751" w:rsidP="00275DA8">
      <w:pPr>
        <w:spacing w:before="120" w:after="120"/>
        <w:ind w:left="993"/>
      </w:pPr>
      <w:r>
        <w:t xml:space="preserve">3. Final volatility estimate and </w:t>
      </w:r>
      <w:proofErr w:type="spellStart"/>
      <w:r>
        <w:t>annualisation</w:t>
      </w:r>
      <w:proofErr w:type="spellEnd"/>
      <w:r>
        <w:t>:</w:t>
      </w:r>
    </w:p>
    <w:p w14:paraId="4E679A45" w14:textId="77777777" w:rsidR="00986751" w:rsidRPr="00986751" w:rsidRDefault="00986751" w:rsidP="00275DA8">
      <w:pPr>
        <w:spacing w:before="120" w:after="120"/>
        <w:ind w:left="1560"/>
        <w:jc w:val="both"/>
      </w:pPr>
      <w:r>
        <w:t>- Volatility estimate:</w:t>
      </w:r>
    </w:p>
    <w:p w14:paraId="77961C9C" w14:textId="77777777" w:rsidR="00986751" w:rsidRPr="00986751" w:rsidRDefault="00275DA8" w:rsidP="00275DA8">
      <w:pPr>
        <w:spacing w:before="120" w:after="120"/>
        <w:ind w:left="993"/>
        <w:jc w:val="both"/>
      </w:pPr>
      <m:oMathPara>
        <m:oMath>
          <m:sSub>
            <m:sSubPr>
              <m:ctrlPr>
                <w:rPr>
                  <w:rFonts w:ascii="Cambria Math" w:hAnsi="Cambria Math"/>
                </w:rPr>
              </m:ctrlPr>
            </m:sSubPr>
            <m:e>
              <m:r>
                <w:rPr>
                  <w:rFonts w:ascii="Cambria Math" w:hAnsi="Cambria Math"/>
                </w:rPr>
                <m:t>σ</m:t>
              </m:r>
            </m:e>
            <m:sub>
              <m:r>
                <w:rPr>
                  <w:rFonts w:ascii="Cambria Math" w:hAnsi="Cambria Math"/>
                </w:rPr>
                <m:t>YZ</m:t>
              </m:r>
            </m:sub>
          </m:sSub>
          <m:r>
            <m:rPr>
              <m:sty m:val="p"/>
            </m:rPr>
            <w:rPr>
              <w:rFonts w:ascii="Cambria Math" w:hAnsi="Cambria Math"/>
            </w:rPr>
            <m:t>=</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σ</m:t>
                  </m:r>
                </m:e>
                <m:sub>
                  <m:r>
                    <w:rPr>
                      <w:rFonts w:ascii="Cambria Math" w:hAnsi="Cambria Math"/>
                    </w:rPr>
                    <m:t>o</m:t>
                  </m:r>
                </m:sub>
                <m:sup>
                  <m:r>
                    <m:rPr>
                      <m:sty m:val="p"/>
                    </m:rPr>
                    <w:rPr>
                      <w:rFonts w:ascii="Cambria Math" w:hAnsi="Cambria Math"/>
                    </w:rPr>
                    <m:t>2</m:t>
                  </m:r>
                </m:sup>
              </m:sSubSup>
              <m:r>
                <m:rPr>
                  <m:sty m:val="p"/>
                </m:rPr>
                <w:rPr>
                  <w:rFonts w:ascii="Cambria Math" w:hAnsi="Cambria Math"/>
                </w:rPr>
                <m:t>+</m:t>
              </m:r>
              <m:r>
                <w:rPr>
                  <w:rFonts w:ascii="Cambria Math" w:hAnsi="Cambria Math"/>
                </w:rPr>
                <m:t>k</m:t>
              </m:r>
              <m:sSubSup>
                <m:sSubSupPr>
                  <m:ctrlPr>
                    <w:rPr>
                      <w:rFonts w:ascii="Cambria Math" w:hAnsi="Cambria Math"/>
                    </w:rPr>
                  </m:ctrlPr>
                </m:sSubSupPr>
                <m:e>
                  <m:r>
                    <w:rPr>
                      <w:rFonts w:ascii="Cambria Math" w:hAnsi="Cambria Math"/>
                    </w:rPr>
                    <m:t>σ</m:t>
                  </m:r>
                </m:e>
                <m:sub>
                  <m:r>
                    <w:rPr>
                      <w:rFonts w:ascii="Cambria Math" w:hAnsi="Cambria Math"/>
                    </w:rPr>
                    <m:t>c</m:t>
                  </m:r>
                </m:sub>
                <m:sup>
                  <m:r>
                    <m:rPr>
                      <m:sty m:val="p"/>
                    </m:rPr>
                    <w:rPr>
                      <w:rFonts w:ascii="Cambria Math" w:hAnsi="Cambria Math"/>
                    </w:rPr>
                    <m:t>2</m:t>
                  </m:r>
                </m:sup>
              </m:sSubSup>
              <m:r>
                <m:rPr>
                  <m:sty m:val="p"/>
                </m:rPr>
                <w:rPr>
                  <w:rFonts w:ascii="Cambria Math" w:hAnsi="Cambria Math"/>
                </w:rPr>
                <m:t>+(1-</m:t>
              </m:r>
              <m:r>
                <w:rPr>
                  <w:rFonts w:ascii="Cambria Math" w:hAnsi="Cambria Math"/>
                </w:rPr>
                <m:t>k</m:t>
              </m:r>
              <m:r>
                <m:rPr>
                  <m:sty m:val="p"/>
                </m:rPr>
                <w:rPr>
                  <w:rFonts w:ascii="Cambria Math" w:hAnsi="Cambria Math"/>
                </w:rPr>
                <m:t>)</m:t>
              </m:r>
              <m:sSubSup>
                <m:sSubSupPr>
                  <m:ctrlPr>
                    <w:rPr>
                      <w:rFonts w:ascii="Cambria Math" w:hAnsi="Cambria Math"/>
                    </w:rPr>
                  </m:ctrlPr>
                </m:sSubSupPr>
                <m:e>
                  <m:r>
                    <w:rPr>
                      <w:rFonts w:ascii="Cambria Math" w:hAnsi="Cambria Math"/>
                    </w:rPr>
                    <m:t>σ</m:t>
                  </m:r>
                </m:e>
                <m:sub>
                  <m:r>
                    <w:rPr>
                      <w:rFonts w:ascii="Cambria Math" w:hAnsi="Cambria Math"/>
                    </w:rPr>
                    <m:t>rs</m:t>
                  </m:r>
                </m:sub>
                <m:sup>
                  <m:r>
                    <m:rPr>
                      <m:sty m:val="p"/>
                    </m:rPr>
                    <w:rPr>
                      <w:rFonts w:ascii="Cambria Math" w:hAnsi="Cambria Math"/>
                    </w:rPr>
                    <m:t>2</m:t>
                  </m:r>
                </m:sup>
              </m:sSubSup>
            </m:e>
          </m:rad>
        </m:oMath>
      </m:oMathPara>
    </w:p>
    <w:p w14:paraId="54D47AD1" w14:textId="77777777" w:rsidR="00986751" w:rsidRPr="00986751" w:rsidRDefault="00986751" w:rsidP="00275DA8">
      <w:pPr>
        <w:spacing w:before="120" w:after="120"/>
        <w:ind w:left="1560"/>
        <w:jc w:val="both"/>
      </w:pPr>
      <w:r>
        <w:t>- Annulled volatility estimate (%, per annum):</w:t>
      </w:r>
    </w:p>
    <w:p w14:paraId="76787E5C" w14:textId="56ED915A" w:rsidR="00986751" w:rsidRPr="00986751" w:rsidRDefault="00275DA8" w:rsidP="00275DA8">
      <w:pPr>
        <w:spacing w:before="120" w:after="120"/>
        <w:ind w:left="993"/>
        <w:jc w:val="both"/>
      </w:pPr>
      <m:oMathPara>
        <m:oMath>
          <m:sSub>
            <m:sSubPr>
              <m:ctrlPr>
                <w:rPr>
                  <w:rFonts w:ascii="Cambria Math" w:hAnsi="Cambria Math"/>
                </w:rPr>
              </m:ctrlPr>
            </m:sSubPr>
            <m:e>
              <m:r>
                <w:rPr>
                  <w:rFonts w:ascii="Cambria Math" w:hAnsi="Cambria Math"/>
                </w:rPr>
                <m:t>σ</m:t>
              </m:r>
            </m:e>
            <m:sub>
              <m:r>
                <w:rPr>
                  <w:rFonts w:ascii="Cambria Math" w:hAnsi="Cambria Math"/>
                </w:rPr>
                <m:t>YZ</m:t>
              </m:r>
              <m:r>
                <m:rPr>
                  <m:sty m:val="p"/>
                </m:rPr>
                <w:rPr>
                  <w:rFonts w:ascii="Cambria Math" w:hAnsi="Cambria Math"/>
                </w:rPr>
                <m:t>,год</m:t>
              </m:r>
            </m:sub>
          </m:sSub>
          <m:r>
            <m:rPr>
              <m:sty m:val="p"/>
            </m:rPr>
            <w:rPr>
              <w:rFonts w:ascii="Cambria Math" w:hAnsi="Cambria Math"/>
            </w:rPr>
            <m:t>=</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σ</m:t>
                  </m:r>
                </m:e>
                <m:sub>
                  <m:r>
                    <w:rPr>
                      <w:rFonts w:ascii="Cambria Math" w:hAnsi="Cambria Math"/>
                    </w:rPr>
                    <m:t>YZ</m:t>
                  </m:r>
                </m:sub>
                <m:sup>
                  <m:r>
                    <m:rPr>
                      <m:sty m:val="p"/>
                    </m:rPr>
                    <w:rPr>
                      <w:rFonts w:ascii="Cambria Math" w:hAnsi="Cambria Math"/>
                    </w:rPr>
                    <m:t>2</m:t>
                  </m:r>
                </m:sup>
              </m:sSubSup>
              <m:r>
                <m:rPr>
                  <m:sty m:val="p"/>
                </m:rPr>
                <w:rPr>
                  <w:rFonts w:ascii="Cambria Math" w:hAnsi="Cambria Math"/>
                </w:rPr>
                <m:t>*252</m:t>
              </m:r>
            </m:e>
          </m:rad>
          <m:r>
            <m:rPr>
              <m:sty m:val="p"/>
            </m:rPr>
            <w:rPr>
              <w:rFonts w:ascii="Cambria Math" w:hAnsi="Cambria Math"/>
            </w:rPr>
            <m:t>*100</m:t>
          </m:r>
          <m:r>
            <m:rPr>
              <m:sty m:val="p"/>
            </m:rPr>
            <w:rPr>
              <w:rFonts w:ascii="Cambria Math" w:hAnsi="Cambria Math"/>
            </w:rPr>
            <m:t>.</m:t>
          </m:r>
        </m:oMath>
      </m:oMathPara>
    </w:p>
    <w:p w14:paraId="079498D8" w14:textId="77777777" w:rsidR="00986751" w:rsidRPr="00986751" w:rsidRDefault="00986751" w:rsidP="00275DA8">
      <w:pPr>
        <w:spacing w:before="120" w:after="120"/>
        <w:ind w:left="993"/>
        <w:jc w:val="both"/>
      </w:pPr>
    </w:p>
    <w:p w14:paraId="6AB84F0A" w14:textId="77777777" w:rsidR="00986751" w:rsidRPr="00986751" w:rsidRDefault="00986751" w:rsidP="00275DA8">
      <w:pPr>
        <w:ind w:left="993" w:hanging="567"/>
        <w:jc w:val="both"/>
      </w:pPr>
    </w:p>
    <w:p w14:paraId="70E3E46D" w14:textId="107A16F4" w:rsidR="00986751" w:rsidRPr="00986751" w:rsidRDefault="00986751" w:rsidP="00275DA8">
      <w:pPr>
        <w:pStyle w:val="a"/>
        <w:numPr>
          <w:ilvl w:val="0"/>
          <w:numId w:val="0"/>
        </w:numPr>
        <w:ind w:left="993" w:hanging="567"/>
        <w:jc w:val="both"/>
        <w:rPr>
          <w:rFonts w:cs="Times New Roman"/>
          <w:b w:val="0"/>
          <w:szCs w:val="24"/>
        </w:rPr>
      </w:pPr>
    </w:p>
    <w:p w14:paraId="32EA519E" w14:textId="6249EDA4" w:rsidR="00986751" w:rsidRDefault="00986751" w:rsidP="00275DA8">
      <w:pPr>
        <w:ind w:left="993" w:hanging="567"/>
        <w:jc w:val="both"/>
      </w:pPr>
    </w:p>
    <w:p w14:paraId="492EA536" w14:textId="77777777" w:rsidR="00986751" w:rsidRPr="00986751" w:rsidRDefault="00986751" w:rsidP="00275DA8">
      <w:pPr>
        <w:ind w:left="993" w:hanging="567"/>
        <w:jc w:val="both"/>
      </w:pPr>
      <w:bookmarkStart w:id="224" w:name="_GoBack"/>
      <w:bookmarkEnd w:id="224"/>
    </w:p>
    <w:sectPr w:rsidR="00986751" w:rsidRPr="00986751" w:rsidSect="00C14780">
      <w:pgSz w:w="11906" w:h="16838"/>
      <w:pgMar w:top="1077" w:right="709" w:bottom="1077" w:left="851" w:header="709" w:footer="4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2CBE2" w14:textId="77777777" w:rsidR="00C96440" w:rsidRDefault="00C96440">
      <w:r>
        <w:separator/>
      </w:r>
    </w:p>
  </w:endnote>
  <w:endnote w:type="continuationSeparator" w:id="0">
    <w:p w14:paraId="38616DFC" w14:textId="77777777" w:rsidR="00C96440" w:rsidRDefault="00C96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1010101" w:usb1="01010101" w:usb2="01010101" w:usb3="01010101" w:csb0="01010101" w:csb1="01010101"/>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01010101" w:usb1="01010101" w:usb2="01010101" w:usb3="01010101" w:csb0="01010101" w:csb1="01010101"/>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10EBF" w14:textId="77777777" w:rsidR="00C96440" w:rsidRDefault="00C96440" w:rsidP="002606AA">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95F760C" w14:textId="77777777" w:rsidR="00C96440" w:rsidRDefault="00C96440" w:rsidP="0052580F">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4D826" w14:textId="507048FA" w:rsidR="00C96440" w:rsidRPr="006D19CD" w:rsidRDefault="00C96440" w:rsidP="002606AA">
    <w:pPr>
      <w:pStyle w:val="aa"/>
      <w:framePr w:wrap="around" w:vAnchor="text" w:hAnchor="margin" w:xAlign="right" w:y="1"/>
      <w:rPr>
        <w:rStyle w:val="ab"/>
        <w:rFonts w:cs="Arial"/>
        <w:szCs w:val="20"/>
      </w:rPr>
    </w:pPr>
    <w:r w:rsidRPr="006D19CD">
      <w:rPr>
        <w:rStyle w:val="ab"/>
        <w:rFonts w:cs="Arial"/>
      </w:rPr>
      <w:fldChar w:fldCharType="begin"/>
    </w:r>
    <w:r w:rsidRPr="006D19CD">
      <w:rPr>
        <w:rStyle w:val="ab"/>
        <w:rFonts w:cs="Arial"/>
      </w:rPr>
      <w:instrText xml:space="preserve">PAGE  </w:instrText>
    </w:r>
    <w:r w:rsidRPr="006D19CD">
      <w:rPr>
        <w:rStyle w:val="ab"/>
        <w:rFonts w:cs="Arial"/>
      </w:rPr>
      <w:fldChar w:fldCharType="separate"/>
    </w:r>
    <w:r>
      <w:rPr>
        <w:rStyle w:val="ab"/>
        <w:rFonts w:cs="Arial"/>
      </w:rPr>
      <w:t>2</w:t>
    </w:r>
    <w:r w:rsidRPr="006D19CD">
      <w:rPr>
        <w:rStyle w:val="ab"/>
        <w:rFonts w:cs="Arial"/>
      </w:rPr>
      <w:fldChar w:fldCharType="end"/>
    </w:r>
  </w:p>
  <w:p w14:paraId="2D95139B" w14:textId="77777777" w:rsidR="00C96440" w:rsidRDefault="00C96440" w:rsidP="0052580F">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92BD5" w14:textId="77777777" w:rsidR="00C96440" w:rsidRDefault="00C96440" w:rsidP="002606AA">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B535441" w14:textId="77777777" w:rsidR="00C96440" w:rsidRDefault="00C96440" w:rsidP="0052580F">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D7A35" w14:textId="7F68A9AB" w:rsidR="00C96440" w:rsidRPr="006D19CD" w:rsidRDefault="00C96440" w:rsidP="002606AA">
    <w:pPr>
      <w:pStyle w:val="aa"/>
      <w:framePr w:wrap="around" w:vAnchor="text" w:hAnchor="margin" w:xAlign="right" w:y="1"/>
      <w:rPr>
        <w:rStyle w:val="ab"/>
        <w:rFonts w:ascii="Arial" w:hAnsi="Arial" w:cs="Arial"/>
        <w:szCs w:val="20"/>
      </w:rPr>
    </w:pPr>
    <w:r w:rsidRPr="006D19CD">
      <w:rPr>
        <w:rStyle w:val="ab"/>
        <w:rFonts w:ascii="Arial" w:hAnsi="Arial" w:cs="Arial"/>
      </w:rPr>
      <w:fldChar w:fldCharType="begin"/>
    </w:r>
    <w:r w:rsidRPr="006D19CD">
      <w:rPr>
        <w:rStyle w:val="ab"/>
        <w:rFonts w:ascii="Arial" w:hAnsi="Arial" w:cs="Arial"/>
      </w:rPr>
      <w:instrText xml:space="preserve">PAGE  </w:instrText>
    </w:r>
    <w:r w:rsidRPr="006D19CD">
      <w:rPr>
        <w:rStyle w:val="ab"/>
        <w:rFonts w:ascii="Arial" w:hAnsi="Arial" w:cs="Arial"/>
      </w:rPr>
      <w:fldChar w:fldCharType="separate"/>
    </w:r>
    <w:r>
      <w:rPr>
        <w:rStyle w:val="ab"/>
        <w:rFonts w:ascii="Arial" w:hAnsi="Arial" w:cs="Arial"/>
      </w:rPr>
      <w:t>29</w:t>
    </w:r>
    <w:r w:rsidRPr="006D19CD">
      <w:rPr>
        <w:rStyle w:val="ab"/>
        <w:rFonts w:ascii="Arial" w:hAnsi="Arial" w:cs="Arial"/>
      </w:rPr>
      <w:fldChar w:fldCharType="end"/>
    </w:r>
  </w:p>
  <w:p w14:paraId="60C61560" w14:textId="77777777" w:rsidR="00C96440" w:rsidRDefault="00C96440" w:rsidP="0052580F">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F81FA" w14:textId="1AB72475" w:rsidR="00C96440" w:rsidRPr="00B21DBA" w:rsidRDefault="00C96440" w:rsidP="00912065">
    <w:pPr>
      <w:pStyle w:val="aa"/>
      <w:framePr w:wrap="around" w:vAnchor="text" w:hAnchor="margin" w:xAlign="right" w:y="1"/>
      <w:rPr>
        <w:rStyle w:val="ab"/>
        <w:rFonts w:ascii="Arial" w:hAnsi="Arial" w:cs="Arial"/>
        <w:szCs w:val="20"/>
      </w:rPr>
    </w:pPr>
    <w:r w:rsidRPr="00B21DBA">
      <w:rPr>
        <w:rStyle w:val="ab"/>
        <w:rFonts w:ascii="Arial" w:hAnsi="Arial" w:cs="Arial"/>
      </w:rPr>
      <w:fldChar w:fldCharType="begin"/>
    </w:r>
    <w:r w:rsidRPr="00B21DBA">
      <w:rPr>
        <w:rStyle w:val="ab"/>
        <w:rFonts w:ascii="Arial" w:hAnsi="Arial" w:cs="Arial"/>
      </w:rPr>
      <w:instrText xml:space="preserve">PAGE  </w:instrText>
    </w:r>
    <w:r w:rsidRPr="00B21DBA">
      <w:rPr>
        <w:rStyle w:val="ab"/>
        <w:rFonts w:ascii="Arial" w:hAnsi="Arial" w:cs="Arial"/>
      </w:rPr>
      <w:fldChar w:fldCharType="separate"/>
    </w:r>
    <w:r>
      <w:rPr>
        <w:rStyle w:val="ab"/>
        <w:rFonts w:ascii="Arial" w:hAnsi="Arial" w:cs="Arial"/>
      </w:rPr>
      <w:t>28</w:t>
    </w:r>
    <w:r w:rsidRPr="00B21DBA">
      <w:rPr>
        <w:rStyle w:val="ab"/>
        <w:rFonts w:ascii="Arial" w:hAnsi="Arial" w:cs="Arial"/>
      </w:rPr>
      <w:fldChar w:fldCharType="end"/>
    </w:r>
  </w:p>
  <w:p w14:paraId="47DA482F" w14:textId="77777777" w:rsidR="00C96440" w:rsidRDefault="00C96440" w:rsidP="00B21DB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432E0" w14:textId="77777777" w:rsidR="00C96440" w:rsidRDefault="00C96440">
      <w:r>
        <w:separator/>
      </w:r>
    </w:p>
  </w:footnote>
  <w:footnote w:type="continuationSeparator" w:id="0">
    <w:p w14:paraId="6A157D61" w14:textId="77777777" w:rsidR="00C96440" w:rsidRDefault="00C964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D7B97"/>
    <w:multiLevelType w:val="multilevel"/>
    <w:tmpl w:val="10D4D560"/>
    <w:lvl w:ilvl="0">
      <w:start w:val="1"/>
      <w:numFmt w:val="decimal"/>
      <w:lvlText w:val="%1."/>
      <w:lvlJc w:val="left"/>
      <w:pPr>
        <w:ind w:left="397" w:hanging="397"/>
      </w:pPr>
      <w:rPr>
        <w:rFonts w:ascii="Tahoma" w:hAnsi="Tahoma" w:hint="default"/>
        <w:b/>
        <w:i w:val="0"/>
        <w:sz w:val="20"/>
      </w:rPr>
    </w:lvl>
    <w:lvl w:ilvl="1">
      <w:start w:val="1"/>
      <w:numFmt w:val="decimal"/>
      <w:lvlText w:val="%1.%2."/>
      <w:lvlJc w:val="left"/>
      <w:pPr>
        <w:ind w:left="680" w:hanging="567"/>
      </w:pPr>
      <w:rPr>
        <w:rFonts w:ascii="Tahoma" w:hAnsi="Tahoma" w:hint="default"/>
        <w:b/>
        <w:i w:val="0"/>
        <w:sz w:val="20"/>
        <w:szCs w:val="24"/>
      </w:rPr>
    </w:lvl>
    <w:lvl w:ilvl="2">
      <w:start w:val="1"/>
      <w:numFmt w:val="decimal"/>
      <w:lvlText w:val="%1.%2.%3."/>
      <w:lvlJc w:val="left"/>
      <w:pPr>
        <w:ind w:left="1077" w:hanging="793"/>
      </w:pPr>
      <w:rPr>
        <w:rFonts w:ascii="Tahoma" w:hAnsi="Tahoma" w:hint="default"/>
        <w:b w:val="0"/>
        <w:sz w:val="20"/>
        <w:szCs w:val="24"/>
      </w:rPr>
    </w:lvl>
    <w:lvl w:ilvl="3">
      <w:start w:val="1"/>
      <w:numFmt w:val="decimal"/>
      <w:lvlText w:val="%1.%2.%3.%4."/>
      <w:lvlJc w:val="left"/>
      <w:pPr>
        <w:ind w:left="1701" w:hanging="1134"/>
      </w:pPr>
      <w:rPr>
        <w:rFonts w:ascii="Tahoma" w:hAnsi="Tahoma" w:hint="default"/>
        <w:sz w:val="20"/>
      </w:rPr>
    </w:lvl>
    <w:lvl w:ilvl="4">
      <w:start w:val="1"/>
      <w:numFmt w:val="bullet"/>
      <w:lvlText w:val=""/>
      <w:lvlJc w:val="left"/>
      <w:pPr>
        <w:ind w:left="1701" w:hanging="397"/>
      </w:pPr>
      <w:rPr>
        <w:rFonts w:ascii="Symbol" w:hAnsi="Symbol" w:hint="default"/>
        <w:color w:val="auto"/>
        <w:sz w:val="20"/>
      </w:rPr>
    </w:lvl>
    <w:lvl w:ilvl="5">
      <w:start w:val="1"/>
      <w:numFmt w:val="bullet"/>
      <w:lvlText w:val=""/>
      <w:lvlJc w:val="left"/>
      <w:pPr>
        <w:ind w:left="1814" w:hanging="340"/>
      </w:pPr>
      <w:rPr>
        <w:rFonts w:ascii="Symbol" w:hAnsi="Symbol" w:hint="default"/>
        <w:color w:val="auto"/>
        <w:sz w:val="20"/>
      </w:rPr>
    </w:lvl>
    <w:lvl w:ilvl="6">
      <w:start w:val="1"/>
      <w:numFmt w:val="decimal"/>
      <w:lvlText w:val="%1.%2.%3.%4.%7."/>
      <w:lvlJc w:val="left"/>
      <w:pPr>
        <w:ind w:left="3240" w:hanging="1080"/>
      </w:pPr>
      <w:rPr>
        <w:rFonts w:ascii="Tahoma" w:hAnsi="Tahoma" w:hint="default"/>
      </w:rPr>
    </w:lvl>
    <w:lvl w:ilvl="7">
      <w:start w:val="1"/>
      <w:numFmt w:val="decimal"/>
      <w:lvlText w:val="%1.%2.%3.%4.%7.%8."/>
      <w:lvlJc w:val="left"/>
      <w:pPr>
        <w:ind w:left="3744" w:hanging="1224"/>
      </w:pPr>
      <w:rPr>
        <w:rFonts w:ascii="Tahoma" w:hAnsi="Tahoma" w:hint="default"/>
      </w:rPr>
    </w:lvl>
    <w:lvl w:ilvl="8">
      <w:start w:val="1"/>
      <w:numFmt w:val="decimal"/>
      <w:lvlText w:val="%1.%2.%3.%4.%7.%8.%9."/>
      <w:lvlJc w:val="left"/>
      <w:pPr>
        <w:ind w:left="4320" w:hanging="1440"/>
      </w:pPr>
      <w:rPr>
        <w:rFonts w:ascii="Tahoma" w:hAnsi="Tahoma" w:hint="default"/>
      </w:rPr>
    </w:lvl>
  </w:abstractNum>
  <w:abstractNum w:abstractNumId="1" w15:restartNumberingAfterBreak="0">
    <w:nsid w:val="0B503E2C"/>
    <w:multiLevelType w:val="multilevel"/>
    <w:tmpl w:val="C95A056C"/>
    <w:lvl w:ilvl="0">
      <w:start w:val="1"/>
      <w:numFmt w:val="decimal"/>
      <w:lvlText w:val="%1."/>
      <w:lvlJc w:val="left"/>
      <w:pPr>
        <w:ind w:left="360" w:hanging="360"/>
      </w:pPr>
      <w:rPr>
        <w:rFonts w:cs="Times New Roman"/>
      </w:rPr>
    </w:lvl>
    <w:lvl w:ilvl="1">
      <w:start w:val="1"/>
      <w:numFmt w:val="decimal"/>
      <w:pStyle w:val="6"/>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EDA0559"/>
    <w:multiLevelType w:val="multilevel"/>
    <w:tmpl w:val="68921394"/>
    <w:styleLink w:val="1"/>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792"/>
        </w:tabs>
        <w:ind w:left="792" w:hanging="432"/>
      </w:pPr>
      <w:rPr>
        <w:rFonts w:cs="Times New Roman" w:hint="default"/>
        <w:sz w:val="24"/>
        <w:szCs w:val="24"/>
      </w:rPr>
    </w:lvl>
    <w:lvl w:ilvl="2">
      <w:start w:val="1"/>
      <w:numFmt w:val="decimal"/>
      <w:lvlText w:val="%1.1.%3."/>
      <w:lvlJc w:val="left"/>
      <w:pPr>
        <w:tabs>
          <w:tab w:val="num" w:pos="1440"/>
        </w:tabs>
        <w:ind w:left="1224" w:hanging="504"/>
      </w:pPr>
      <w:rPr>
        <w:rFonts w:cs="Times New Roman" w:hint="default"/>
        <w:sz w:val="24"/>
        <w:szCs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F79464C"/>
    <w:multiLevelType w:val="hybridMultilevel"/>
    <w:tmpl w:val="3860397E"/>
    <w:lvl w:ilvl="0" w:tplc="B282D27C">
      <w:start w:val="1"/>
      <w:numFmt w:val="bullet"/>
      <w:lvlText w:val=""/>
      <w:lvlJc w:val="left"/>
      <w:pPr>
        <w:ind w:left="720" w:hanging="360"/>
      </w:pPr>
      <w:rPr>
        <w:rFonts w:ascii="Symbol" w:hAnsi="Symbol" w:hint="default"/>
      </w:rPr>
    </w:lvl>
    <w:lvl w:ilvl="1" w:tplc="80720A50" w:tentative="1">
      <w:start w:val="1"/>
      <w:numFmt w:val="bullet"/>
      <w:lvlText w:val="o"/>
      <w:lvlJc w:val="left"/>
      <w:pPr>
        <w:ind w:left="1440" w:hanging="360"/>
      </w:pPr>
      <w:rPr>
        <w:rFonts w:ascii="Courier New" w:hAnsi="Courier New" w:cs="Courier New" w:hint="default"/>
      </w:rPr>
    </w:lvl>
    <w:lvl w:ilvl="2" w:tplc="FBF0CAC6" w:tentative="1">
      <w:start w:val="1"/>
      <w:numFmt w:val="bullet"/>
      <w:lvlText w:val=""/>
      <w:lvlJc w:val="left"/>
      <w:pPr>
        <w:ind w:left="2160" w:hanging="360"/>
      </w:pPr>
      <w:rPr>
        <w:rFonts w:ascii="Wingdings" w:hAnsi="Wingdings" w:hint="default"/>
      </w:rPr>
    </w:lvl>
    <w:lvl w:ilvl="3" w:tplc="8820BAB2" w:tentative="1">
      <w:start w:val="1"/>
      <w:numFmt w:val="bullet"/>
      <w:lvlText w:val=""/>
      <w:lvlJc w:val="left"/>
      <w:pPr>
        <w:ind w:left="2880" w:hanging="360"/>
      </w:pPr>
      <w:rPr>
        <w:rFonts w:ascii="Symbol" w:hAnsi="Symbol" w:hint="default"/>
      </w:rPr>
    </w:lvl>
    <w:lvl w:ilvl="4" w:tplc="E9121FDC" w:tentative="1">
      <w:start w:val="1"/>
      <w:numFmt w:val="bullet"/>
      <w:lvlText w:val="o"/>
      <w:lvlJc w:val="left"/>
      <w:pPr>
        <w:ind w:left="3600" w:hanging="360"/>
      </w:pPr>
      <w:rPr>
        <w:rFonts w:ascii="Courier New" w:hAnsi="Courier New" w:cs="Courier New" w:hint="default"/>
      </w:rPr>
    </w:lvl>
    <w:lvl w:ilvl="5" w:tplc="A5486AC4" w:tentative="1">
      <w:start w:val="1"/>
      <w:numFmt w:val="bullet"/>
      <w:lvlText w:val=""/>
      <w:lvlJc w:val="left"/>
      <w:pPr>
        <w:ind w:left="4320" w:hanging="360"/>
      </w:pPr>
      <w:rPr>
        <w:rFonts w:ascii="Wingdings" w:hAnsi="Wingdings" w:hint="default"/>
      </w:rPr>
    </w:lvl>
    <w:lvl w:ilvl="6" w:tplc="4CC214EC" w:tentative="1">
      <w:start w:val="1"/>
      <w:numFmt w:val="bullet"/>
      <w:lvlText w:val=""/>
      <w:lvlJc w:val="left"/>
      <w:pPr>
        <w:ind w:left="5040" w:hanging="360"/>
      </w:pPr>
      <w:rPr>
        <w:rFonts w:ascii="Symbol" w:hAnsi="Symbol" w:hint="default"/>
      </w:rPr>
    </w:lvl>
    <w:lvl w:ilvl="7" w:tplc="25BAC23E" w:tentative="1">
      <w:start w:val="1"/>
      <w:numFmt w:val="bullet"/>
      <w:lvlText w:val="o"/>
      <w:lvlJc w:val="left"/>
      <w:pPr>
        <w:ind w:left="5760" w:hanging="360"/>
      </w:pPr>
      <w:rPr>
        <w:rFonts w:ascii="Courier New" w:hAnsi="Courier New" w:cs="Courier New" w:hint="default"/>
      </w:rPr>
    </w:lvl>
    <w:lvl w:ilvl="8" w:tplc="755261D0" w:tentative="1">
      <w:start w:val="1"/>
      <w:numFmt w:val="bullet"/>
      <w:lvlText w:val=""/>
      <w:lvlJc w:val="left"/>
      <w:pPr>
        <w:ind w:left="6480" w:hanging="360"/>
      </w:pPr>
      <w:rPr>
        <w:rFonts w:ascii="Wingdings" w:hAnsi="Wingdings" w:hint="default"/>
      </w:rPr>
    </w:lvl>
  </w:abstractNum>
  <w:abstractNum w:abstractNumId="4" w15:restartNumberingAfterBreak="0">
    <w:nsid w:val="217B14E4"/>
    <w:multiLevelType w:val="multilevel"/>
    <w:tmpl w:val="AA7E339C"/>
    <w:numStyleLink w:val="3"/>
  </w:abstractNum>
  <w:abstractNum w:abstractNumId="5" w15:restartNumberingAfterBreak="0">
    <w:nsid w:val="2AA12332"/>
    <w:multiLevelType w:val="multilevel"/>
    <w:tmpl w:val="41585D70"/>
    <w:lvl w:ilvl="0">
      <w:start w:val="1"/>
      <w:numFmt w:val="upperRoman"/>
      <w:pStyle w:val="Title1"/>
      <w:lvlText w:val="РАЗДЕЛ %1."/>
      <w:lvlJc w:val="left"/>
      <w:pPr>
        <w:tabs>
          <w:tab w:val="num" w:pos="1440"/>
        </w:tabs>
        <w:ind w:left="360" w:hanging="360"/>
      </w:pPr>
      <w:rPr>
        <w:rFonts w:cs="Times New Roman" w:hint="default"/>
      </w:rPr>
    </w:lvl>
    <w:lvl w:ilvl="1">
      <w:start w:val="1"/>
      <w:numFmt w:val="upperRoman"/>
      <w:pStyle w:val="Title2"/>
      <w:lvlText w:val="ПОДРАЗДЕЛ %1-%2."/>
      <w:lvlJc w:val="left"/>
      <w:pPr>
        <w:tabs>
          <w:tab w:val="num" w:pos="1440"/>
        </w:tabs>
        <w:ind w:left="-288" w:hanging="432"/>
      </w:pPr>
      <w:rPr>
        <w:rFonts w:cs="Times New Roman" w:hint="default"/>
      </w:rPr>
    </w:lvl>
    <w:lvl w:ilvl="2">
      <w:start w:val="1"/>
      <w:numFmt w:val="decimal"/>
      <w:lvlRestart w:val="0"/>
      <w:pStyle w:val="Title3"/>
      <w:lvlText w:val="Статья %3."/>
      <w:lvlJc w:val="left"/>
      <w:pPr>
        <w:tabs>
          <w:tab w:val="num" w:pos="720"/>
        </w:tabs>
        <w:ind w:left="144" w:hanging="504"/>
      </w:pPr>
      <w:rPr>
        <w:rFonts w:cs="Times New Roman" w:hint="default"/>
      </w:rPr>
    </w:lvl>
    <w:lvl w:ilvl="3">
      <w:start w:val="1"/>
      <w:numFmt w:val="decimal"/>
      <w:pStyle w:val="Point"/>
      <w:lvlText w:val="%3.%4."/>
      <w:lvlJc w:val="left"/>
      <w:pPr>
        <w:tabs>
          <w:tab w:val="num" w:pos="1499"/>
        </w:tabs>
        <w:ind w:left="1499" w:hanging="648"/>
      </w:pPr>
      <w:rPr>
        <w:rFonts w:cs="Times New Roman" w:hint="default"/>
      </w:rPr>
    </w:lvl>
    <w:lvl w:ilvl="4">
      <w:start w:val="1"/>
      <w:numFmt w:val="decimal"/>
      <w:pStyle w:val="Point2"/>
      <w:lvlText w:val="%3.%4.%5."/>
      <w:lvlJc w:val="left"/>
      <w:pPr>
        <w:tabs>
          <w:tab w:val="num" w:pos="1152"/>
        </w:tabs>
        <w:ind w:left="1152" w:hanging="792"/>
      </w:pPr>
      <w:rPr>
        <w:rFonts w:cs="Times New Roman" w:hint="default"/>
      </w:rPr>
    </w:lvl>
    <w:lvl w:ilvl="5">
      <w:start w:val="1"/>
      <w:numFmt w:val="lowerLetter"/>
      <w:pStyle w:val="Pointlet"/>
      <w:lvlText w:val="%6)"/>
      <w:lvlJc w:val="left"/>
      <w:pPr>
        <w:tabs>
          <w:tab w:val="num" w:pos="1362"/>
        </w:tabs>
        <w:ind w:left="1362" w:hanging="936"/>
      </w:pPr>
      <w:rPr>
        <w:rFonts w:cs="Times New Roman" w:hint="default"/>
      </w:rPr>
    </w:lvl>
    <w:lvl w:ilvl="6">
      <w:start w:val="1"/>
      <w:numFmt w:val="decimal"/>
      <w:lvlText w:val="%1.%2.%3.%4.%5.%6.%7."/>
      <w:lvlJc w:val="left"/>
      <w:pPr>
        <w:tabs>
          <w:tab w:val="num" w:pos="2520"/>
        </w:tabs>
        <w:ind w:left="2160" w:hanging="1080"/>
      </w:pPr>
      <w:rPr>
        <w:rFonts w:cs="Times New Roman" w:hint="default"/>
      </w:rPr>
    </w:lvl>
    <w:lvl w:ilvl="7">
      <w:start w:val="1"/>
      <w:numFmt w:val="decimal"/>
      <w:lvlText w:val="%1.%2.%3.%4.%5.%6.%7.%8."/>
      <w:lvlJc w:val="left"/>
      <w:pPr>
        <w:tabs>
          <w:tab w:val="num" w:pos="2880"/>
        </w:tabs>
        <w:ind w:left="2664" w:hanging="1224"/>
      </w:pPr>
      <w:rPr>
        <w:rFonts w:cs="Times New Roman" w:hint="default"/>
      </w:rPr>
    </w:lvl>
    <w:lvl w:ilvl="8">
      <w:start w:val="1"/>
      <w:numFmt w:val="decimal"/>
      <w:lvlText w:val="%1.%2.%3.%4.%5.%6.%7.%8.%9."/>
      <w:lvlJc w:val="left"/>
      <w:pPr>
        <w:tabs>
          <w:tab w:val="num" w:pos="3600"/>
        </w:tabs>
        <w:ind w:left="3240" w:hanging="1440"/>
      </w:pPr>
      <w:rPr>
        <w:rFonts w:cs="Times New Roman" w:hint="default"/>
      </w:rPr>
    </w:lvl>
  </w:abstractNum>
  <w:abstractNum w:abstractNumId="6" w15:restartNumberingAfterBreak="0">
    <w:nsid w:val="33BD1023"/>
    <w:multiLevelType w:val="hybridMultilevel"/>
    <w:tmpl w:val="36CC8A08"/>
    <w:lvl w:ilvl="0" w:tplc="0B3C8062">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15:restartNumberingAfterBreak="0">
    <w:nsid w:val="35B63F7E"/>
    <w:multiLevelType w:val="multilevel"/>
    <w:tmpl w:val="AA7E339C"/>
    <w:styleLink w:val="3"/>
    <w:lvl w:ilvl="0">
      <w:start w:val="1"/>
      <w:numFmt w:val="decimal"/>
      <w:pStyle w:val="10"/>
      <w:lvlText w:val="%1."/>
      <w:lvlJc w:val="left"/>
      <w:pPr>
        <w:ind w:left="397" w:hanging="397"/>
      </w:pPr>
      <w:rPr>
        <w:rFonts w:ascii="Tahoma" w:hAnsi="Tahoma" w:hint="default"/>
        <w:b/>
        <w:i w:val="0"/>
        <w:sz w:val="20"/>
      </w:rPr>
    </w:lvl>
    <w:lvl w:ilvl="1">
      <w:start w:val="1"/>
      <w:numFmt w:val="decimal"/>
      <w:pStyle w:val="a"/>
      <w:lvlText w:val="%1.%2."/>
      <w:lvlJc w:val="left"/>
      <w:pPr>
        <w:ind w:left="680" w:hanging="567"/>
      </w:pPr>
      <w:rPr>
        <w:rFonts w:ascii="Tahoma" w:hAnsi="Tahoma" w:hint="default"/>
        <w:b/>
        <w:i w:val="0"/>
        <w:sz w:val="20"/>
        <w:szCs w:val="24"/>
      </w:rPr>
    </w:lvl>
    <w:lvl w:ilvl="2">
      <w:start w:val="1"/>
      <w:numFmt w:val="decimal"/>
      <w:pStyle w:val="30"/>
      <w:lvlText w:val="%1.%2.%3."/>
      <w:lvlJc w:val="left"/>
      <w:pPr>
        <w:ind w:left="1503" w:hanging="793"/>
      </w:pPr>
      <w:rPr>
        <w:rFonts w:ascii="Tahoma" w:hAnsi="Tahoma" w:hint="default"/>
        <w:b w:val="0"/>
        <w:sz w:val="20"/>
        <w:szCs w:val="24"/>
      </w:rPr>
    </w:lvl>
    <w:lvl w:ilvl="3">
      <w:start w:val="1"/>
      <w:numFmt w:val="decimal"/>
      <w:pStyle w:val="4"/>
      <w:lvlText w:val="%1.%2.%3.%4."/>
      <w:lvlJc w:val="left"/>
      <w:pPr>
        <w:ind w:left="1701" w:hanging="1134"/>
      </w:pPr>
      <w:rPr>
        <w:rFonts w:ascii="Tahoma" w:hAnsi="Tahoma" w:hint="default"/>
        <w:sz w:val="20"/>
      </w:rPr>
    </w:lvl>
    <w:lvl w:ilvl="4">
      <w:start w:val="1"/>
      <w:numFmt w:val="bullet"/>
      <w:pStyle w:val="11"/>
      <w:lvlText w:val=""/>
      <w:lvlJc w:val="left"/>
      <w:pPr>
        <w:ind w:left="1815" w:hanging="397"/>
      </w:pPr>
      <w:rPr>
        <w:rFonts w:ascii="Symbol" w:hAnsi="Symbol" w:hint="default"/>
        <w:color w:val="auto"/>
        <w:sz w:val="20"/>
      </w:rPr>
    </w:lvl>
    <w:lvl w:ilvl="5">
      <w:start w:val="1"/>
      <w:numFmt w:val="bullet"/>
      <w:pStyle w:val="2"/>
      <w:lvlText w:val=""/>
      <w:lvlJc w:val="left"/>
      <w:pPr>
        <w:ind w:left="1814" w:hanging="340"/>
      </w:pPr>
      <w:rPr>
        <w:rFonts w:ascii="Symbol" w:hAnsi="Symbol" w:hint="default"/>
        <w:color w:val="auto"/>
        <w:sz w:val="20"/>
      </w:rPr>
    </w:lvl>
    <w:lvl w:ilvl="6">
      <w:start w:val="1"/>
      <w:numFmt w:val="decimal"/>
      <w:pStyle w:val="5"/>
      <w:lvlText w:val="%1.%2.%3.%4.%7."/>
      <w:lvlJc w:val="left"/>
      <w:pPr>
        <w:ind w:left="3240" w:hanging="1080"/>
      </w:pPr>
      <w:rPr>
        <w:rFonts w:ascii="Tahoma" w:hAnsi="Tahoma" w:hint="default"/>
      </w:rPr>
    </w:lvl>
    <w:lvl w:ilvl="7">
      <w:start w:val="1"/>
      <w:numFmt w:val="decimal"/>
      <w:lvlText w:val="%1.%2.%3.%4.%7.%8."/>
      <w:lvlJc w:val="left"/>
      <w:pPr>
        <w:ind w:left="3744" w:hanging="1224"/>
      </w:pPr>
      <w:rPr>
        <w:rFonts w:ascii="Tahoma" w:hAnsi="Tahoma" w:hint="default"/>
      </w:rPr>
    </w:lvl>
    <w:lvl w:ilvl="8">
      <w:start w:val="1"/>
      <w:numFmt w:val="decimal"/>
      <w:lvlText w:val="%1.%2.%3.%4.%7.%8.%9."/>
      <w:lvlJc w:val="left"/>
      <w:pPr>
        <w:ind w:left="4320" w:hanging="1440"/>
      </w:pPr>
      <w:rPr>
        <w:rFonts w:ascii="Tahoma" w:hAnsi="Tahoma" w:hint="default"/>
      </w:rPr>
    </w:lvl>
  </w:abstractNum>
  <w:abstractNum w:abstractNumId="8" w15:restartNumberingAfterBreak="0">
    <w:nsid w:val="4FE12A7A"/>
    <w:multiLevelType w:val="hybridMultilevel"/>
    <w:tmpl w:val="963E2DEA"/>
    <w:lvl w:ilvl="0" w:tplc="175459BC">
      <w:start w:val="1"/>
      <w:numFmt w:val="bullet"/>
      <w:lvlText w:val=""/>
      <w:lvlJc w:val="left"/>
      <w:pPr>
        <w:ind w:left="1287" w:hanging="360"/>
      </w:pPr>
      <w:rPr>
        <w:rFonts w:ascii="Symbol" w:hAnsi="Symbol" w:hint="default"/>
      </w:rPr>
    </w:lvl>
    <w:lvl w:ilvl="1" w:tplc="FDC65C62" w:tentative="1">
      <w:start w:val="1"/>
      <w:numFmt w:val="bullet"/>
      <w:lvlText w:val="o"/>
      <w:lvlJc w:val="left"/>
      <w:pPr>
        <w:ind w:left="2007" w:hanging="360"/>
      </w:pPr>
      <w:rPr>
        <w:rFonts w:ascii="Courier New" w:hAnsi="Courier New" w:cs="Courier New" w:hint="default"/>
      </w:rPr>
    </w:lvl>
    <w:lvl w:ilvl="2" w:tplc="912A74BC" w:tentative="1">
      <w:start w:val="1"/>
      <w:numFmt w:val="bullet"/>
      <w:lvlText w:val=""/>
      <w:lvlJc w:val="left"/>
      <w:pPr>
        <w:ind w:left="2727" w:hanging="360"/>
      </w:pPr>
      <w:rPr>
        <w:rFonts w:ascii="Wingdings" w:hAnsi="Wingdings" w:hint="default"/>
      </w:rPr>
    </w:lvl>
    <w:lvl w:ilvl="3" w:tplc="C172C040" w:tentative="1">
      <w:start w:val="1"/>
      <w:numFmt w:val="bullet"/>
      <w:lvlText w:val=""/>
      <w:lvlJc w:val="left"/>
      <w:pPr>
        <w:ind w:left="3447" w:hanging="360"/>
      </w:pPr>
      <w:rPr>
        <w:rFonts w:ascii="Symbol" w:hAnsi="Symbol" w:hint="default"/>
      </w:rPr>
    </w:lvl>
    <w:lvl w:ilvl="4" w:tplc="F258D946" w:tentative="1">
      <w:start w:val="1"/>
      <w:numFmt w:val="bullet"/>
      <w:lvlText w:val="o"/>
      <w:lvlJc w:val="left"/>
      <w:pPr>
        <w:ind w:left="4167" w:hanging="360"/>
      </w:pPr>
      <w:rPr>
        <w:rFonts w:ascii="Courier New" w:hAnsi="Courier New" w:cs="Courier New" w:hint="default"/>
      </w:rPr>
    </w:lvl>
    <w:lvl w:ilvl="5" w:tplc="DBC21F6A" w:tentative="1">
      <w:start w:val="1"/>
      <w:numFmt w:val="bullet"/>
      <w:lvlText w:val=""/>
      <w:lvlJc w:val="left"/>
      <w:pPr>
        <w:ind w:left="4887" w:hanging="360"/>
      </w:pPr>
      <w:rPr>
        <w:rFonts w:ascii="Wingdings" w:hAnsi="Wingdings" w:hint="default"/>
      </w:rPr>
    </w:lvl>
    <w:lvl w:ilvl="6" w:tplc="A5F2B120" w:tentative="1">
      <w:start w:val="1"/>
      <w:numFmt w:val="bullet"/>
      <w:lvlText w:val=""/>
      <w:lvlJc w:val="left"/>
      <w:pPr>
        <w:ind w:left="5607" w:hanging="360"/>
      </w:pPr>
      <w:rPr>
        <w:rFonts w:ascii="Symbol" w:hAnsi="Symbol" w:hint="default"/>
      </w:rPr>
    </w:lvl>
    <w:lvl w:ilvl="7" w:tplc="AA087F8A" w:tentative="1">
      <w:start w:val="1"/>
      <w:numFmt w:val="bullet"/>
      <w:lvlText w:val="o"/>
      <w:lvlJc w:val="left"/>
      <w:pPr>
        <w:ind w:left="6327" w:hanging="360"/>
      </w:pPr>
      <w:rPr>
        <w:rFonts w:ascii="Courier New" w:hAnsi="Courier New" w:cs="Courier New" w:hint="default"/>
      </w:rPr>
    </w:lvl>
    <w:lvl w:ilvl="8" w:tplc="4114F260" w:tentative="1">
      <w:start w:val="1"/>
      <w:numFmt w:val="bullet"/>
      <w:lvlText w:val=""/>
      <w:lvlJc w:val="left"/>
      <w:pPr>
        <w:ind w:left="7047" w:hanging="360"/>
      </w:pPr>
      <w:rPr>
        <w:rFonts w:ascii="Wingdings" w:hAnsi="Wingdings" w:hint="default"/>
      </w:rPr>
    </w:lvl>
  </w:abstractNum>
  <w:abstractNum w:abstractNumId="9" w15:restartNumberingAfterBreak="0">
    <w:nsid w:val="540C289A"/>
    <w:multiLevelType w:val="multilevel"/>
    <w:tmpl w:val="AA7E339C"/>
    <w:numStyleLink w:val="3"/>
  </w:abstractNum>
  <w:abstractNum w:abstractNumId="10" w15:restartNumberingAfterBreak="0">
    <w:nsid w:val="54AC05E3"/>
    <w:multiLevelType w:val="hybridMultilevel"/>
    <w:tmpl w:val="EBBE987C"/>
    <w:lvl w:ilvl="0" w:tplc="6D34BF46">
      <w:start w:val="1"/>
      <w:numFmt w:val="bullet"/>
      <w:lvlText w:val=""/>
      <w:lvlJc w:val="left"/>
      <w:pPr>
        <w:ind w:left="720" w:hanging="360"/>
      </w:pPr>
      <w:rPr>
        <w:rFonts w:ascii="Symbol" w:hAnsi="Symbol" w:hint="default"/>
      </w:rPr>
    </w:lvl>
    <w:lvl w:ilvl="1" w:tplc="8F2E6036" w:tentative="1">
      <w:start w:val="1"/>
      <w:numFmt w:val="bullet"/>
      <w:lvlText w:val="o"/>
      <w:lvlJc w:val="left"/>
      <w:pPr>
        <w:ind w:left="1440" w:hanging="360"/>
      </w:pPr>
      <w:rPr>
        <w:rFonts w:ascii="Courier New" w:hAnsi="Courier New" w:cs="Courier New" w:hint="default"/>
      </w:rPr>
    </w:lvl>
    <w:lvl w:ilvl="2" w:tplc="77A2180A" w:tentative="1">
      <w:start w:val="1"/>
      <w:numFmt w:val="bullet"/>
      <w:lvlText w:val=""/>
      <w:lvlJc w:val="left"/>
      <w:pPr>
        <w:ind w:left="2160" w:hanging="360"/>
      </w:pPr>
      <w:rPr>
        <w:rFonts w:ascii="Wingdings" w:hAnsi="Wingdings" w:hint="default"/>
      </w:rPr>
    </w:lvl>
    <w:lvl w:ilvl="3" w:tplc="857C7738" w:tentative="1">
      <w:start w:val="1"/>
      <w:numFmt w:val="bullet"/>
      <w:lvlText w:val=""/>
      <w:lvlJc w:val="left"/>
      <w:pPr>
        <w:ind w:left="2880" w:hanging="360"/>
      </w:pPr>
      <w:rPr>
        <w:rFonts w:ascii="Symbol" w:hAnsi="Symbol" w:hint="default"/>
      </w:rPr>
    </w:lvl>
    <w:lvl w:ilvl="4" w:tplc="11EE1CE4" w:tentative="1">
      <w:start w:val="1"/>
      <w:numFmt w:val="bullet"/>
      <w:lvlText w:val="o"/>
      <w:lvlJc w:val="left"/>
      <w:pPr>
        <w:ind w:left="3600" w:hanging="360"/>
      </w:pPr>
      <w:rPr>
        <w:rFonts w:ascii="Courier New" w:hAnsi="Courier New" w:cs="Courier New" w:hint="default"/>
      </w:rPr>
    </w:lvl>
    <w:lvl w:ilvl="5" w:tplc="BBE6D85E" w:tentative="1">
      <w:start w:val="1"/>
      <w:numFmt w:val="bullet"/>
      <w:lvlText w:val=""/>
      <w:lvlJc w:val="left"/>
      <w:pPr>
        <w:ind w:left="4320" w:hanging="360"/>
      </w:pPr>
      <w:rPr>
        <w:rFonts w:ascii="Wingdings" w:hAnsi="Wingdings" w:hint="default"/>
      </w:rPr>
    </w:lvl>
    <w:lvl w:ilvl="6" w:tplc="2AB85008" w:tentative="1">
      <w:start w:val="1"/>
      <w:numFmt w:val="bullet"/>
      <w:lvlText w:val=""/>
      <w:lvlJc w:val="left"/>
      <w:pPr>
        <w:ind w:left="5040" w:hanging="360"/>
      </w:pPr>
      <w:rPr>
        <w:rFonts w:ascii="Symbol" w:hAnsi="Symbol" w:hint="default"/>
      </w:rPr>
    </w:lvl>
    <w:lvl w:ilvl="7" w:tplc="9808E8FC" w:tentative="1">
      <w:start w:val="1"/>
      <w:numFmt w:val="bullet"/>
      <w:lvlText w:val="o"/>
      <w:lvlJc w:val="left"/>
      <w:pPr>
        <w:ind w:left="5760" w:hanging="360"/>
      </w:pPr>
      <w:rPr>
        <w:rFonts w:ascii="Courier New" w:hAnsi="Courier New" w:cs="Courier New" w:hint="default"/>
      </w:rPr>
    </w:lvl>
    <w:lvl w:ilvl="8" w:tplc="C3644A96" w:tentative="1">
      <w:start w:val="1"/>
      <w:numFmt w:val="bullet"/>
      <w:lvlText w:val=""/>
      <w:lvlJc w:val="left"/>
      <w:pPr>
        <w:ind w:left="6480" w:hanging="360"/>
      </w:pPr>
      <w:rPr>
        <w:rFonts w:ascii="Wingdings" w:hAnsi="Wingdings" w:hint="default"/>
      </w:rPr>
    </w:lvl>
  </w:abstractNum>
  <w:abstractNum w:abstractNumId="11" w15:restartNumberingAfterBreak="0">
    <w:nsid w:val="5B71361C"/>
    <w:multiLevelType w:val="hybridMultilevel"/>
    <w:tmpl w:val="6F7C8232"/>
    <w:lvl w:ilvl="0" w:tplc="0B3C8062">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2" w15:restartNumberingAfterBreak="0">
    <w:nsid w:val="6A1277B1"/>
    <w:multiLevelType w:val="multilevel"/>
    <w:tmpl w:val="AA7E339C"/>
    <w:lvl w:ilvl="0">
      <w:start w:val="1"/>
      <w:numFmt w:val="decimal"/>
      <w:lvlText w:val="%1."/>
      <w:lvlJc w:val="left"/>
      <w:pPr>
        <w:ind w:left="397" w:hanging="397"/>
      </w:pPr>
      <w:rPr>
        <w:rFonts w:ascii="Tahoma" w:hAnsi="Tahoma" w:hint="default"/>
        <w:b/>
        <w:i w:val="0"/>
        <w:sz w:val="20"/>
      </w:rPr>
    </w:lvl>
    <w:lvl w:ilvl="1">
      <w:start w:val="1"/>
      <w:numFmt w:val="decimal"/>
      <w:lvlText w:val="%1.%2."/>
      <w:lvlJc w:val="left"/>
      <w:pPr>
        <w:ind w:left="680" w:hanging="567"/>
      </w:pPr>
      <w:rPr>
        <w:rFonts w:ascii="Tahoma" w:hAnsi="Tahoma" w:hint="default"/>
        <w:b/>
        <w:i w:val="0"/>
        <w:sz w:val="20"/>
        <w:szCs w:val="24"/>
      </w:rPr>
    </w:lvl>
    <w:lvl w:ilvl="2">
      <w:start w:val="1"/>
      <w:numFmt w:val="decimal"/>
      <w:lvlText w:val="%1.%2.%3."/>
      <w:lvlJc w:val="left"/>
      <w:pPr>
        <w:ind w:left="1077" w:hanging="793"/>
      </w:pPr>
      <w:rPr>
        <w:rFonts w:ascii="Tahoma" w:hAnsi="Tahoma" w:hint="default"/>
        <w:b w:val="0"/>
        <w:sz w:val="20"/>
        <w:szCs w:val="24"/>
      </w:rPr>
    </w:lvl>
    <w:lvl w:ilvl="3">
      <w:start w:val="1"/>
      <w:numFmt w:val="decimal"/>
      <w:lvlText w:val="%1.%2.%3.%4."/>
      <w:lvlJc w:val="left"/>
      <w:pPr>
        <w:ind w:left="1701" w:hanging="1134"/>
      </w:pPr>
      <w:rPr>
        <w:rFonts w:ascii="Tahoma" w:hAnsi="Tahoma" w:hint="default"/>
        <w:sz w:val="20"/>
      </w:rPr>
    </w:lvl>
    <w:lvl w:ilvl="4">
      <w:start w:val="1"/>
      <w:numFmt w:val="bullet"/>
      <w:lvlText w:val=""/>
      <w:lvlJc w:val="left"/>
      <w:pPr>
        <w:ind w:left="1701" w:hanging="397"/>
      </w:pPr>
      <w:rPr>
        <w:rFonts w:ascii="Symbol" w:hAnsi="Symbol" w:hint="default"/>
        <w:color w:val="auto"/>
        <w:sz w:val="20"/>
      </w:rPr>
    </w:lvl>
    <w:lvl w:ilvl="5">
      <w:start w:val="1"/>
      <w:numFmt w:val="bullet"/>
      <w:lvlText w:val=""/>
      <w:lvlJc w:val="left"/>
      <w:pPr>
        <w:ind w:left="1814" w:hanging="340"/>
      </w:pPr>
      <w:rPr>
        <w:rFonts w:ascii="Symbol" w:hAnsi="Symbol" w:hint="default"/>
        <w:color w:val="auto"/>
        <w:sz w:val="20"/>
      </w:rPr>
    </w:lvl>
    <w:lvl w:ilvl="6">
      <w:start w:val="1"/>
      <w:numFmt w:val="decimal"/>
      <w:lvlText w:val="%1.%2.%3.%4.%7."/>
      <w:lvlJc w:val="left"/>
      <w:pPr>
        <w:ind w:left="3240" w:hanging="1080"/>
      </w:pPr>
      <w:rPr>
        <w:rFonts w:ascii="Tahoma" w:hAnsi="Tahoma" w:hint="default"/>
      </w:rPr>
    </w:lvl>
    <w:lvl w:ilvl="7">
      <w:start w:val="1"/>
      <w:numFmt w:val="decimal"/>
      <w:lvlText w:val="%1.%2.%3.%4.%7.%8."/>
      <w:lvlJc w:val="left"/>
      <w:pPr>
        <w:ind w:left="3744" w:hanging="1224"/>
      </w:pPr>
      <w:rPr>
        <w:rFonts w:ascii="Tahoma" w:hAnsi="Tahoma" w:hint="default"/>
      </w:rPr>
    </w:lvl>
    <w:lvl w:ilvl="8">
      <w:start w:val="1"/>
      <w:numFmt w:val="decimal"/>
      <w:lvlText w:val="%1.%2.%3.%4.%7.%8.%9."/>
      <w:lvlJc w:val="left"/>
      <w:pPr>
        <w:ind w:left="4320" w:hanging="1440"/>
      </w:pPr>
      <w:rPr>
        <w:rFonts w:ascii="Tahoma" w:hAnsi="Tahoma" w:hint="default"/>
      </w:rPr>
    </w:lvl>
  </w:abstractNum>
  <w:abstractNum w:abstractNumId="13" w15:restartNumberingAfterBreak="0">
    <w:nsid w:val="6E97731E"/>
    <w:multiLevelType w:val="hybridMultilevel"/>
    <w:tmpl w:val="45982BD6"/>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4" w15:restartNumberingAfterBreak="0">
    <w:nsid w:val="704E3CC9"/>
    <w:multiLevelType w:val="multilevel"/>
    <w:tmpl w:val="CB260002"/>
    <w:styleLink w:val="2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ascii="Arial" w:hAnsi="Arial" w:cs="Arial" w:hint="default"/>
        <w:b w:val="0"/>
        <w:sz w:val="20"/>
        <w:szCs w:val="20"/>
      </w:rPr>
    </w:lvl>
    <w:lvl w:ilvl="2">
      <w:start w:val="1"/>
      <w:numFmt w:val="decimal"/>
      <w:lvlText w:val="%1.%2.%3."/>
      <w:lvlJc w:val="left"/>
      <w:pPr>
        <w:tabs>
          <w:tab w:val="num" w:pos="1224"/>
        </w:tabs>
        <w:ind w:left="1224" w:hanging="504"/>
      </w:pPr>
      <w:rPr>
        <w:rFonts w:cs="Times New Roman" w:hint="default"/>
        <w:b w:val="0"/>
        <w:sz w:val="20"/>
        <w:szCs w:val="20"/>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9"/>
    <w:lvlOverride w:ilvl="0">
      <w:lvl w:ilvl="0">
        <w:numFmt w:val="decimal"/>
        <w:lvlText w:val=""/>
        <w:lvlJc w:val="left"/>
      </w:lvl>
    </w:lvlOverride>
    <w:lvlOverride w:ilvl="1">
      <w:lvl w:ilvl="1">
        <w:start w:val="1"/>
        <w:numFmt w:val="decimal"/>
        <w:lvlText w:val="%1.%2."/>
        <w:lvlJc w:val="left"/>
        <w:pPr>
          <w:ind w:left="792" w:hanging="432"/>
        </w:pPr>
        <w:rPr>
          <w:rFonts w:hint="default"/>
          <w:b/>
          <w:sz w:val="20"/>
          <w:szCs w:val="20"/>
        </w:rPr>
      </w:lvl>
    </w:lvlOverride>
    <w:lvlOverride w:ilvl="2">
      <w:lvl w:ilvl="2">
        <w:start w:val="1"/>
        <w:numFmt w:val="decimal"/>
        <w:lvlText w:val="%1.%2.%3."/>
        <w:lvlJc w:val="left"/>
        <w:pPr>
          <w:ind w:left="1639" w:hanging="504"/>
        </w:pPr>
        <w:rPr>
          <w:rFonts w:hint="default"/>
          <w:b w:val="0"/>
          <w:sz w:val="20"/>
          <w:szCs w:val="20"/>
        </w:rPr>
      </w:lvl>
    </w:lvlOverride>
  </w:num>
  <w:num w:numId="2">
    <w:abstractNumId w:val="5"/>
  </w:num>
  <w:num w:numId="3">
    <w:abstractNumId w:val="2"/>
  </w:num>
  <w:num w:numId="4">
    <w:abstractNumId w:val="1"/>
  </w:num>
  <w:num w:numId="5">
    <w:abstractNumId w:val="14"/>
  </w:num>
  <w:num w:numId="6">
    <w:abstractNumId w:val="7"/>
  </w:num>
  <w:num w:numId="7">
    <w:abstractNumId w:val="4"/>
  </w:num>
  <w:num w:numId="8">
    <w:abstractNumId w:val="3"/>
  </w:num>
  <w:num w:numId="9">
    <w:abstractNumId w:val="10"/>
  </w:num>
  <w:num w:numId="10">
    <w:abstractNumId w:val="4"/>
  </w:num>
  <w:num w:numId="11">
    <w:abstractNumId w:val="4"/>
  </w:num>
  <w:num w:numId="12">
    <w:abstractNumId w:val="8"/>
  </w:num>
  <w:num w:numId="13">
    <w:abstractNumId w:val="4"/>
  </w:num>
  <w:num w:numId="14">
    <w:abstractNumId w:val="0"/>
  </w:num>
  <w:num w:numId="15">
    <w:abstractNumId w:val="4"/>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12"/>
    <w:lvlOverride w:ilvl="1">
      <w:lvl w:ilvl="1">
        <w:start w:val="1"/>
        <w:numFmt w:val="decimal"/>
        <w:lvlText w:val="%1.%2."/>
        <w:lvlJc w:val="left"/>
        <w:pPr>
          <w:ind w:left="680" w:hanging="567"/>
        </w:pPr>
        <w:rPr>
          <w:rFonts w:ascii="Tahoma" w:hAnsi="Tahoma" w:hint="default"/>
          <w:b/>
          <w:i w:val="0"/>
          <w:sz w:val="20"/>
          <w:szCs w:val="24"/>
        </w:rPr>
      </w:lvl>
    </w:lvlOverride>
  </w:num>
  <w:num w:numId="28">
    <w:abstractNumId w:val="13"/>
  </w:num>
  <w:num w:numId="29">
    <w:abstractNumId w:val="6"/>
  </w:num>
  <w:num w:numId="30">
    <w:abstractNumId w:val="11"/>
  </w:num>
  <w:num w:numId="3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4D6"/>
    <w:rsid w:val="00000530"/>
    <w:rsid w:val="000006DC"/>
    <w:rsid w:val="000009D1"/>
    <w:rsid w:val="0000137A"/>
    <w:rsid w:val="00001973"/>
    <w:rsid w:val="00001E00"/>
    <w:rsid w:val="00002D56"/>
    <w:rsid w:val="0000383E"/>
    <w:rsid w:val="00003F00"/>
    <w:rsid w:val="00004338"/>
    <w:rsid w:val="000052C9"/>
    <w:rsid w:val="000057B1"/>
    <w:rsid w:val="00005C3D"/>
    <w:rsid w:val="000068BE"/>
    <w:rsid w:val="00006A72"/>
    <w:rsid w:val="00006E2C"/>
    <w:rsid w:val="000100A0"/>
    <w:rsid w:val="000100A9"/>
    <w:rsid w:val="00010ACF"/>
    <w:rsid w:val="00010E7F"/>
    <w:rsid w:val="00010F1C"/>
    <w:rsid w:val="00012255"/>
    <w:rsid w:val="00013416"/>
    <w:rsid w:val="00013591"/>
    <w:rsid w:val="00013643"/>
    <w:rsid w:val="00014370"/>
    <w:rsid w:val="00014845"/>
    <w:rsid w:val="00014E31"/>
    <w:rsid w:val="000156F5"/>
    <w:rsid w:val="00015A5F"/>
    <w:rsid w:val="00015D70"/>
    <w:rsid w:val="000161A2"/>
    <w:rsid w:val="000164D9"/>
    <w:rsid w:val="00017B26"/>
    <w:rsid w:val="00017CDA"/>
    <w:rsid w:val="00017D6E"/>
    <w:rsid w:val="000200A2"/>
    <w:rsid w:val="0002032B"/>
    <w:rsid w:val="0002071B"/>
    <w:rsid w:val="00020942"/>
    <w:rsid w:val="000209E1"/>
    <w:rsid w:val="00020C32"/>
    <w:rsid w:val="00020E7B"/>
    <w:rsid w:val="00021354"/>
    <w:rsid w:val="000219EE"/>
    <w:rsid w:val="00022191"/>
    <w:rsid w:val="00022588"/>
    <w:rsid w:val="00022670"/>
    <w:rsid w:val="00022E67"/>
    <w:rsid w:val="00022F3B"/>
    <w:rsid w:val="000231AC"/>
    <w:rsid w:val="00023392"/>
    <w:rsid w:val="000240F9"/>
    <w:rsid w:val="00024CB3"/>
    <w:rsid w:val="00025299"/>
    <w:rsid w:val="000259BB"/>
    <w:rsid w:val="00026638"/>
    <w:rsid w:val="000266F8"/>
    <w:rsid w:val="00026E60"/>
    <w:rsid w:val="00027A8F"/>
    <w:rsid w:val="0003044C"/>
    <w:rsid w:val="00031091"/>
    <w:rsid w:val="000310D1"/>
    <w:rsid w:val="00031AA3"/>
    <w:rsid w:val="00031AEC"/>
    <w:rsid w:val="00031D62"/>
    <w:rsid w:val="00032240"/>
    <w:rsid w:val="00032842"/>
    <w:rsid w:val="00032AAC"/>
    <w:rsid w:val="00032D07"/>
    <w:rsid w:val="00032EAB"/>
    <w:rsid w:val="00032FF3"/>
    <w:rsid w:val="0003320F"/>
    <w:rsid w:val="00033217"/>
    <w:rsid w:val="00033A1A"/>
    <w:rsid w:val="00033D51"/>
    <w:rsid w:val="00033EEA"/>
    <w:rsid w:val="00034039"/>
    <w:rsid w:val="00034788"/>
    <w:rsid w:val="00034F82"/>
    <w:rsid w:val="00035132"/>
    <w:rsid w:val="00035B2A"/>
    <w:rsid w:val="00036606"/>
    <w:rsid w:val="00036FBA"/>
    <w:rsid w:val="00037772"/>
    <w:rsid w:val="00037F81"/>
    <w:rsid w:val="00040096"/>
    <w:rsid w:val="000403B7"/>
    <w:rsid w:val="00040DBD"/>
    <w:rsid w:val="00041783"/>
    <w:rsid w:val="00041BAD"/>
    <w:rsid w:val="0004241E"/>
    <w:rsid w:val="000424CB"/>
    <w:rsid w:val="000426EF"/>
    <w:rsid w:val="00042CA2"/>
    <w:rsid w:val="000436DE"/>
    <w:rsid w:val="00043A3D"/>
    <w:rsid w:val="0004480F"/>
    <w:rsid w:val="00044C15"/>
    <w:rsid w:val="00044EB9"/>
    <w:rsid w:val="00045603"/>
    <w:rsid w:val="00045D5E"/>
    <w:rsid w:val="00047157"/>
    <w:rsid w:val="000476B3"/>
    <w:rsid w:val="00047C94"/>
    <w:rsid w:val="00047EAF"/>
    <w:rsid w:val="00050071"/>
    <w:rsid w:val="000501B8"/>
    <w:rsid w:val="000503C8"/>
    <w:rsid w:val="000504C8"/>
    <w:rsid w:val="00050707"/>
    <w:rsid w:val="000509C7"/>
    <w:rsid w:val="00051F6A"/>
    <w:rsid w:val="000525F7"/>
    <w:rsid w:val="00052C04"/>
    <w:rsid w:val="00053C47"/>
    <w:rsid w:val="00053FFB"/>
    <w:rsid w:val="0005407A"/>
    <w:rsid w:val="000548FC"/>
    <w:rsid w:val="0005502D"/>
    <w:rsid w:val="000564B6"/>
    <w:rsid w:val="000567D3"/>
    <w:rsid w:val="00056A65"/>
    <w:rsid w:val="00056F15"/>
    <w:rsid w:val="00060117"/>
    <w:rsid w:val="00060B07"/>
    <w:rsid w:val="00061BC0"/>
    <w:rsid w:val="00061CDC"/>
    <w:rsid w:val="00061D41"/>
    <w:rsid w:val="00062FF5"/>
    <w:rsid w:val="00064151"/>
    <w:rsid w:val="000647C9"/>
    <w:rsid w:val="00065638"/>
    <w:rsid w:val="00065CB7"/>
    <w:rsid w:val="00066324"/>
    <w:rsid w:val="00066340"/>
    <w:rsid w:val="00066645"/>
    <w:rsid w:val="00066DF8"/>
    <w:rsid w:val="00066E06"/>
    <w:rsid w:val="00066EEF"/>
    <w:rsid w:val="00067025"/>
    <w:rsid w:val="00067894"/>
    <w:rsid w:val="00067A61"/>
    <w:rsid w:val="00067DAE"/>
    <w:rsid w:val="00070564"/>
    <w:rsid w:val="00070A37"/>
    <w:rsid w:val="00072525"/>
    <w:rsid w:val="00072602"/>
    <w:rsid w:val="00073E13"/>
    <w:rsid w:val="00075293"/>
    <w:rsid w:val="00075ACB"/>
    <w:rsid w:val="00076644"/>
    <w:rsid w:val="00076956"/>
    <w:rsid w:val="00076C1D"/>
    <w:rsid w:val="00076D09"/>
    <w:rsid w:val="000779DD"/>
    <w:rsid w:val="000801B5"/>
    <w:rsid w:val="00080249"/>
    <w:rsid w:val="00080DAB"/>
    <w:rsid w:val="00080FD4"/>
    <w:rsid w:val="00081747"/>
    <w:rsid w:val="00081E1F"/>
    <w:rsid w:val="00082414"/>
    <w:rsid w:val="0008280D"/>
    <w:rsid w:val="00082DB5"/>
    <w:rsid w:val="00083708"/>
    <w:rsid w:val="0008386E"/>
    <w:rsid w:val="00084F5E"/>
    <w:rsid w:val="00084FE6"/>
    <w:rsid w:val="00085DDB"/>
    <w:rsid w:val="00085FB5"/>
    <w:rsid w:val="00086165"/>
    <w:rsid w:val="00086286"/>
    <w:rsid w:val="00086564"/>
    <w:rsid w:val="00086B7B"/>
    <w:rsid w:val="00086BDD"/>
    <w:rsid w:val="00090232"/>
    <w:rsid w:val="00090308"/>
    <w:rsid w:val="000906E4"/>
    <w:rsid w:val="00091191"/>
    <w:rsid w:val="000913A3"/>
    <w:rsid w:val="000917F2"/>
    <w:rsid w:val="00091813"/>
    <w:rsid w:val="000925DA"/>
    <w:rsid w:val="00092AAF"/>
    <w:rsid w:val="00092C4E"/>
    <w:rsid w:val="00092D8B"/>
    <w:rsid w:val="000931D7"/>
    <w:rsid w:val="0009352D"/>
    <w:rsid w:val="00093AB8"/>
    <w:rsid w:val="00093D87"/>
    <w:rsid w:val="00094086"/>
    <w:rsid w:val="00094427"/>
    <w:rsid w:val="000953B8"/>
    <w:rsid w:val="000956B4"/>
    <w:rsid w:val="000963A8"/>
    <w:rsid w:val="00096A43"/>
    <w:rsid w:val="00096B71"/>
    <w:rsid w:val="00096FFA"/>
    <w:rsid w:val="00097E08"/>
    <w:rsid w:val="00097F55"/>
    <w:rsid w:val="000A011A"/>
    <w:rsid w:val="000A0B1A"/>
    <w:rsid w:val="000A0FAE"/>
    <w:rsid w:val="000A1345"/>
    <w:rsid w:val="000A156C"/>
    <w:rsid w:val="000A2AE6"/>
    <w:rsid w:val="000A2BC9"/>
    <w:rsid w:val="000A2E7A"/>
    <w:rsid w:val="000A37C8"/>
    <w:rsid w:val="000A430C"/>
    <w:rsid w:val="000A4ACC"/>
    <w:rsid w:val="000A4E4D"/>
    <w:rsid w:val="000A5364"/>
    <w:rsid w:val="000A5803"/>
    <w:rsid w:val="000A5A11"/>
    <w:rsid w:val="000A5AAA"/>
    <w:rsid w:val="000A6293"/>
    <w:rsid w:val="000A6B72"/>
    <w:rsid w:val="000A6C67"/>
    <w:rsid w:val="000B00A4"/>
    <w:rsid w:val="000B11D5"/>
    <w:rsid w:val="000B1512"/>
    <w:rsid w:val="000B1E75"/>
    <w:rsid w:val="000B1FF5"/>
    <w:rsid w:val="000B2C65"/>
    <w:rsid w:val="000B365A"/>
    <w:rsid w:val="000B4506"/>
    <w:rsid w:val="000B4D6B"/>
    <w:rsid w:val="000B5305"/>
    <w:rsid w:val="000B5B7B"/>
    <w:rsid w:val="000B624A"/>
    <w:rsid w:val="000B65FE"/>
    <w:rsid w:val="000B665E"/>
    <w:rsid w:val="000B6C13"/>
    <w:rsid w:val="000B6C22"/>
    <w:rsid w:val="000B6EA2"/>
    <w:rsid w:val="000B718E"/>
    <w:rsid w:val="000B7444"/>
    <w:rsid w:val="000B751D"/>
    <w:rsid w:val="000B75AE"/>
    <w:rsid w:val="000C0600"/>
    <w:rsid w:val="000C0E46"/>
    <w:rsid w:val="000C173A"/>
    <w:rsid w:val="000C1757"/>
    <w:rsid w:val="000C1BCB"/>
    <w:rsid w:val="000C1C63"/>
    <w:rsid w:val="000C249A"/>
    <w:rsid w:val="000C2E10"/>
    <w:rsid w:val="000C357E"/>
    <w:rsid w:val="000C373D"/>
    <w:rsid w:val="000C378F"/>
    <w:rsid w:val="000C5519"/>
    <w:rsid w:val="000C6325"/>
    <w:rsid w:val="000C6339"/>
    <w:rsid w:val="000C6B26"/>
    <w:rsid w:val="000C726B"/>
    <w:rsid w:val="000C7A80"/>
    <w:rsid w:val="000C7AD5"/>
    <w:rsid w:val="000C7E51"/>
    <w:rsid w:val="000C7F6A"/>
    <w:rsid w:val="000D032C"/>
    <w:rsid w:val="000D1663"/>
    <w:rsid w:val="000D1A82"/>
    <w:rsid w:val="000D4911"/>
    <w:rsid w:val="000D4A27"/>
    <w:rsid w:val="000D5344"/>
    <w:rsid w:val="000D634E"/>
    <w:rsid w:val="000D6EBA"/>
    <w:rsid w:val="000D775B"/>
    <w:rsid w:val="000D77A7"/>
    <w:rsid w:val="000D7A1F"/>
    <w:rsid w:val="000E0365"/>
    <w:rsid w:val="000E07BD"/>
    <w:rsid w:val="000E0D81"/>
    <w:rsid w:val="000E0ECB"/>
    <w:rsid w:val="000E115A"/>
    <w:rsid w:val="000E12E7"/>
    <w:rsid w:val="000E14E3"/>
    <w:rsid w:val="000E179D"/>
    <w:rsid w:val="000E1CFA"/>
    <w:rsid w:val="000E1D27"/>
    <w:rsid w:val="000E2543"/>
    <w:rsid w:val="000E2701"/>
    <w:rsid w:val="000E2749"/>
    <w:rsid w:val="000E2D69"/>
    <w:rsid w:val="000E2EED"/>
    <w:rsid w:val="000E3BC9"/>
    <w:rsid w:val="000E47DD"/>
    <w:rsid w:val="000E48CF"/>
    <w:rsid w:val="000E4CD8"/>
    <w:rsid w:val="000E50D7"/>
    <w:rsid w:val="000E5463"/>
    <w:rsid w:val="000E5682"/>
    <w:rsid w:val="000E63A5"/>
    <w:rsid w:val="000E647D"/>
    <w:rsid w:val="000E660C"/>
    <w:rsid w:val="000E6CAA"/>
    <w:rsid w:val="000F06A3"/>
    <w:rsid w:val="000F0B0F"/>
    <w:rsid w:val="000F1127"/>
    <w:rsid w:val="000F13C1"/>
    <w:rsid w:val="000F14F3"/>
    <w:rsid w:val="000F24C4"/>
    <w:rsid w:val="000F28A8"/>
    <w:rsid w:val="000F2B92"/>
    <w:rsid w:val="000F3029"/>
    <w:rsid w:val="000F32D3"/>
    <w:rsid w:val="000F37B6"/>
    <w:rsid w:val="000F3B2B"/>
    <w:rsid w:val="000F467C"/>
    <w:rsid w:val="000F47D3"/>
    <w:rsid w:val="000F4CD4"/>
    <w:rsid w:val="000F5C30"/>
    <w:rsid w:val="000F64BE"/>
    <w:rsid w:val="000F7FE1"/>
    <w:rsid w:val="0010094A"/>
    <w:rsid w:val="0010132C"/>
    <w:rsid w:val="00101C6B"/>
    <w:rsid w:val="00102379"/>
    <w:rsid w:val="0010277F"/>
    <w:rsid w:val="00103726"/>
    <w:rsid w:val="00103B76"/>
    <w:rsid w:val="00103D61"/>
    <w:rsid w:val="00103E59"/>
    <w:rsid w:val="00104E49"/>
    <w:rsid w:val="00105CF2"/>
    <w:rsid w:val="00106C26"/>
    <w:rsid w:val="00106E61"/>
    <w:rsid w:val="001070AE"/>
    <w:rsid w:val="00107E64"/>
    <w:rsid w:val="00110482"/>
    <w:rsid w:val="001104E8"/>
    <w:rsid w:val="00110585"/>
    <w:rsid w:val="001105AB"/>
    <w:rsid w:val="00110F5E"/>
    <w:rsid w:val="00110FC6"/>
    <w:rsid w:val="0011219F"/>
    <w:rsid w:val="00112A72"/>
    <w:rsid w:val="00112ECE"/>
    <w:rsid w:val="00113288"/>
    <w:rsid w:val="0011386E"/>
    <w:rsid w:val="0011394E"/>
    <w:rsid w:val="0011511F"/>
    <w:rsid w:val="00115273"/>
    <w:rsid w:val="00115892"/>
    <w:rsid w:val="00115BB1"/>
    <w:rsid w:val="00116538"/>
    <w:rsid w:val="00116B11"/>
    <w:rsid w:val="001173DD"/>
    <w:rsid w:val="00117B65"/>
    <w:rsid w:val="00117BFE"/>
    <w:rsid w:val="00117E1B"/>
    <w:rsid w:val="001204A6"/>
    <w:rsid w:val="0012282C"/>
    <w:rsid w:val="001229D2"/>
    <w:rsid w:val="00122C72"/>
    <w:rsid w:val="00122E3F"/>
    <w:rsid w:val="0012338F"/>
    <w:rsid w:val="00123628"/>
    <w:rsid w:val="0012429E"/>
    <w:rsid w:val="00124330"/>
    <w:rsid w:val="00124668"/>
    <w:rsid w:val="00124788"/>
    <w:rsid w:val="0012485D"/>
    <w:rsid w:val="00124A91"/>
    <w:rsid w:val="001258DF"/>
    <w:rsid w:val="00125E61"/>
    <w:rsid w:val="0012650A"/>
    <w:rsid w:val="00126D95"/>
    <w:rsid w:val="00127280"/>
    <w:rsid w:val="001277FF"/>
    <w:rsid w:val="00130079"/>
    <w:rsid w:val="00130910"/>
    <w:rsid w:val="00130BB6"/>
    <w:rsid w:val="0013140C"/>
    <w:rsid w:val="001318F7"/>
    <w:rsid w:val="00132035"/>
    <w:rsid w:val="00132B59"/>
    <w:rsid w:val="00132C98"/>
    <w:rsid w:val="00132E3D"/>
    <w:rsid w:val="001339F7"/>
    <w:rsid w:val="00133D5D"/>
    <w:rsid w:val="00133E4F"/>
    <w:rsid w:val="0013455D"/>
    <w:rsid w:val="001345E4"/>
    <w:rsid w:val="0013499C"/>
    <w:rsid w:val="00135FEE"/>
    <w:rsid w:val="00136B43"/>
    <w:rsid w:val="00137771"/>
    <w:rsid w:val="00140855"/>
    <w:rsid w:val="00140998"/>
    <w:rsid w:val="0014120D"/>
    <w:rsid w:val="00141CDA"/>
    <w:rsid w:val="001420C9"/>
    <w:rsid w:val="001427EA"/>
    <w:rsid w:val="00142F36"/>
    <w:rsid w:val="00143312"/>
    <w:rsid w:val="0014348D"/>
    <w:rsid w:val="00144549"/>
    <w:rsid w:val="00144BAD"/>
    <w:rsid w:val="001456C5"/>
    <w:rsid w:val="001467B6"/>
    <w:rsid w:val="00147470"/>
    <w:rsid w:val="00147F06"/>
    <w:rsid w:val="0015039C"/>
    <w:rsid w:val="00150CE2"/>
    <w:rsid w:val="00151E45"/>
    <w:rsid w:val="00152E26"/>
    <w:rsid w:val="00152FE9"/>
    <w:rsid w:val="001532B1"/>
    <w:rsid w:val="00153377"/>
    <w:rsid w:val="00153981"/>
    <w:rsid w:val="00153B6C"/>
    <w:rsid w:val="00154165"/>
    <w:rsid w:val="00154263"/>
    <w:rsid w:val="001547EF"/>
    <w:rsid w:val="00154853"/>
    <w:rsid w:val="00154C58"/>
    <w:rsid w:val="00155376"/>
    <w:rsid w:val="00155417"/>
    <w:rsid w:val="00155749"/>
    <w:rsid w:val="001558B8"/>
    <w:rsid w:val="00155EB6"/>
    <w:rsid w:val="00155EFA"/>
    <w:rsid w:val="0015748C"/>
    <w:rsid w:val="00160E01"/>
    <w:rsid w:val="001616A6"/>
    <w:rsid w:val="00161F15"/>
    <w:rsid w:val="0016266D"/>
    <w:rsid w:val="0016273B"/>
    <w:rsid w:val="00162BD6"/>
    <w:rsid w:val="001635A3"/>
    <w:rsid w:val="00164358"/>
    <w:rsid w:val="0016488E"/>
    <w:rsid w:val="001648A3"/>
    <w:rsid w:val="00164AA9"/>
    <w:rsid w:val="00164C7E"/>
    <w:rsid w:val="00165044"/>
    <w:rsid w:val="0016508E"/>
    <w:rsid w:val="001650EF"/>
    <w:rsid w:val="001659CF"/>
    <w:rsid w:val="00165EB7"/>
    <w:rsid w:val="0016601B"/>
    <w:rsid w:val="001666F3"/>
    <w:rsid w:val="00166B4C"/>
    <w:rsid w:val="001675DA"/>
    <w:rsid w:val="0016782C"/>
    <w:rsid w:val="0016797C"/>
    <w:rsid w:val="00167A8D"/>
    <w:rsid w:val="00167BA3"/>
    <w:rsid w:val="00170190"/>
    <w:rsid w:val="001705D0"/>
    <w:rsid w:val="001708C9"/>
    <w:rsid w:val="001723F2"/>
    <w:rsid w:val="001724EC"/>
    <w:rsid w:val="00172E7E"/>
    <w:rsid w:val="00172F22"/>
    <w:rsid w:val="00174200"/>
    <w:rsid w:val="0017428E"/>
    <w:rsid w:val="00174B8F"/>
    <w:rsid w:val="00174D14"/>
    <w:rsid w:val="00175E40"/>
    <w:rsid w:val="00175FB5"/>
    <w:rsid w:val="001763AC"/>
    <w:rsid w:val="00176DC2"/>
    <w:rsid w:val="00177817"/>
    <w:rsid w:val="00177AEB"/>
    <w:rsid w:val="001811B5"/>
    <w:rsid w:val="001812DF"/>
    <w:rsid w:val="00182166"/>
    <w:rsid w:val="0018309C"/>
    <w:rsid w:val="00183A9D"/>
    <w:rsid w:val="001844A9"/>
    <w:rsid w:val="0018455C"/>
    <w:rsid w:val="0018458C"/>
    <w:rsid w:val="0018507A"/>
    <w:rsid w:val="00185A65"/>
    <w:rsid w:val="001867C9"/>
    <w:rsid w:val="001869A1"/>
    <w:rsid w:val="00187B02"/>
    <w:rsid w:val="00187D5C"/>
    <w:rsid w:val="001948AC"/>
    <w:rsid w:val="00194D13"/>
    <w:rsid w:val="00195886"/>
    <w:rsid w:val="00195963"/>
    <w:rsid w:val="00195BF6"/>
    <w:rsid w:val="00195C26"/>
    <w:rsid w:val="00195D7B"/>
    <w:rsid w:val="00195F7B"/>
    <w:rsid w:val="00196314"/>
    <w:rsid w:val="00196316"/>
    <w:rsid w:val="00196342"/>
    <w:rsid w:val="0019684F"/>
    <w:rsid w:val="00196D37"/>
    <w:rsid w:val="00197390"/>
    <w:rsid w:val="001A0451"/>
    <w:rsid w:val="001A1388"/>
    <w:rsid w:val="001A178E"/>
    <w:rsid w:val="001A1D4C"/>
    <w:rsid w:val="001A20B3"/>
    <w:rsid w:val="001A29C3"/>
    <w:rsid w:val="001A2CF0"/>
    <w:rsid w:val="001A30B4"/>
    <w:rsid w:val="001A32A1"/>
    <w:rsid w:val="001A384E"/>
    <w:rsid w:val="001A39A0"/>
    <w:rsid w:val="001A668D"/>
    <w:rsid w:val="001A6712"/>
    <w:rsid w:val="001A6E35"/>
    <w:rsid w:val="001A721A"/>
    <w:rsid w:val="001A7AD7"/>
    <w:rsid w:val="001B07D8"/>
    <w:rsid w:val="001B0EC5"/>
    <w:rsid w:val="001B0F73"/>
    <w:rsid w:val="001B17E2"/>
    <w:rsid w:val="001B2381"/>
    <w:rsid w:val="001B299A"/>
    <w:rsid w:val="001B2A98"/>
    <w:rsid w:val="001B33BC"/>
    <w:rsid w:val="001B366D"/>
    <w:rsid w:val="001B3EB2"/>
    <w:rsid w:val="001B4068"/>
    <w:rsid w:val="001B4583"/>
    <w:rsid w:val="001B5531"/>
    <w:rsid w:val="001B5883"/>
    <w:rsid w:val="001B6254"/>
    <w:rsid w:val="001B6275"/>
    <w:rsid w:val="001B67FE"/>
    <w:rsid w:val="001B7A7D"/>
    <w:rsid w:val="001B7E4F"/>
    <w:rsid w:val="001B7FE8"/>
    <w:rsid w:val="001C008A"/>
    <w:rsid w:val="001C0E5A"/>
    <w:rsid w:val="001C0E98"/>
    <w:rsid w:val="001C17A5"/>
    <w:rsid w:val="001C26E8"/>
    <w:rsid w:val="001C281E"/>
    <w:rsid w:val="001C3B67"/>
    <w:rsid w:val="001C3CFF"/>
    <w:rsid w:val="001C3FA9"/>
    <w:rsid w:val="001C4800"/>
    <w:rsid w:val="001C4A61"/>
    <w:rsid w:val="001C4E07"/>
    <w:rsid w:val="001C5169"/>
    <w:rsid w:val="001C5994"/>
    <w:rsid w:val="001C5B9F"/>
    <w:rsid w:val="001C63BF"/>
    <w:rsid w:val="001C652B"/>
    <w:rsid w:val="001C7496"/>
    <w:rsid w:val="001C79D2"/>
    <w:rsid w:val="001D0B14"/>
    <w:rsid w:val="001D1391"/>
    <w:rsid w:val="001D1641"/>
    <w:rsid w:val="001D1782"/>
    <w:rsid w:val="001D1A32"/>
    <w:rsid w:val="001D1B99"/>
    <w:rsid w:val="001D2032"/>
    <w:rsid w:val="001D2D05"/>
    <w:rsid w:val="001D3A1F"/>
    <w:rsid w:val="001D4037"/>
    <w:rsid w:val="001D4692"/>
    <w:rsid w:val="001D487A"/>
    <w:rsid w:val="001D4F69"/>
    <w:rsid w:val="001D514A"/>
    <w:rsid w:val="001D57A7"/>
    <w:rsid w:val="001D5DE3"/>
    <w:rsid w:val="001D69CE"/>
    <w:rsid w:val="001D6E0A"/>
    <w:rsid w:val="001D6E2F"/>
    <w:rsid w:val="001D7120"/>
    <w:rsid w:val="001E0165"/>
    <w:rsid w:val="001E072C"/>
    <w:rsid w:val="001E0C66"/>
    <w:rsid w:val="001E12D4"/>
    <w:rsid w:val="001E1B06"/>
    <w:rsid w:val="001E1EFF"/>
    <w:rsid w:val="001E1FF3"/>
    <w:rsid w:val="001E280A"/>
    <w:rsid w:val="001E2A1C"/>
    <w:rsid w:val="001E328D"/>
    <w:rsid w:val="001E3DE2"/>
    <w:rsid w:val="001E496A"/>
    <w:rsid w:val="001E49DE"/>
    <w:rsid w:val="001E4BB5"/>
    <w:rsid w:val="001E4E66"/>
    <w:rsid w:val="001E505D"/>
    <w:rsid w:val="001E5BF5"/>
    <w:rsid w:val="001E5E0D"/>
    <w:rsid w:val="001E6BFE"/>
    <w:rsid w:val="001E7594"/>
    <w:rsid w:val="001E76A6"/>
    <w:rsid w:val="001E7AB5"/>
    <w:rsid w:val="001F02B2"/>
    <w:rsid w:val="001F0784"/>
    <w:rsid w:val="001F0814"/>
    <w:rsid w:val="001F0A7A"/>
    <w:rsid w:val="001F0C97"/>
    <w:rsid w:val="001F10AC"/>
    <w:rsid w:val="001F110A"/>
    <w:rsid w:val="001F15DF"/>
    <w:rsid w:val="001F1644"/>
    <w:rsid w:val="001F166D"/>
    <w:rsid w:val="001F17A0"/>
    <w:rsid w:val="001F1907"/>
    <w:rsid w:val="001F2041"/>
    <w:rsid w:val="001F246A"/>
    <w:rsid w:val="001F2B72"/>
    <w:rsid w:val="001F2CD0"/>
    <w:rsid w:val="001F2E9A"/>
    <w:rsid w:val="001F36E0"/>
    <w:rsid w:val="001F4224"/>
    <w:rsid w:val="001F57D1"/>
    <w:rsid w:val="001F6298"/>
    <w:rsid w:val="001F6712"/>
    <w:rsid w:val="001F7F0B"/>
    <w:rsid w:val="001F7F3C"/>
    <w:rsid w:val="00200696"/>
    <w:rsid w:val="0020092B"/>
    <w:rsid w:val="00200A17"/>
    <w:rsid w:val="00201F2C"/>
    <w:rsid w:val="00202202"/>
    <w:rsid w:val="002027E3"/>
    <w:rsid w:val="00202A7C"/>
    <w:rsid w:val="0020328C"/>
    <w:rsid w:val="00203334"/>
    <w:rsid w:val="00203898"/>
    <w:rsid w:val="00204C78"/>
    <w:rsid w:val="00204C7C"/>
    <w:rsid w:val="00204D50"/>
    <w:rsid w:val="00205F41"/>
    <w:rsid w:val="002075C6"/>
    <w:rsid w:val="00207D2B"/>
    <w:rsid w:val="002102F1"/>
    <w:rsid w:val="0021070D"/>
    <w:rsid w:val="00210B1B"/>
    <w:rsid w:val="002111AE"/>
    <w:rsid w:val="0021125A"/>
    <w:rsid w:val="0021166E"/>
    <w:rsid w:val="002116C9"/>
    <w:rsid w:val="00211794"/>
    <w:rsid w:val="00211905"/>
    <w:rsid w:val="0021315D"/>
    <w:rsid w:val="00213637"/>
    <w:rsid w:val="00213AE1"/>
    <w:rsid w:val="00213E49"/>
    <w:rsid w:val="00214BD8"/>
    <w:rsid w:val="00215009"/>
    <w:rsid w:val="002154C7"/>
    <w:rsid w:val="00216396"/>
    <w:rsid w:val="0021697A"/>
    <w:rsid w:val="00221585"/>
    <w:rsid w:val="00222452"/>
    <w:rsid w:val="00222570"/>
    <w:rsid w:val="00222C01"/>
    <w:rsid w:val="00223229"/>
    <w:rsid w:val="00223F33"/>
    <w:rsid w:val="0022485B"/>
    <w:rsid w:val="00224921"/>
    <w:rsid w:val="00224EE8"/>
    <w:rsid w:val="00225D4F"/>
    <w:rsid w:val="0022661C"/>
    <w:rsid w:val="00226E1F"/>
    <w:rsid w:val="00227241"/>
    <w:rsid w:val="00227DFF"/>
    <w:rsid w:val="00227EC4"/>
    <w:rsid w:val="002309C4"/>
    <w:rsid w:val="00231232"/>
    <w:rsid w:val="00232740"/>
    <w:rsid w:val="00232826"/>
    <w:rsid w:val="002332C7"/>
    <w:rsid w:val="002349E7"/>
    <w:rsid w:val="0023549E"/>
    <w:rsid w:val="00235668"/>
    <w:rsid w:val="00235802"/>
    <w:rsid w:val="00235925"/>
    <w:rsid w:val="002362F3"/>
    <w:rsid w:val="0023759B"/>
    <w:rsid w:val="00237E75"/>
    <w:rsid w:val="00240022"/>
    <w:rsid w:val="0024042C"/>
    <w:rsid w:val="00242B24"/>
    <w:rsid w:val="00242E65"/>
    <w:rsid w:val="00244335"/>
    <w:rsid w:val="00244757"/>
    <w:rsid w:val="00244AE4"/>
    <w:rsid w:val="00245357"/>
    <w:rsid w:val="00245B58"/>
    <w:rsid w:val="00245C9E"/>
    <w:rsid w:val="00245D05"/>
    <w:rsid w:val="00246B3D"/>
    <w:rsid w:val="00246BC9"/>
    <w:rsid w:val="002471AC"/>
    <w:rsid w:val="00247E62"/>
    <w:rsid w:val="00250A2E"/>
    <w:rsid w:val="00250DD1"/>
    <w:rsid w:val="0025100F"/>
    <w:rsid w:val="00251DF5"/>
    <w:rsid w:val="00251E4B"/>
    <w:rsid w:val="00252310"/>
    <w:rsid w:val="002532CE"/>
    <w:rsid w:val="0025341E"/>
    <w:rsid w:val="00254481"/>
    <w:rsid w:val="002545D3"/>
    <w:rsid w:val="002553EF"/>
    <w:rsid w:val="0025576D"/>
    <w:rsid w:val="00255EE3"/>
    <w:rsid w:val="002566BA"/>
    <w:rsid w:val="002567CF"/>
    <w:rsid w:val="00257028"/>
    <w:rsid w:val="002577DF"/>
    <w:rsid w:val="0026001D"/>
    <w:rsid w:val="002603BA"/>
    <w:rsid w:val="002606AA"/>
    <w:rsid w:val="002616A9"/>
    <w:rsid w:val="002621C0"/>
    <w:rsid w:val="002629D6"/>
    <w:rsid w:val="00262DB5"/>
    <w:rsid w:val="002640AE"/>
    <w:rsid w:val="002640C4"/>
    <w:rsid w:val="00264C6E"/>
    <w:rsid w:val="00264D9D"/>
    <w:rsid w:val="002656A8"/>
    <w:rsid w:val="00265C38"/>
    <w:rsid w:val="00265C4F"/>
    <w:rsid w:val="00265D65"/>
    <w:rsid w:val="00265E60"/>
    <w:rsid w:val="00265EDE"/>
    <w:rsid w:val="002670B0"/>
    <w:rsid w:val="002673C9"/>
    <w:rsid w:val="00267B1F"/>
    <w:rsid w:val="002707C7"/>
    <w:rsid w:val="00271844"/>
    <w:rsid w:val="00272371"/>
    <w:rsid w:val="00272C55"/>
    <w:rsid w:val="002731D6"/>
    <w:rsid w:val="00273339"/>
    <w:rsid w:val="00273531"/>
    <w:rsid w:val="002739C8"/>
    <w:rsid w:val="00273CE3"/>
    <w:rsid w:val="00273D24"/>
    <w:rsid w:val="002746AE"/>
    <w:rsid w:val="00274F28"/>
    <w:rsid w:val="002751E7"/>
    <w:rsid w:val="0027529E"/>
    <w:rsid w:val="0027546F"/>
    <w:rsid w:val="00275DA8"/>
    <w:rsid w:val="00275F4E"/>
    <w:rsid w:val="00275FAC"/>
    <w:rsid w:val="0027741B"/>
    <w:rsid w:val="0027770E"/>
    <w:rsid w:val="00277727"/>
    <w:rsid w:val="00277F31"/>
    <w:rsid w:val="00280B23"/>
    <w:rsid w:val="002814EC"/>
    <w:rsid w:val="00281C6F"/>
    <w:rsid w:val="00281FC0"/>
    <w:rsid w:val="00282A1A"/>
    <w:rsid w:val="00282BBB"/>
    <w:rsid w:val="00283E0E"/>
    <w:rsid w:val="002841A0"/>
    <w:rsid w:val="00284406"/>
    <w:rsid w:val="002847D5"/>
    <w:rsid w:val="0028554A"/>
    <w:rsid w:val="00286030"/>
    <w:rsid w:val="0028633F"/>
    <w:rsid w:val="0028654A"/>
    <w:rsid w:val="00286ADB"/>
    <w:rsid w:val="00286B4D"/>
    <w:rsid w:val="00290135"/>
    <w:rsid w:val="0029096F"/>
    <w:rsid w:val="00291FB4"/>
    <w:rsid w:val="002936CC"/>
    <w:rsid w:val="00293FCA"/>
    <w:rsid w:val="0029414F"/>
    <w:rsid w:val="00294446"/>
    <w:rsid w:val="00294AD0"/>
    <w:rsid w:val="00295D07"/>
    <w:rsid w:val="0029623A"/>
    <w:rsid w:val="00296445"/>
    <w:rsid w:val="00297191"/>
    <w:rsid w:val="00297737"/>
    <w:rsid w:val="002A0705"/>
    <w:rsid w:val="002A0760"/>
    <w:rsid w:val="002A09D0"/>
    <w:rsid w:val="002A123A"/>
    <w:rsid w:val="002A17EE"/>
    <w:rsid w:val="002A1A7E"/>
    <w:rsid w:val="002A267B"/>
    <w:rsid w:val="002A2FA7"/>
    <w:rsid w:val="002A363B"/>
    <w:rsid w:val="002A37FB"/>
    <w:rsid w:val="002A3B5F"/>
    <w:rsid w:val="002A40DF"/>
    <w:rsid w:val="002A4620"/>
    <w:rsid w:val="002A4E18"/>
    <w:rsid w:val="002A55C8"/>
    <w:rsid w:val="002A582B"/>
    <w:rsid w:val="002A5850"/>
    <w:rsid w:val="002A5881"/>
    <w:rsid w:val="002A59EC"/>
    <w:rsid w:val="002A5FFB"/>
    <w:rsid w:val="002A6ACD"/>
    <w:rsid w:val="002A70D6"/>
    <w:rsid w:val="002A725F"/>
    <w:rsid w:val="002A7757"/>
    <w:rsid w:val="002A797A"/>
    <w:rsid w:val="002A7BD1"/>
    <w:rsid w:val="002B1004"/>
    <w:rsid w:val="002B1899"/>
    <w:rsid w:val="002B2174"/>
    <w:rsid w:val="002B2CA0"/>
    <w:rsid w:val="002B30CE"/>
    <w:rsid w:val="002B3F8A"/>
    <w:rsid w:val="002B41FE"/>
    <w:rsid w:val="002B47D9"/>
    <w:rsid w:val="002B4B4D"/>
    <w:rsid w:val="002B502E"/>
    <w:rsid w:val="002B5131"/>
    <w:rsid w:val="002B5180"/>
    <w:rsid w:val="002B5219"/>
    <w:rsid w:val="002B55EF"/>
    <w:rsid w:val="002B562B"/>
    <w:rsid w:val="002B5927"/>
    <w:rsid w:val="002B5AD6"/>
    <w:rsid w:val="002B5B71"/>
    <w:rsid w:val="002B655E"/>
    <w:rsid w:val="002B6C14"/>
    <w:rsid w:val="002B6F0F"/>
    <w:rsid w:val="002B6F3A"/>
    <w:rsid w:val="002B76BC"/>
    <w:rsid w:val="002C0697"/>
    <w:rsid w:val="002C0C79"/>
    <w:rsid w:val="002C1893"/>
    <w:rsid w:val="002C1964"/>
    <w:rsid w:val="002C1A3F"/>
    <w:rsid w:val="002C1D31"/>
    <w:rsid w:val="002C22F7"/>
    <w:rsid w:val="002C2FF6"/>
    <w:rsid w:val="002C31B0"/>
    <w:rsid w:val="002C3295"/>
    <w:rsid w:val="002C3639"/>
    <w:rsid w:val="002C370A"/>
    <w:rsid w:val="002C3866"/>
    <w:rsid w:val="002C3A92"/>
    <w:rsid w:val="002C48D1"/>
    <w:rsid w:val="002C50E3"/>
    <w:rsid w:val="002C52A6"/>
    <w:rsid w:val="002C5EF1"/>
    <w:rsid w:val="002C6E26"/>
    <w:rsid w:val="002C702C"/>
    <w:rsid w:val="002C7B63"/>
    <w:rsid w:val="002C7D0B"/>
    <w:rsid w:val="002C7E54"/>
    <w:rsid w:val="002D1021"/>
    <w:rsid w:val="002D120A"/>
    <w:rsid w:val="002D1BD8"/>
    <w:rsid w:val="002D2854"/>
    <w:rsid w:val="002D2D43"/>
    <w:rsid w:val="002D2E45"/>
    <w:rsid w:val="002D337B"/>
    <w:rsid w:val="002D3C18"/>
    <w:rsid w:val="002D4284"/>
    <w:rsid w:val="002D4722"/>
    <w:rsid w:val="002D4BE6"/>
    <w:rsid w:val="002D5193"/>
    <w:rsid w:val="002D5906"/>
    <w:rsid w:val="002D5E9F"/>
    <w:rsid w:val="002D5EE7"/>
    <w:rsid w:val="002D63DB"/>
    <w:rsid w:val="002D7AB6"/>
    <w:rsid w:val="002D7D08"/>
    <w:rsid w:val="002E0A12"/>
    <w:rsid w:val="002E1190"/>
    <w:rsid w:val="002E13B2"/>
    <w:rsid w:val="002E15C6"/>
    <w:rsid w:val="002E1FC3"/>
    <w:rsid w:val="002E2289"/>
    <w:rsid w:val="002E28FD"/>
    <w:rsid w:val="002E2D2E"/>
    <w:rsid w:val="002E2E41"/>
    <w:rsid w:val="002E342F"/>
    <w:rsid w:val="002E3B21"/>
    <w:rsid w:val="002E4CE4"/>
    <w:rsid w:val="002E4D5F"/>
    <w:rsid w:val="002E5086"/>
    <w:rsid w:val="002E5208"/>
    <w:rsid w:val="002E549B"/>
    <w:rsid w:val="002E5894"/>
    <w:rsid w:val="002E5DFA"/>
    <w:rsid w:val="002E5F58"/>
    <w:rsid w:val="002E7003"/>
    <w:rsid w:val="002E725A"/>
    <w:rsid w:val="002E7370"/>
    <w:rsid w:val="002F0BDF"/>
    <w:rsid w:val="002F0E93"/>
    <w:rsid w:val="002F0F06"/>
    <w:rsid w:val="002F0FEF"/>
    <w:rsid w:val="002F1438"/>
    <w:rsid w:val="002F178E"/>
    <w:rsid w:val="002F17BA"/>
    <w:rsid w:val="002F1993"/>
    <w:rsid w:val="002F1DA6"/>
    <w:rsid w:val="002F1E2C"/>
    <w:rsid w:val="002F2039"/>
    <w:rsid w:val="002F22FF"/>
    <w:rsid w:val="002F3368"/>
    <w:rsid w:val="002F3919"/>
    <w:rsid w:val="002F3D21"/>
    <w:rsid w:val="002F3F44"/>
    <w:rsid w:val="002F52E8"/>
    <w:rsid w:val="002F5FB6"/>
    <w:rsid w:val="002F6911"/>
    <w:rsid w:val="002F6BD9"/>
    <w:rsid w:val="002F6BE7"/>
    <w:rsid w:val="002F6F97"/>
    <w:rsid w:val="00300129"/>
    <w:rsid w:val="00300329"/>
    <w:rsid w:val="00300834"/>
    <w:rsid w:val="0030089F"/>
    <w:rsid w:val="003022B1"/>
    <w:rsid w:val="00302843"/>
    <w:rsid w:val="00302D4B"/>
    <w:rsid w:val="00303946"/>
    <w:rsid w:val="003043E7"/>
    <w:rsid w:val="00304689"/>
    <w:rsid w:val="00304F8A"/>
    <w:rsid w:val="0030540D"/>
    <w:rsid w:val="00305670"/>
    <w:rsid w:val="003057F6"/>
    <w:rsid w:val="003058C9"/>
    <w:rsid w:val="00305A98"/>
    <w:rsid w:val="00305B50"/>
    <w:rsid w:val="00305D0B"/>
    <w:rsid w:val="00305D7E"/>
    <w:rsid w:val="003061B8"/>
    <w:rsid w:val="00306D78"/>
    <w:rsid w:val="003071DB"/>
    <w:rsid w:val="0030797D"/>
    <w:rsid w:val="003108C0"/>
    <w:rsid w:val="00310AB2"/>
    <w:rsid w:val="003110FE"/>
    <w:rsid w:val="003118A9"/>
    <w:rsid w:val="00311928"/>
    <w:rsid w:val="00311E74"/>
    <w:rsid w:val="00312A25"/>
    <w:rsid w:val="00312F17"/>
    <w:rsid w:val="00314DBB"/>
    <w:rsid w:val="00315188"/>
    <w:rsid w:val="0031534F"/>
    <w:rsid w:val="003161FA"/>
    <w:rsid w:val="00316317"/>
    <w:rsid w:val="0031667B"/>
    <w:rsid w:val="00316808"/>
    <w:rsid w:val="00316D0D"/>
    <w:rsid w:val="00317F69"/>
    <w:rsid w:val="00320F2A"/>
    <w:rsid w:val="0032179D"/>
    <w:rsid w:val="003218F9"/>
    <w:rsid w:val="00321CE2"/>
    <w:rsid w:val="00322715"/>
    <w:rsid w:val="00322B08"/>
    <w:rsid w:val="00322D3E"/>
    <w:rsid w:val="00322EFF"/>
    <w:rsid w:val="00322FAC"/>
    <w:rsid w:val="003232B7"/>
    <w:rsid w:val="00323686"/>
    <w:rsid w:val="0032385C"/>
    <w:rsid w:val="00324F89"/>
    <w:rsid w:val="00325AE5"/>
    <w:rsid w:val="003260BF"/>
    <w:rsid w:val="003266E8"/>
    <w:rsid w:val="003268C5"/>
    <w:rsid w:val="00326D6C"/>
    <w:rsid w:val="00326D79"/>
    <w:rsid w:val="00326DCF"/>
    <w:rsid w:val="003270F9"/>
    <w:rsid w:val="00327A2D"/>
    <w:rsid w:val="00330392"/>
    <w:rsid w:val="00330611"/>
    <w:rsid w:val="00331D7A"/>
    <w:rsid w:val="00332309"/>
    <w:rsid w:val="00332A4D"/>
    <w:rsid w:val="00332FDF"/>
    <w:rsid w:val="00333238"/>
    <w:rsid w:val="003333AB"/>
    <w:rsid w:val="003339F2"/>
    <w:rsid w:val="0033410F"/>
    <w:rsid w:val="00334118"/>
    <w:rsid w:val="0033476F"/>
    <w:rsid w:val="00334A13"/>
    <w:rsid w:val="00334FD4"/>
    <w:rsid w:val="003356A2"/>
    <w:rsid w:val="0033587B"/>
    <w:rsid w:val="00335975"/>
    <w:rsid w:val="003372D0"/>
    <w:rsid w:val="003402B9"/>
    <w:rsid w:val="00340396"/>
    <w:rsid w:val="00340BEE"/>
    <w:rsid w:val="003417E8"/>
    <w:rsid w:val="003420AD"/>
    <w:rsid w:val="00343709"/>
    <w:rsid w:val="00343A58"/>
    <w:rsid w:val="00343CFA"/>
    <w:rsid w:val="00344625"/>
    <w:rsid w:val="00344D88"/>
    <w:rsid w:val="0034625D"/>
    <w:rsid w:val="00346564"/>
    <w:rsid w:val="00346591"/>
    <w:rsid w:val="003465FE"/>
    <w:rsid w:val="00346A13"/>
    <w:rsid w:val="00347131"/>
    <w:rsid w:val="0034717B"/>
    <w:rsid w:val="0034738C"/>
    <w:rsid w:val="0035014B"/>
    <w:rsid w:val="00350191"/>
    <w:rsid w:val="003507B3"/>
    <w:rsid w:val="003515C0"/>
    <w:rsid w:val="00351774"/>
    <w:rsid w:val="00351961"/>
    <w:rsid w:val="0035239F"/>
    <w:rsid w:val="00352AF1"/>
    <w:rsid w:val="00352F2B"/>
    <w:rsid w:val="003532F1"/>
    <w:rsid w:val="00354830"/>
    <w:rsid w:val="00354E8B"/>
    <w:rsid w:val="00354EE2"/>
    <w:rsid w:val="0035663B"/>
    <w:rsid w:val="00356C0B"/>
    <w:rsid w:val="00357610"/>
    <w:rsid w:val="003576A0"/>
    <w:rsid w:val="00357E1E"/>
    <w:rsid w:val="00360249"/>
    <w:rsid w:val="003604AC"/>
    <w:rsid w:val="00360D26"/>
    <w:rsid w:val="00361019"/>
    <w:rsid w:val="00361919"/>
    <w:rsid w:val="00362161"/>
    <w:rsid w:val="0036322E"/>
    <w:rsid w:val="0036328D"/>
    <w:rsid w:val="003645DC"/>
    <w:rsid w:val="00364BE2"/>
    <w:rsid w:val="00364DD7"/>
    <w:rsid w:val="003651D8"/>
    <w:rsid w:val="00366435"/>
    <w:rsid w:val="0036650E"/>
    <w:rsid w:val="003665B9"/>
    <w:rsid w:val="003679C4"/>
    <w:rsid w:val="00367E9B"/>
    <w:rsid w:val="00370051"/>
    <w:rsid w:val="00370BE1"/>
    <w:rsid w:val="00370C8B"/>
    <w:rsid w:val="0037112F"/>
    <w:rsid w:val="00371297"/>
    <w:rsid w:val="0037156B"/>
    <w:rsid w:val="00371595"/>
    <w:rsid w:val="00371BCD"/>
    <w:rsid w:val="003720CB"/>
    <w:rsid w:val="00372AFF"/>
    <w:rsid w:val="00372D48"/>
    <w:rsid w:val="00373308"/>
    <w:rsid w:val="00373ED1"/>
    <w:rsid w:val="003744B1"/>
    <w:rsid w:val="0037518C"/>
    <w:rsid w:val="0037528A"/>
    <w:rsid w:val="003757B4"/>
    <w:rsid w:val="003758F0"/>
    <w:rsid w:val="00375B54"/>
    <w:rsid w:val="00375C54"/>
    <w:rsid w:val="00375C9A"/>
    <w:rsid w:val="00375CED"/>
    <w:rsid w:val="00375E9E"/>
    <w:rsid w:val="00376914"/>
    <w:rsid w:val="00376D77"/>
    <w:rsid w:val="00377692"/>
    <w:rsid w:val="0037774C"/>
    <w:rsid w:val="003777F9"/>
    <w:rsid w:val="00377AE6"/>
    <w:rsid w:val="00380514"/>
    <w:rsid w:val="0038185C"/>
    <w:rsid w:val="003822ED"/>
    <w:rsid w:val="00382C6A"/>
    <w:rsid w:val="00382E1E"/>
    <w:rsid w:val="003832B6"/>
    <w:rsid w:val="00383451"/>
    <w:rsid w:val="00383F6C"/>
    <w:rsid w:val="00384DA6"/>
    <w:rsid w:val="00384DF8"/>
    <w:rsid w:val="00385190"/>
    <w:rsid w:val="00385E93"/>
    <w:rsid w:val="00386BD5"/>
    <w:rsid w:val="00387735"/>
    <w:rsid w:val="003878E6"/>
    <w:rsid w:val="00390FBE"/>
    <w:rsid w:val="003911D5"/>
    <w:rsid w:val="003915AE"/>
    <w:rsid w:val="00391738"/>
    <w:rsid w:val="00391E73"/>
    <w:rsid w:val="00392100"/>
    <w:rsid w:val="00392135"/>
    <w:rsid w:val="0039224F"/>
    <w:rsid w:val="00392390"/>
    <w:rsid w:val="00392682"/>
    <w:rsid w:val="003949E5"/>
    <w:rsid w:val="00394B4B"/>
    <w:rsid w:val="00395852"/>
    <w:rsid w:val="00395E30"/>
    <w:rsid w:val="00395FBA"/>
    <w:rsid w:val="00396D6A"/>
    <w:rsid w:val="0039746E"/>
    <w:rsid w:val="00397663"/>
    <w:rsid w:val="00397CF8"/>
    <w:rsid w:val="00397F41"/>
    <w:rsid w:val="003A062B"/>
    <w:rsid w:val="003A06F4"/>
    <w:rsid w:val="003A071F"/>
    <w:rsid w:val="003A0E26"/>
    <w:rsid w:val="003A1059"/>
    <w:rsid w:val="003A19EF"/>
    <w:rsid w:val="003A27F2"/>
    <w:rsid w:val="003A2DF4"/>
    <w:rsid w:val="003A399E"/>
    <w:rsid w:val="003A4FD0"/>
    <w:rsid w:val="003A5195"/>
    <w:rsid w:val="003A6B56"/>
    <w:rsid w:val="003A70DC"/>
    <w:rsid w:val="003A7A3C"/>
    <w:rsid w:val="003A7DE4"/>
    <w:rsid w:val="003B09FE"/>
    <w:rsid w:val="003B0EA1"/>
    <w:rsid w:val="003B230C"/>
    <w:rsid w:val="003B327F"/>
    <w:rsid w:val="003B3FA6"/>
    <w:rsid w:val="003B4354"/>
    <w:rsid w:val="003B5133"/>
    <w:rsid w:val="003B562A"/>
    <w:rsid w:val="003B5746"/>
    <w:rsid w:val="003B63DB"/>
    <w:rsid w:val="003B65F7"/>
    <w:rsid w:val="003B7195"/>
    <w:rsid w:val="003B7ED4"/>
    <w:rsid w:val="003B7FEB"/>
    <w:rsid w:val="003C0789"/>
    <w:rsid w:val="003C089B"/>
    <w:rsid w:val="003C1184"/>
    <w:rsid w:val="003C237A"/>
    <w:rsid w:val="003C23CC"/>
    <w:rsid w:val="003C2CA7"/>
    <w:rsid w:val="003C3A8F"/>
    <w:rsid w:val="003C4170"/>
    <w:rsid w:val="003C4457"/>
    <w:rsid w:val="003C4DB6"/>
    <w:rsid w:val="003C4E03"/>
    <w:rsid w:val="003C6629"/>
    <w:rsid w:val="003C693F"/>
    <w:rsid w:val="003C6CF6"/>
    <w:rsid w:val="003C7939"/>
    <w:rsid w:val="003D0084"/>
    <w:rsid w:val="003D05E8"/>
    <w:rsid w:val="003D0A4B"/>
    <w:rsid w:val="003D325D"/>
    <w:rsid w:val="003D330C"/>
    <w:rsid w:val="003D35F1"/>
    <w:rsid w:val="003D3AF4"/>
    <w:rsid w:val="003D42FD"/>
    <w:rsid w:val="003D5109"/>
    <w:rsid w:val="003D55D0"/>
    <w:rsid w:val="003D64B2"/>
    <w:rsid w:val="003D692F"/>
    <w:rsid w:val="003D70F8"/>
    <w:rsid w:val="003D76BB"/>
    <w:rsid w:val="003E02BE"/>
    <w:rsid w:val="003E07AA"/>
    <w:rsid w:val="003E0C2D"/>
    <w:rsid w:val="003E0F50"/>
    <w:rsid w:val="003E1173"/>
    <w:rsid w:val="003E1290"/>
    <w:rsid w:val="003E13A5"/>
    <w:rsid w:val="003E19D1"/>
    <w:rsid w:val="003E1C4A"/>
    <w:rsid w:val="003E2036"/>
    <w:rsid w:val="003E214F"/>
    <w:rsid w:val="003E242D"/>
    <w:rsid w:val="003E287B"/>
    <w:rsid w:val="003E313E"/>
    <w:rsid w:val="003E3F2C"/>
    <w:rsid w:val="003E3FBF"/>
    <w:rsid w:val="003E5368"/>
    <w:rsid w:val="003E6244"/>
    <w:rsid w:val="003E6460"/>
    <w:rsid w:val="003E6AB8"/>
    <w:rsid w:val="003E7F5A"/>
    <w:rsid w:val="003F090A"/>
    <w:rsid w:val="003F0ADF"/>
    <w:rsid w:val="003F144F"/>
    <w:rsid w:val="003F178B"/>
    <w:rsid w:val="003F17A1"/>
    <w:rsid w:val="003F1BB5"/>
    <w:rsid w:val="003F24A5"/>
    <w:rsid w:val="003F27BB"/>
    <w:rsid w:val="003F4325"/>
    <w:rsid w:val="003F488C"/>
    <w:rsid w:val="003F58AA"/>
    <w:rsid w:val="003F5945"/>
    <w:rsid w:val="003F5A43"/>
    <w:rsid w:val="003F5D31"/>
    <w:rsid w:val="003F6D59"/>
    <w:rsid w:val="003F6E41"/>
    <w:rsid w:val="003F72E3"/>
    <w:rsid w:val="003F79DC"/>
    <w:rsid w:val="003F7D0E"/>
    <w:rsid w:val="003F7F6A"/>
    <w:rsid w:val="00400BA9"/>
    <w:rsid w:val="00400EF6"/>
    <w:rsid w:val="0040101A"/>
    <w:rsid w:val="00401661"/>
    <w:rsid w:val="00401D0F"/>
    <w:rsid w:val="004020E5"/>
    <w:rsid w:val="004029D2"/>
    <w:rsid w:val="00402D1D"/>
    <w:rsid w:val="004032A5"/>
    <w:rsid w:val="004035DB"/>
    <w:rsid w:val="00403A4E"/>
    <w:rsid w:val="00404091"/>
    <w:rsid w:val="004044F4"/>
    <w:rsid w:val="004052DC"/>
    <w:rsid w:val="00405441"/>
    <w:rsid w:val="004063EC"/>
    <w:rsid w:val="004064D8"/>
    <w:rsid w:val="00407263"/>
    <w:rsid w:val="0040773B"/>
    <w:rsid w:val="00407BA3"/>
    <w:rsid w:val="00407FD9"/>
    <w:rsid w:val="00410BD7"/>
    <w:rsid w:val="00410EE8"/>
    <w:rsid w:val="004112B0"/>
    <w:rsid w:val="0041152B"/>
    <w:rsid w:val="00411603"/>
    <w:rsid w:val="004120A5"/>
    <w:rsid w:val="00412833"/>
    <w:rsid w:val="00412BF1"/>
    <w:rsid w:val="00412CEB"/>
    <w:rsid w:val="00412D99"/>
    <w:rsid w:val="004145E5"/>
    <w:rsid w:val="00415E7B"/>
    <w:rsid w:val="00416006"/>
    <w:rsid w:val="00416036"/>
    <w:rsid w:val="0041739D"/>
    <w:rsid w:val="00417481"/>
    <w:rsid w:val="00417A2D"/>
    <w:rsid w:val="00420647"/>
    <w:rsid w:val="00421445"/>
    <w:rsid w:val="00421716"/>
    <w:rsid w:val="00421A75"/>
    <w:rsid w:val="00422188"/>
    <w:rsid w:val="00422B4D"/>
    <w:rsid w:val="004230BD"/>
    <w:rsid w:val="004232E8"/>
    <w:rsid w:val="00423E45"/>
    <w:rsid w:val="00424019"/>
    <w:rsid w:val="00424D1A"/>
    <w:rsid w:val="00424ECB"/>
    <w:rsid w:val="004251C0"/>
    <w:rsid w:val="004252FF"/>
    <w:rsid w:val="0042569A"/>
    <w:rsid w:val="00426C32"/>
    <w:rsid w:val="004277E5"/>
    <w:rsid w:val="00430010"/>
    <w:rsid w:val="0043094C"/>
    <w:rsid w:val="00430BD4"/>
    <w:rsid w:val="0043109B"/>
    <w:rsid w:val="00433857"/>
    <w:rsid w:val="004339AD"/>
    <w:rsid w:val="00433D2D"/>
    <w:rsid w:val="004343E8"/>
    <w:rsid w:val="004347BB"/>
    <w:rsid w:val="0043486B"/>
    <w:rsid w:val="004352E5"/>
    <w:rsid w:val="004354F9"/>
    <w:rsid w:val="00435E07"/>
    <w:rsid w:val="004369B0"/>
    <w:rsid w:val="00436BF7"/>
    <w:rsid w:val="00436FF0"/>
    <w:rsid w:val="00437153"/>
    <w:rsid w:val="00437616"/>
    <w:rsid w:val="00437D55"/>
    <w:rsid w:val="00440C7C"/>
    <w:rsid w:val="00440F4B"/>
    <w:rsid w:val="00441989"/>
    <w:rsid w:val="00441EFC"/>
    <w:rsid w:val="00443363"/>
    <w:rsid w:val="0044371C"/>
    <w:rsid w:val="00444BA1"/>
    <w:rsid w:val="00444ECC"/>
    <w:rsid w:val="00445342"/>
    <w:rsid w:val="00445739"/>
    <w:rsid w:val="004458AC"/>
    <w:rsid w:val="00445DF1"/>
    <w:rsid w:val="00446316"/>
    <w:rsid w:val="004465DD"/>
    <w:rsid w:val="004479ED"/>
    <w:rsid w:val="00447CB3"/>
    <w:rsid w:val="00447CBD"/>
    <w:rsid w:val="00447D25"/>
    <w:rsid w:val="00447FAA"/>
    <w:rsid w:val="004506C1"/>
    <w:rsid w:val="00450E1D"/>
    <w:rsid w:val="00451250"/>
    <w:rsid w:val="0045143C"/>
    <w:rsid w:val="00451A98"/>
    <w:rsid w:val="00451EAE"/>
    <w:rsid w:val="004521A4"/>
    <w:rsid w:val="0045247E"/>
    <w:rsid w:val="004528D4"/>
    <w:rsid w:val="00452C39"/>
    <w:rsid w:val="00452C8E"/>
    <w:rsid w:val="00452E87"/>
    <w:rsid w:val="00453430"/>
    <w:rsid w:val="00453785"/>
    <w:rsid w:val="00453C96"/>
    <w:rsid w:val="00455968"/>
    <w:rsid w:val="00456261"/>
    <w:rsid w:val="00456542"/>
    <w:rsid w:val="0045681F"/>
    <w:rsid w:val="00456A61"/>
    <w:rsid w:val="0045744F"/>
    <w:rsid w:val="004574BE"/>
    <w:rsid w:val="00457936"/>
    <w:rsid w:val="0046006F"/>
    <w:rsid w:val="0046133B"/>
    <w:rsid w:val="00461597"/>
    <w:rsid w:val="00461719"/>
    <w:rsid w:val="0046272A"/>
    <w:rsid w:val="00463DF8"/>
    <w:rsid w:val="00464A43"/>
    <w:rsid w:val="00464BD6"/>
    <w:rsid w:val="00465106"/>
    <w:rsid w:val="00465629"/>
    <w:rsid w:val="0046574D"/>
    <w:rsid w:val="00465A06"/>
    <w:rsid w:val="004663F9"/>
    <w:rsid w:val="00466779"/>
    <w:rsid w:val="00466FC1"/>
    <w:rsid w:val="00467C32"/>
    <w:rsid w:val="00467F3F"/>
    <w:rsid w:val="00470126"/>
    <w:rsid w:val="00470B07"/>
    <w:rsid w:val="00470EF1"/>
    <w:rsid w:val="004714D6"/>
    <w:rsid w:val="00471C3A"/>
    <w:rsid w:val="0047226E"/>
    <w:rsid w:val="004724F4"/>
    <w:rsid w:val="00472AD5"/>
    <w:rsid w:val="00473091"/>
    <w:rsid w:val="00474079"/>
    <w:rsid w:val="004746EB"/>
    <w:rsid w:val="0047518D"/>
    <w:rsid w:val="00475503"/>
    <w:rsid w:val="0047597B"/>
    <w:rsid w:val="0047631E"/>
    <w:rsid w:val="004765A7"/>
    <w:rsid w:val="00480040"/>
    <w:rsid w:val="00480775"/>
    <w:rsid w:val="00480852"/>
    <w:rsid w:val="004811B1"/>
    <w:rsid w:val="00481970"/>
    <w:rsid w:val="00483201"/>
    <w:rsid w:val="004836D1"/>
    <w:rsid w:val="00483A90"/>
    <w:rsid w:val="00484092"/>
    <w:rsid w:val="00484442"/>
    <w:rsid w:val="004850EC"/>
    <w:rsid w:val="00485EF9"/>
    <w:rsid w:val="004874A3"/>
    <w:rsid w:val="004876C3"/>
    <w:rsid w:val="0049061A"/>
    <w:rsid w:val="00490956"/>
    <w:rsid w:val="004909A3"/>
    <w:rsid w:val="004912AA"/>
    <w:rsid w:val="004929C1"/>
    <w:rsid w:val="004929D8"/>
    <w:rsid w:val="00493174"/>
    <w:rsid w:val="00493755"/>
    <w:rsid w:val="00493E00"/>
    <w:rsid w:val="004947AC"/>
    <w:rsid w:val="004948AA"/>
    <w:rsid w:val="00494A56"/>
    <w:rsid w:val="00495419"/>
    <w:rsid w:val="00495F0B"/>
    <w:rsid w:val="004965D3"/>
    <w:rsid w:val="00496CCA"/>
    <w:rsid w:val="00496D37"/>
    <w:rsid w:val="00496FD6"/>
    <w:rsid w:val="00497BE2"/>
    <w:rsid w:val="004A0BAD"/>
    <w:rsid w:val="004A13C5"/>
    <w:rsid w:val="004A2A85"/>
    <w:rsid w:val="004A321F"/>
    <w:rsid w:val="004A3D7E"/>
    <w:rsid w:val="004A4832"/>
    <w:rsid w:val="004A4BE7"/>
    <w:rsid w:val="004A4F47"/>
    <w:rsid w:val="004A5067"/>
    <w:rsid w:val="004A53BE"/>
    <w:rsid w:val="004A623C"/>
    <w:rsid w:val="004A62F6"/>
    <w:rsid w:val="004A64FB"/>
    <w:rsid w:val="004A6810"/>
    <w:rsid w:val="004A685F"/>
    <w:rsid w:val="004A6C1D"/>
    <w:rsid w:val="004A738F"/>
    <w:rsid w:val="004A765F"/>
    <w:rsid w:val="004A7D62"/>
    <w:rsid w:val="004B117B"/>
    <w:rsid w:val="004B1907"/>
    <w:rsid w:val="004B325D"/>
    <w:rsid w:val="004B3E89"/>
    <w:rsid w:val="004B3F74"/>
    <w:rsid w:val="004B4370"/>
    <w:rsid w:val="004B4DE2"/>
    <w:rsid w:val="004B52F3"/>
    <w:rsid w:val="004B5312"/>
    <w:rsid w:val="004B5410"/>
    <w:rsid w:val="004B6010"/>
    <w:rsid w:val="004B603F"/>
    <w:rsid w:val="004B6A8E"/>
    <w:rsid w:val="004B73E4"/>
    <w:rsid w:val="004B76EC"/>
    <w:rsid w:val="004B7B70"/>
    <w:rsid w:val="004B7EE1"/>
    <w:rsid w:val="004C0385"/>
    <w:rsid w:val="004C1116"/>
    <w:rsid w:val="004C1346"/>
    <w:rsid w:val="004C15E1"/>
    <w:rsid w:val="004C1960"/>
    <w:rsid w:val="004C1AFB"/>
    <w:rsid w:val="004C1FAE"/>
    <w:rsid w:val="004C2FA4"/>
    <w:rsid w:val="004C328F"/>
    <w:rsid w:val="004C3678"/>
    <w:rsid w:val="004C3EBF"/>
    <w:rsid w:val="004C428F"/>
    <w:rsid w:val="004C53C1"/>
    <w:rsid w:val="004C5653"/>
    <w:rsid w:val="004C5DCA"/>
    <w:rsid w:val="004C5FBD"/>
    <w:rsid w:val="004C7117"/>
    <w:rsid w:val="004C774F"/>
    <w:rsid w:val="004D0D2C"/>
    <w:rsid w:val="004D2149"/>
    <w:rsid w:val="004D2316"/>
    <w:rsid w:val="004D2472"/>
    <w:rsid w:val="004D28A8"/>
    <w:rsid w:val="004D2ADA"/>
    <w:rsid w:val="004D5720"/>
    <w:rsid w:val="004D58A6"/>
    <w:rsid w:val="004D59D8"/>
    <w:rsid w:val="004D5D3E"/>
    <w:rsid w:val="004D5DB9"/>
    <w:rsid w:val="004D6101"/>
    <w:rsid w:val="004D6CB3"/>
    <w:rsid w:val="004D6DCB"/>
    <w:rsid w:val="004D7569"/>
    <w:rsid w:val="004D7D82"/>
    <w:rsid w:val="004E02AA"/>
    <w:rsid w:val="004E096F"/>
    <w:rsid w:val="004E0D16"/>
    <w:rsid w:val="004E1217"/>
    <w:rsid w:val="004E1E02"/>
    <w:rsid w:val="004E2177"/>
    <w:rsid w:val="004E2FDD"/>
    <w:rsid w:val="004E34EE"/>
    <w:rsid w:val="004E3DAE"/>
    <w:rsid w:val="004E46D6"/>
    <w:rsid w:val="004E4783"/>
    <w:rsid w:val="004E5971"/>
    <w:rsid w:val="004E5B93"/>
    <w:rsid w:val="004E5C3E"/>
    <w:rsid w:val="004E643A"/>
    <w:rsid w:val="004E6A91"/>
    <w:rsid w:val="004E6BD2"/>
    <w:rsid w:val="004E6C13"/>
    <w:rsid w:val="004E7374"/>
    <w:rsid w:val="004E752D"/>
    <w:rsid w:val="004F0A9C"/>
    <w:rsid w:val="004F0AAF"/>
    <w:rsid w:val="004F208E"/>
    <w:rsid w:val="004F20D5"/>
    <w:rsid w:val="004F24EC"/>
    <w:rsid w:val="004F2E19"/>
    <w:rsid w:val="004F3159"/>
    <w:rsid w:val="004F35A7"/>
    <w:rsid w:val="004F40CD"/>
    <w:rsid w:val="004F4115"/>
    <w:rsid w:val="004F44CC"/>
    <w:rsid w:val="004F4FD7"/>
    <w:rsid w:val="004F567A"/>
    <w:rsid w:val="004F5727"/>
    <w:rsid w:val="004F5BC7"/>
    <w:rsid w:val="004F5BEA"/>
    <w:rsid w:val="004F60BF"/>
    <w:rsid w:val="004F6246"/>
    <w:rsid w:val="004F6462"/>
    <w:rsid w:val="004F7C73"/>
    <w:rsid w:val="005006E4"/>
    <w:rsid w:val="00500C12"/>
    <w:rsid w:val="005013FE"/>
    <w:rsid w:val="00501A99"/>
    <w:rsid w:val="00501C13"/>
    <w:rsid w:val="005025D8"/>
    <w:rsid w:val="005026A4"/>
    <w:rsid w:val="00502C02"/>
    <w:rsid w:val="00502E52"/>
    <w:rsid w:val="00502FD7"/>
    <w:rsid w:val="00503147"/>
    <w:rsid w:val="00503985"/>
    <w:rsid w:val="00503B37"/>
    <w:rsid w:val="00503FAC"/>
    <w:rsid w:val="0050474F"/>
    <w:rsid w:val="005055BC"/>
    <w:rsid w:val="005060BE"/>
    <w:rsid w:val="005068B1"/>
    <w:rsid w:val="00506ACF"/>
    <w:rsid w:val="0051003E"/>
    <w:rsid w:val="00510288"/>
    <w:rsid w:val="00510441"/>
    <w:rsid w:val="005109B9"/>
    <w:rsid w:val="0051102D"/>
    <w:rsid w:val="005125F4"/>
    <w:rsid w:val="00512A00"/>
    <w:rsid w:val="005136F8"/>
    <w:rsid w:val="005141BB"/>
    <w:rsid w:val="00514373"/>
    <w:rsid w:val="0051453B"/>
    <w:rsid w:val="005147E7"/>
    <w:rsid w:val="005148B3"/>
    <w:rsid w:val="00514ED4"/>
    <w:rsid w:val="00514F6E"/>
    <w:rsid w:val="005152B3"/>
    <w:rsid w:val="00515940"/>
    <w:rsid w:val="0051616B"/>
    <w:rsid w:val="005162CA"/>
    <w:rsid w:val="0051643F"/>
    <w:rsid w:val="00516846"/>
    <w:rsid w:val="005169E4"/>
    <w:rsid w:val="0051729A"/>
    <w:rsid w:val="0051782F"/>
    <w:rsid w:val="00517DF0"/>
    <w:rsid w:val="005201C6"/>
    <w:rsid w:val="005201F8"/>
    <w:rsid w:val="0052028F"/>
    <w:rsid w:val="005207C0"/>
    <w:rsid w:val="00520A3A"/>
    <w:rsid w:val="00521AC8"/>
    <w:rsid w:val="005228E2"/>
    <w:rsid w:val="0052369D"/>
    <w:rsid w:val="00523A9C"/>
    <w:rsid w:val="00524E9A"/>
    <w:rsid w:val="0052580F"/>
    <w:rsid w:val="00525A83"/>
    <w:rsid w:val="00525A97"/>
    <w:rsid w:val="00525C9A"/>
    <w:rsid w:val="00525E52"/>
    <w:rsid w:val="00527279"/>
    <w:rsid w:val="005272A4"/>
    <w:rsid w:val="00527484"/>
    <w:rsid w:val="00527A2F"/>
    <w:rsid w:val="00527F35"/>
    <w:rsid w:val="0053061B"/>
    <w:rsid w:val="00530D23"/>
    <w:rsid w:val="0053273E"/>
    <w:rsid w:val="0053375E"/>
    <w:rsid w:val="00533AA8"/>
    <w:rsid w:val="0053408B"/>
    <w:rsid w:val="00534447"/>
    <w:rsid w:val="00534878"/>
    <w:rsid w:val="005349E0"/>
    <w:rsid w:val="00535C37"/>
    <w:rsid w:val="00536884"/>
    <w:rsid w:val="00536B73"/>
    <w:rsid w:val="00536DEF"/>
    <w:rsid w:val="00536FED"/>
    <w:rsid w:val="005372DB"/>
    <w:rsid w:val="00537840"/>
    <w:rsid w:val="00540665"/>
    <w:rsid w:val="00540A22"/>
    <w:rsid w:val="00540CF5"/>
    <w:rsid w:val="00540F13"/>
    <w:rsid w:val="00540FBE"/>
    <w:rsid w:val="00541174"/>
    <w:rsid w:val="0054134F"/>
    <w:rsid w:val="005414D3"/>
    <w:rsid w:val="0054187D"/>
    <w:rsid w:val="00542977"/>
    <w:rsid w:val="00542D19"/>
    <w:rsid w:val="00543592"/>
    <w:rsid w:val="005436B6"/>
    <w:rsid w:val="005437D6"/>
    <w:rsid w:val="00543920"/>
    <w:rsid w:val="0054482E"/>
    <w:rsid w:val="0054503F"/>
    <w:rsid w:val="00545511"/>
    <w:rsid w:val="00545ADA"/>
    <w:rsid w:val="00545CC2"/>
    <w:rsid w:val="0054675C"/>
    <w:rsid w:val="00546880"/>
    <w:rsid w:val="0054702B"/>
    <w:rsid w:val="0055020C"/>
    <w:rsid w:val="005506B5"/>
    <w:rsid w:val="00551617"/>
    <w:rsid w:val="005518FA"/>
    <w:rsid w:val="00551BE2"/>
    <w:rsid w:val="00552075"/>
    <w:rsid w:val="0055211F"/>
    <w:rsid w:val="00552629"/>
    <w:rsid w:val="00552E6F"/>
    <w:rsid w:val="00552FF9"/>
    <w:rsid w:val="0055308A"/>
    <w:rsid w:val="005534D5"/>
    <w:rsid w:val="0055382F"/>
    <w:rsid w:val="00553B60"/>
    <w:rsid w:val="00554066"/>
    <w:rsid w:val="00554783"/>
    <w:rsid w:val="00554A31"/>
    <w:rsid w:val="0055549C"/>
    <w:rsid w:val="005557FE"/>
    <w:rsid w:val="00556C29"/>
    <w:rsid w:val="00557138"/>
    <w:rsid w:val="00557285"/>
    <w:rsid w:val="0055785A"/>
    <w:rsid w:val="0056088F"/>
    <w:rsid w:val="00560DC7"/>
    <w:rsid w:val="00561431"/>
    <w:rsid w:val="00561607"/>
    <w:rsid w:val="005618B5"/>
    <w:rsid w:val="00561B6F"/>
    <w:rsid w:val="00562A4F"/>
    <w:rsid w:val="00562BF9"/>
    <w:rsid w:val="005631E3"/>
    <w:rsid w:val="0056354D"/>
    <w:rsid w:val="00563F22"/>
    <w:rsid w:val="005649A2"/>
    <w:rsid w:val="00564BC8"/>
    <w:rsid w:val="00564FDB"/>
    <w:rsid w:val="00565F14"/>
    <w:rsid w:val="00565F71"/>
    <w:rsid w:val="00566090"/>
    <w:rsid w:val="00566804"/>
    <w:rsid w:val="005668B3"/>
    <w:rsid w:val="00566AAA"/>
    <w:rsid w:val="00567374"/>
    <w:rsid w:val="005676FB"/>
    <w:rsid w:val="00567F8D"/>
    <w:rsid w:val="005707B9"/>
    <w:rsid w:val="00570DE9"/>
    <w:rsid w:val="00570F82"/>
    <w:rsid w:val="00571CD0"/>
    <w:rsid w:val="0057261E"/>
    <w:rsid w:val="00572F2A"/>
    <w:rsid w:val="005730A8"/>
    <w:rsid w:val="005739E8"/>
    <w:rsid w:val="0057432F"/>
    <w:rsid w:val="00574DD7"/>
    <w:rsid w:val="00574F17"/>
    <w:rsid w:val="00575522"/>
    <w:rsid w:val="0057598F"/>
    <w:rsid w:val="00575BCF"/>
    <w:rsid w:val="0057652C"/>
    <w:rsid w:val="0057656D"/>
    <w:rsid w:val="00576CDE"/>
    <w:rsid w:val="005773E1"/>
    <w:rsid w:val="00577C94"/>
    <w:rsid w:val="00580198"/>
    <w:rsid w:val="00582B40"/>
    <w:rsid w:val="00582E4C"/>
    <w:rsid w:val="005837EF"/>
    <w:rsid w:val="00583925"/>
    <w:rsid w:val="005840CC"/>
    <w:rsid w:val="005843C4"/>
    <w:rsid w:val="00584F6A"/>
    <w:rsid w:val="00584FAD"/>
    <w:rsid w:val="00585027"/>
    <w:rsid w:val="00585824"/>
    <w:rsid w:val="00586B85"/>
    <w:rsid w:val="00587623"/>
    <w:rsid w:val="00590A61"/>
    <w:rsid w:val="00590D7F"/>
    <w:rsid w:val="0059109E"/>
    <w:rsid w:val="005910EC"/>
    <w:rsid w:val="00591ED0"/>
    <w:rsid w:val="0059351A"/>
    <w:rsid w:val="00593D68"/>
    <w:rsid w:val="00594144"/>
    <w:rsid w:val="00594678"/>
    <w:rsid w:val="00594736"/>
    <w:rsid w:val="00595240"/>
    <w:rsid w:val="00595E00"/>
    <w:rsid w:val="00596498"/>
    <w:rsid w:val="00596582"/>
    <w:rsid w:val="00596898"/>
    <w:rsid w:val="00596A7A"/>
    <w:rsid w:val="00597539"/>
    <w:rsid w:val="00597784"/>
    <w:rsid w:val="005979A3"/>
    <w:rsid w:val="005A0111"/>
    <w:rsid w:val="005A05EA"/>
    <w:rsid w:val="005A10EB"/>
    <w:rsid w:val="005A15B8"/>
    <w:rsid w:val="005A2BE8"/>
    <w:rsid w:val="005A40EE"/>
    <w:rsid w:val="005A4690"/>
    <w:rsid w:val="005A4E1B"/>
    <w:rsid w:val="005A5A8D"/>
    <w:rsid w:val="005A5B48"/>
    <w:rsid w:val="005A5E1D"/>
    <w:rsid w:val="005A67C7"/>
    <w:rsid w:val="005A7743"/>
    <w:rsid w:val="005A7A21"/>
    <w:rsid w:val="005A7AA5"/>
    <w:rsid w:val="005B04C8"/>
    <w:rsid w:val="005B0682"/>
    <w:rsid w:val="005B0824"/>
    <w:rsid w:val="005B0DCB"/>
    <w:rsid w:val="005B0FF4"/>
    <w:rsid w:val="005B133A"/>
    <w:rsid w:val="005B1ECE"/>
    <w:rsid w:val="005B1F1F"/>
    <w:rsid w:val="005B26D6"/>
    <w:rsid w:val="005B2979"/>
    <w:rsid w:val="005B2B9C"/>
    <w:rsid w:val="005B30FA"/>
    <w:rsid w:val="005B3ED2"/>
    <w:rsid w:val="005B45E5"/>
    <w:rsid w:val="005B4DFB"/>
    <w:rsid w:val="005B5612"/>
    <w:rsid w:val="005B71E6"/>
    <w:rsid w:val="005B7E04"/>
    <w:rsid w:val="005B7FAE"/>
    <w:rsid w:val="005C0219"/>
    <w:rsid w:val="005C1418"/>
    <w:rsid w:val="005C17CA"/>
    <w:rsid w:val="005C27CE"/>
    <w:rsid w:val="005C2C09"/>
    <w:rsid w:val="005C2C28"/>
    <w:rsid w:val="005C2FDC"/>
    <w:rsid w:val="005C33DC"/>
    <w:rsid w:val="005C3C50"/>
    <w:rsid w:val="005C4690"/>
    <w:rsid w:val="005C4891"/>
    <w:rsid w:val="005C4C63"/>
    <w:rsid w:val="005C4EB1"/>
    <w:rsid w:val="005C50BE"/>
    <w:rsid w:val="005C5703"/>
    <w:rsid w:val="005C6124"/>
    <w:rsid w:val="005C6187"/>
    <w:rsid w:val="005C70FF"/>
    <w:rsid w:val="005C7271"/>
    <w:rsid w:val="005C7F14"/>
    <w:rsid w:val="005D0459"/>
    <w:rsid w:val="005D1093"/>
    <w:rsid w:val="005D153F"/>
    <w:rsid w:val="005D1DF8"/>
    <w:rsid w:val="005D2253"/>
    <w:rsid w:val="005D2865"/>
    <w:rsid w:val="005D2B28"/>
    <w:rsid w:val="005D2D42"/>
    <w:rsid w:val="005D31A5"/>
    <w:rsid w:val="005D3CE3"/>
    <w:rsid w:val="005D4596"/>
    <w:rsid w:val="005D538F"/>
    <w:rsid w:val="005D55C0"/>
    <w:rsid w:val="005D5D55"/>
    <w:rsid w:val="005D5D63"/>
    <w:rsid w:val="005D5E58"/>
    <w:rsid w:val="005D6422"/>
    <w:rsid w:val="005D6EF5"/>
    <w:rsid w:val="005D7D40"/>
    <w:rsid w:val="005E041F"/>
    <w:rsid w:val="005E06DB"/>
    <w:rsid w:val="005E0770"/>
    <w:rsid w:val="005E0799"/>
    <w:rsid w:val="005E0CB8"/>
    <w:rsid w:val="005E15BF"/>
    <w:rsid w:val="005E1751"/>
    <w:rsid w:val="005E1E20"/>
    <w:rsid w:val="005E2BBF"/>
    <w:rsid w:val="005E325D"/>
    <w:rsid w:val="005E3DA9"/>
    <w:rsid w:val="005E4228"/>
    <w:rsid w:val="005E464C"/>
    <w:rsid w:val="005E50C6"/>
    <w:rsid w:val="005E568D"/>
    <w:rsid w:val="005E5D32"/>
    <w:rsid w:val="005E66DD"/>
    <w:rsid w:val="005E7A3D"/>
    <w:rsid w:val="005F0AEF"/>
    <w:rsid w:val="005F0CBA"/>
    <w:rsid w:val="005F16B5"/>
    <w:rsid w:val="005F1C92"/>
    <w:rsid w:val="005F20B5"/>
    <w:rsid w:val="005F252A"/>
    <w:rsid w:val="005F265A"/>
    <w:rsid w:val="005F30BC"/>
    <w:rsid w:val="005F3301"/>
    <w:rsid w:val="005F3C01"/>
    <w:rsid w:val="005F43E6"/>
    <w:rsid w:val="005F508C"/>
    <w:rsid w:val="005F5478"/>
    <w:rsid w:val="005F5514"/>
    <w:rsid w:val="005F5B1E"/>
    <w:rsid w:val="005F61A1"/>
    <w:rsid w:val="005F6434"/>
    <w:rsid w:val="005F6568"/>
    <w:rsid w:val="005F66E6"/>
    <w:rsid w:val="0060019F"/>
    <w:rsid w:val="00600886"/>
    <w:rsid w:val="00600B3C"/>
    <w:rsid w:val="00600BB0"/>
    <w:rsid w:val="00600FA2"/>
    <w:rsid w:val="006010BA"/>
    <w:rsid w:val="006014C9"/>
    <w:rsid w:val="006015A4"/>
    <w:rsid w:val="00601769"/>
    <w:rsid w:val="00601DBB"/>
    <w:rsid w:val="006024BA"/>
    <w:rsid w:val="00602525"/>
    <w:rsid w:val="00602902"/>
    <w:rsid w:val="00603095"/>
    <w:rsid w:val="00603D42"/>
    <w:rsid w:val="0060547F"/>
    <w:rsid w:val="00605C8F"/>
    <w:rsid w:val="00606336"/>
    <w:rsid w:val="00606C8D"/>
    <w:rsid w:val="00606E43"/>
    <w:rsid w:val="00607248"/>
    <w:rsid w:val="00607D09"/>
    <w:rsid w:val="0061097E"/>
    <w:rsid w:val="00610BA5"/>
    <w:rsid w:val="00611584"/>
    <w:rsid w:val="0061189A"/>
    <w:rsid w:val="00611B4E"/>
    <w:rsid w:val="00612C26"/>
    <w:rsid w:val="00612C7A"/>
    <w:rsid w:val="006131BA"/>
    <w:rsid w:val="00615AEF"/>
    <w:rsid w:val="00615F90"/>
    <w:rsid w:val="0061611A"/>
    <w:rsid w:val="006162FA"/>
    <w:rsid w:val="00616723"/>
    <w:rsid w:val="006169CB"/>
    <w:rsid w:val="00616B5B"/>
    <w:rsid w:val="00617396"/>
    <w:rsid w:val="00617560"/>
    <w:rsid w:val="006179C8"/>
    <w:rsid w:val="006201FA"/>
    <w:rsid w:val="006202E0"/>
    <w:rsid w:val="0062047F"/>
    <w:rsid w:val="006215C0"/>
    <w:rsid w:val="0062164A"/>
    <w:rsid w:val="00621DE4"/>
    <w:rsid w:val="00621E5B"/>
    <w:rsid w:val="00622B66"/>
    <w:rsid w:val="00623552"/>
    <w:rsid w:val="0062498E"/>
    <w:rsid w:val="00624EBC"/>
    <w:rsid w:val="00625B87"/>
    <w:rsid w:val="006262A5"/>
    <w:rsid w:val="00626B18"/>
    <w:rsid w:val="00626E36"/>
    <w:rsid w:val="00627121"/>
    <w:rsid w:val="006277C3"/>
    <w:rsid w:val="006277D1"/>
    <w:rsid w:val="00627806"/>
    <w:rsid w:val="0062785A"/>
    <w:rsid w:val="00627AA7"/>
    <w:rsid w:val="00627B86"/>
    <w:rsid w:val="00627FE9"/>
    <w:rsid w:val="00630202"/>
    <w:rsid w:val="0063146D"/>
    <w:rsid w:val="00631603"/>
    <w:rsid w:val="00633E9D"/>
    <w:rsid w:val="00633F51"/>
    <w:rsid w:val="00634633"/>
    <w:rsid w:val="00634A40"/>
    <w:rsid w:val="00634EEB"/>
    <w:rsid w:val="00635441"/>
    <w:rsid w:val="006357B9"/>
    <w:rsid w:val="0063647E"/>
    <w:rsid w:val="00636BAD"/>
    <w:rsid w:val="00636E22"/>
    <w:rsid w:val="00637085"/>
    <w:rsid w:val="0063734A"/>
    <w:rsid w:val="006374AC"/>
    <w:rsid w:val="00637DFC"/>
    <w:rsid w:val="0064016E"/>
    <w:rsid w:val="0064078F"/>
    <w:rsid w:val="006409B3"/>
    <w:rsid w:val="00640BF7"/>
    <w:rsid w:val="00641651"/>
    <w:rsid w:val="00641BCE"/>
    <w:rsid w:val="00642945"/>
    <w:rsid w:val="00642DB3"/>
    <w:rsid w:val="006457BA"/>
    <w:rsid w:val="00646C3A"/>
    <w:rsid w:val="00647BFC"/>
    <w:rsid w:val="00647C7A"/>
    <w:rsid w:val="00650120"/>
    <w:rsid w:val="006504B5"/>
    <w:rsid w:val="0065106A"/>
    <w:rsid w:val="0065180B"/>
    <w:rsid w:val="00653326"/>
    <w:rsid w:val="00654ABD"/>
    <w:rsid w:val="00655A14"/>
    <w:rsid w:val="00655EFE"/>
    <w:rsid w:val="006564F0"/>
    <w:rsid w:val="006568A7"/>
    <w:rsid w:val="00656D9F"/>
    <w:rsid w:val="00657BDB"/>
    <w:rsid w:val="00657BF4"/>
    <w:rsid w:val="00660629"/>
    <w:rsid w:val="00660CFB"/>
    <w:rsid w:val="006617FF"/>
    <w:rsid w:val="00661905"/>
    <w:rsid w:val="00661995"/>
    <w:rsid w:val="00661A30"/>
    <w:rsid w:val="00661E3D"/>
    <w:rsid w:val="0066265A"/>
    <w:rsid w:val="006627EF"/>
    <w:rsid w:val="00664173"/>
    <w:rsid w:val="00664BB4"/>
    <w:rsid w:val="006657AB"/>
    <w:rsid w:val="006657E5"/>
    <w:rsid w:val="00666153"/>
    <w:rsid w:val="00666A09"/>
    <w:rsid w:val="00667266"/>
    <w:rsid w:val="0066734B"/>
    <w:rsid w:val="00667969"/>
    <w:rsid w:val="00667B99"/>
    <w:rsid w:val="00667FA5"/>
    <w:rsid w:val="006703EA"/>
    <w:rsid w:val="006709A0"/>
    <w:rsid w:val="00671497"/>
    <w:rsid w:val="006725D0"/>
    <w:rsid w:val="00672982"/>
    <w:rsid w:val="00672B20"/>
    <w:rsid w:val="00672B79"/>
    <w:rsid w:val="00673068"/>
    <w:rsid w:val="006734E7"/>
    <w:rsid w:val="0067411C"/>
    <w:rsid w:val="0067493B"/>
    <w:rsid w:val="00674E99"/>
    <w:rsid w:val="00674F91"/>
    <w:rsid w:val="00675127"/>
    <w:rsid w:val="0067581A"/>
    <w:rsid w:val="00676D54"/>
    <w:rsid w:val="00677DDA"/>
    <w:rsid w:val="006801C4"/>
    <w:rsid w:val="00680BE0"/>
    <w:rsid w:val="00681013"/>
    <w:rsid w:val="00681D99"/>
    <w:rsid w:val="006828F9"/>
    <w:rsid w:val="0068397B"/>
    <w:rsid w:val="00683CFE"/>
    <w:rsid w:val="006843B8"/>
    <w:rsid w:val="006848C1"/>
    <w:rsid w:val="00684919"/>
    <w:rsid w:val="00684D4E"/>
    <w:rsid w:val="00685907"/>
    <w:rsid w:val="00685A22"/>
    <w:rsid w:val="00685AC9"/>
    <w:rsid w:val="00686123"/>
    <w:rsid w:val="00686579"/>
    <w:rsid w:val="006866FE"/>
    <w:rsid w:val="006870F9"/>
    <w:rsid w:val="00691628"/>
    <w:rsid w:val="00692D37"/>
    <w:rsid w:val="006937B7"/>
    <w:rsid w:val="00693870"/>
    <w:rsid w:val="006938B7"/>
    <w:rsid w:val="00694A9A"/>
    <w:rsid w:val="00694BC5"/>
    <w:rsid w:val="00694D66"/>
    <w:rsid w:val="00694E1F"/>
    <w:rsid w:val="0069521D"/>
    <w:rsid w:val="0069531E"/>
    <w:rsid w:val="006955D3"/>
    <w:rsid w:val="00695826"/>
    <w:rsid w:val="006961C9"/>
    <w:rsid w:val="00696D48"/>
    <w:rsid w:val="006972D7"/>
    <w:rsid w:val="00697B16"/>
    <w:rsid w:val="00697D0C"/>
    <w:rsid w:val="00697F6F"/>
    <w:rsid w:val="006A049C"/>
    <w:rsid w:val="006A1240"/>
    <w:rsid w:val="006A1A38"/>
    <w:rsid w:val="006A1E37"/>
    <w:rsid w:val="006A2101"/>
    <w:rsid w:val="006A21CD"/>
    <w:rsid w:val="006A24AF"/>
    <w:rsid w:val="006A3321"/>
    <w:rsid w:val="006A34C5"/>
    <w:rsid w:val="006A3D04"/>
    <w:rsid w:val="006A3DE5"/>
    <w:rsid w:val="006A4434"/>
    <w:rsid w:val="006A45EC"/>
    <w:rsid w:val="006A5364"/>
    <w:rsid w:val="006A547E"/>
    <w:rsid w:val="006A6217"/>
    <w:rsid w:val="006A6963"/>
    <w:rsid w:val="006A7057"/>
    <w:rsid w:val="006A755D"/>
    <w:rsid w:val="006A7FF9"/>
    <w:rsid w:val="006B0709"/>
    <w:rsid w:val="006B0A6B"/>
    <w:rsid w:val="006B0B95"/>
    <w:rsid w:val="006B0E71"/>
    <w:rsid w:val="006B108C"/>
    <w:rsid w:val="006B1AF2"/>
    <w:rsid w:val="006B1BA8"/>
    <w:rsid w:val="006B2C2A"/>
    <w:rsid w:val="006B38DA"/>
    <w:rsid w:val="006B3C2E"/>
    <w:rsid w:val="006B4667"/>
    <w:rsid w:val="006B516B"/>
    <w:rsid w:val="006B5661"/>
    <w:rsid w:val="006B5D89"/>
    <w:rsid w:val="006B676B"/>
    <w:rsid w:val="006B6CD3"/>
    <w:rsid w:val="006B6D60"/>
    <w:rsid w:val="006B6EC5"/>
    <w:rsid w:val="006B7B2A"/>
    <w:rsid w:val="006C097E"/>
    <w:rsid w:val="006C0F48"/>
    <w:rsid w:val="006C2C15"/>
    <w:rsid w:val="006C2FA1"/>
    <w:rsid w:val="006C3506"/>
    <w:rsid w:val="006C3992"/>
    <w:rsid w:val="006C3DC9"/>
    <w:rsid w:val="006C47B5"/>
    <w:rsid w:val="006C4AFA"/>
    <w:rsid w:val="006C5269"/>
    <w:rsid w:val="006C54C3"/>
    <w:rsid w:val="006C5575"/>
    <w:rsid w:val="006C57EC"/>
    <w:rsid w:val="006C6F9A"/>
    <w:rsid w:val="006D0199"/>
    <w:rsid w:val="006D0361"/>
    <w:rsid w:val="006D0DC9"/>
    <w:rsid w:val="006D13C6"/>
    <w:rsid w:val="006D13DC"/>
    <w:rsid w:val="006D19CD"/>
    <w:rsid w:val="006D1D20"/>
    <w:rsid w:val="006D1D88"/>
    <w:rsid w:val="006D1EC9"/>
    <w:rsid w:val="006D287C"/>
    <w:rsid w:val="006D2A6D"/>
    <w:rsid w:val="006D2DFB"/>
    <w:rsid w:val="006D3629"/>
    <w:rsid w:val="006D4980"/>
    <w:rsid w:val="006D534E"/>
    <w:rsid w:val="006D60F3"/>
    <w:rsid w:val="006D628C"/>
    <w:rsid w:val="006D6616"/>
    <w:rsid w:val="006D662D"/>
    <w:rsid w:val="006E09CD"/>
    <w:rsid w:val="006E0A59"/>
    <w:rsid w:val="006E0BB7"/>
    <w:rsid w:val="006E0C72"/>
    <w:rsid w:val="006E1C3B"/>
    <w:rsid w:val="006E2254"/>
    <w:rsid w:val="006E2866"/>
    <w:rsid w:val="006E322A"/>
    <w:rsid w:val="006E369C"/>
    <w:rsid w:val="006E36A5"/>
    <w:rsid w:val="006E3739"/>
    <w:rsid w:val="006E3BC1"/>
    <w:rsid w:val="006E4733"/>
    <w:rsid w:val="006E4848"/>
    <w:rsid w:val="006E4A83"/>
    <w:rsid w:val="006E527F"/>
    <w:rsid w:val="006E53BF"/>
    <w:rsid w:val="006E553C"/>
    <w:rsid w:val="006E67B1"/>
    <w:rsid w:val="006E71DD"/>
    <w:rsid w:val="006F0063"/>
    <w:rsid w:val="006F03D8"/>
    <w:rsid w:val="006F07B7"/>
    <w:rsid w:val="006F07E5"/>
    <w:rsid w:val="006F0DD1"/>
    <w:rsid w:val="006F1516"/>
    <w:rsid w:val="006F166C"/>
    <w:rsid w:val="006F1732"/>
    <w:rsid w:val="006F1ED3"/>
    <w:rsid w:val="006F36F9"/>
    <w:rsid w:val="006F3D2A"/>
    <w:rsid w:val="006F5899"/>
    <w:rsid w:val="006F5977"/>
    <w:rsid w:val="006F6EDB"/>
    <w:rsid w:val="006F74CF"/>
    <w:rsid w:val="006F758A"/>
    <w:rsid w:val="006F7A9F"/>
    <w:rsid w:val="006F7E41"/>
    <w:rsid w:val="00700330"/>
    <w:rsid w:val="007007C2"/>
    <w:rsid w:val="00700806"/>
    <w:rsid w:val="00700C70"/>
    <w:rsid w:val="00702E81"/>
    <w:rsid w:val="007045CE"/>
    <w:rsid w:val="00704ADB"/>
    <w:rsid w:val="00705052"/>
    <w:rsid w:val="0070509F"/>
    <w:rsid w:val="00705EF2"/>
    <w:rsid w:val="007060AC"/>
    <w:rsid w:val="00707B30"/>
    <w:rsid w:val="00707F5D"/>
    <w:rsid w:val="00711C80"/>
    <w:rsid w:val="007121BE"/>
    <w:rsid w:val="007121DC"/>
    <w:rsid w:val="0071319F"/>
    <w:rsid w:val="00713521"/>
    <w:rsid w:val="00713B7C"/>
    <w:rsid w:val="0071419A"/>
    <w:rsid w:val="00714972"/>
    <w:rsid w:val="00715718"/>
    <w:rsid w:val="007157BA"/>
    <w:rsid w:val="0071587A"/>
    <w:rsid w:val="00715DE3"/>
    <w:rsid w:val="00715E41"/>
    <w:rsid w:val="00716A62"/>
    <w:rsid w:val="00717824"/>
    <w:rsid w:val="0072060C"/>
    <w:rsid w:val="007208A2"/>
    <w:rsid w:val="007219B9"/>
    <w:rsid w:val="00721C48"/>
    <w:rsid w:val="00721D3F"/>
    <w:rsid w:val="0072207C"/>
    <w:rsid w:val="007221BB"/>
    <w:rsid w:val="00722335"/>
    <w:rsid w:val="00722807"/>
    <w:rsid w:val="00722A09"/>
    <w:rsid w:val="00722ADC"/>
    <w:rsid w:val="0072300A"/>
    <w:rsid w:val="0072304F"/>
    <w:rsid w:val="00723768"/>
    <w:rsid w:val="00724A28"/>
    <w:rsid w:val="00724D31"/>
    <w:rsid w:val="00725ABA"/>
    <w:rsid w:val="00725BE9"/>
    <w:rsid w:val="00725F3F"/>
    <w:rsid w:val="00726220"/>
    <w:rsid w:val="007264C4"/>
    <w:rsid w:val="00726950"/>
    <w:rsid w:val="007271C1"/>
    <w:rsid w:val="0072731A"/>
    <w:rsid w:val="00730004"/>
    <w:rsid w:val="007306D3"/>
    <w:rsid w:val="00730EE5"/>
    <w:rsid w:val="00731316"/>
    <w:rsid w:val="00731773"/>
    <w:rsid w:val="007323DB"/>
    <w:rsid w:val="007324EC"/>
    <w:rsid w:val="00732762"/>
    <w:rsid w:val="00732A3D"/>
    <w:rsid w:val="00732AE0"/>
    <w:rsid w:val="00732F8B"/>
    <w:rsid w:val="007330D4"/>
    <w:rsid w:val="0073317C"/>
    <w:rsid w:val="007332A5"/>
    <w:rsid w:val="007335A2"/>
    <w:rsid w:val="00733C46"/>
    <w:rsid w:val="007345D4"/>
    <w:rsid w:val="00734F37"/>
    <w:rsid w:val="00734FAD"/>
    <w:rsid w:val="00735823"/>
    <w:rsid w:val="007358AF"/>
    <w:rsid w:val="00736CCF"/>
    <w:rsid w:val="00740C76"/>
    <w:rsid w:val="00741483"/>
    <w:rsid w:val="00741A85"/>
    <w:rsid w:val="007420B7"/>
    <w:rsid w:val="007428D5"/>
    <w:rsid w:val="00742B75"/>
    <w:rsid w:val="00744A1A"/>
    <w:rsid w:val="00744D31"/>
    <w:rsid w:val="00744E9A"/>
    <w:rsid w:val="007450EE"/>
    <w:rsid w:val="007453B4"/>
    <w:rsid w:val="00746D65"/>
    <w:rsid w:val="007479C0"/>
    <w:rsid w:val="00747A59"/>
    <w:rsid w:val="00747B85"/>
    <w:rsid w:val="00747D68"/>
    <w:rsid w:val="00747EA9"/>
    <w:rsid w:val="00750475"/>
    <w:rsid w:val="00750769"/>
    <w:rsid w:val="007508E1"/>
    <w:rsid w:val="00751558"/>
    <w:rsid w:val="00752C8F"/>
    <w:rsid w:val="00752D8F"/>
    <w:rsid w:val="00753073"/>
    <w:rsid w:val="00753B9E"/>
    <w:rsid w:val="00754077"/>
    <w:rsid w:val="00754172"/>
    <w:rsid w:val="00754878"/>
    <w:rsid w:val="00754ADD"/>
    <w:rsid w:val="00756430"/>
    <w:rsid w:val="00757B12"/>
    <w:rsid w:val="00757B90"/>
    <w:rsid w:val="00757BF8"/>
    <w:rsid w:val="007606B7"/>
    <w:rsid w:val="0076071F"/>
    <w:rsid w:val="00760F3D"/>
    <w:rsid w:val="00761DC8"/>
    <w:rsid w:val="00762914"/>
    <w:rsid w:val="00762CC7"/>
    <w:rsid w:val="00763728"/>
    <w:rsid w:val="00763A29"/>
    <w:rsid w:val="00763B1B"/>
    <w:rsid w:val="00763B2D"/>
    <w:rsid w:val="00764100"/>
    <w:rsid w:val="00764137"/>
    <w:rsid w:val="007649CB"/>
    <w:rsid w:val="00764FDC"/>
    <w:rsid w:val="0076573B"/>
    <w:rsid w:val="007659ED"/>
    <w:rsid w:val="00765DEB"/>
    <w:rsid w:val="007671B2"/>
    <w:rsid w:val="00767458"/>
    <w:rsid w:val="007678C7"/>
    <w:rsid w:val="00767DC8"/>
    <w:rsid w:val="00770041"/>
    <w:rsid w:val="00771094"/>
    <w:rsid w:val="00771294"/>
    <w:rsid w:val="0077205E"/>
    <w:rsid w:val="0077275C"/>
    <w:rsid w:val="00772BF9"/>
    <w:rsid w:val="00772D7A"/>
    <w:rsid w:val="00772D92"/>
    <w:rsid w:val="00772EE6"/>
    <w:rsid w:val="00773441"/>
    <w:rsid w:val="007734AE"/>
    <w:rsid w:val="00773C47"/>
    <w:rsid w:val="00773F08"/>
    <w:rsid w:val="00774E6B"/>
    <w:rsid w:val="00775EE8"/>
    <w:rsid w:val="00776630"/>
    <w:rsid w:val="00776AFC"/>
    <w:rsid w:val="00776DAC"/>
    <w:rsid w:val="00777090"/>
    <w:rsid w:val="00777345"/>
    <w:rsid w:val="0077738E"/>
    <w:rsid w:val="007774C6"/>
    <w:rsid w:val="00777562"/>
    <w:rsid w:val="00780750"/>
    <w:rsid w:val="00780BA3"/>
    <w:rsid w:val="00780CD0"/>
    <w:rsid w:val="00780D5F"/>
    <w:rsid w:val="00780EB1"/>
    <w:rsid w:val="0078157D"/>
    <w:rsid w:val="00782FA9"/>
    <w:rsid w:val="007839F9"/>
    <w:rsid w:val="007844F2"/>
    <w:rsid w:val="00784512"/>
    <w:rsid w:val="0078495D"/>
    <w:rsid w:val="0078549C"/>
    <w:rsid w:val="00786B30"/>
    <w:rsid w:val="00786CCC"/>
    <w:rsid w:val="007876AB"/>
    <w:rsid w:val="00790073"/>
    <w:rsid w:val="007905E5"/>
    <w:rsid w:val="00790F4A"/>
    <w:rsid w:val="007911D4"/>
    <w:rsid w:val="00792819"/>
    <w:rsid w:val="00792B1E"/>
    <w:rsid w:val="00793183"/>
    <w:rsid w:val="007932ED"/>
    <w:rsid w:val="00793B55"/>
    <w:rsid w:val="00794585"/>
    <w:rsid w:val="0079491D"/>
    <w:rsid w:val="00794926"/>
    <w:rsid w:val="00794B22"/>
    <w:rsid w:val="00794FA3"/>
    <w:rsid w:val="00795770"/>
    <w:rsid w:val="007966D1"/>
    <w:rsid w:val="00797112"/>
    <w:rsid w:val="007979B5"/>
    <w:rsid w:val="00797AB3"/>
    <w:rsid w:val="00797B4B"/>
    <w:rsid w:val="007A031B"/>
    <w:rsid w:val="007A051B"/>
    <w:rsid w:val="007A07C5"/>
    <w:rsid w:val="007A0BC2"/>
    <w:rsid w:val="007A0C18"/>
    <w:rsid w:val="007A1383"/>
    <w:rsid w:val="007A1667"/>
    <w:rsid w:val="007A21CF"/>
    <w:rsid w:val="007A2224"/>
    <w:rsid w:val="007A2227"/>
    <w:rsid w:val="007A2804"/>
    <w:rsid w:val="007A449C"/>
    <w:rsid w:val="007A5A73"/>
    <w:rsid w:val="007A619B"/>
    <w:rsid w:val="007A64E3"/>
    <w:rsid w:val="007A664E"/>
    <w:rsid w:val="007A6702"/>
    <w:rsid w:val="007A68AE"/>
    <w:rsid w:val="007A6A81"/>
    <w:rsid w:val="007A70DA"/>
    <w:rsid w:val="007A76B0"/>
    <w:rsid w:val="007A7B62"/>
    <w:rsid w:val="007B0016"/>
    <w:rsid w:val="007B059E"/>
    <w:rsid w:val="007B07D8"/>
    <w:rsid w:val="007B08FD"/>
    <w:rsid w:val="007B0BA0"/>
    <w:rsid w:val="007B0BD3"/>
    <w:rsid w:val="007B1983"/>
    <w:rsid w:val="007B1B14"/>
    <w:rsid w:val="007B1ED0"/>
    <w:rsid w:val="007B1ED9"/>
    <w:rsid w:val="007B2082"/>
    <w:rsid w:val="007B238C"/>
    <w:rsid w:val="007B25EB"/>
    <w:rsid w:val="007B2730"/>
    <w:rsid w:val="007B2AC0"/>
    <w:rsid w:val="007B3E74"/>
    <w:rsid w:val="007B43BF"/>
    <w:rsid w:val="007B4A29"/>
    <w:rsid w:val="007B4F50"/>
    <w:rsid w:val="007B5339"/>
    <w:rsid w:val="007B5464"/>
    <w:rsid w:val="007B54DF"/>
    <w:rsid w:val="007B5A89"/>
    <w:rsid w:val="007B5F72"/>
    <w:rsid w:val="007B7326"/>
    <w:rsid w:val="007B73D9"/>
    <w:rsid w:val="007B7A8F"/>
    <w:rsid w:val="007C03AB"/>
    <w:rsid w:val="007C0EB1"/>
    <w:rsid w:val="007C2126"/>
    <w:rsid w:val="007C240C"/>
    <w:rsid w:val="007C2AE7"/>
    <w:rsid w:val="007C2B2D"/>
    <w:rsid w:val="007C2EA7"/>
    <w:rsid w:val="007C360E"/>
    <w:rsid w:val="007C3736"/>
    <w:rsid w:val="007C395D"/>
    <w:rsid w:val="007C42B0"/>
    <w:rsid w:val="007C4324"/>
    <w:rsid w:val="007C469B"/>
    <w:rsid w:val="007C48CA"/>
    <w:rsid w:val="007C4C6F"/>
    <w:rsid w:val="007C4E95"/>
    <w:rsid w:val="007C5012"/>
    <w:rsid w:val="007C5935"/>
    <w:rsid w:val="007C5A43"/>
    <w:rsid w:val="007C5E94"/>
    <w:rsid w:val="007C6081"/>
    <w:rsid w:val="007C611F"/>
    <w:rsid w:val="007C682F"/>
    <w:rsid w:val="007D0A89"/>
    <w:rsid w:val="007D0BE4"/>
    <w:rsid w:val="007D2294"/>
    <w:rsid w:val="007D24BB"/>
    <w:rsid w:val="007D2C66"/>
    <w:rsid w:val="007D30CA"/>
    <w:rsid w:val="007D3503"/>
    <w:rsid w:val="007D36E2"/>
    <w:rsid w:val="007D5106"/>
    <w:rsid w:val="007D566C"/>
    <w:rsid w:val="007D57E7"/>
    <w:rsid w:val="007D60A5"/>
    <w:rsid w:val="007D663D"/>
    <w:rsid w:val="007D6A4B"/>
    <w:rsid w:val="007D6F12"/>
    <w:rsid w:val="007D7387"/>
    <w:rsid w:val="007D742B"/>
    <w:rsid w:val="007D7858"/>
    <w:rsid w:val="007D7965"/>
    <w:rsid w:val="007D7F4C"/>
    <w:rsid w:val="007E02CF"/>
    <w:rsid w:val="007E080C"/>
    <w:rsid w:val="007E159A"/>
    <w:rsid w:val="007E19F4"/>
    <w:rsid w:val="007E1C9C"/>
    <w:rsid w:val="007E2051"/>
    <w:rsid w:val="007E24FE"/>
    <w:rsid w:val="007E257E"/>
    <w:rsid w:val="007E2CCE"/>
    <w:rsid w:val="007E37F0"/>
    <w:rsid w:val="007E4288"/>
    <w:rsid w:val="007E457C"/>
    <w:rsid w:val="007E4ADE"/>
    <w:rsid w:val="007E4CA9"/>
    <w:rsid w:val="007E4E85"/>
    <w:rsid w:val="007E5213"/>
    <w:rsid w:val="007E5461"/>
    <w:rsid w:val="007E55BF"/>
    <w:rsid w:val="007E55F3"/>
    <w:rsid w:val="007E5F63"/>
    <w:rsid w:val="007E6F5C"/>
    <w:rsid w:val="007E7965"/>
    <w:rsid w:val="007E7C20"/>
    <w:rsid w:val="007E7CA3"/>
    <w:rsid w:val="007F0438"/>
    <w:rsid w:val="007F1DF6"/>
    <w:rsid w:val="007F3728"/>
    <w:rsid w:val="007F37BF"/>
    <w:rsid w:val="007F3931"/>
    <w:rsid w:val="007F3979"/>
    <w:rsid w:val="007F3CB1"/>
    <w:rsid w:val="007F430A"/>
    <w:rsid w:val="007F4CE1"/>
    <w:rsid w:val="007F4D22"/>
    <w:rsid w:val="007F6134"/>
    <w:rsid w:val="007F6216"/>
    <w:rsid w:val="007F6775"/>
    <w:rsid w:val="007F72B7"/>
    <w:rsid w:val="007F747E"/>
    <w:rsid w:val="007F77CA"/>
    <w:rsid w:val="007F7D0E"/>
    <w:rsid w:val="0080010E"/>
    <w:rsid w:val="008007E7"/>
    <w:rsid w:val="00800D0E"/>
    <w:rsid w:val="00800D48"/>
    <w:rsid w:val="00802407"/>
    <w:rsid w:val="008028F6"/>
    <w:rsid w:val="00802AAE"/>
    <w:rsid w:val="00802CCE"/>
    <w:rsid w:val="00803610"/>
    <w:rsid w:val="00803C8D"/>
    <w:rsid w:val="00803CD5"/>
    <w:rsid w:val="00804C19"/>
    <w:rsid w:val="00804F24"/>
    <w:rsid w:val="00805FBD"/>
    <w:rsid w:val="00806122"/>
    <w:rsid w:val="0080632B"/>
    <w:rsid w:val="0080637B"/>
    <w:rsid w:val="008064BC"/>
    <w:rsid w:val="00806DD5"/>
    <w:rsid w:val="00806E48"/>
    <w:rsid w:val="00807036"/>
    <w:rsid w:val="00807523"/>
    <w:rsid w:val="00807C01"/>
    <w:rsid w:val="008100F1"/>
    <w:rsid w:val="0081082F"/>
    <w:rsid w:val="00810B44"/>
    <w:rsid w:val="00810DD7"/>
    <w:rsid w:val="008111D7"/>
    <w:rsid w:val="00811C60"/>
    <w:rsid w:val="008121B9"/>
    <w:rsid w:val="008129B0"/>
    <w:rsid w:val="00814B76"/>
    <w:rsid w:val="00814D73"/>
    <w:rsid w:val="00814EC1"/>
    <w:rsid w:val="00815040"/>
    <w:rsid w:val="0081532A"/>
    <w:rsid w:val="00815889"/>
    <w:rsid w:val="00815FC9"/>
    <w:rsid w:val="00816A73"/>
    <w:rsid w:val="00816D2B"/>
    <w:rsid w:val="00817AC3"/>
    <w:rsid w:val="00817E52"/>
    <w:rsid w:val="008209B3"/>
    <w:rsid w:val="00821ACE"/>
    <w:rsid w:val="00822957"/>
    <w:rsid w:val="008229F7"/>
    <w:rsid w:val="008234BF"/>
    <w:rsid w:val="008235FE"/>
    <w:rsid w:val="00823D07"/>
    <w:rsid w:val="00823EB9"/>
    <w:rsid w:val="00824442"/>
    <w:rsid w:val="00824D76"/>
    <w:rsid w:val="008252BC"/>
    <w:rsid w:val="00825A24"/>
    <w:rsid w:val="00826FA5"/>
    <w:rsid w:val="00827045"/>
    <w:rsid w:val="00827082"/>
    <w:rsid w:val="00827F14"/>
    <w:rsid w:val="008300F5"/>
    <w:rsid w:val="00830359"/>
    <w:rsid w:val="00830689"/>
    <w:rsid w:val="00830AAB"/>
    <w:rsid w:val="00831D61"/>
    <w:rsid w:val="00832BC1"/>
    <w:rsid w:val="008330A5"/>
    <w:rsid w:val="008330D8"/>
    <w:rsid w:val="008334F8"/>
    <w:rsid w:val="0083407B"/>
    <w:rsid w:val="0083590A"/>
    <w:rsid w:val="00835D8C"/>
    <w:rsid w:val="00836A17"/>
    <w:rsid w:val="00837964"/>
    <w:rsid w:val="00840B9D"/>
    <w:rsid w:val="0084254C"/>
    <w:rsid w:val="00842703"/>
    <w:rsid w:val="008429C8"/>
    <w:rsid w:val="008437A6"/>
    <w:rsid w:val="00843843"/>
    <w:rsid w:val="00843865"/>
    <w:rsid w:val="008445F5"/>
    <w:rsid w:val="00845446"/>
    <w:rsid w:val="00845B23"/>
    <w:rsid w:val="0084670E"/>
    <w:rsid w:val="00846978"/>
    <w:rsid w:val="00846D1F"/>
    <w:rsid w:val="00847411"/>
    <w:rsid w:val="00850026"/>
    <w:rsid w:val="008502E4"/>
    <w:rsid w:val="00850344"/>
    <w:rsid w:val="0085069B"/>
    <w:rsid w:val="008516CE"/>
    <w:rsid w:val="00851B36"/>
    <w:rsid w:val="00851CCC"/>
    <w:rsid w:val="008525CE"/>
    <w:rsid w:val="0085264B"/>
    <w:rsid w:val="008526D7"/>
    <w:rsid w:val="00852D8C"/>
    <w:rsid w:val="0085347D"/>
    <w:rsid w:val="00853A40"/>
    <w:rsid w:val="00854081"/>
    <w:rsid w:val="00854172"/>
    <w:rsid w:val="008549CE"/>
    <w:rsid w:val="00856B9D"/>
    <w:rsid w:val="008573A0"/>
    <w:rsid w:val="008574BB"/>
    <w:rsid w:val="00857EA7"/>
    <w:rsid w:val="008600E0"/>
    <w:rsid w:val="008600F3"/>
    <w:rsid w:val="008601D4"/>
    <w:rsid w:val="00860228"/>
    <w:rsid w:val="00860993"/>
    <w:rsid w:val="00860A7D"/>
    <w:rsid w:val="00860FBF"/>
    <w:rsid w:val="008610D7"/>
    <w:rsid w:val="008611A3"/>
    <w:rsid w:val="008611AD"/>
    <w:rsid w:val="00861626"/>
    <w:rsid w:val="0086192D"/>
    <w:rsid w:val="00863A38"/>
    <w:rsid w:val="00863C47"/>
    <w:rsid w:val="0086470B"/>
    <w:rsid w:val="00864B57"/>
    <w:rsid w:val="00864DDA"/>
    <w:rsid w:val="0086537F"/>
    <w:rsid w:val="00865934"/>
    <w:rsid w:val="00865A3A"/>
    <w:rsid w:val="008662E9"/>
    <w:rsid w:val="0086662B"/>
    <w:rsid w:val="0086692F"/>
    <w:rsid w:val="008707B9"/>
    <w:rsid w:val="00871158"/>
    <w:rsid w:val="0087125E"/>
    <w:rsid w:val="008733E6"/>
    <w:rsid w:val="00873439"/>
    <w:rsid w:val="00873A3E"/>
    <w:rsid w:val="00874C8E"/>
    <w:rsid w:val="008752A6"/>
    <w:rsid w:val="008756AF"/>
    <w:rsid w:val="008757D3"/>
    <w:rsid w:val="00875892"/>
    <w:rsid w:val="00875A39"/>
    <w:rsid w:val="0087640A"/>
    <w:rsid w:val="008765A8"/>
    <w:rsid w:val="00876A84"/>
    <w:rsid w:val="00876E2F"/>
    <w:rsid w:val="00877068"/>
    <w:rsid w:val="00877889"/>
    <w:rsid w:val="008778B3"/>
    <w:rsid w:val="00877E04"/>
    <w:rsid w:val="00877E85"/>
    <w:rsid w:val="00877F69"/>
    <w:rsid w:val="008802E1"/>
    <w:rsid w:val="008802F7"/>
    <w:rsid w:val="0088038B"/>
    <w:rsid w:val="00880C87"/>
    <w:rsid w:val="008818CE"/>
    <w:rsid w:val="008818FD"/>
    <w:rsid w:val="008819A3"/>
    <w:rsid w:val="00881E4B"/>
    <w:rsid w:val="00882B37"/>
    <w:rsid w:val="00883283"/>
    <w:rsid w:val="008843CA"/>
    <w:rsid w:val="00884BA0"/>
    <w:rsid w:val="00886528"/>
    <w:rsid w:val="00886DB4"/>
    <w:rsid w:val="00887352"/>
    <w:rsid w:val="00887DEB"/>
    <w:rsid w:val="008906D2"/>
    <w:rsid w:val="00891C08"/>
    <w:rsid w:val="00891C5C"/>
    <w:rsid w:val="008931AA"/>
    <w:rsid w:val="00893ADC"/>
    <w:rsid w:val="008947BD"/>
    <w:rsid w:val="008948C4"/>
    <w:rsid w:val="0089567A"/>
    <w:rsid w:val="00895820"/>
    <w:rsid w:val="00895F3C"/>
    <w:rsid w:val="00896224"/>
    <w:rsid w:val="00896B74"/>
    <w:rsid w:val="00896CA2"/>
    <w:rsid w:val="00897588"/>
    <w:rsid w:val="008975FC"/>
    <w:rsid w:val="00897A05"/>
    <w:rsid w:val="00897BC7"/>
    <w:rsid w:val="00897EEE"/>
    <w:rsid w:val="008A048E"/>
    <w:rsid w:val="008A0E7D"/>
    <w:rsid w:val="008A1177"/>
    <w:rsid w:val="008A11E8"/>
    <w:rsid w:val="008A1307"/>
    <w:rsid w:val="008A14D2"/>
    <w:rsid w:val="008A1557"/>
    <w:rsid w:val="008A17A8"/>
    <w:rsid w:val="008A227C"/>
    <w:rsid w:val="008A250B"/>
    <w:rsid w:val="008A2DB9"/>
    <w:rsid w:val="008A4341"/>
    <w:rsid w:val="008A4495"/>
    <w:rsid w:val="008A4BE0"/>
    <w:rsid w:val="008A4FE0"/>
    <w:rsid w:val="008A5136"/>
    <w:rsid w:val="008A537B"/>
    <w:rsid w:val="008A596F"/>
    <w:rsid w:val="008A5F74"/>
    <w:rsid w:val="008A605E"/>
    <w:rsid w:val="008A7189"/>
    <w:rsid w:val="008A7ABC"/>
    <w:rsid w:val="008B082F"/>
    <w:rsid w:val="008B13A3"/>
    <w:rsid w:val="008B1446"/>
    <w:rsid w:val="008B14DC"/>
    <w:rsid w:val="008B2AEF"/>
    <w:rsid w:val="008B2EED"/>
    <w:rsid w:val="008B3944"/>
    <w:rsid w:val="008B3A9E"/>
    <w:rsid w:val="008B3ADB"/>
    <w:rsid w:val="008B3B05"/>
    <w:rsid w:val="008B55E4"/>
    <w:rsid w:val="008B5ECA"/>
    <w:rsid w:val="008B5F4A"/>
    <w:rsid w:val="008B600B"/>
    <w:rsid w:val="008B6802"/>
    <w:rsid w:val="008B6830"/>
    <w:rsid w:val="008B74D0"/>
    <w:rsid w:val="008B75AD"/>
    <w:rsid w:val="008B7634"/>
    <w:rsid w:val="008C20C1"/>
    <w:rsid w:val="008C2682"/>
    <w:rsid w:val="008C29FC"/>
    <w:rsid w:val="008C2A81"/>
    <w:rsid w:val="008C301A"/>
    <w:rsid w:val="008C3D2F"/>
    <w:rsid w:val="008C51BF"/>
    <w:rsid w:val="008C51D6"/>
    <w:rsid w:val="008C5400"/>
    <w:rsid w:val="008C6CF1"/>
    <w:rsid w:val="008C7123"/>
    <w:rsid w:val="008C73AB"/>
    <w:rsid w:val="008C782D"/>
    <w:rsid w:val="008C7B99"/>
    <w:rsid w:val="008D07E4"/>
    <w:rsid w:val="008D1ADB"/>
    <w:rsid w:val="008D1D63"/>
    <w:rsid w:val="008D1F49"/>
    <w:rsid w:val="008D2006"/>
    <w:rsid w:val="008D2754"/>
    <w:rsid w:val="008D2A1A"/>
    <w:rsid w:val="008D397B"/>
    <w:rsid w:val="008D4065"/>
    <w:rsid w:val="008D4C01"/>
    <w:rsid w:val="008D4CA0"/>
    <w:rsid w:val="008D5129"/>
    <w:rsid w:val="008D5C27"/>
    <w:rsid w:val="008D6292"/>
    <w:rsid w:val="008D6EDE"/>
    <w:rsid w:val="008D71A1"/>
    <w:rsid w:val="008D789D"/>
    <w:rsid w:val="008E2403"/>
    <w:rsid w:val="008E28E8"/>
    <w:rsid w:val="008E3002"/>
    <w:rsid w:val="008E32D9"/>
    <w:rsid w:val="008E3376"/>
    <w:rsid w:val="008E35F2"/>
    <w:rsid w:val="008E36A4"/>
    <w:rsid w:val="008E4134"/>
    <w:rsid w:val="008E461D"/>
    <w:rsid w:val="008E4EED"/>
    <w:rsid w:val="008E504D"/>
    <w:rsid w:val="008E5F2F"/>
    <w:rsid w:val="008E6001"/>
    <w:rsid w:val="008E7C56"/>
    <w:rsid w:val="008F1624"/>
    <w:rsid w:val="008F1D86"/>
    <w:rsid w:val="008F2B6A"/>
    <w:rsid w:val="008F2E91"/>
    <w:rsid w:val="008F3250"/>
    <w:rsid w:val="008F37CB"/>
    <w:rsid w:val="008F3874"/>
    <w:rsid w:val="008F440C"/>
    <w:rsid w:val="008F44D7"/>
    <w:rsid w:val="008F4BF7"/>
    <w:rsid w:val="008F4E63"/>
    <w:rsid w:val="008F4F7C"/>
    <w:rsid w:val="008F5544"/>
    <w:rsid w:val="008F56E7"/>
    <w:rsid w:val="008F6499"/>
    <w:rsid w:val="008F7209"/>
    <w:rsid w:val="008F726E"/>
    <w:rsid w:val="008F726F"/>
    <w:rsid w:val="00900653"/>
    <w:rsid w:val="009006E6"/>
    <w:rsid w:val="00901761"/>
    <w:rsid w:val="00901870"/>
    <w:rsid w:val="00901877"/>
    <w:rsid w:val="00901B3D"/>
    <w:rsid w:val="009023EA"/>
    <w:rsid w:val="00902485"/>
    <w:rsid w:val="009025B9"/>
    <w:rsid w:val="00903221"/>
    <w:rsid w:val="00903D63"/>
    <w:rsid w:val="00905204"/>
    <w:rsid w:val="00905234"/>
    <w:rsid w:val="00905313"/>
    <w:rsid w:val="00905B0F"/>
    <w:rsid w:val="00906255"/>
    <w:rsid w:val="009074E4"/>
    <w:rsid w:val="00907501"/>
    <w:rsid w:val="0091072F"/>
    <w:rsid w:val="00910753"/>
    <w:rsid w:val="00910FEB"/>
    <w:rsid w:val="0091144B"/>
    <w:rsid w:val="00911463"/>
    <w:rsid w:val="00912065"/>
    <w:rsid w:val="009125C8"/>
    <w:rsid w:val="009132C7"/>
    <w:rsid w:val="00913CE4"/>
    <w:rsid w:val="00913DBA"/>
    <w:rsid w:val="00914735"/>
    <w:rsid w:val="00914AB6"/>
    <w:rsid w:val="00914AC8"/>
    <w:rsid w:val="00914D6B"/>
    <w:rsid w:val="009150CB"/>
    <w:rsid w:val="00915276"/>
    <w:rsid w:val="0091555B"/>
    <w:rsid w:val="0091621E"/>
    <w:rsid w:val="00916A53"/>
    <w:rsid w:val="00917D9F"/>
    <w:rsid w:val="00917E37"/>
    <w:rsid w:val="00920003"/>
    <w:rsid w:val="0092026C"/>
    <w:rsid w:val="009206CC"/>
    <w:rsid w:val="0092081B"/>
    <w:rsid w:val="00921C50"/>
    <w:rsid w:val="00923A0E"/>
    <w:rsid w:val="00924173"/>
    <w:rsid w:val="009255D4"/>
    <w:rsid w:val="009264DC"/>
    <w:rsid w:val="00926667"/>
    <w:rsid w:val="00926749"/>
    <w:rsid w:val="0092676B"/>
    <w:rsid w:val="00926A42"/>
    <w:rsid w:val="00926EEE"/>
    <w:rsid w:val="00926F59"/>
    <w:rsid w:val="00927D06"/>
    <w:rsid w:val="0093011C"/>
    <w:rsid w:val="009302AB"/>
    <w:rsid w:val="00930532"/>
    <w:rsid w:val="00930694"/>
    <w:rsid w:val="00930EFC"/>
    <w:rsid w:val="009314A4"/>
    <w:rsid w:val="00931913"/>
    <w:rsid w:val="00931CBB"/>
    <w:rsid w:val="0093221D"/>
    <w:rsid w:val="009324B7"/>
    <w:rsid w:val="00932D74"/>
    <w:rsid w:val="0093547D"/>
    <w:rsid w:val="00935FB9"/>
    <w:rsid w:val="009365CF"/>
    <w:rsid w:val="0093751C"/>
    <w:rsid w:val="0093758D"/>
    <w:rsid w:val="00937875"/>
    <w:rsid w:val="009378A6"/>
    <w:rsid w:val="00940BF8"/>
    <w:rsid w:val="00940C76"/>
    <w:rsid w:val="0094129B"/>
    <w:rsid w:val="00941F2A"/>
    <w:rsid w:val="009427BD"/>
    <w:rsid w:val="009427C9"/>
    <w:rsid w:val="00945B62"/>
    <w:rsid w:val="00945BD3"/>
    <w:rsid w:val="0094674A"/>
    <w:rsid w:val="00946B9D"/>
    <w:rsid w:val="0094747C"/>
    <w:rsid w:val="0094797F"/>
    <w:rsid w:val="00947D06"/>
    <w:rsid w:val="009509C0"/>
    <w:rsid w:val="00950C03"/>
    <w:rsid w:val="00950D33"/>
    <w:rsid w:val="0095207D"/>
    <w:rsid w:val="0095291D"/>
    <w:rsid w:val="00952FF8"/>
    <w:rsid w:val="00953010"/>
    <w:rsid w:val="00953993"/>
    <w:rsid w:val="00953A2A"/>
    <w:rsid w:val="00955096"/>
    <w:rsid w:val="0095553F"/>
    <w:rsid w:val="00955C7B"/>
    <w:rsid w:val="00955D89"/>
    <w:rsid w:val="00956DBE"/>
    <w:rsid w:val="00957313"/>
    <w:rsid w:val="0095781B"/>
    <w:rsid w:val="00960268"/>
    <w:rsid w:val="00960458"/>
    <w:rsid w:val="00960720"/>
    <w:rsid w:val="00960D2F"/>
    <w:rsid w:val="00960F12"/>
    <w:rsid w:val="00961810"/>
    <w:rsid w:val="00961C9F"/>
    <w:rsid w:val="009623B8"/>
    <w:rsid w:val="00962D25"/>
    <w:rsid w:val="00962F9D"/>
    <w:rsid w:val="009630E3"/>
    <w:rsid w:val="00963346"/>
    <w:rsid w:val="009650C9"/>
    <w:rsid w:val="00965102"/>
    <w:rsid w:val="009661FB"/>
    <w:rsid w:val="00967716"/>
    <w:rsid w:val="00970425"/>
    <w:rsid w:val="00970614"/>
    <w:rsid w:val="0097342D"/>
    <w:rsid w:val="00973BDB"/>
    <w:rsid w:val="0097411A"/>
    <w:rsid w:val="0097445D"/>
    <w:rsid w:val="00976092"/>
    <w:rsid w:val="009760A4"/>
    <w:rsid w:val="009767D8"/>
    <w:rsid w:val="00976C61"/>
    <w:rsid w:val="009778BF"/>
    <w:rsid w:val="00977BC1"/>
    <w:rsid w:val="00977D69"/>
    <w:rsid w:val="00980B85"/>
    <w:rsid w:val="0098146C"/>
    <w:rsid w:val="009814F6"/>
    <w:rsid w:val="00981ED0"/>
    <w:rsid w:val="009821F2"/>
    <w:rsid w:val="009823D9"/>
    <w:rsid w:val="00982A49"/>
    <w:rsid w:val="00982C46"/>
    <w:rsid w:val="00982DC9"/>
    <w:rsid w:val="00983331"/>
    <w:rsid w:val="009834D3"/>
    <w:rsid w:val="00983AC5"/>
    <w:rsid w:val="0098434F"/>
    <w:rsid w:val="0098451D"/>
    <w:rsid w:val="00984D27"/>
    <w:rsid w:val="00985594"/>
    <w:rsid w:val="009862EA"/>
    <w:rsid w:val="00986616"/>
    <w:rsid w:val="0098662C"/>
    <w:rsid w:val="00986751"/>
    <w:rsid w:val="009870D9"/>
    <w:rsid w:val="009877F8"/>
    <w:rsid w:val="00990094"/>
    <w:rsid w:val="00990927"/>
    <w:rsid w:val="00990D9F"/>
    <w:rsid w:val="009910FA"/>
    <w:rsid w:val="009911CF"/>
    <w:rsid w:val="00991B42"/>
    <w:rsid w:val="00992E85"/>
    <w:rsid w:val="00993153"/>
    <w:rsid w:val="009935DD"/>
    <w:rsid w:val="00993B68"/>
    <w:rsid w:val="009946AF"/>
    <w:rsid w:val="009955E8"/>
    <w:rsid w:val="00995B58"/>
    <w:rsid w:val="00996212"/>
    <w:rsid w:val="009966D9"/>
    <w:rsid w:val="00997383"/>
    <w:rsid w:val="00997388"/>
    <w:rsid w:val="009973FD"/>
    <w:rsid w:val="00997B57"/>
    <w:rsid w:val="009A0206"/>
    <w:rsid w:val="009A04D1"/>
    <w:rsid w:val="009A08CA"/>
    <w:rsid w:val="009A0EEE"/>
    <w:rsid w:val="009A1503"/>
    <w:rsid w:val="009A1BCE"/>
    <w:rsid w:val="009A22EF"/>
    <w:rsid w:val="009A28EE"/>
    <w:rsid w:val="009A31F3"/>
    <w:rsid w:val="009A36E9"/>
    <w:rsid w:val="009A37D2"/>
    <w:rsid w:val="009A424E"/>
    <w:rsid w:val="009A4671"/>
    <w:rsid w:val="009A4875"/>
    <w:rsid w:val="009A4DC6"/>
    <w:rsid w:val="009A598F"/>
    <w:rsid w:val="009A6293"/>
    <w:rsid w:val="009A66C7"/>
    <w:rsid w:val="009A6903"/>
    <w:rsid w:val="009A6FE8"/>
    <w:rsid w:val="009B0583"/>
    <w:rsid w:val="009B0DDD"/>
    <w:rsid w:val="009B132E"/>
    <w:rsid w:val="009B1654"/>
    <w:rsid w:val="009B18F3"/>
    <w:rsid w:val="009B1F0A"/>
    <w:rsid w:val="009B2371"/>
    <w:rsid w:val="009B2A85"/>
    <w:rsid w:val="009B2F58"/>
    <w:rsid w:val="009B31EC"/>
    <w:rsid w:val="009B34C2"/>
    <w:rsid w:val="009B395D"/>
    <w:rsid w:val="009B5449"/>
    <w:rsid w:val="009B5591"/>
    <w:rsid w:val="009B5756"/>
    <w:rsid w:val="009B5A56"/>
    <w:rsid w:val="009B5CB5"/>
    <w:rsid w:val="009B6C0C"/>
    <w:rsid w:val="009B75D3"/>
    <w:rsid w:val="009B7DAF"/>
    <w:rsid w:val="009C0956"/>
    <w:rsid w:val="009C10D9"/>
    <w:rsid w:val="009C14E3"/>
    <w:rsid w:val="009C1D2B"/>
    <w:rsid w:val="009C1FBC"/>
    <w:rsid w:val="009C204C"/>
    <w:rsid w:val="009C2539"/>
    <w:rsid w:val="009C2C13"/>
    <w:rsid w:val="009C2DEA"/>
    <w:rsid w:val="009C2FBD"/>
    <w:rsid w:val="009C339F"/>
    <w:rsid w:val="009C3664"/>
    <w:rsid w:val="009C3C8B"/>
    <w:rsid w:val="009C414A"/>
    <w:rsid w:val="009C45BC"/>
    <w:rsid w:val="009C49A2"/>
    <w:rsid w:val="009C4D6A"/>
    <w:rsid w:val="009C50C2"/>
    <w:rsid w:val="009C572C"/>
    <w:rsid w:val="009C6BEC"/>
    <w:rsid w:val="009C71D8"/>
    <w:rsid w:val="009C74DB"/>
    <w:rsid w:val="009C7C1E"/>
    <w:rsid w:val="009D0572"/>
    <w:rsid w:val="009D0A9D"/>
    <w:rsid w:val="009D0C64"/>
    <w:rsid w:val="009D113F"/>
    <w:rsid w:val="009D11DF"/>
    <w:rsid w:val="009D221F"/>
    <w:rsid w:val="009D3244"/>
    <w:rsid w:val="009D338D"/>
    <w:rsid w:val="009D3C65"/>
    <w:rsid w:val="009D3EF7"/>
    <w:rsid w:val="009D45E3"/>
    <w:rsid w:val="009D49B4"/>
    <w:rsid w:val="009D5625"/>
    <w:rsid w:val="009D567F"/>
    <w:rsid w:val="009D5BE6"/>
    <w:rsid w:val="009D5C8F"/>
    <w:rsid w:val="009D6EE3"/>
    <w:rsid w:val="009E00E8"/>
    <w:rsid w:val="009E06EA"/>
    <w:rsid w:val="009E0C2E"/>
    <w:rsid w:val="009E0C64"/>
    <w:rsid w:val="009E0E40"/>
    <w:rsid w:val="009E19E4"/>
    <w:rsid w:val="009E24D2"/>
    <w:rsid w:val="009E2585"/>
    <w:rsid w:val="009E2B6C"/>
    <w:rsid w:val="009E3A8C"/>
    <w:rsid w:val="009E4789"/>
    <w:rsid w:val="009E51EC"/>
    <w:rsid w:val="009E59B4"/>
    <w:rsid w:val="009E602A"/>
    <w:rsid w:val="009E75E8"/>
    <w:rsid w:val="009E7842"/>
    <w:rsid w:val="009F0655"/>
    <w:rsid w:val="009F1658"/>
    <w:rsid w:val="009F1822"/>
    <w:rsid w:val="009F2048"/>
    <w:rsid w:val="009F3392"/>
    <w:rsid w:val="009F4A33"/>
    <w:rsid w:val="009F4E7E"/>
    <w:rsid w:val="009F4ED8"/>
    <w:rsid w:val="009F509E"/>
    <w:rsid w:val="009F51B0"/>
    <w:rsid w:val="009F51EF"/>
    <w:rsid w:val="009F53C7"/>
    <w:rsid w:val="009F58B1"/>
    <w:rsid w:val="009F6225"/>
    <w:rsid w:val="009F6243"/>
    <w:rsid w:val="009F691A"/>
    <w:rsid w:val="009F6B9E"/>
    <w:rsid w:val="009F6C5A"/>
    <w:rsid w:val="009F6FD8"/>
    <w:rsid w:val="009F6FFA"/>
    <w:rsid w:val="009F710C"/>
    <w:rsid w:val="00A00110"/>
    <w:rsid w:val="00A01951"/>
    <w:rsid w:val="00A022BB"/>
    <w:rsid w:val="00A02D8D"/>
    <w:rsid w:val="00A02FAA"/>
    <w:rsid w:val="00A045F5"/>
    <w:rsid w:val="00A04DB4"/>
    <w:rsid w:val="00A052DD"/>
    <w:rsid w:val="00A05344"/>
    <w:rsid w:val="00A05546"/>
    <w:rsid w:val="00A055BC"/>
    <w:rsid w:val="00A0630D"/>
    <w:rsid w:val="00A0688A"/>
    <w:rsid w:val="00A07432"/>
    <w:rsid w:val="00A07797"/>
    <w:rsid w:val="00A108AF"/>
    <w:rsid w:val="00A1095C"/>
    <w:rsid w:val="00A11237"/>
    <w:rsid w:val="00A117AA"/>
    <w:rsid w:val="00A11ACD"/>
    <w:rsid w:val="00A11B5F"/>
    <w:rsid w:val="00A11D74"/>
    <w:rsid w:val="00A12E11"/>
    <w:rsid w:val="00A136C1"/>
    <w:rsid w:val="00A13A3F"/>
    <w:rsid w:val="00A13DCD"/>
    <w:rsid w:val="00A13DE8"/>
    <w:rsid w:val="00A141EB"/>
    <w:rsid w:val="00A148FB"/>
    <w:rsid w:val="00A14A9D"/>
    <w:rsid w:val="00A14D5C"/>
    <w:rsid w:val="00A15AF2"/>
    <w:rsid w:val="00A16036"/>
    <w:rsid w:val="00A16325"/>
    <w:rsid w:val="00A165B4"/>
    <w:rsid w:val="00A16DD2"/>
    <w:rsid w:val="00A17106"/>
    <w:rsid w:val="00A176F7"/>
    <w:rsid w:val="00A179C6"/>
    <w:rsid w:val="00A17D54"/>
    <w:rsid w:val="00A17F5B"/>
    <w:rsid w:val="00A17F61"/>
    <w:rsid w:val="00A205D6"/>
    <w:rsid w:val="00A20D8E"/>
    <w:rsid w:val="00A21C15"/>
    <w:rsid w:val="00A2314C"/>
    <w:rsid w:val="00A234BC"/>
    <w:rsid w:val="00A23903"/>
    <w:rsid w:val="00A23AB3"/>
    <w:rsid w:val="00A23B0A"/>
    <w:rsid w:val="00A2414F"/>
    <w:rsid w:val="00A2466D"/>
    <w:rsid w:val="00A248C0"/>
    <w:rsid w:val="00A24D3B"/>
    <w:rsid w:val="00A24FF7"/>
    <w:rsid w:val="00A25379"/>
    <w:rsid w:val="00A25675"/>
    <w:rsid w:val="00A25952"/>
    <w:rsid w:val="00A263E4"/>
    <w:rsid w:val="00A26621"/>
    <w:rsid w:val="00A271CE"/>
    <w:rsid w:val="00A27552"/>
    <w:rsid w:val="00A27937"/>
    <w:rsid w:val="00A27AD6"/>
    <w:rsid w:val="00A27D02"/>
    <w:rsid w:val="00A27DDF"/>
    <w:rsid w:val="00A30FB0"/>
    <w:rsid w:val="00A313A6"/>
    <w:rsid w:val="00A314F3"/>
    <w:rsid w:val="00A316E5"/>
    <w:rsid w:val="00A31B3E"/>
    <w:rsid w:val="00A32250"/>
    <w:rsid w:val="00A32913"/>
    <w:rsid w:val="00A33840"/>
    <w:rsid w:val="00A33A12"/>
    <w:rsid w:val="00A33BE6"/>
    <w:rsid w:val="00A33F24"/>
    <w:rsid w:val="00A3403F"/>
    <w:rsid w:val="00A34FB7"/>
    <w:rsid w:val="00A353BF"/>
    <w:rsid w:val="00A35459"/>
    <w:rsid w:val="00A35596"/>
    <w:rsid w:val="00A36B18"/>
    <w:rsid w:val="00A36BE3"/>
    <w:rsid w:val="00A372D4"/>
    <w:rsid w:val="00A37C21"/>
    <w:rsid w:val="00A40005"/>
    <w:rsid w:val="00A40128"/>
    <w:rsid w:val="00A4022F"/>
    <w:rsid w:val="00A40875"/>
    <w:rsid w:val="00A40B49"/>
    <w:rsid w:val="00A40E5B"/>
    <w:rsid w:val="00A40F6B"/>
    <w:rsid w:val="00A414B1"/>
    <w:rsid w:val="00A419A0"/>
    <w:rsid w:val="00A426A6"/>
    <w:rsid w:val="00A42711"/>
    <w:rsid w:val="00A42A52"/>
    <w:rsid w:val="00A42C42"/>
    <w:rsid w:val="00A4340A"/>
    <w:rsid w:val="00A43FFB"/>
    <w:rsid w:val="00A444D7"/>
    <w:rsid w:val="00A44619"/>
    <w:rsid w:val="00A452B3"/>
    <w:rsid w:val="00A458ED"/>
    <w:rsid w:val="00A45C12"/>
    <w:rsid w:val="00A4602A"/>
    <w:rsid w:val="00A46BF7"/>
    <w:rsid w:val="00A46CDE"/>
    <w:rsid w:val="00A50204"/>
    <w:rsid w:val="00A505D3"/>
    <w:rsid w:val="00A50F97"/>
    <w:rsid w:val="00A5193B"/>
    <w:rsid w:val="00A51994"/>
    <w:rsid w:val="00A51A32"/>
    <w:rsid w:val="00A51AE3"/>
    <w:rsid w:val="00A523EE"/>
    <w:rsid w:val="00A538CF"/>
    <w:rsid w:val="00A53960"/>
    <w:rsid w:val="00A53D28"/>
    <w:rsid w:val="00A53FD8"/>
    <w:rsid w:val="00A54784"/>
    <w:rsid w:val="00A557D4"/>
    <w:rsid w:val="00A57045"/>
    <w:rsid w:val="00A57D42"/>
    <w:rsid w:val="00A60AB5"/>
    <w:rsid w:val="00A6135C"/>
    <w:rsid w:val="00A61E34"/>
    <w:rsid w:val="00A62D0F"/>
    <w:rsid w:val="00A63316"/>
    <w:rsid w:val="00A64770"/>
    <w:rsid w:val="00A649FF"/>
    <w:rsid w:val="00A654CF"/>
    <w:rsid w:val="00A65728"/>
    <w:rsid w:val="00A659AC"/>
    <w:rsid w:val="00A67179"/>
    <w:rsid w:val="00A672C0"/>
    <w:rsid w:val="00A67D78"/>
    <w:rsid w:val="00A702BF"/>
    <w:rsid w:val="00A70316"/>
    <w:rsid w:val="00A70350"/>
    <w:rsid w:val="00A712C1"/>
    <w:rsid w:val="00A72136"/>
    <w:rsid w:val="00A730E4"/>
    <w:rsid w:val="00A73891"/>
    <w:rsid w:val="00A73A30"/>
    <w:rsid w:val="00A73D4F"/>
    <w:rsid w:val="00A73D52"/>
    <w:rsid w:val="00A73FC3"/>
    <w:rsid w:val="00A74318"/>
    <w:rsid w:val="00A74367"/>
    <w:rsid w:val="00A744FE"/>
    <w:rsid w:val="00A7480B"/>
    <w:rsid w:val="00A74810"/>
    <w:rsid w:val="00A74E5A"/>
    <w:rsid w:val="00A750A5"/>
    <w:rsid w:val="00A754D9"/>
    <w:rsid w:val="00A75680"/>
    <w:rsid w:val="00A75C8C"/>
    <w:rsid w:val="00A77330"/>
    <w:rsid w:val="00A80B85"/>
    <w:rsid w:val="00A8287E"/>
    <w:rsid w:val="00A828BB"/>
    <w:rsid w:val="00A8346A"/>
    <w:rsid w:val="00A8347F"/>
    <w:rsid w:val="00A838EA"/>
    <w:rsid w:val="00A8400C"/>
    <w:rsid w:val="00A84A9D"/>
    <w:rsid w:val="00A84EF3"/>
    <w:rsid w:val="00A8599A"/>
    <w:rsid w:val="00A85E51"/>
    <w:rsid w:val="00A86B98"/>
    <w:rsid w:val="00A873F6"/>
    <w:rsid w:val="00A90154"/>
    <w:rsid w:val="00A90161"/>
    <w:rsid w:val="00A90B3E"/>
    <w:rsid w:val="00A90D39"/>
    <w:rsid w:val="00A916CD"/>
    <w:rsid w:val="00A92428"/>
    <w:rsid w:val="00A9295C"/>
    <w:rsid w:val="00A92E6E"/>
    <w:rsid w:val="00A93E7F"/>
    <w:rsid w:val="00A93F41"/>
    <w:rsid w:val="00A94959"/>
    <w:rsid w:val="00A94A6D"/>
    <w:rsid w:val="00A951AB"/>
    <w:rsid w:val="00A9522A"/>
    <w:rsid w:val="00A955A4"/>
    <w:rsid w:val="00A9607F"/>
    <w:rsid w:val="00A96C99"/>
    <w:rsid w:val="00A96D36"/>
    <w:rsid w:val="00A9700C"/>
    <w:rsid w:val="00A971F2"/>
    <w:rsid w:val="00A975F5"/>
    <w:rsid w:val="00A97C93"/>
    <w:rsid w:val="00AA012B"/>
    <w:rsid w:val="00AA014A"/>
    <w:rsid w:val="00AA0289"/>
    <w:rsid w:val="00AA06E0"/>
    <w:rsid w:val="00AA077C"/>
    <w:rsid w:val="00AA0DF8"/>
    <w:rsid w:val="00AA0F21"/>
    <w:rsid w:val="00AA1480"/>
    <w:rsid w:val="00AA1676"/>
    <w:rsid w:val="00AA227D"/>
    <w:rsid w:val="00AA249C"/>
    <w:rsid w:val="00AA33B7"/>
    <w:rsid w:val="00AA4F7E"/>
    <w:rsid w:val="00AA5555"/>
    <w:rsid w:val="00AA55B3"/>
    <w:rsid w:val="00AA5ED0"/>
    <w:rsid w:val="00AA6D0A"/>
    <w:rsid w:val="00AA76F0"/>
    <w:rsid w:val="00AA7C8A"/>
    <w:rsid w:val="00AB1792"/>
    <w:rsid w:val="00AB2DBC"/>
    <w:rsid w:val="00AB4ABB"/>
    <w:rsid w:val="00AB4F6B"/>
    <w:rsid w:val="00AB536E"/>
    <w:rsid w:val="00AB5426"/>
    <w:rsid w:val="00AB5621"/>
    <w:rsid w:val="00AB5911"/>
    <w:rsid w:val="00AB5A88"/>
    <w:rsid w:val="00AB5AE4"/>
    <w:rsid w:val="00AB5D54"/>
    <w:rsid w:val="00AB6804"/>
    <w:rsid w:val="00AB6E5C"/>
    <w:rsid w:val="00AB7056"/>
    <w:rsid w:val="00AB7585"/>
    <w:rsid w:val="00AB7C1E"/>
    <w:rsid w:val="00AC0A0A"/>
    <w:rsid w:val="00AC110C"/>
    <w:rsid w:val="00AC1312"/>
    <w:rsid w:val="00AC14B9"/>
    <w:rsid w:val="00AC1F06"/>
    <w:rsid w:val="00AC2003"/>
    <w:rsid w:val="00AC2227"/>
    <w:rsid w:val="00AC3F82"/>
    <w:rsid w:val="00AC524C"/>
    <w:rsid w:val="00AC541B"/>
    <w:rsid w:val="00AC55DA"/>
    <w:rsid w:val="00AC60AB"/>
    <w:rsid w:val="00AC60D6"/>
    <w:rsid w:val="00AC6E6A"/>
    <w:rsid w:val="00AC776D"/>
    <w:rsid w:val="00AD0855"/>
    <w:rsid w:val="00AD1453"/>
    <w:rsid w:val="00AD1ABD"/>
    <w:rsid w:val="00AD1B51"/>
    <w:rsid w:val="00AD1B9C"/>
    <w:rsid w:val="00AD1BF8"/>
    <w:rsid w:val="00AD27EC"/>
    <w:rsid w:val="00AD2AAB"/>
    <w:rsid w:val="00AD2E99"/>
    <w:rsid w:val="00AD36CD"/>
    <w:rsid w:val="00AD3C18"/>
    <w:rsid w:val="00AD3C6F"/>
    <w:rsid w:val="00AD4357"/>
    <w:rsid w:val="00AD45EA"/>
    <w:rsid w:val="00AD46F5"/>
    <w:rsid w:val="00AD49E3"/>
    <w:rsid w:val="00AD4A0E"/>
    <w:rsid w:val="00AD4D9D"/>
    <w:rsid w:val="00AD5031"/>
    <w:rsid w:val="00AD6736"/>
    <w:rsid w:val="00AD7117"/>
    <w:rsid w:val="00AD78FF"/>
    <w:rsid w:val="00AD799A"/>
    <w:rsid w:val="00AD7CEC"/>
    <w:rsid w:val="00AE0587"/>
    <w:rsid w:val="00AE0643"/>
    <w:rsid w:val="00AE08B1"/>
    <w:rsid w:val="00AE094E"/>
    <w:rsid w:val="00AE0D0B"/>
    <w:rsid w:val="00AE0E2E"/>
    <w:rsid w:val="00AE189A"/>
    <w:rsid w:val="00AE381A"/>
    <w:rsid w:val="00AE393D"/>
    <w:rsid w:val="00AE3C79"/>
    <w:rsid w:val="00AE41AC"/>
    <w:rsid w:val="00AE41E9"/>
    <w:rsid w:val="00AE4257"/>
    <w:rsid w:val="00AE4422"/>
    <w:rsid w:val="00AE4C21"/>
    <w:rsid w:val="00AE58D5"/>
    <w:rsid w:val="00AE5E06"/>
    <w:rsid w:val="00AE644A"/>
    <w:rsid w:val="00AE70FE"/>
    <w:rsid w:val="00AE7DE0"/>
    <w:rsid w:val="00AF01DD"/>
    <w:rsid w:val="00AF0709"/>
    <w:rsid w:val="00AF0761"/>
    <w:rsid w:val="00AF1261"/>
    <w:rsid w:val="00AF15EE"/>
    <w:rsid w:val="00AF1A45"/>
    <w:rsid w:val="00AF2F8F"/>
    <w:rsid w:val="00AF34C6"/>
    <w:rsid w:val="00AF53BD"/>
    <w:rsid w:val="00AF56CC"/>
    <w:rsid w:val="00AF5749"/>
    <w:rsid w:val="00AF6D69"/>
    <w:rsid w:val="00AF6DF7"/>
    <w:rsid w:val="00AF702A"/>
    <w:rsid w:val="00AF72A0"/>
    <w:rsid w:val="00AF73F6"/>
    <w:rsid w:val="00AF753B"/>
    <w:rsid w:val="00B00005"/>
    <w:rsid w:val="00B00E70"/>
    <w:rsid w:val="00B01A99"/>
    <w:rsid w:val="00B029F2"/>
    <w:rsid w:val="00B037EE"/>
    <w:rsid w:val="00B0449E"/>
    <w:rsid w:val="00B04B25"/>
    <w:rsid w:val="00B0528A"/>
    <w:rsid w:val="00B05513"/>
    <w:rsid w:val="00B05517"/>
    <w:rsid w:val="00B05FD1"/>
    <w:rsid w:val="00B06A12"/>
    <w:rsid w:val="00B06F3B"/>
    <w:rsid w:val="00B0793A"/>
    <w:rsid w:val="00B07C60"/>
    <w:rsid w:val="00B07E36"/>
    <w:rsid w:val="00B07EEA"/>
    <w:rsid w:val="00B07F4F"/>
    <w:rsid w:val="00B103D4"/>
    <w:rsid w:val="00B10ABC"/>
    <w:rsid w:val="00B10B75"/>
    <w:rsid w:val="00B10DF1"/>
    <w:rsid w:val="00B10EFA"/>
    <w:rsid w:val="00B11290"/>
    <w:rsid w:val="00B11BAB"/>
    <w:rsid w:val="00B12C80"/>
    <w:rsid w:val="00B12E5A"/>
    <w:rsid w:val="00B131C9"/>
    <w:rsid w:val="00B132D1"/>
    <w:rsid w:val="00B13756"/>
    <w:rsid w:val="00B13894"/>
    <w:rsid w:val="00B13F68"/>
    <w:rsid w:val="00B14121"/>
    <w:rsid w:val="00B14B76"/>
    <w:rsid w:val="00B15538"/>
    <w:rsid w:val="00B15679"/>
    <w:rsid w:val="00B15A09"/>
    <w:rsid w:val="00B15A9A"/>
    <w:rsid w:val="00B16302"/>
    <w:rsid w:val="00B17208"/>
    <w:rsid w:val="00B17398"/>
    <w:rsid w:val="00B17569"/>
    <w:rsid w:val="00B177C8"/>
    <w:rsid w:val="00B20265"/>
    <w:rsid w:val="00B206C7"/>
    <w:rsid w:val="00B20A6F"/>
    <w:rsid w:val="00B214FB"/>
    <w:rsid w:val="00B21CC6"/>
    <w:rsid w:val="00B21CD4"/>
    <w:rsid w:val="00B21DBA"/>
    <w:rsid w:val="00B2218B"/>
    <w:rsid w:val="00B2231E"/>
    <w:rsid w:val="00B237C5"/>
    <w:rsid w:val="00B240AF"/>
    <w:rsid w:val="00B243AA"/>
    <w:rsid w:val="00B2499D"/>
    <w:rsid w:val="00B24DE3"/>
    <w:rsid w:val="00B2547E"/>
    <w:rsid w:val="00B258D7"/>
    <w:rsid w:val="00B25DDC"/>
    <w:rsid w:val="00B262CA"/>
    <w:rsid w:val="00B26A3D"/>
    <w:rsid w:val="00B2780D"/>
    <w:rsid w:val="00B301E4"/>
    <w:rsid w:val="00B30695"/>
    <w:rsid w:val="00B312FE"/>
    <w:rsid w:val="00B317CE"/>
    <w:rsid w:val="00B32330"/>
    <w:rsid w:val="00B32849"/>
    <w:rsid w:val="00B330B7"/>
    <w:rsid w:val="00B33391"/>
    <w:rsid w:val="00B33EEF"/>
    <w:rsid w:val="00B3462B"/>
    <w:rsid w:val="00B34BC1"/>
    <w:rsid w:val="00B350D6"/>
    <w:rsid w:val="00B35261"/>
    <w:rsid w:val="00B357BE"/>
    <w:rsid w:val="00B362C0"/>
    <w:rsid w:val="00B3632D"/>
    <w:rsid w:val="00B3660F"/>
    <w:rsid w:val="00B36643"/>
    <w:rsid w:val="00B36CD1"/>
    <w:rsid w:val="00B37515"/>
    <w:rsid w:val="00B37F82"/>
    <w:rsid w:val="00B407D0"/>
    <w:rsid w:val="00B41258"/>
    <w:rsid w:val="00B41B99"/>
    <w:rsid w:val="00B41CDA"/>
    <w:rsid w:val="00B426E2"/>
    <w:rsid w:val="00B42B4E"/>
    <w:rsid w:val="00B42C35"/>
    <w:rsid w:val="00B43B0E"/>
    <w:rsid w:val="00B43D4E"/>
    <w:rsid w:val="00B4462A"/>
    <w:rsid w:val="00B44B24"/>
    <w:rsid w:val="00B45978"/>
    <w:rsid w:val="00B45E95"/>
    <w:rsid w:val="00B4603B"/>
    <w:rsid w:val="00B4615C"/>
    <w:rsid w:val="00B46FA6"/>
    <w:rsid w:val="00B470E0"/>
    <w:rsid w:val="00B4753A"/>
    <w:rsid w:val="00B47A42"/>
    <w:rsid w:val="00B506DE"/>
    <w:rsid w:val="00B51668"/>
    <w:rsid w:val="00B51FFA"/>
    <w:rsid w:val="00B52C5A"/>
    <w:rsid w:val="00B544CE"/>
    <w:rsid w:val="00B5452C"/>
    <w:rsid w:val="00B54977"/>
    <w:rsid w:val="00B549DE"/>
    <w:rsid w:val="00B54B00"/>
    <w:rsid w:val="00B55A84"/>
    <w:rsid w:val="00B55B4E"/>
    <w:rsid w:val="00B56418"/>
    <w:rsid w:val="00B566D6"/>
    <w:rsid w:val="00B569A3"/>
    <w:rsid w:val="00B57CCD"/>
    <w:rsid w:val="00B57FBF"/>
    <w:rsid w:val="00B60480"/>
    <w:rsid w:val="00B60998"/>
    <w:rsid w:val="00B6160E"/>
    <w:rsid w:val="00B61840"/>
    <w:rsid w:val="00B61B3D"/>
    <w:rsid w:val="00B61BBE"/>
    <w:rsid w:val="00B63D82"/>
    <w:rsid w:val="00B63D92"/>
    <w:rsid w:val="00B64953"/>
    <w:rsid w:val="00B65427"/>
    <w:rsid w:val="00B66627"/>
    <w:rsid w:val="00B66E39"/>
    <w:rsid w:val="00B67795"/>
    <w:rsid w:val="00B67C00"/>
    <w:rsid w:val="00B70644"/>
    <w:rsid w:val="00B71191"/>
    <w:rsid w:val="00B7154C"/>
    <w:rsid w:val="00B72C39"/>
    <w:rsid w:val="00B73F7D"/>
    <w:rsid w:val="00B74583"/>
    <w:rsid w:val="00B7461A"/>
    <w:rsid w:val="00B75030"/>
    <w:rsid w:val="00B754B8"/>
    <w:rsid w:val="00B75ACC"/>
    <w:rsid w:val="00B75FE1"/>
    <w:rsid w:val="00B76948"/>
    <w:rsid w:val="00B779F0"/>
    <w:rsid w:val="00B801C2"/>
    <w:rsid w:val="00B80294"/>
    <w:rsid w:val="00B8031C"/>
    <w:rsid w:val="00B803C8"/>
    <w:rsid w:val="00B80C62"/>
    <w:rsid w:val="00B80F84"/>
    <w:rsid w:val="00B81D9A"/>
    <w:rsid w:val="00B81E3B"/>
    <w:rsid w:val="00B82551"/>
    <w:rsid w:val="00B82BE7"/>
    <w:rsid w:val="00B82E46"/>
    <w:rsid w:val="00B83097"/>
    <w:rsid w:val="00B83691"/>
    <w:rsid w:val="00B83939"/>
    <w:rsid w:val="00B83A02"/>
    <w:rsid w:val="00B83C3F"/>
    <w:rsid w:val="00B845C0"/>
    <w:rsid w:val="00B859EE"/>
    <w:rsid w:val="00B85DD8"/>
    <w:rsid w:val="00B86E5C"/>
    <w:rsid w:val="00B86EF4"/>
    <w:rsid w:val="00B870F7"/>
    <w:rsid w:val="00B87703"/>
    <w:rsid w:val="00B87BB0"/>
    <w:rsid w:val="00B87DD1"/>
    <w:rsid w:val="00B87E1B"/>
    <w:rsid w:val="00B87E9C"/>
    <w:rsid w:val="00B90404"/>
    <w:rsid w:val="00B9088D"/>
    <w:rsid w:val="00B90FA8"/>
    <w:rsid w:val="00B9177A"/>
    <w:rsid w:val="00B93A2C"/>
    <w:rsid w:val="00B93A3A"/>
    <w:rsid w:val="00B93E4C"/>
    <w:rsid w:val="00B94055"/>
    <w:rsid w:val="00B94972"/>
    <w:rsid w:val="00B9576E"/>
    <w:rsid w:val="00B9578A"/>
    <w:rsid w:val="00B965B4"/>
    <w:rsid w:val="00B968D0"/>
    <w:rsid w:val="00B96936"/>
    <w:rsid w:val="00B96E4A"/>
    <w:rsid w:val="00B979C9"/>
    <w:rsid w:val="00BA0095"/>
    <w:rsid w:val="00BA015D"/>
    <w:rsid w:val="00BA14EC"/>
    <w:rsid w:val="00BA2569"/>
    <w:rsid w:val="00BA2864"/>
    <w:rsid w:val="00BA2B33"/>
    <w:rsid w:val="00BA2DDD"/>
    <w:rsid w:val="00BA316C"/>
    <w:rsid w:val="00BA31D7"/>
    <w:rsid w:val="00BA3424"/>
    <w:rsid w:val="00BA4376"/>
    <w:rsid w:val="00BA47AE"/>
    <w:rsid w:val="00BA4863"/>
    <w:rsid w:val="00BA4C5E"/>
    <w:rsid w:val="00BA4D4D"/>
    <w:rsid w:val="00BA518B"/>
    <w:rsid w:val="00BA5224"/>
    <w:rsid w:val="00BA5BDA"/>
    <w:rsid w:val="00BA7DB5"/>
    <w:rsid w:val="00BB03C1"/>
    <w:rsid w:val="00BB0976"/>
    <w:rsid w:val="00BB1A58"/>
    <w:rsid w:val="00BB2299"/>
    <w:rsid w:val="00BB380F"/>
    <w:rsid w:val="00BB3DDC"/>
    <w:rsid w:val="00BB3F38"/>
    <w:rsid w:val="00BB52ED"/>
    <w:rsid w:val="00BB58C0"/>
    <w:rsid w:val="00BB5964"/>
    <w:rsid w:val="00BB5CE4"/>
    <w:rsid w:val="00BB5FF7"/>
    <w:rsid w:val="00BB6090"/>
    <w:rsid w:val="00BB6328"/>
    <w:rsid w:val="00BB64F1"/>
    <w:rsid w:val="00BB65CA"/>
    <w:rsid w:val="00BB7261"/>
    <w:rsid w:val="00BB75F9"/>
    <w:rsid w:val="00BB78FC"/>
    <w:rsid w:val="00BB7C66"/>
    <w:rsid w:val="00BB7F73"/>
    <w:rsid w:val="00BC02B3"/>
    <w:rsid w:val="00BC0D85"/>
    <w:rsid w:val="00BC10E6"/>
    <w:rsid w:val="00BC19D9"/>
    <w:rsid w:val="00BC2644"/>
    <w:rsid w:val="00BC2A31"/>
    <w:rsid w:val="00BC2A84"/>
    <w:rsid w:val="00BC2BF9"/>
    <w:rsid w:val="00BC3310"/>
    <w:rsid w:val="00BC3C64"/>
    <w:rsid w:val="00BC3C76"/>
    <w:rsid w:val="00BC40A6"/>
    <w:rsid w:val="00BC442F"/>
    <w:rsid w:val="00BC4E30"/>
    <w:rsid w:val="00BC5665"/>
    <w:rsid w:val="00BC5900"/>
    <w:rsid w:val="00BC5AC9"/>
    <w:rsid w:val="00BC5BEC"/>
    <w:rsid w:val="00BC6261"/>
    <w:rsid w:val="00BC6404"/>
    <w:rsid w:val="00BC6825"/>
    <w:rsid w:val="00BC7DCD"/>
    <w:rsid w:val="00BD0CC7"/>
    <w:rsid w:val="00BD1449"/>
    <w:rsid w:val="00BD1708"/>
    <w:rsid w:val="00BD1960"/>
    <w:rsid w:val="00BD271A"/>
    <w:rsid w:val="00BD2C6C"/>
    <w:rsid w:val="00BD2D6E"/>
    <w:rsid w:val="00BD2EF8"/>
    <w:rsid w:val="00BD37DB"/>
    <w:rsid w:val="00BD38DC"/>
    <w:rsid w:val="00BD3BF4"/>
    <w:rsid w:val="00BD5023"/>
    <w:rsid w:val="00BD56FA"/>
    <w:rsid w:val="00BD5882"/>
    <w:rsid w:val="00BD5FF9"/>
    <w:rsid w:val="00BD6A59"/>
    <w:rsid w:val="00BD70EF"/>
    <w:rsid w:val="00BD76A3"/>
    <w:rsid w:val="00BE042E"/>
    <w:rsid w:val="00BE0CC6"/>
    <w:rsid w:val="00BE1816"/>
    <w:rsid w:val="00BE2D8A"/>
    <w:rsid w:val="00BE36E7"/>
    <w:rsid w:val="00BE38F7"/>
    <w:rsid w:val="00BE3CF0"/>
    <w:rsid w:val="00BE3D86"/>
    <w:rsid w:val="00BE3FFB"/>
    <w:rsid w:val="00BE41E4"/>
    <w:rsid w:val="00BE468C"/>
    <w:rsid w:val="00BE50A6"/>
    <w:rsid w:val="00BE51B5"/>
    <w:rsid w:val="00BE55B8"/>
    <w:rsid w:val="00BE5F93"/>
    <w:rsid w:val="00BE7BFA"/>
    <w:rsid w:val="00BF0CB5"/>
    <w:rsid w:val="00BF0D91"/>
    <w:rsid w:val="00BF0F91"/>
    <w:rsid w:val="00BF100A"/>
    <w:rsid w:val="00BF12E2"/>
    <w:rsid w:val="00BF24DD"/>
    <w:rsid w:val="00BF270B"/>
    <w:rsid w:val="00BF289B"/>
    <w:rsid w:val="00BF34E2"/>
    <w:rsid w:val="00BF4D74"/>
    <w:rsid w:val="00BF53ED"/>
    <w:rsid w:val="00BF54D4"/>
    <w:rsid w:val="00BF5E86"/>
    <w:rsid w:val="00BF6F28"/>
    <w:rsid w:val="00BF725D"/>
    <w:rsid w:val="00C00079"/>
    <w:rsid w:val="00C00698"/>
    <w:rsid w:val="00C00C81"/>
    <w:rsid w:val="00C0107B"/>
    <w:rsid w:val="00C0150E"/>
    <w:rsid w:val="00C015EF"/>
    <w:rsid w:val="00C0194E"/>
    <w:rsid w:val="00C021AD"/>
    <w:rsid w:val="00C02E09"/>
    <w:rsid w:val="00C031D3"/>
    <w:rsid w:val="00C0334A"/>
    <w:rsid w:val="00C033F7"/>
    <w:rsid w:val="00C044DB"/>
    <w:rsid w:val="00C045B1"/>
    <w:rsid w:val="00C04689"/>
    <w:rsid w:val="00C05454"/>
    <w:rsid w:val="00C06DB3"/>
    <w:rsid w:val="00C071F3"/>
    <w:rsid w:val="00C07DE2"/>
    <w:rsid w:val="00C102B5"/>
    <w:rsid w:val="00C1033D"/>
    <w:rsid w:val="00C113F6"/>
    <w:rsid w:val="00C11BCD"/>
    <w:rsid w:val="00C12113"/>
    <w:rsid w:val="00C1213C"/>
    <w:rsid w:val="00C1276F"/>
    <w:rsid w:val="00C13718"/>
    <w:rsid w:val="00C13870"/>
    <w:rsid w:val="00C13AF5"/>
    <w:rsid w:val="00C13C1F"/>
    <w:rsid w:val="00C13E9C"/>
    <w:rsid w:val="00C146BF"/>
    <w:rsid w:val="00C146FF"/>
    <w:rsid w:val="00C14780"/>
    <w:rsid w:val="00C14D3D"/>
    <w:rsid w:val="00C154CF"/>
    <w:rsid w:val="00C170F6"/>
    <w:rsid w:val="00C20551"/>
    <w:rsid w:val="00C20809"/>
    <w:rsid w:val="00C208AC"/>
    <w:rsid w:val="00C20DFF"/>
    <w:rsid w:val="00C20F9F"/>
    <w:rsid w:val="00C213A0"/>
    <w:rsid w:val="00C21B55"/>
    <w:rsid w:val="00C2226A"/>
    <w:rsid w:val="00C22CF3"/>
    <w:rsid w:val="00C233BE"/>
    <w:rsid w:val="00C234AF"/>
    <w:rsid w:val="00C24C36"/>
    <w:rsid w:val="00C26002"/>
    <w:rsid w:val="00C26301"/>
    <w:rsid w:val="00C26E34"/>
    <w:rsid w:val="00C272CF"/>
    <w:rsid w:val="00C2730D"/>
    <w:rsid w:val="00C2757F"/>
    <w:rsid w:val="00C301D3"/>
    <w:rsid w:val="00C3057D"/>
    <w:rsid w:val="00C309AF"/>
    <w:rsid w:val="00C31FCF"/>
    <w:rsid w:val="00C3234F"/>
    <w:rsid w:val="00C3284C"/>
    <w:rsid w:val="00C335AA"/>
    <w:rsid w:val="00C3455D"/>
    <w:rsid w:val="00C359B7"/>
    <w:rsid w:val="00C36B20"/>
    <w:rsid w:val="00C374E2"/>
    <w:rsid w:val="00C3759A"/>
    <w:rsid w:val="00C37F6F"/>
    <w:rsid w:val="00C408BC"/>
    <w:rsid w:val="00C412D0"/>
    <w:rsid w:val="00C41EDC"/>
    <w:rsid w:val="00C42FB1"/>
    <w:rsid w:val="00C430B0"/>
    <w:rsid w:val="00C43318"/>
    <w:rsid w:val="00C43B71"/>
    <w:rsid w:val="00C43C48"/>
    <w:rsid w:val="00C43D3B"/>
    <w:rsid w:val="00C44068"/>
    <w:rsid w:val="00C441E0"/>
    <w:rsid w:val="00C44DFF"/>
    <w:rsid w:val="00C44E16"/>
    <w:rsid w:val="00C45F94"/>
    <w:rsid w:val="00C467A4"/>
    <w:rsid w:val="00C46881"/>
    <w:rsid w:val="00C47110"/>
    <w:rsid w:val="00C51206"/>
    <w:rsid w:val="00C5177B"/>
    <w:rsid w:val="00C51867"/>
    <w:rsid w:val="00C521ED"/>
    <w:rsid w:val="00C52A71"/>
    <w:rsid w:val="00C53A8B"/>
    <w:rsid w:val="00C53B19"/>
    <w:rsid w:val="00C5460B"/>
    <w:rsid w:val="00C550E9"/>
    <w:rsid w:val="00C552D5"/>
    <w:rsid w:val="00C55A10"/>
    <w:rsid w:val="00C55F52"/>
    <w:rsid w:val="00C567F7"/>
    <w:rsid w:val="00C57AD5"/>
    <w:rsid w:val="00C606D5"/>
    <w:rsid w:val="00C615BA"/>
    <w:rsid w:val="00C615CE"/>
    <w:rsid w:val="00C61F41"/>
    <w:rsid w:val="00C62272"/>
    <w:rsid w:val="00C629CF"/>
    <w:rsid w:val="00C6309C"/>
    <w:rsid w:val="00C634CD"/>
    <w:rsid w:val="00C63A06"/>
    <w:rsid w:val="00C63A45"/>
    <w:rsid w:val="00C63B65"/>
    <w:rsid w:val="00C64113"/>
    <w:rsid w:val="00C647DB"/>
    <w:rsid w:val="00C64981"/>
    <w:rsid w:val="00C65E28"/>
    <w:rsid w:val="00C663EF"/>
    <w:rsid w:val="00C669EE"/>
    <w:rsid w:val="00C66B18"/>
    <w:rsid w:val="00C6740F"/>
    <w:rsid w:val="00C6741A"/>
    <w:rsid w:val="00C67826"/>
    <w:rsid w:val="00C7026E"/>
    <w:rsid w:val="00C71C17"/>
    <w:rsid w:val="00C71F1B"/>
    <w:rsid w:val="00C724F4"/>
    <w:rsid w:val="00C72625"/>
    <w:rsid w:val="00C72785"/>
    <w:rsid w:val="00C72C1E"/>
    <w:rsid w:val="00C73615"/>
    <w:rsid w:val="00C73AD2"/>
    <w:rsid w:val="00C74183"/>
    <w:rsid w:val="00C74631"/>
    <w:rsid w:val="00C74E96"/>
    <w:rsid w:val="00C75044"/>
    <w:rsid w:val="00C77134"/>
    <w:rsid w:val="00C7726E"/>
    <w:rsid w:val="00C80C41"/>
    <w:rsid w:val="00C82074"/>
    <w:rsid w:val="00C8211D"/>
    <w:rsid w:val="00C82822"/>
    <w:rsid w:val="00C833EE"/>
    <w:rsid w:val="00C841D4"/>
    <w:rsid w:val="00C84BD9"/>
    <w:rsid w:val="00C84BDC"/>
    <w:rsid w:val="00C84F8D"/>
    <w:rsid w:val="00C85256"/>
    <w:rsid w:val="00C85FED"/>
    <w:rsid w:val="00C863A7"/>
    <w:rsid w:val="00C863E5"/>
    <w:rsid w:val="00C86433"/>
    <w:rsid w:val="00C86667"/>
    <w:rsid w:val="00C86792"/>
    <w:rsid w:val="00C86AE4"/>
    <w:rsid w:val="00C87B1D"/>
    <w:rsid w:val="00C900C0"/>
    <w:rsid w:val="00C90907"/>
    <w:rsid w:val="00C909DE"/>
    <w:rsid w:val="00C91D80"/>
    <w:rsid w:val="00C91EB9"/>
    <w:rsid w:val="00C91ED0"/>
    <w:rsid w:val="00C91F4F"/>
    <w:rsid w:val="00C92491"/>
    <w:rsid w:val="00C92681"/>
    <w:rsid w:val="00C94B08"/>
    <w:rsid w:val="00C953B9"/>
    <w:rsid w:val="00C95A48"/>
    <w:rsid w:val="00C95B5B"/>
    <w:rsid w:val="00C96440"/>
    <w:rsid w:val="00C97123"/>
    <w:rsid w:val="00C97679"/>
    <w:rsid w:val="00C97693"/>
    <w:rsid w:val="00C97705"/>
    <w:rsid w:val="00C9784C"/>
    <w:rsid w:val="00CA02F4"/>
    <w:rsid w:val="00CA05F3"/>
    <w:rsid w:val="00CA1FFE"/>
    <w:rsid w:val="00CA3EDC"/>
    <w:rsid w:val="00CA487C"/>
    <w:rsid w:val="00CA64C6"/>
    <w:rsid w:val="00CA6951"/>
    <w:rsid w:val="00CA6BF1"/>
    <w:rsid w:val="00CA6DAF"/>
    <w:rsid w:val="00CA759C"/>
    <w:rsid w:val="00CA7A5F"/>
    <w:rsid w:val="00CA7E6B"/>
    <w:rsid w:val="00CB14DE"/>
    <w:rsid w:val="00CB1C9E"/>
    <w:rsid w:val="00CB1E96"/>
    <w:rsid w:val="00CB2189"/>
    <w:rsid w:val="00CB2ADF"/>
    <w:rsid w:val="00CB36CD"/>
    <w:rsid w:val="00CB3790"/>
    <w:rsid w:val="00CB3928"/>
    <w:rsid w:val="00CB3C94"/>
    <w:rsid w:val="00CB411C"/>
    <w:rsid w:val="00CB4908"/>
    <w:rsid w:val="00CB4B7F"/>
    <w:rsid w:val="00CB4BCA"/>
    <w:rsid w:val="00CB4F74"/>
    <w:rsid w:val="00CB511A"/>
    <w:rsid w:val="00CB5438"/>
    <w:rsid w:val="00CB5A63"/>
    <w:rsid w:val="00CB6444"/>
    <w:rsid w:val="00CB6526"/>
    <w:rsid w:val="00CB6817"/>
    <w:rsid w:val="00CB6A30"/>
    <w:rsid w:val="00CB6ACD"/>
    <w:rsid w:val="00CB6F70"/>
    <w:rsid w:val="00CB7C23"/>
    <w:rsid w:val="00CB7DEA"/>
    <w:rsid w:val="00CC007A"/>
    <w:rsid w:val="00CC0532"/>
    <w:rsid w:val="00CC09B2"/>
    <w:rsid w:val="00CC1A85"/>
    <w:rsid w:val="00CC2D70"/>
    <w:rsid w:val="00CC3790"/>
    <w:rsid w:val="00CC42CB"/>
    <w:rsid w:val="00CC48ED"/>
    <w:rsid w:val="00CC67FD"/>
    <w:rsid w:val="00CC6CEE"/>
    <w:rsid w:val="00CC7587"/>
    <w:rsid w:val="00CC7D40"/>
    <w:rsid w:val="00CD052C"/>
    <w:rsid w:val="00CD05A2"/>
    <w:rsid w:val="00CD1140"/>
    <w:rsid w:val="00CD12CF"/>
    <w:rsid w:val="00CD14E0"/>
    <w:rsid w:val="00CD1982"/>
    <w:rsid w:val="00CD1E34"/>
    <w:rsid w:val="00CD2683"/>
    <w:rsid w:val="00CD2910"/>
    <w:rsid w:val="00CD3F40"/>
    <w:rsid w:val="00CD4224"/>
    <w:rsid w:val="00CD4C74"/>
    <w:rsid w:val="00CD5B1C"/>
    <w:rsid w:val="00CD5D50"/>
    <w:rsid w:val="00CD5F04"/>
    <w:rsid w:val="00CD6925"/>
    <w:rsid w:val="00CD6C8A"/>
    <w:rsid w:val="00CD7087"/>
    <w:rsid w:val="00CE0401"/>
    <w:rsid w:val="00CE0658"/>
    <w:rsid w:val="00CE0DF5"/>
    <w:rsid w:val="00CE1139"/>
    <w:rsid w:val="00CE1266"/>
    <w:rsid w:val="00CE1389"/>
    <w:rsid w:val="00CE148D"/>
    <w:rsid w:val="00CE1A2B"/>
    <w:rsid w:val="00CE23BA"/>
    <w:rsid w:val="00CE298E"/>
    <w:rsid w:val="00CE3143"/>
    <w:rsid w:val="00CE38B1"/>
    <w:rsid w:val="00CE470D"/>
    <w:rsid w:val="00CE57AF"/>
    <w:rsid w:val="00CE5B7B"/>
    <w:rsid w:val="00CE605D"/>
    <w:rsid w:val="00CE65C2"/>
    <w:rsid w:val="00CE6ED2"/>
    <w:rsid w:val="00CE78BF"/>
    <w:rsid w:val="00CE78DC"/>
    <w:rsid w:val="00CE7B7D"/>
    <w:rsid w:val="00CF05A5"/>
    <w:rsid w:val="00CF130F"/>
    <w:rsid w:val="00CF1B75"/>
    <w:rsid w:val="00CF20E5"/>
    <w:rsid w:val="00CF3011"/>
    <w:rsid w:val="00CF345D"/>
    <w:rsid w:val="00CF385E"/>
    <w:rsid w:val="00CF3C49"/>
    <w:rsid w:val="00CF5BC7"/>
    <w:rsid w:val="00CF6B8E"/>
    <w:rsid w:val="00CF6D48"/>
    <w:rsid w:val="00CF7AE5"/>
    <w:rsid w:val="00CF7B66"/>
    <w:rsid w:val="00D004C8"/>
    <w:rsid w:val="00D005FB"/>
    <w:rsid w:val="00D012B4"/>
    <w:rsid w:val="00D01A34"/>
    <w:rsid w:val="00D01B2A"/>
    <w:rsid w:val="00D0256C"/>
    <w:rsid w:val="00D02700"/>
    <w:rsid w:val="00D02F9E"/>
    <w:rsid w:val="00D0308A"/>
    <w:rsid w:val="00D03704"/>
    <w:rsid w:val="00D037AF"/>
    <w:rsid w:val="00D037ED"/>
    <w:rsid w:val="00D04015"/>
    <w:rsid w:val="00D0473E"/>
    <w:rsid w:val="00D05582"/>
    <w:rsid w:val="00D05F6F"/>
    <w:rsid w:val="00D0610E"/>
    <w:rsid w:val="00D06126"/>
    <w:rsid w:val="00D06C41"/>
    <w:rsid w:val="00D07A7B"/>
    <w:rsid w:val="00D07AE8"/>
    <w:rsid w:val="00D07FC5"/>
    <w:rsid w:val="00D10D78"/>
    <w:rsid w:val="00D11225"/>
    <w:rsid w:val="00D11878"/>
    <w:rsid w:val="00D11E41"/>
    <w:rsid w:val="00D1235C"/>
    <w:rsid w:val="00D12616"/>
    <w:rsid w:val="00D136DE"/>
    <w:rsid w:val="00D13AB7"/>
    <w:rsid w:val="00D13F8A"/>
    <w:rsid w:val="00D147CE"/>
    <w:rsid w:val="00D14D3B"/>
    <w:rsid w:val="00D15150"/>
    <w:rsid w:val="00D15637"/>
    <w:rsid w:val="00D156CD"/>
    <w:rsid w:val="00D157FB"/>
    <w:rsid w:val="00D15E14"/>
    <w:rsid w:val="00D16E10"/>
    <w:rsid w:val="00D207C7"/>
    <w:rsid w:val="00D22937"/>
    <w:rsid w:val="00D22F95"/>
    <w:rsid w:val="00D231BA"/>
    <w:rsid w:val="00D23350"/>
    <w:rsid w:val="00D23CAC"/>
    <w:rsid w:val="00D25882"/>
    <w:rsid w:val="00D25983"/>
    <w:rsid w:val="00D25F88"/>
    <w:rsid w:val="00D2619C"/>
    <w:rsid w:val="00D2650F"/>
    <w:rsid w:val="00D2693C"/>
    <w:rsid w:val="00D26CCC"/>
    <w:rsid w:val="00D27107"/>
    <w:rsid w:val="00D278E5"/>
    <w:rsid w:val="00D30F56"/>
    <w:rsid w:val="00D318F8"/>
    <w:rsid w:val="00D31B24"/>
    <w:rsid w:val="00D31BE2"/>
    <w:rsid w:val="00D322B6"/>
    <w:rsid w:val="00D337CD"/>
    <w:rsid w:val="00D340E7"/>
    <w:rsid w:val="00D342A6"/>
    <w:rsid w:val="00D34F3C"/>
    <w:rsid w:val="00D36179"/>
    <w:rsid w:val="00D364F5"/>
    <w:rsid w:val="00D3662F"/>
    <w:rsid w:val="00D36BD1"/>
    <w:rsid w:val="00D36E9E"/>
    <w:rsid w:val="00D376EB"/>
    <w:rsid w:val="00D4052D"/>
    <w:rsid w:val="00D40F45"/>
    <w:rsid w:val="00D41228"/>
    <w:rsid w:val="00D4196E"/>
    <w:rsid w:val="00D4223B"/>
    <w:rsid w:val="00D42DF9"/>
    <w:rsid w:val="00D43049"/>
    <w:rsid w:val="00D43655"/>
    <w:rsid w:val="00D43EC3"/>
    <w:rsid w:val="00D43F67"/>
    <w:rsid w:val="00D44171"/>
    <w:rsid w:val="00D45214"/>
    <w:rsid w:val="00D4533E"/>
    <w:rsid w:val="00D453B7"/>
    <w:rsid w:val="00D4584E"/>
    <w:rsid w:val="00D468A8"/>
    <w:rsid w:val="00D471A0"/>
    <w:rsid w:val="00D478AF"/>
    <w:rsid w:val="00D47D7C"/>
    <w:rsid w:val="00D47FAA"/>
    <w:rsid w:val="00D50128"/>
    <w:rsid w:val="00D519AB"/>
    <w:rsid w:val="00D51B10"/>
    <w:rsid w:val="00D520FC"/>
    <w:rsid w:val="00D52566"/>
    <w:rsid w:val="00D533DF"/>
    <w:rsid w:val="00D54592"/>
    <w:rsid w:val="00D55489"/>
    <w:rsid w:val="00D55C39"/>
    <w:rsid w:val="00D55C8F"/>
    <w:rsid w:val="00D56E39"/>
    <w:rsid w:val="00D57256"/>
    <w:rsid w:val="00D60515"/>
    <w:rsid w:val="00D60C09"/>
    <w:rsid w:val="00D6146A"/>
    <w:rsid w:val="00D61644"/>
    <w:rsid w:val="00D6183B"/>
    <w:rsid w:val="00D6202D"/>
    <w:rsid w:val="00D62266"/>
    <w:rsid w:val="00D62C73"/>
    <w:rsid w:val="00D635E4"/>
    <w:rsid w:val="00D639A1"/>
    <w:rsid w:val="00D63D91"/>
    <w:rsid w:val="00D6415A"/>
    <w:rsid w:val="00D64A1F"/>
    <w:rsid w:val="00D64CBA"/>
    <w:rsid w:val="00D64F41"/>
    <w:rsid w:val="00D65291"/>
    <w:rsid w:val="00D65B14"/>
    <w:rsid w:val="00D663AA"/>
    <w:rsid w:val="00D66D8D"/>
    <w:rsid w:val="00D6778A"/>
    <w:rsid w:val="00D677A2"/>
    <w:rsid w:val="00D67F31"/>
    <w:rsid w:val="00D67F87"/>
    <w:rsid w:val="00D706FD"/>
    <w:rsid w:val="00D70BDF"/>
    <w:rsid w:val="00D7102D"/>
    <w:rsid w:val="00D71878"/>
    <w:rsid w:val="00D71C6E"/>
    <w:rsid w:val="00D72885"/>
    <w:rsid w:val="00D73353"/>
    <w:rsid w:val="00D73912"/>
    <w:rsid w:val="00D74CE1"/>
    <w:rsid w:val="00D74E2F"/>
    <w:rsid w:val="00D75BF5"/>
    <w:rsid w:val="00D762B9"/>
    <w:rsid w:val="00D76ED6"/>
    <w:rsid w:val="00D77549"/>
    <w:rsid w:val="00D77A37"/>
    <w:rsid w:val="00D807B5"/>
    <w:rsid w:val="00D80E56"/>
    <w:rsid w:val="00D81889"/>
    <w:rsid w:val="00D81D58"/>
    <w:rsid w:val="00D81F28"/>
    <w:rsid w:val="00D827F5"/>
    <w:rsid w:val="00D829C2"/>
    <w:rsid w:val="00D83AFD"/>
    <w:rsid w:val="00D83D2B"/>
    <w:rsid w:val="00D83E29"/>
    <w:rsid w:val="00D8409D"/>
    <w:rsid w:val="00D84141"/>
    <w:rsid w:val="00D85126"/>
    <w:rsid w:val="00D8531D"/>
    <w:rsid w:val="00D8539B"/>
    <w:rsid w:val="00D85DF9"/>
    <w:rsid w:val="00D85F16"/>
    <w:rsid w:val="00D860E3"/>
    <w:rsid w:val="00D86C30"/>
    <w:rsid w:val="00D8798A"/>
    <w:rsid w:val="00D87F28"/>
    <w:rsid w:val="00D9008D"/>
    <w:rsid w:val="00D90C1D"/>
    <w:rsid w:val="00D90E7C"/>
    <w:rsid w:val="00D90F4A"/>
    <w:rsid w:val="00D90F4C"/>
    <w:rsid w:val="00D9113E"/>
    <w:rsid w:val="00D915B4"/>
    <w:rsid w:val="00D9160A"/>
    <w:rsid w:val="00D92029"/>
    <w:rsid w:val="00D92383"/>
    <w:rsid w:val="00D92BB0"/>
    <w:rsid w:val="00D92EF1"/>
    <w:rsid w:val="00D9374E"/>
    <w:rsid w:val="00D938AF"/>
    <w:rsid w:val="00D93D93"/>
    <w:rsid w:val="00D93E36"/>
    <w:rsid w:val="00D94165"/>
    <w:rsid w:val="00D946F8"/>
    <w:rsid w:val="00D94883"/>
    <w:rsid w:val="00D94BF4"/>
    <w:rsid w:val="00D94C8D"/>
    <w:rsid w:val="00D953C5"/>
    <w:rsid w:val="00D95485"/>
    <w:rsid w:val="00D9580D"/>
    <w:rsid w:val="00D9595B"/>
    <w:rsid w:val="00D95A71"/>
    <w:rsid w:val="00D95AD8"/>
    <w:rsid w:val="00D95E4C"/>
    <w:rsid w:val="00D95E8A"/>
    <w:rsid w:val="00D96003"/>
    <w:rsid w:val="00D9609A"/>
    <w:rsid w:val="00D96153"/>
    <w:rsid w:val="00D967DE"/>
    <w:rsid w:val="00DA0786"/>
    <w:rsid w:val="00DA1701"/>
    <w:rsid w:val="00DA1C4F"/>
    <w:rsid w:val="00DA2636"/>
    <w:rsid w:val="00DA2EB0"/>
    <w:rsid w:val="00DA4DD5"/>
    <w:rsid w:val="00DA685C"/>
    <w:rsid w:val="00DA6C08"/>
    <w:rsid w:val="00DA6E66"/>
    <w:rsid w:val="00DA7397"/>
    <w:rsid w:val="00DA748D"/>
    <w:rsid w:val="00DA781B"/>
    <w:rsid w:val="00DA7F2B"/>
    <w:rsid w:val="00DB00D1"/>
    <w:rsid w:val="00DB0197"/>
    <w:rsid w:val="00DB0698"/>
    <w:rsid w:val="00DB2BBA"/>
    <w:rsid w:val="00DB2CF4"/>
    <w:rsid w:val="00DB33ED"/>
    <w:rsid w:val="00DB3856"/>
    <w:rsid w:val="00DB3E81"/>
    <w:rsid w:val="00DB4AB5"/>
    <w:rsid w:val="00DB4AED"/>
    <w:rsid w:val="00DB4C9A"/>
    <w:rsid w:val="00DB5A3C"/>
    <w:rsid w:val="00DB6158"/>
    <w:rsid w:val="00DB62EA"/>
    <w:rsid w:val="00DB64E0"/>
    <w:rsid w:val="00DB6ABF"/>
    <w:rsid w:val="00DB6BD7"/>
    <w:rsid w:val="00DB7718"/>
    <w:rsid w:val="00DB77A6"/>
    <w:rsid w:val="00DB7B97"/>
    <w:rsid w:val="00DC0E5E"/>
    <w:rsid w:val="00DC176C"/>
    <w:rsid w:val="00DC1BBE"/>
    <w:rsid w:val="00DC3519"/>
    <w:rsid w:val="00DC523B"/>
    <w:rsid w:val="00DC5749"/>
    <w:rsid w:val="00DC5B3A"/>
    <w:rsid w:val="00DC6037"/>
    <w:rsid w:val="00DC6147"/>
    <w:rsid w:val="00DC707A"/>
    <w:rsid w:val="00DC747F"/>
    <w:rsid w:val="00DC7B20"/>
    <w:rsid w:val="00DC7C0D"/>
    <w:rsid w:val="00DC7EBE"/>
    <w:rsid w:val="00DD1D2C"/>
    <w:rsid w:val="00DD1DBA"/>
    <w:rsid w:val="00DD2D26"/>
    <w:rsid w:val="00DD2D4D"/>
    <w:rsid w:val="00DD352F"/>
    <w:rsid w:val="00DD4319"/>
    <w:rsid w:val="00DD525C"/>
    <w:rsid w:val="00DD5CC7"/>
    <w:rsid w:val="00DD6C6E"/>
    <w:rsid w:val="00DD736F"/>
    <w:rsid w:val="00DD7944"/>
    <w:rsid w:val="00DD7B2A"/>
    <w:rsid w:val="00DE03A6"/>
    <w:rsid w:val="00DE03D3"/>
    <w:rsid w:val="00DE0FB5"/>
    <w:rsid w:val="00DE1137"/>
    <w:rsid w:val="00DE12F2"/>
    <w:rsid w:val="00DE2EE4"/>
    <w:rsid w:val="00DE3A62"/>
    <w:rsid w:val="00DE3AC9"/>
    <w:rsid w:val="00DE3C18"/>
    <w:rsid w:val="00DE3DE8"/>
    <w:rsid w:val="00DE4122"/>
    <w:rsid w:val="00DE502E"/>
    <w:rsid w:val="00DE5196"/>
    <w:rsid w:val="00DE57E0"/>
    <w:rsid w:val="00DE5C19"/>
    <w:rsid w:val="00DE5EC4"/>
    <w:rsid w:val="00DE5ED9"/>
    <w:rsid w:val="00DE6075"/>
    <w:rsid w:val="00DE60A8"/>
    <w:rsid w:val="00DE63D0"/>
    <w:rsid w:val="00DE6851"/>
    <w:rsid w:val="00DE76E4"/>
    <w:rsid w:val="00DF12C7"/>
    <w:rsid w:val="00DF2FAB"/>
    <w:rsid w:val="00DF30CE"/>
    <w:rsid w:val="00DF37C2"/>
    <w:rsid w:val="00DF38D1"/>
    <w:rsid w:val="00DF3A47"/>
    <w:rsid w:val="00DF3B65"/>
    <w:rsid w:val="00DF4FCF"/>
    <w:rsid w:val="00DF5962"/>
    <w:rsid w:val="00DF5C65"/>
    <w:rsid w:val="00DF5F29"/>
    <w:rsid w:val="00DF65DB"/>
    <w:rsid w:val="00DF6BD3"/>
    <w:rsid w:val="00DF76F2"/>
    <w:rsid w:val="00DF7C2D"/>
    <w:rsid w:val="00E003E7"/>
    <w:rsid w:val="00E0170B"/>
    <w:rsid w:val="00E03362"/>
    <w:rsid w:val="00E0349D"/>
    <w:rsid w:val="00E03560"/>
    <w:rsid w:val="00E0359F"/>
    <w:rsid w:val="00E036DE"/>
    <w:rsid w:val="00E036F9"/>
    <w:rsid w:val="00E03991"/>
    <w:rsid w:val="00E03A29"/>
    <w:rsid w:val="00E03B7D"/>
    <w:rsid w:val="00E04390"/>
    <w:rsid w:val="00E04623"/>
    <w:rsid w:val="00E047B3"/>
    <w:rsid w:val="00E0504E"/>
    <w:rsid w:val="00E05247"/>
    <w:rsid w:val="00E05BF5"/>
    <w:rsid w:val="00E060ED"/>
    <w:rsid w:val="00E07746"/>
    <w:rsid w:val="00E07BED"/>
    <w:rsid w:val="00E07CE3"/>
    <w:rsid w:val="00E07D89"/>
    <w:rsid w:val="00E10133"/>
    <w:rsid w:val="00E103E1"/>
    <w:rsid w:val="00E10925"/>
    <w:rsid w:val="00E10E85"/>
    <w:rsid w:val="00E11293"/>
    <w:rsid w:val="00E11545"/>
    <w:rsid w:val="00E11991"/>
    <w:rsid w:val="00E11B05"/>
    <w:rsid w:val="00E11B72"/>
    <w:rsid w:val="00E11F57"/>
    <w:rsid w:val="00E12232"/>
    <w:rsid w:val="00E13251"/>
    <w:rsid w:val="00E13424"/>
    <w:rsid w:val="00E13601"/>
    <w:rsid w:val="00E141B9"/>
    <w:rsid w:val="00E1440E"/>
    <w:rsid w:val="00E1504C"/>
    <w:rsid w:val="00E17130"/>
    <w:rsid w:val="00E172F9"/>
    <w:rsid w:val="00E175D7"/>
    <w:rsid w:val="00E1765C"/>
    <w:rsid w:val="00E176D6"/>
    <w:rsid w:val="00E179D4"/>
    <w:rsid w:val="00E17B1E"/>
    <w:rsid w:val="00E17C7B"/>
    <w:rsid w:val="00E17DF4"/>
    <w:rsid w:val="00E200B1"/>
    <w:rsid w:val="00E20116"/>
    <w:rsid w:val="00E211AF"/>
    <w:rsid w:val="00E212F7"/>
    <w:rsid w:val="00E21363"/>
    <w:rsid w:val="00E22866"/>
    <w:rsid w:val="00E230AC"/>
    <w:rsid w:val="00E232F2"/>
    <w:rsid w:val="00E243EC"/>
    <w:rsid w:val="00E24DE2"/>
    <w:rsid w:val="00E25103"/>
    <w:rsid w:val="00E251D7"/>
    <w:rsid w:val="00E256E7"/>
    <w:rsid w:val="00E2590D"/>
    <w:rsid w:val="00E25F68"/>
    <w:rsid w:val="00E25FB9"/>
    <w:rsid w:val="00E261C9"/>
    <w:rsid w:val="00E2639F"/>
    <w:rsid w:val="00E26735"/>
    <w:rsid w:val="00E268D9"/>
    <w:rsid w:val="00E26A90"/>
    <w:rsid w:val="00E26CD7"/>
    <w:rsid w:val="00E27264"/>
    <w:rsid w:val="00E2747C"/>
    <w:rsid w:val="00E27DE7"/>
    <w:rsid w:val="00E3012B"/>
    <w:rsid w:val="00E30834"/>
    <w:rsid w:val="00E315DA"/>
    <w:rsid w:val="00E31C84"/>
    <w:rsid w:val="00E31E27"/>
    <w:rsid w:val="00E32C59"/>
    <w:rsid w:val="00E32F81"/>
    <w:rsid w:val="00E333F7"/>
    <w:rsid w:val="00E33513"/>
    <w:rsid w:val="00E33596"/>
    <w:rsid w:val="00E345DA"/>
    <w:rsid w:val="00E34B81"/>
    <w:rsid w:val="00E35569"/>
    <w:rsid w:val="00E35692"/>
    <w:rsid w:val="00E362C4"/>
    <w:rsid w:val="00E366AD"/>
    <w:rsid w:val="00E36D4C"/>
    <w:rsid w:val="00E400AC"/>
    <w:rsid w:val="00E407C4"/>
    <w:rsid w:val="00E40BB0"/>
    <w:rsid w:val="00E40DF8"/>
    <w:rsid w:val="00E4116C"/>
    <w:rsid w:val="00E41198"/>
    <w:rsid w:val="00E41244"/>
    <w:rsid w:val="00E4150C"/>
    <w:rsid w:val="00E424CE"/>
    <w:rsid w:val="00E42A9E"/>
    <w:rsid w:val="00E43B49"/>
    <w:rsid w:val="00E43E8E"/>
    <w:rsid w:val="00E440C4"/>
    <w:rsid w:val="00E44B0A"/>
    <w:rsid w:val="00E4528C"/>
    <w:rsid w:val="00E457C5"/>
    <w:rsid w:val="00E45894"/>
    <w:rsid w:val="00E45CB9"/>
    <w:rsid w:val="00E463CD"/>
    <w:rsid w:val="00E4654A"/>
    <w:rsid w:val="00E46762"/>
    <w:rsid w:val="00E4686E"/>
    <w:rsid w:val="00E46992"/>
    <w:rsid w:val="00E46D78"/>
    <w:rsid w:val="00E47C84"/>
    <w:rsid w:val="00E50132"/>
    <w:rsid w:val="00E511BB"/>
    <w:rsid w:val="00E51E0D"/>
    <w:rsid w:val="00E51E77"/>
    <w:rsid w:val="00E51EA9"/>
    <w:rsid w:val="00E524FE"/>
    <w:rsid w:val="00E533E8"/>
    <w:rsid w:val="00E534BD"/>
    <w:rsid w:val="00E53D93"/>
    <w:rsid w:val="00E54046"/>
    <w:rsid w:val="00E54501"/>
    <w:rsid w:val="00E5451F"/>
    <w:rsid w:val="00E54C43"/>
    <w:rsid w:val="00E54C50"/>
    <w:rsid w:val="00E55994"/>
    <w:rsid w:val="00E56B8E"/>
    <w:rsid w:val="00E56D62"/>
    <w:rsid w:val="00E57161"/>
    <w:rsid w:val="00E572B7"/>
    <w:rsid w:val="00E5787F"/>
    <w:rsid w:val="00E602D6"/>
    <w:rsid w:val="00E60A98"/>
    <w:rsid w:val="00E60C12"/>
    <w:rsid w:val="00E6116D"/>
    <w:rsid w:val="00E623F1"/>
    <w:rsid w:val="00E6280E"/>
    <w:rsid w:val="00E62E32"/>
    <w:rsid w:val="00E63884"/>
    <w:rsid w:val="00E63C8D"/>
    <w:rsid w:val="00E6442E"/>
    <w:rsid w:val="00E65833"/>
    <w:rsid w:val="00E659BC"/>
    <w:rsid w:val="00E668A6"/>
    <w:rsid w:val="00E66C0C"/>
    <w:rsid w:val="00E66E97"/>
    <w:rsid w:val="00E66FE7"/>
    <w:rsid w:val="00E67060"/>
    <w:rsid w:val="00E673B8"/>
    <w:rsid w:val="00E67A21"/>
    <w:rsid w:val="00E67D4F"/>
    <w:rsid w:val="00E70146"/>
    <w:rsid w:val="00E705CF"/>
    <w:rsid w:val="00E705F1"/>
    <w:rsid w:val="00E707BC"/>
    <w:rsid w:val="00E70884"/>
    <w:rsid w:val="00E72F57"/>
    <w:rsid w:val="00E73918"/>
    <w:rsid w:val="00E7391C"/>
    <w:rsid w:val="00E7459C"/>
    <w:rsid w:val="00E74E62"/>
    <w:rsid w:val="00E759E3"/>
    <w:rsid w:val="00E76014"/>
    <w:rsid w:val="00E77094"/>
    <w:rsid w:val="00E773F1"/>
    <w:rsid w:val="00E77591"/>
    <w:rsid w:val="00E779D1"/>
    <w:rsid w:val="00E77A3E"/>
    <w:rsid w:val="00E80147"/>
    <w:rsid w:val="00E80FAF"/>
    <w:rsid w:val="00E811A6"/>
    <w:rsid w:val="00E81C57"/>
    <w:rsid w:val="00E81F59"/>
    <w:rsid w:val="00E820E7"/>
    <w:rsid w:val="00E823F4"/>
    <w:rsid w:val="00E8260B"/>
    <w:rsid w:val="00E82A91"/>
    <w:rsid w:val="00E82E45"/>
    <w:rsid w:val="00E835C4"/>
    <w:rsid w:val="00E83959"/>
    <w:rsid w:val="00E8398F"/>
    <w:rsid w:val="00E84755"/>
    <w:rsid w:val="00E84BFD"/>
    <w:rsid w:val="00E84FF6"/>
    <w:rsid w:val="00E858A1"/>
    <w:rsid w:val="00E85C4E"/>
    <w:rsid w:val="00E85C70"/>
    <w:rsid w:val="00E869AC"/>
    <w:rsid w:val="00E86F98"/>
    <w:rsid w:val="00E87790"/>
    <w:rsid w:val="00E8792F"/>
    <w:rsid w:val="00E879D3"/>
    <w:rsid w:val="00E90467"/>
    <w:rsid w:val="00E91F34"/>
    <w:rsid w:val="00E922A6"/>
    <w:rsid w:val="00E922D7"/>
    <w:rsid w:val="00E936B8"/>
    <w:rsid w:val="00E93C12"/>
    <w:rsid w:val="00E93F6E"/>
    <w:rsid w:val="00E93FB5"/>
    <w:rsid w:val="00E9449E"/>
    <w:rsid w:val="00E9499E"/>
    <w:rsid w:val="00E94CDB"/>
    <w:rsid w:val="00E95270"/>
    <w:rsid w:val="00E9539B"/>
    <w:rsid w:val="00E95D51"/>
    <w:rsid w:val="00E9601B"/>
    <w:rsid w:val="00E96108"/>
    <w:rsid w:val="00E96534"/>
    <w:rsid w:val="00E9701C"/>
    <w:rsid w:val="00E971AE"/>
    <w:rsid w:val="00E97D88"/>
    <w:rsid w:val="00EA01E0"/>
    <w:rsid w:val="00EA042F"/>
    <w:rsid w:val="00EA1262"/>
    <w:rsid w:val="00EA2DC1"/>
    <w:rsid w:val="00EA3248"/>
    <w:rsid w:val="00EA3773"/>
    <w:rsid w:val="00EA46A3"/>
    <w:rsid w:val="00EA54B1"/>
    <w:rsid w:val="00EA62B0"/>
    <w:rsid w:val="00EA70F5"/>
    <w:rsid w:val="00EA716F"/>
    <w:rsid w:val="00EA7403"/>
    <w:rsid w:val="00EA7421"/>
    <w:rsid w:val="00EB01D7"/>
    <w:rsid w:val="00EB0F1A"/>
    <w:rsid w:val="00EB24CA"/>
    <w:rsid w:val="00EB40FF"/>
    <w:rsid w:val="00EB4C69"/>
    <w:rsid w:val="00EB4DA9"/>
    <w:rsid w:val="00EB4F55"/>
    <w:rsid w:val="00EB52A4"/>
    <w:rsid w:val="00EB5C19"/>
    <w:rsid w:val="00EB5F18"/>
    <w:rsid w:val="00EB62F5"/>
    <w:rsid w:val="00EB6978"/>
    <w:rsid w:val="00EB6EB4"/>
    <w:rsid w:val="00EB6FA2"/>
    <w:rsid w:val="00EB7131"/>
    <w:rsid w:val="00EB77AA"/>
    <w:rsid w:val="00EB7972"/>
    <w:rsid w:val="00EB7CF5"/>
    <w:rsid w:val="00EB7EA6"/>
    <w:rsid w:val="00EC0A9D"/>
    <w:rsid w:val="00EC21DA"/>
    <w:rsid w:val="00EC2A9E"/>
    <w:rsid w:val="00EC346D"/>
    <w:rsid w:val="00EC439F"/>
    <w:rsid w:val="00EC43C8"/>
    <w:rsid w:val="00EC556F"/>
    <w:rsid w:val="00EC5B7E"/>
    <w:rsid w:val="00EC63E7"/>
    <w:rsid w:val="00EC6D77"/>
    <w:rsid w:val="00EC6E11"/>
    <w:rsid w:val="00ED00F8"/>
    <w:rsid w:val="00ED084D"/>
    <w:rsid w:val="00ED0B48"/>
    <w:rsid w:val="00ED17F2"/>
    <w:rsid w:val="00ED1C72"/>
    <w:rsid w:val="00ED1E09"/>
    <w:rsid w:val="00ED223B"/>
    <w:rsid w:val="00ED2A75"/>
    <w:rsid w:val="00ED3004"/>
    <w:rsid w:val="00ED3D6E"/>
    <w:rsid w:val="00ED412D"/>
    <w:rsid w:val="00ED4666"/>
    <w:rsid w:val="00ED56DB"/>
    <w:rsid w:val="00ED5AC1"/>
    <w:rsid w:val="00ED6687"/>
    <w:rsid w:val="00ED6EC4"/>
    <w:rsid w:val="00ED791A"/>
    <w:rsid w:val="00EE01FF"/>
    <w:rsid w:val="00EE067B"/>
    <w:rsid w:val="00EE0C45"/>
    <w:rsid w:val="00EE18B9"/>
    <w:rsid w:val="00EE1D7C"/>
    <w:rsid w:val="00EE1EAB"/>
    <w:rsid w:val="00EE20BC"/>
    <w:rsid w:val="00EE2520"/>
    <w:rsid w:val="00EE257B"/>
    <w:rsid w:val="00EE2B42"/>
    <w:rsid w:val="00EE3188"/>
    <w:rsid w:val="00EE3B1E"/>
    <w:rsid w:val="00EE3EAA"/>
    <w:rsid w:val="00EE40EF"/>
    <w:rsid w:val="00EE45D3"/>
    <w:rsid w:val="00EE52C9"/>
    <w:rsid w:val="00EE5678"/>
    <w:rsid w:val="00EE5A16"/>
    <w:rsid w:val="00EE6732"/>
    <w:rsid w:val="00EE686C"/>
    <w:rsid w:val="00EE6977"/>
    <w:rsid w:val="00EE69B6"/>
    <w:rsid w:val="00EE7480"/>
    <w:rsid w:val="00EE77E2"/>
    <w:rsid w:val="00EE7FAD"/>
    <w:rsid w:val="00EF0244"/>
    <w:rsid w:val="00EF062F"/>
    <w:rsid w:val="00EF0CDA"/>
    <w:rsid w:val="00EF1DDC"/>
    <w:rsid w:val="00EF1E47"/>
    <w:rsid w:val="00EF2277"/>
    <w:rsid w:val="00EF3A63"/>
    <w:rsid w:val="00EF3ADE"/>
    <w:rsid w:val="00EF3C45"/>
    <w:rsid w:val="00EF4998"/>
    <w:rsid w:val="00EF4C95"/>
    <w:rsid w:val="00EF6198"/>
    <w:rsid w:val="00EF70ED"/>
    <w:rsid w:val="00EF7771"/>
    <w:rsid w:val="00EF7BBD"/>
    <w:rsid w:val="00F001CD"/>
    <w:rsid w:val="00F002A5"/>
    <w:rsid w:val="00F00EC5"/>
    <w:rsid w:val="00F01190"/>
    <w:rsid w:val="00F0137A"/>
    <w:rsid w:val="00F014E1"/>
    <w:rsid w:val="00F01593"/>
    <w:rsid w:val="00F0177C"/>
    <w:rsid w:val="00F017B9"/>
    <w:rsid w:val="00F02E10"/>
    <w:rsid w:val="00F03086"/>
    <w:rsid w:val="00F033F1"/>
    <w:rsid w:val="00F03486"/>
    <w:rsid w:val="00F0352B"/>
    <w:rsid w:val="00F04606"/>
    <w:rsid w:val="00F046EA"/>
    <w:rsid w:val="00F04EE1"/>
    <w:rsid w:val="00F06293"/>
    <w:rsid w:val="00F06D59"/>
    <w:rsid w:val="00F07469"/>
    <w:rsid w:val="00F074EA"/>
    <w:rsid w:val="00F101E1"/>
    <w:rsid w:val="00F104CD"/>
    <w:rsid w:val="00F10649"/>
    <w:rsid w:val="00F10AA3"/>
    <w:rsid w:val="00F11F8B"/>
    <w:rsid w:val="00F1216E"/>
    <w:rsid w:val="00F128BD"/>
    <w:rsid w:val="00F128ED"/>
    <w:rsid w:val="00F12D12"/>
    <w:rsid w:val="00F13258"/>
    <w:rsid w:val="00F13F49"/>
    <w:rsid w:val="00F167DE"/>
    <w:rsid w:val="00F1684E"/>
    <w:rsid w:val="00F16F14"/>
    <w:rsid w:val="00F17E9F"/>
    <w:rsid w:val="00F20765"/>
    <w:rsid w:val="00F20CA8"/>
    <w:rsid w:val="00F221A7"/>
    <w:rsid w:val="00F22878"/>
    <w:rsid w:val="00F22FEA"/>
    <w:rsid w:val="00F231FF"/>
    <w:rsid w:val="00F2333A"/>
    <w:rsid w:val="00F23579"/>
    <w:rsid w:val="00F24687"/>
    <w:rsid w:val="00F24ABB"/>
    <w:rsid w:val="00F2533A"/>
    <w:rsid w:val="00F25B35"/>
    <w:rsid w:val="00F25DC7"/>
    <w:rsid w:val="00F265DF"/>
    <w:rsid w:val="00F2697C"/>
    <w:rsid w:val="00F273B8"/>
    <w:rsid w:val="00F2774B"/>
    <w:rsid w:val="00F2776E"/>
    <w:rsid w:val="00F27A48"/>
    <w:rsid w:val="00F304D2"/>
    <w:rsid w:val="00F30531"/>
    <w:rsid w:val="00F3054C"/>
    <w:rsid w:val="00F30CC9"/>
    <w:rsid w:val="00F31180"/>
    <w:rsid w:val="00F31484"/>
    <w:rsid w:val="00F32204"/>
    <w:rsid w:val="00F3341A"/>
    <w:rsid w:val="00F33739"/>
    <w:rsid w:val="00F33F18"/>
    <w:rsid w:val="00F3413B"/>
    <w:rsid w:val="00F3429F"/>
    <w:rsid w:val="00F34324"/>
    <w:rsid w:val="00F3463D"/>
    <w:rsid w:val="00F3480D"/>
    <w:rsid w:val="00F350B1"/>
    <w:rsid w:val="00F36777"/>
    <w:rsid w:val="00F37EA0"/>
    <w:rsid w:val="00F40199"/>
    <w:rsid w:val="00F40473"/>
    <w:rsid w:val="00F414E4"/>
    <w:rsid w:val="00F41841"/>
    <w:rsid w:val="00F41CDE"/>
    <w:rsid w:val="00F420ED"/>
    <w:rsid w:val="00F422E1"/>
    <w:rsid w:val="00F4246E"/>
    <w:rsid w:val="00F435FC"/>
    <w:rsid w:val="00F437C0"/>
    <w:rsid w:val="00F43DFC"/>
    <w:rsid w:val="00F43F66"/>
    <w:rsid w:val="00F44556"/>
    <w:rsid w:val="00F45C3A"/>
    <w:rsid w:val="00F45DB8"/>
    <w:rsid w:val="00F45EA8"/>
    <w:rsid w:val="00F46831"/>
    <w:rsid w:val="00F47991"/>
    <w:rsid w:val="00F504EC"/>
    <w:rsid w:val="00F50C98"/>
    <w:rsid w:val="00F50D94"/>
    <w:rsid w:val="00F5209F"/>
    <w:rsid w:val="00F52483"/>
    <w:rsid w:val="00F52F15"/>
    <w:rsid w:val="00F53291"/>
    <w:rsid w:val="00F53B59"/>
    <w:rsid w:val="00F544F0"/>
    <w:rsid w:val="00F54FAB"/>
    <w:rsid w:val="00F5571D"/>
    <w:rsid w:val="00F557F2"/>
    <w:rsid w:val="00F56169"/>
    <w:rsid w:val="00F56459"/>
    <w:rsid w:val="00F56F2F"/>
    <w:rsid w:val="00F570A3"/>
    <w:rsid w:val="00F5741C"/>
    <w:rsid w:val="00F610E9"/>
    <w:rsid w:val="00F61955"/>
    <w:rsid w:val="00F61D07"/>
    <w:rsid w:val="00F6382C"/>
    <w:rsid w:val="00F64092"/>
    <w:rsid w:val="00F6492A"/>
    <w:rsid w:val="00F64C8E"/>
    <w:rsid w:val="00F655A1"/>
    <w:rsid w:val="00F655E1"/>
    <w:rsid w:val="00F65C93"/>
    <w:rsid w:val="00F66277"/>
    <w:rsid w:val="00F669D3"/>
    <w:rsid w:val="00F67531"/>
    <w:rsid w:val="00F675AC"/>
    <w:rsid w:val="00F675D8"/>
    <w:rsid w:val="00F676C9"/>
    <w:rsid w:val="00F67AB7"/>
    <w:rsid w:val="00F70799"/>
    <w:rsid w:val="00F709CA"/>
    <w:rsid w:val="00F710B2"/>
    <w:rsid w:val="00F71896"/>
    <w:rsid w:val="00F719CC"/>
    <w:rsid w:val="00F71EAB"/>
    <w:rsid w:val="00F721E4"/>
    <w:rsid w:val="00F72270"/>
    <w:rsid w:val="00F728D3"/>
    <w:rsid w:val="00F72AC8"/>
    <w:rsid w:val="00F732ED"/>
    <w:rsid w:val="00F74334"/>
    <w:rsid w:val="00F746F5"/>
    <w:rsid w:val="00F74A1B"/>
    <w:rsid w:val="00F753F3"/>
    <w:rsid w:val="00F75BA9"/>
    <w:rsid w:val="00F767B8"/>
    <w:rsid w:val="00F769B7"/>
    <w:rsid w:val="00F77011"/>
    <w:rsid w:val="00F77132"/>
    <w:rsid w:val="00F7784A"/>
    <w:rsid w:val="00F77ABC"/>
    <w:rsid w:val="00F8060E"/>
    <w:rsid w:val="00F806F1"/>
    <w:rsid w:val="00F8098C"/>
    <w:rsid w:val="00F80CFA"/>
    <w:rsid w:val="00F80D60"/>
    <w:rsid w:val="00F80F5B"/>
    <w:rsid w:val="00F8137E"/>
    <w:rsid w:val="00F8158E"/>
    <w:rsid w:val="00F82B2C"/>
    <w:rsid w:val="00F82EFA"/>
    <w:rsid w:val="00F83376"/>
    <w:rsid w:val="00F83419"/>
    <w:rsid w:val="00F83671"/>
    <w:rsid w:val="00F83A66"/>
    <w:rsid w:val="00F83D75"/>
    <w:rsid w:val="00F84670"/>
    <w:rsid w:val="00F847D2"/>
    <w:rsid w:val="00F84835"/>
    <w:rsid w:val="00F848B7"/>
    <w:rsid w:val="00F84AF4"/>
    <w:rsid w:val="00F84FF6"/>
    <w:rsid w:val="00F85D9E"/>
    <w:rsid w:val="00F860BA"/>
    <w:rsid w:val="00F86488"/>
    <w:rsid w:val="00F8685C"/>
    <w:rsid w:val="00F87068"/>
    <w:rsid w:val="00F902F2"/>
    <w:rsid w:val="00F90594"/>
    <w:rsid w:val="00F90B6D"/>
    <w:rsid w:val="00F90D2B"/>
    <w:rsid w:val="00F91597"/>
    <w:rsid w:val="00F920CA"/>
    <w:rsid w:val="00F933A2"/>
    <w:rsid w:val="00F93ED3"/>
    <w:rsid w:val="00F93F98"/>
    <w:rsid w:val="00F951F9"/>
    <w:rsid w:val="00F95A4E"/>
    <w:rsid w:val="00F96029"/>
    <w:rsid w:val="00F961EB"/>
    <w:rsid w:val="00F96C3D"/>
    <w:rsid w:val="00F97487"/>
    <w:rsid w:val="00FA010B"/>
    <w:rsid w:val="00FA0D23"/>
    <w:rsid w:val="00FA0EB1"/>
    <w:rsid w:val="00FA10DF"/>
    <w:rsid w:val="00FA12DD"/>
    <w:rsid w:val="00FA1984"/>
    <w:rsid w:val="00FA1C43"/>
    <w:rsid w:val="00FA2B86"/>
    <w:rsid w:val="00FA2E74"/>
    <w:rsid w:val="00FA3392"/>
    <w:rsid w:val="00FA36BE"/>
    <w:rsid w:val="00FA52E2"/>
    <w:rsid w:val="00FA55D5"/>
    <w:rsid w:val="00FA567F"/>
    <w:rsid w:val="00FA57DD"/>
    <w:rsid w:val="00FA64A2"/>
    <w:rsid w:val="00FA7727"/>
    <w:rsid w:val="00FB0010"/>
    <w:rsid w:val="00FB05CA"/>
    <w:rsid w:val="00FB07D0"/>
    <w:rsid w:val="00FB0989"/>
    <w:rsid w:val="00FB0D54"/>
    <w:rsid w:val="00FB15F3"/>
    <w:rsid w:val="00FB1F39"/>
    <w:rsid w:val="00FB23DE"/>
    <w:rsid w:val="00FB29EB"/>
    <w:rsid w:val="00FB2B49"/>
    <w:rsid w:val="00FB3296"/>
    <w:rsid w:val="00FB34BD"/>
    <w:rsid w:val="00FB39BF"/>
    <w:rsid w:val="00FB44FB"/>
    <w:rsid w:val="00FB4A3D"/>
    <w:rsid w:val="00FB4A5F"/>
    <w:rsid w:val="00FB52D3"/>
    <w:rsid w:val="00FB5325"/>
    <w:rsid w:val="00FB54DF"/>
    <w:rsid w:val="00FB5FBB"/>
    <w:rsid w:val="00FB655C"/>
    <w:rsid w:val="00FB7411"/>
    <w:rsid w:val="00FB7740"/>
    <w:rsid w:val="00FC0A01"/>
    <w:rsid w:val="00FC21F3"/>
    <w:rsid w:val="00FC28C2"/>
    <w:rsid w:val="00FC2A34"/>
    <w:rsid w:val="00FC2B02"/>
    <w:rsid w:val="00FC2E41"/>
    <w:rsid w:val="00FC36D8"/>
    <w:rsid w:val="00FC3D4B"/>
    <w:rsid w:val="00FC5700"/>
    <w:rsid w:val="00FC5DB9"/>
    <w:rsid w:val="00FC6046"/>
    <w:rsid w:val="00FC6E94"/>
    <w:rsid w:val="00FC73FB"/>
    <w:rsid w:val="00FC7F7B"/>
    <w:rsid w:val="00FD0A15"/>
    <w:rsid w:val="00FD123D"/>
    <w:rsid w:val="00FD22B4"/>
    <w:rsid w:val="00FD273F"/>
    <w:rsid w:val="00FD294F"/>
    <w:rsid w:val="00FD2C04"/>
    <w:rsid w:val="00FD2F8C"/>
    <w:rsid w:val="00FD3B68"/>
    <w:rsid w:val="00FD3FF8"/>
    <w:rsid w:val="00FD4776"/>
    <w:rsid w:val="00FD4C84"/>
    <w:rsid w:val="00FD5582"/>
    <w:rsid w:val="00FD5B0F"/>
    <w:rsid w:val="00FD6A9A"/>
    <w:rsid w:val="00FD79AB"/>
    <w:rsid w:val="00FD7B84"/>
    <w:rsid w:val="00FE052F"/>
    <w:rsid w:val="00FE1847"/>
    <w:rsid w:val="00FE1AD7"/>
    <w:rsid w:val="00FE1D6F"/>
    <w:rsid w:val="00FE1F8E"/>
    <w:rsid w:val="00FE317D"/>
    <w:rsid w:val="00FE34A3"/>
    <w:rsid w:val="00FE34D6"/>
    <w:rsid w:val="00FE3A84"/>
    <w:rsid w:val="00FE3EB5"/>
    <w:rsid w:val="00FE46F9"/>
    <w:rsid w:val="00FE4A43"/>
    <w:rsid w:val="00FE4C69"/>
    <w:rsid w:val="00FE4DF1"/>
    <w:rsid w:val="00FE5088"/>
    <w:rsid w:val="00FE606D"/>
    <w:rsid w:val="00FE6EE7"/>
    <w:rsid w:val="00FE6F69"/>
    <w:rsid w:val="00FE7B88"/>
    <w:rsid w:val="00FE7BD3"/>
    <w:rsid w:val="00FF02AD"/>
    <w:rsid w:val="00FF0459"/>
    <w:rsid w:val="00FF136D"/>
    <w:rsid w:val="00FF2250"/>
    <w:rsid w:val="00FF2326"/>
    <w:rsid w:val="00FF3061"/>
    <w:rsid w:val="00FF32BD"/>
    <w:rsid w:val="00FF32E4"/>
    <w:rsid w:val="00FF41C0"/>
    <w:rsid w:val="00FF4C0D"/>
    <w:rsid w:val="00FF4F47"/>
    <w:rsid w:val="00FF55B4"/>
    <w:rsid w:val="00FF5998"/>
    <w:rsid w:val="00FF5ACD"/>
    <w:rsid w:val="00FF6953"/>
    <w:rsid w:val="00FF720D"/>
    <w:rsid w:val="00FF73CC"/>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2E2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Уровня нет"/>
    <w:qFormat/>
    <w:rsid w:val="00747A59"/>
    <w:rPr>
      <w:rFonts w:ascii="Tahoma" w:hAnsi="Tahoma"/>
      <w:szCs w:val="24"/>
    </w:rPr>
  </w:style>
  <w:style w:type="paragraph" w:styleId="10">
    <w:name w:val="heading 1"/>
    <w:aliases w:val="Уровень 1"/>
    <w:basedOn w:val="a0"/>
    <w:next w:val="a0"/>
    <w:link w:val="12"/>
    <w:qFormat/>
    <w:locked/>
    <w:rsid w:val="002116C9"/>
    <w:pPr>
      <w:keepNext/>
      <w:numPr>
        <w:numId w:val="7"/>
      </w:numPr>
      <w:outlineLvl w:val="0"/>
    </w:pPr>
    <w:rPr>
      <w:rFonts w:cs="Arial"/>
      <w:b/>
      <w:szCs w:val="20"/>
    </w:rPr>
  </w:style>
  <w:style w:type="paragraph" w:styleId="21">
    <w:name w:val="heading 2"/>
    <w:basedOn w:val="a0"/>
    <w:next w:val="a0"/>
    <w:link w:val="22"/>
    <w:semiHidden/>
    <w:unhideWhenUsed/>
    <w:qFormat/>
    <w:locked/>
    <w:rsid w:val="00DF65D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1">
    <w:name w:val="Body Text 3"/>
    <w:basedOn w:val="a0"/>
    <w:pPr>
      <w:spacing w:before="120"/>
      <w:jc w:val="both"/>
    </w:pPr>
    <w:rPr>
      <w:rFonts w:cs="Arial"/>
      <w:szCs w:val="20"/>
    </w:rPr>
  </w:style>
  <w:style w:type="paragraph" w:styleId="a4">
    <w:name w:val="Body Text"/>
    <w:basedOn w:val="a0"/>
    <w:link w:val="a5"/>
    <w:pPr>
      <w:spacing w:after="120"/>
    </w:pPr>
    <w:rPr>
      <w:szCs w:val="20"/>
    </w:rPr>
  </w:style>
  <w:style w:type="table" w:styleId="a6">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rsid w:val="00F97487"/>
    <w:rPr>
      <w:rFonts w:cs="Times New Roman"/>
      <w:b/>
      <w:bCs/>
    </w:rPr>
  </w:style>
  <w:style w:type="paragraph" w:customStyle="1" w:styleId="txt">
    <w:name w:val="txt"/>
    <w:basedOn w:val="a0"/>
    <w:rsid w:val="00E60C12"/>
    <w:pPr>
      <w:spacing w:before="100" w:beforeAutospacing="1" w:after="100" w:afterAutospacing="1"/>
    </w:pPr>
    <w:rPr>
      <w:rFonts w:cs="Arial"/>
      <w:color w:val="000000"/>
      <w:sz w:val="18"/>
      <w:szCs w:val="18"/>
    </w:rPr>
  </w:style>
  <w:style w:type="character" w:styleId="a8">
    <w:name w:val="Hyperlink"/>
    <w:uiPriority w:val="99"/>
    <w:rsid w:val="00D318F8"/>
    <w:rPr>
      <w:rFonts w:cs="Times New Roman"/>
      <w:color w:val="0000FF"/>
      <w:u w:val="single"/>
    </w:rPr>
  </w:style>
  <w:style w:type="paragraph" w:customStyle="1" w:styleId="Point">
    <w:name w:val="Point"/>
    <w:rsid w:val="002A17EE"/>
    <w:pPr>
      <w:numPr>
        <w:ilvl w:val="3"/>
        <w:numId w:val="2"/>
      </w:numPr>
      <w:spacing w:before="240"/>
      <w:jc w:val="both"/>
    </w:pPr>
    <w:rPr>
      <w:rFonts w:ascii="Arial" w:hAnsi="Arial"/>
      <w:lang w:eastAsia="en-US"/>
    </w:rPr>
  </w:style>
  <w:style w:type="paragraph" w:customStyle="1" w:styleId="Point2">
    <w:name w:val="Point 2"/>
    <w:basedOn w:val="a0"/>
    <w:rsid w:val="002A17EE"/>
    <w:pPr>
      <w:numPr>
        <w:ilvl w:val="4"/>
        <w:numId w:val="2"/>
      </w:numPr>
      <w:spacing w:before="120"/>
      <w:jc w:val="both"/>
    </w:pPr>
    <w:rPr>
      <w:rFonts w:cs="Arial"/>
      <w:szCs w:val="20"/>
    </w:rPr>
  </w:style>
  <w:style w:type="paragraph" w:customStyle="1" w:styleId="Title1">
    <w:name w:val="Title 1"/>
    <w:rsid w:val="002A17EE"/>
    <w:pPr>
      <w:numPr>
        <w:numId w:val="2"/>
      </w:numPr>
      <w:spacing w:before="240"/>
    </w:pPr>
    <w:rPr>
      <w:rFonts w:ascii="Arial" w:hAnsi="Arial" w:cs="Arial"/>
      <w:b/>
      <w:lang w:eastAsia="en-US"/>
    </w:rPr>
  </w:style>
  <w:style w:type="paragraph" w:customStyle="1" w:styleId="Title2">
    <w:name w:val="Title 2"/>
    <w:rsid w:val="002A17EE"/>
    <w:pPr>
      <w:numPr>
        <w:ilvl w:val="1"/>
        <w:numId w:val="2"/>
      </w:numPr>
      <w:tabs>
        <w:tab w:val="left" w:pos="2160"/>
      </w:tabs>
      <w:spacing w:before="240"/>
      <w:jc w:val="both"/>
    </w:pPr>
    <w:rPr>
      <w:rFonts w:ascii="Arial" w:hAnsi="Arial"/>
      <w:b/>
      <w:lang w:eastAsia="en-US"/>
    </w:rPr>
  </w:style>
  <w:style w:type="paragraph" w:customStyle="1" w:styleId="Title3">
    <w:name w:val="Title 3"/>
    <w:rsid w:val="002A17EE"/>
    <w:pPr>
      <w:numPr>
        <w:ilvl w:val="2"/>
        <w:numId w:val="2"/>
      </w:numPr>
      <w:spacing w:before="240"/>
    </w:pPr>
    <w:rPr>
      <w:rFonts w:ascii="Arial" w:hAnsi="Arial"/>
      <w:b/>
      <w:bCs/>
      <w:lang w:eastAsia="en-US"/>
    </w:rPr>
  </w:style>
  <w:style w:type="paragraph" w:customStyle="1" w:styleId="Pointlet">
    <w:name w:val="Point (let)"/>
    <w:basedOn w:val="a0"/>
    <w:rsid w:val="002A17EE"/>
    <w:pPr>
      <w:numPr>
        <w:ilvl w:val="5"/>
        <w:numId w:val="2"/>
      </w:numPr>
      <w:autoSpaceDE w:val="0"/>
      <w:autoSpaceDN w:val="0"/>
      <w:spacing w:before="60"/>
      <w:jc w:val="both"/>
    </w:pPr>
    <w:rPr>
      <w:rFonts w:cs="Arial"/>
      <w:szCs w:val="20"/>
    </w:rPr>
  </w:style>
  <w:style w:type="paragraph" w:styleId="a9">
    <w:name w:val="Balloon Text"/>
    <w:basedOn w:val="a0"/>
    <w:semiHidden/>
    <w:rsid w:val="00C615BA"/>
    <w:rPr>
      <w:rFonts w:cs="Tahoma"/>
      <w:sz w:val="16"/>
      <w:szCs w:val="16"/>
    </w:rPr>
  </w:style>
  <w:style w:type="paragraph" w:styleId="aa">
    <w:name w:val="footer"/>
    <w:basedOn w:val="a0"/>
    <w:rsid w:val="0052580F"/>
    <w:pPr>
      <w:tabs>
        <w:tab w:val="center" w:pos="4677"/>
        <w:tab w:val="right" w:pos="9355"/>
      </w:tabs>
    </w:pPr>
  </w:style>
  <w:style w:type="character" w:styleId="ab">
    <w:name w:val="page number"/>
    <w:rsid w:val="0052580F"/>
    <w:rPr>
      <w:rFonts w:cs="Times New Roman"/>
    </w:rPr>
  </w:style>
  <w:style w:type="paragraph" w:styleId="ac">
    <w:name w:val="header"/>
    <w:basedOn w:val="a0"/>
    <w:rsid w:val="00912065"/>
    <w:pPr>
      <w:tabs>
        <w:tab w:val="center" w:pos="4677"/>
        <w:tab w:val="right" w:pos="9355"/>
      </w:tabs>
    </w:pPr>
  </w:style>
  <w:style w:type="paragraph" w:customStyle="1" w:styleId="13">
    <w:name w:val="Рецензия1"/>
    <w:hidden/>
    <w:semiHidden/>
    <w:rsid w:val="003E3F2C"/>
    <w:rPr>
      <w:sz w:val="24"/>
      <w:szCs w:val="24"/>
    </w:rPr>
  </w:style>
  <w:style w:type="paragraph" w:customStyle="1" w:styleId="11CharChar">
    <w:name w:val="Знак Знак1 Знак Знак Знак1 Знак Знак Знак Знак Char Знак Char Знак"/>
    <w:basedOn w:val="a0"/>
    <w:rsid w:val="004D2316"/>
    <w:pPr>
      <w:tabs>
        <w:tab w:val="num" w:pos="360"/>
      </w:tabs>
      <w:spacing w:after="160" w:line="240" w:lineRule="exact"/>
    </w:pPr>
    <w:rPr>
      <w:noProof/>
    </w:rPr>
  </w:style>
  <w:style w:type="paragraph" w:customStyle="1" w:styleId="Iauiue">
    <w:name w:val="Iau?iue"/>
    <w:rsid w:val="009E51EC"/>
  </w:style>
  <w:style w:type="character" w:styleId="ad">
    <w:name w:val="annotation reference"/>
    <w:rsid w:val="000503C8"/>
    <w:rPr>
      <w:rFonts w:cs="Times New Roman"/>
      <w:sz w:val="16"/>
      <w:szCs w:val="16"/>
    </w:rPr>
  </w:style>
  <w:style w:type="paragraph" w:styleId="ae">
    <w:name w:val="annotation text"/>
    <w:basedOn w:val="a0"/>
    <w:link w:val="af"/>
    <w:rsid w:val="000503C8"/>
    <w:rPr>
      <w:szCs w:val="20"/>
      <w:lang w:eastAsia="x-none"/>
    </w:rPr>
  </w:style>
  <w:style w:type="character" w:customStyle="1" w:styleId="af">
    <w:name w:val="Текст примечания Знак"/>
    <w:link w:val="ae"/>
    <w:locked/>
    <w:rsid w:val="000503C8"/>
    <w:rPr>
      <w:rFonts w:cs="Times New Roman"/>
    </w:rPr>
  </w:style>
  <w:style w:type="paragraph" w:styleId="af0">
    <w:name w:val="annotation subject"/>
    <w:basedOn w:val="ae"/>
    <w:next w:val="ae"/>
    <w:link w:val="af1"/>
    <w:rsid w:val="000503C8"/>
    <w:rPr>
      <w:b/>
      <w:bCs/>
    </w:rPr>
  </w:style>
  <w:style w:type="character" w:customStyle="1" w:styleId="af1">
    <w:name w:val="Тема примечания Знак"/>
    <w:link w:val="af0"/>
    <w:locked/>
    <w:rsid w:val="000503C8"/>
    <w:rPr>
      <w:rFonts w:cs="Times New Roman"/>
      <w:b/>
      <w:bCs/>
    </w:rPr>
  </w:style>
  <w:style w:type="numbering" w:customStyle="1" w:styleId="1">
    <w:name w:val="Стиль1"/>
    <w:rsid w:val="00566AAA"/>
    <w:pPr>
      <w:numPr>
        <w:numId w:val="3"/>
      </w:numPr>
    </w:pPr>
  </w:style>
  <w:style w:type="character" w:styleId="af2">
    <w:name w:val="FollowedHyperlink"/>
    <w:rsid w:val="00456A61"/>
    <w:rPr>
      <w:color w:val="800080"/>
      <w:u w:val="single"/>
    </w:rPr>
  </w:style>
  <w:style w:type="paragraph" w:styleId="14">
    <w:name w:val="toc 1"/>
    <w:basedOn w:val="a0"/>
    <w:next w:val="a0"/>
    <w:autoRedefine/>
    <w:uiPriority w:val="39"/>
    <w:rsid w:val="00047157"/>
    <w:pPr>
      <w:tabs>
        <w:tab w:val="left" w:pos="600"/>
        <w:tab w:val="right" w:leader="dot" w:pos="9344"/>
      </w:tabs>
      <w:spacing w:before="120" w:after="120"/>
    </w:pPr>
    <w:rPr>
      <w:b/>
      <w:bCs/>
      <w:caps/>
      <w:szCs w:val="20"/>
    </w:rPr>
  </w:style>
  <w:style w:type="paragraph" w:styleId="23">
    <w:name w:val="toc 2"/>
    <w:basedOn w:val="a0"/>
    <w:next w:val="a0"/>
    <w:autoRedefine/>
    <w:uiPriority w:val="39"/>
    <w:rsid w:val="00B0449E"/>
    <w:pPr>
      <w:tabs>
        <w:tab w:val="left" w:pos="800"/>
        <w:tab w:val="right" w:leader="dot" w:pos="9344"/>
      </w:tabs>
      <w:ind w:left="200"/>
    </w:pPr>
    <w:rPr>
      <w:szCs w:val="20"/>
    </w:rPr>
  </w:style>
  <w:style w:type="paragraph" w:styleId="32">
    <w:name w:val="toc 3"/>
    <w:basedOn w:val="a0"/>
    <w:next w:val="a0"/>
    <w:autoRedefine/>
    <w:uiPriority w:val="39"/>
    <w:rsid w:val="00DF65DB"/>
    <w:pPr>
      <w:ind w:left="400"/>
    </w:pPr>
    <w:rPr>
      <w:i/>
      <w:iCs/>
      <w:szCs w:val="20"/>
    </w:rPr>
  </w:style>
  <w:style w:type="paragraph" w:styleId="40">
    <w:name w:val="toc 4"/>
    <w:basedOn w:val="a0"/>
    <w:next w:val="a0"/>
    <w:autoRedefine/>
    <w:uiPriority w:val="39"/>
    <w:rsid w:val="005414D3"/>
    <w:pPr>
      <w:ind w:left="600"/>
    </w:pPr>
    <w:rPr>
      <w:rFonts w:asciiTheme="minorHAnsi" w:hAnsiTheme="minorHAnsi"/>
      <w:sz w:val="18"/>
      <w:szCs w:val="18"/>
    </w:rPr>
  </w:style>
  <w:style w:type="paragraph" w:styleId="50">
    <w:name w:val="toc 5"/>
    <w:basedOn w:val="a0"/>
    <w:next w:val="a0"/>
    <w:autoRedefine/>
    <w:uiPriority w:val="39"/>
    <w:rsid w:val="005414D3"/>
    <w:pPr>
      <w:ind w:left="800"/>
    </w:pPr>
    <w:rPr>
      <w:rFonts w:asciiTheme="minorHAnsi" w:hAnsiTheme="minorHAnsi"/>
      <w:sz w:val="18"/>
      <w:szCs w:val="18"/>
    </w:rPr>
  </w:style>
  <w:style w:type="paragraph" w:styleId="60">
    <w:name w:val="toc 6"/>
    <w:basedOn w:val="a0"/>
    <w:next w:val="a0"/>
    <w:autoRedefine/>
    <w:uiPriority w:val="39"/>
    <w:rsid w:val="005414D3"/>
    <w:pPr>
      <w:ind w:left="1000"/>
    </w:pPr>
    <w:rPr>
      <w:rFonts w:asciiTheme="minorHAnsi" w:hAnsiTheme="minorHAnsi"/>
      <w:sz w:val="18"/>
      <w:szCs w:val="18"/>
    </w:rPr>
  </w:style>
  <w:style w:type="paragraph" w:styleId="7">
    <w:name w:val="toc 7"/>
    <w:basedOn w:val="a0"/>
    <w:next w:val="a0"/>
    <w:autoRedefine/>
    <w:uiPriority w:val="39"/>
    <w:rsid w:val="005414D3"/>
    <w:pPr>
      <w:ind w:left="1200"/>
    </w:pPr>
    <w:rPr>
      <w:rFonts w:asciiTheme="minorHAnsi" w:hAnsiTheme="minorHAnsi"/>
      <w:sz w:val="18"/>
      <w:szCs w:val="18"/>
    </w:rPr>
  </w:style>
  <w:style w:type="paragraph" w:styleId="8">
    <w:name w:val="toc 8"/>
    <w:basedOn w:val="a0"/>
    <w:next w:val="a0"/>
    <w:autoRedefine/>
    <w:uiPriority w:val="39"/>
    <w:rsid w:val="005414D3"/>
    <w:pPr>
      <w:ind w:left="1400"/>
    </w:pPr>
    <w:rPr>
      <w:rFonts w:asciiTheme="minorHAnsi" w:hAnsiTheme="minorHAnsi"/>
      <w:sz w:val="18"/>
      <w:szCs w:val="18"/>
    </w:rPr>
  </w:style>
  <w:style w:type="paragraph" w:styleId="9">
    <w:name w:val="toc 9"/>
    <w:basedOn w:val="a0"/>
    <w:next w:val="a0"/>
    <w:autoRedefine/>
    <w:uiPriority w:val="39"/>
    <w:rsid w:val="005414D3"/>
    <w:pPr>
      <w:ind w:left="1600"/>
    </w:pPr>
    <w:rPr>
      <w:rFonts w:asciiTheme="minorHAnsi" w:hAnsiTheme="minorHAnsi"/>
      <w:sz w:val="18"/>
      <w:szCs w:val="18"/>
    </w:rPr>
  </w:style>
  <w:style w:type="paragraph" w:customStyle="1" w:styleId="6">
    <w:name w:val="Стиль6"/>
    <w:link w:val="61"/>
    <w:rsid w:val="00001E00"/>
    <w:pPr>
      <w:numPr>
        <w:ilvl w:val="1"/>
        <w:numId w:val="4"/>
      </w:numPr>
      <w:jc w:val="both"/>
    </w:pPr>
    <w:rPr>
      <w:rFonts w:ascii="Arial" w:hAnsi="Arial"/>
      <w:sz w:val="22"/>
      <w:szCs w:val="22"/>
    </w:rPr>
  </w:style>
  <w:style w:type="character" w:customStyle="1" w:styleId="61">
    <w:name w:val="Стиль6 Знак"/>
    <w:link w:val="6"/>
    <w:locked/>
    <w:rsid w:val="00001E00"/>
    <w:rPr>
      <w:rFonts w:ascii="Arial" w:hAnsi="Arial"/>
      <w:sz w:val="22"/>
      <w:szCs w:val="22"/>
    </w:rPr>
  </w:style>
  <w:style w:type="paragraph" w:styleId="af3">
    <w:name w:val="Revision"/>
    <w:hidden/>
    <w:uiPriority w:val="99"/>
    <w:semiHidden/>
    <w:rsid w:val="00C441E0"/>
    <w:rPr>
      <w:sz w:val="24"/>
      <w:szCs w:val="24"/>
    </w:rPr>
  </w:style>
  <w:style w:type="paragraph" w:styleId="af4">
    <w:name w:val="List Paragraph"/>
    <w:basedOn w:val="a0"/>
    <w:uiPriority w:val="34"/>
    <w:qFormat/>
    <w:rsid w:val="008111D7"/>
    <w:pPr>
      <w:ind w:left="720"/>
      <w:contextualSpacing/>
    </w:pPr>
  </w:style>
  <w:style w:type="character" w:customStyle="1" w:styleId="a5">
    <w:name w:val="Основной текст Знак"/>
    <w:basedOn w:val="a1"/>
    <w:link w:val="a4"/>
    <w:rsid w:val="00096A43"/>
    <w:rPr>
      <w:sz w:val="24"/>
    </w:rPr>
  </w:style>
  <w:style w:type="character" w:customStyle="1" w:styleId="12">
    <w:name w:val="Заголовок 1 Знак"/>
    <w:aliases w:val="Уровень 1 Знак"/>
    <w:basedOn w:val="a1"/>
    <w:link w:val="10"/>
    <w:rsid w:val="002116C9"/>
    <w:rPr>
      <w:rFonts w:ascii="Tahoma" w:hAnsi="Tahoma" w:cs="Arial"/>
      <w:b/>
    </w:rPr>
  </w:style>
  <w:style w:type="paragraph" w:styleId="af5">
    <w:name w:val="TOC Heading"/>
    <w:basedOn w:val="a0"/>
    <w:next w:val="a0"/>
    <w:uiPriority w:val="39"/>
    <w:unhideWhenUsed/>
    <w:qFormat/>
    <w:rsid w:val="003E0F50"/>
    <w:pPr>
      <w:spacing w:line="276" w:lineRule="auto"/>
    </w:pPr>
    <w:rPr>
      <w:b/>
    </w:rPr>
  </w:style>
  <w:style w:type="numbering" w:customStyle="1" w:styleId="20">
    <w:name w:val="Стиль2"/>
    <w:uiPriority w:val="99"/>
    <w:rsid w:val="0013140C"/>
    <w:pPr>
      <w:numPr>
        <w:numId w:val="5"/>
      </w:numPr>
    </w:pPr>
  </w:style>
  <w:style w:type="numbering" w:customStyle="1" w:styleId="3">
    <w:name w:val="Стиль3"/>
    <w:uiPriority w:val="99"/>
    <w:rsid w:val="00F32204"/>
    <w:pPr>
      <w:numPr>
        <w:numId w:val="6"/>
      </w:numPr>
    </w:pPr>
  </w:style>
  <w:style w:type="paragraph" w:styleId="a">
    <w:name w:val="Title"/>
    <w:aliases w:val="Уровень 2"/>
    <w:basedOn w:val="23"/>
    <w:next w:val="a0"/>
    <w:link w:val="af6"/>
    <w:qFormat/>
    <w:locked/>
    <w:rsid w:val="002116C9"/>
    <w:pPr>
      <w:keepNext/>
      <w:numPr>
        <w:ilvl w:val="1"/>
        <w:numId w:val="7"/>
      </w:numPr>
      <w:tabs>
        <w:tab w:val="clear" w:pos="800"/>
        <w:tab w:val="left" w:pos="1026"/>
      </w:tabs>
      <w:outlineLvl w:val="1"/>
    </w:pPr>
    <w:rPr>
      <w:rFonts w:cs="Arial"/>
      <w:b/>
    </w:rPr>
  </w:style>
  <w:style w:type="character" w:customStyle="1" w:styleId="af6">
    <w:name w:val="Заголовок Знак"/>
    <w:aliases w:val="Уровень 2 Знак"/>
    <w:basedOn w:val="a1"/>
    <w:link w:val="a"/>
    <w:rsid w:val="002116C9"/>
    <w:rPr>
      <w:rFonts w:ascii="Tahoma" w:hAnsi="Tahoma" w:cs="Arial"/>
      <w:b/>
    </w:rPr>
  </w:style>
  <w:style w:type="character" w:styleId="af7">
    <w:name w:val="Emphasis"/>
    <w:aliases w:val="Глава 3"/>
    <w:qFormat/>
    <w:locked/>
    <w:rsid w:val="00D54592"/>
    <w:rPr>
      <w:rFonts w:ascii="Arial" w:hAnsi="Arial" w:cs="Arial"/>
      <w:sz w:val="20"/>
      <w:szCs w:val="20"/>
    </w:rPr>
  </w:style>
  <w:style w:type="paragraph" w:customStyle="1" w:styleId="30">
    <w:name w:val="Уровень 3"/>
    <w:basedOn w:val="a0"/>
    <w:link w:val="33"/>
    <w:qFormat/>
    <w:rsid w:val="00047157"/>
    <w:pPr>
      <w:numPr>
        <w:ilvl w:val="2"/>
        <w:numId w:val="7"/>
      </w:numPr>
      <w:jc w:val="both"/>
    </w:pPr>
  </w:style>
  <w:style w:type="paragraph" w:customStyle="1" w:styleId="4">
    <w:name w:val="Уровень 4"/>
    <w:basedOn w:val="a0"/>
    <w:link w:val="41"/>
    <w:qFormat/>
    <w:rsid w:val="00F32204"/>
    <w:pPr>
      <w:numPr>
        <w:ilvl w:val="3"/>
        <w:numId w:val="7"/>
      </w:numPr>
      <w:tabs>
        <w:tab w:val="left" w:pos="1701"/>
      </w:tabs>
      <w:jc w:val="both"/>
    </w:pPr>
  </w:style>
  <w:style w:type="character" w:customStyle="1" w:styleId="33">
    <w:name w:val="Уровень 3 Знак"/>
    <w:basedOn w:val="a1"/>
    <w:link w:val="30"/>
    <w:rsid w:val="00047157"/>
    <w:rPr>
      <w:rFonts w:ascii="Tahoma" w:hAnsi="Tahoma"/>
      <w:szCs w:val="24"/>
    </w:rPr>
  </w:style>
  <w:style w:type="paragraph" w:customStyle="1" w:styleId="11">
    <w:name w:val="Уровень Выделение 1"/>
    <w:basedOn w:val="a0"/>
    <w:link w:val="15"/>
    <w:qFormat/>
    <w:rsid w:val="00F32204"/>
    <w:pPr>
      <w:numPr>
        <w:ilvl w:val="4"/>
        <w:numId w:val="7"/>
      </w:numPr>
      <w:jc w:val="both"/>
    </w:pPr>
    <w:rPr>
      <w:rFonts w:cs="Arial"/>
      <w:szCs w:val="20"/>
    </w:rPr>
  </w:style>
  <w:style w:type="character" w:customStyle="1" w:styleId="41">
    <w:name w:val="Уровень 4 Знак"/>
    <w:basedOn w:val="a1"/>
    <w:link w:val="4"/>
    <w:rsid w:val="00B240AF"/>
    <w:rPr>
      <w:rFonts w:ascii="Tahoma" w:hAnsi="Tahoma"/>
      <w:szCs w:val="24"/>
    </w:rPr>
  </w:style>
  <w:style w:type="character" w:customStyle="1" w:styleId="15">
    <w:name w:val="Уровень Выделение 1 Знак"/>
    <w:basedOn w:val="a1"/>
    <w:link w:val="11"/>
    <w:rsid w:val="00B240AF"/>
    <w:rPr>
      <w:rFonts w:ascii="Tahoma" w:hAnsi="Tahoma" w:cs="Arial"/>
    </w:rPr>
  </w:style>
  <w:style w:type="character" w:styleId="af8">
    <w:name w:val="Placeholder Text"/>
    <w:basedOn w:val="a1"/>
    <w:uiPriority w:val="99"/>
    <w:semiHidden/>
    <w:rsid w:val="00853A40"/>
    <w:rPr>
      <w:color w:val="808080"/>
    </w:rPr>
  </w:style>
  <w:style w:type="paragraph" w:customStyle="1" w:styleId="2">
    <w:name w:val="Уровень Выделение 2"/>
    <w:basedOn w:val="a0"/>
    <w:link w:val="24"/>
    <w:qFormat/>
    <w:rsid w:val="00F32204"/>
    <w:pPr>
      <w:numPr>
        <w:ilvl w:val="5"/>
        <w:numId w:val="7"/>
      </w:numPr>
      <w:jc w:val="both"/>
    </w:pPr>
  </w:style>
  <w:style w:type="paragraph" w:customStyle="1" w:styleId="5">
    <w:name w:val="Уровень 5"/>
    <w:basedOn w:val="a0"/>
    <w:link w:val="51"/>
    <w:qFormat/>
    <w:rsid w:val="00F32204"/>
    <w:pPr>
      <w:numPr>
        <w:ilvl w:val="6"/>
        <w:numId w:val="7"/>
      </w:numPr>
    </w:pPr>
  </w:style>
  <w:style w:type="character" w:customStyle="1" w:styleId="24">
    <w:name w:val="Уровень Выделение 2 Знак"/>
    <w:basedOn w:val="a1"/>
    <w:link w:val="2"/>
    <w:rsid w:val="00B240AF"/>
    <w:rPr>
      <w:rFonts w:ascii="Tahoma" w:hAnsi="Tahoma"/>
      <w:szCs w:val="24"/>
    </w:rPr>
  </w:style>
  <w:style w:type="paragraph" w:customStyle="1" w:styleId="af9">
    <w:name w:val="Уровень Формул текст"/>
    <w:basedOn w:val="a0"/>
    <w:link w:val="afa"/>
    <w:qFormat/>
    <w:rsid w:val="00D45214"/>
    <w:pPr>
      <w:spacing w:after="120"/>
      <w:ind w:left="1559"/>
      <w:contextualSpacing/>
      <w:jc w:val="both"/>
    </w:pPr>
    <w:rPr>
      <w:rFonts w:cs="Arial"/>
      <w:szCs w:val="20"/>
    </w:rPr>
  </w:style>
  <w:style w:type="character" w:customStyle="1" w:styleId="51">
    <w:name w:val="Уровень 5 Знак"/>
    <w:basedOn w:val="a1"/>
    <w:link w:val="5"/>
    <w:rsid w:val="00B240AF"/>
    <w:rPr>
      <w:rFonts w:ascii="Tahoma" w:hAnsi="Tahoma"/>
      <w:szCs w:val="24"/>
    </w:rPr>
  </w:style>
  <w:style w:type="paragraph" w:customStyle="1" w:styleId="afb">
    <w:name w:val="Уровень Формул"/>
    <w:basedOn w:val="a0"/>
    <w:link w:val="afc"/>
    <w:qFormat/>
    <w:rsid w:val="0056354D"/>
    <w:pPr>
      <w:spacing w:before="240" w:after="240"/>
      <w:jc w:val="both"/>
    </w:pPr>
    <w:rPr>
      <w:rFonts w:ascii="Cambria Math" w:hAnsi="Cambria Math" w:cs="Arial"/>
      <w:i/>
      <w:sz w:val="24"/>
      <w:szCs w:val="20"/>
    </w:rPr>
  </w:style>
  <w:style w:type="character" w:customStyle="1" w:styleId="afa">
    <w:name w:val="Уровень Формул текст Знак"/>
    <w:basedOn w:val="a1"/>
    <w:link w:val="af9"/>
    <w:rsid w:val="00D45214"/>
    <w:rPr>
      <w:rFonts w:ascii="Tahoma" w:hAnsi="Tahoma" w:cs="Arial"/>
    </w:rPr>
  </w:style>
  <w:style w:type="character" w:customStyle="1" w:styleId="afc">
    <w:name w:val="Уровень Формул Знак"/>
    <w:basedOn w:val="a1"/>
    <w:link w:val="afb"/>
    <w:rsid w:val="0056354D"/>
    <w:rPr>
      <w:rFonts w:ascii="Cambria Math" w:hAnsi="Cambria Math" w:cs="Arial"/>
      <w:i/>
      <w:sz w:val="24"/>
      <w:lang w:val="en-GB"/>
    </w:rPr>
  </w:style>
  <w:style w:type="character" w:customStyle="1" w:styleId="22">
    <w:name w:val="Заголовок 2 Знак"/>
    <w:basedOn w:val="a1"/>
    <w:link w:val="21"/>
    <w:semiHidden/>
    <w:rsid w:val="00DF65DB"/>
    <w:rPr>
      <w:rFonts w:asciiTheme="majorHAnsi" w:eastAsiaTheme="majorEastAsia" w:hAnsiTheme="majorHAnsi" w:cstheme="majorBidi"/>
      <w:color w:val="365F91" w:themeColor="accent1" w:themeShade="BF"/>
      <w:sz w:val="26"/>
      <w:szCs w:val="26"/>
    </w:rPr>
  </w:style>
  <w:style w:type="paragraph" w:customStyle="1" w:styleId="ConsPlusNormal">
    <w:name w:val="ConsPlusNormal"/>
    <w:rsid w:val="00700330"/>
    <w:pPr>
      <w:autoSpaceDE w:val="0"/>
      <w:autoSpaceDN w:val="0"/>
      <w:adjustRightInd w:val="0"/>
    </w:pPr>
  </w:style>
  <w:style w:type="paragraph" w:styleId="afd">
    <w:name w:val="footnote text"/>
    <w:basedOn w:val="a0"/>
    <w:link w:val="afe"/>
    <w:semiHidden/>
    <w:unhideWhenUsed/>
    <w:rsid w:val="00D322B6"/>
    <w:rPr>
      <w:szCs w:val="20"/>
    </w:rPr>
  </w:style>
  <w:style w:type="character" w:customStyle="1" w:styleId="afe">
    <w:name w:val="Текст сноски Знак"/>
    <w:basedOn w:val="a1"/>
    <w:link w:val="afd"/>
    <w:semiHidden/>
    <w:rsid w:val="00D322B6"/>
    <w:rPr>
      <w:rFonts w:ascii="Tahoma" w:hAnsi="Tahoma"/>
    </w:rPr>
  </w:style>
  <w:style w:type="character" w:styleId="aff">
    <w:name w:val="footnote reference"/>
    <w:basedOn w:val="a1"/>
    <w:semiHidden/>
    <w:unhideWhenUsed/>
    <w:rsid w:val="00D322B6"/>
    <w:rPr>
      <w:vertAlign w:val="superscript"/>
    </w:rPr>
  </w:style>
  <w:style w:type="character" w:styleId="aff0">
    <w:name w:val="Unresolved Mention"/>
    <w:basedOn w:val="a1"/>
    <w:rsid w:val="00E51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4A979-62DF-4FD9-9280-FAC9D8C8C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2421</Words>
  <Characters>14207</Characters>
  <Application>Microsoft Office Word</Application>
  <DocSecurity>0</DocSecurity>
  <Lines>676</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2024-04-02T06:54:00Z</dcterms:created>
  <dcterms:modified xsi:type="dcterms:W3CDTF">2026-10-23T11:35:00Z</dcterms:modified>
</cp:coreProperties>
</file>