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77777777"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41751B4" w14:textId="25BC127B"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</w:t>
      </w:r>
      <w:r w:rsidR="003C55A9">
        <w:rPr>
          <w:rFonts w:ascii="Tahoma" w:hAnsi="Tahoma" w:cs="Tahoma"/>
          <w:bCs/>
          <w:sz w:val="20"/>
          <w:szCs w:val="20"/>
          <w:lang w:eastAsia="x-none"/>
        </w:rPr>
        <w:t>6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49387B">
        <w:rPr>
          <w:rFonts w:ascii="Tahoma" w:hAnsi="Tahoma" w:cs="Tahoma"/>
          <w:bCs/>
          <w:sz w:val="20"/>
          <w:szCs w:val="20"/>
          <w:lang w:eastAsia="x-none"/>
        </w:rPr>
        <w:t>99</w:t>
      </w:r>
      <w:r w:rsidR="002A4666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FC0EED">
        <w:rPr>
          <w:rFonts w:ascii="Tahoma" w:hAnsi="Tahoma" w:cs="Tahoma"/>
          <w:bCs/>
          <w:sz w:val="20"/>
          <w:szCs w:val="20"/>
          <w:lang w:eastAsia="x-none"/>
        </w:rPr>
        <w:t xml:space="preserve"> 20 января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202</w:t>
      </w:r>
      <w:r w:rsidR="003C55A9">
        <w:rPr>
          <w:rFonts w:ascii="Tahoma" w:hAnsi="Tahoma" w:cs="Tahoma"/>
          <w:bCs/>
          <w:sz w:val="20"/>
          <w:szCs w:val="20"/>
          <w:lang w:eastAsia="x-none"/>
        </w:rPr>
        <w:t>6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14:paraId="4DA63D88" w14:textId="77777777"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14:paraId="7D936DC2" w14:textId="77777777"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14:paraId="6C4788A6" w14:textId="77777777"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14:paraId="5EA3E3CA" w14:textId="77777777"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50669865" w14:textId="77777777" w:rsidR="00BB7919" w:rsidRPr="003042DA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основной </w:t>
      </w:r>
      <w:r w:rsidR="00BB7919"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</w:t>
      </w:r>
      <w:r w:rsidR="00BB7919" w:rsidRPr="003042DA">
        <w:rPr>
          <w:rFonts w:ascii="Tahoma" w:hAnsi="Tahoma" w:cs="Tahoma"/>
          <w:lang w:val="ru-RU"/>
        </w:rPr>
        <w:t>;</w:t>
      </w:r>
    </w:p>
    <w:p w14:paraId="0AF136A2" w14:textId="77777777"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62C99375" w14:textId="77777777"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14:paraId="6A2AC897" w14:textId="77777777"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065E47F0" w14:textId="77777777"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14:paraId="69FA780F" w14:textId="77777777"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14:paraId="48DCC84A" w14:textId="77777777"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14:paraId="70A65E68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77777777" w:rsidR="0064425A" w:rsidRPr="00625EC3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25EC3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625EC3" w:rsidRPr="00625EC3">
        <w:rPr>
          <w:rFonts w:ascii="Tahoma" w:hAnsi="Tahoma" w:cs="Tahoma"/>
        </w:rPr>
        <w:t>.</w:t>
      </w:r>
    </w:p>
    <w:p w14:paraId="350751C8" w14:textId="77777777" w:rsidR="006A6D3C" w:rsidRPr="003042DA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Основной к</w:t>
      </w:r>
      <w:r w:rsidR="006A6D3C" w:rsidRPr="003042DA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7777777" w:rsidR="008A75D9" w:rsidRPr="003042DA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Pr="003042DA">
        <w:rPr>
          <w:rFonts w:ascii="Tahoma" w:hAnsi="Tahoma" w:cs="Tahoma"/>
        </w:rPr>
        <w:t>&gt;.&lt;</w:t>
      </w:r>
      <w:proofErr w:type="gramEnd"/>
      <w:r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14:paraId="4D2F2AC4" w14:textId="77777777" w:rsidR="0064425A" w:rsidRPr="003042DA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14:paraId="25888AEE" w14:textId="77777777"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14:paraId="02468B41" w14:textId="77777777"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</w:t>
      </w:r>
      <w:r w:rsidR="00273A72" w:rsidRPr="00834DEE">
        <w:rPr>
          <w:rFonts w:ascii="Tahoma" w:hAnsi="Tahoma" w:cs="Tahoma"/>
        </w:rPr>
        <w:lastRenderedPageBreak/>
        <w:t xml:space="preserve">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7777777"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14:paraId="5B3BA5CD" w14:textId="77777777" w:rsidR="007D7969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14:paraId="1A54A0E9" w14:textId="77777777" w:rsidR="00463253" w:rsidRPr="003042DA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14:paraId="16771980" w14:textId="77777777"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14:paraId="6C5501C3" w14:textId="77777777"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14:paraId="14318244" w14:textId="77777777"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14:paraId="4A5F17E2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0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0"/>
    </w:p>
    <w:p w14:paraId="3D24273F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2F02762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0C7C7178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D19C942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14AB97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AB94D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21E91BA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6D633D7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28F8559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36FB9F68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6E1F2282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B7BCB3D" w14:textId="77777777"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1730C04D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4DF4F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C250F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5E6B586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ECE9F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7DA6DE4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61B68431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31FA26C4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64ADF44F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51CCAD9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где:</w:t>
      </w:r>
    </w:p>
    <w:p w14:paraId="5C9EA4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D0B34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037EFDC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CF9939A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1BFB2805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D3B0CFB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2D6D9F66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6188D7F5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9D1ABE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BBD2F03" w14:textId="2F9F1CE1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9D572D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03C15B5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BDAA706" w14:textId="77777777"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E465968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BE0EEE1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F39109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3B3D7AFE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A446D4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793E03B6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B214F0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27E0DD2A" w14:textId="77777777"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78915B23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45CCD3E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B4FB184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5B59D8E9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73C3025B" w14:textId="77777777"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77777777"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E69567" w14:textId="77777777" w:rsidR="0064425A" w:rsidRPr="00422906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422906">
        <w:rPr>
          <w:rFonts w:ascii="Tahoma" w:hAnsi="Tahoma" w:cs="Tahoma"/>
        </w:rPr>
        <w:t>Обязательство по поставке</w:t>
      </w:r>
      <w:r w:rsidR="0046162E" w:rsidRPr="00422906">
        <w:rPr>
          <w:rFonts w:ascii="Tahoma" w:hAnsi="Tahoma" w:cs="Tahoma"/>
        </w:rPr>
        <w:t>.</w:t>
      </w:r>
    </w:p>
    <w:p w14:paraId="15FE6D55" w14:textId="77777777" w:rsidR="0053755D" w:rsidRPr="00422906" w:rsidRDefault="0053755D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422906">
        <w:rPr>
          <w:rFonts w:ascii="Tahoma" w:hAnsi="Tahoma" w:cs="Tahoma"/>
        </w:rPr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422906">
        <w:rPr>
          <w:rFonts w:ascii="Tahoma" w:hAnsi="Tahoma" w:cs="Tahoma"/>
          <w:color w:val="000000"/>
        </w:rPr>
        <w:t xml:space="preserve">заключения сделки в </w:t>
      </w:r>
      <w:r w:rsidR="009E5F49" w:rsidRPr="00422906">
        <w:rPr>
          <w:rFonts w:ascii="Tahoma" w:hAnsi="Tahoma" w:cs="Tahoma"/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422906">
        <w:rPr>
          <w:rFonts w:ascii="Tahoma" w:hAnsi="Tahoma" w:cs="Tahoma"/>
        </w:rPr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14:paraId="5CB51258" w14:textId="77777777" w:rsidR="0064425A" w:rsidRPr="00422906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422906">
        <w:rPr>
          <w:rFonts w:ascii="Tahoma" w:hAnsi="Tahoma" w:cs="Tahoma"/>
        </w:rPr>
        <w:t>Исполнение Обязательства по поставке производится в день</w:t>
      </w:r>
      <w:r w:rsidR="0096320D" w:rsidRPr="00422906">
        <w:rPr>
          <w:rFonts w:ascii="Tahoma" w:hAnsi="Tahoma" w:cs="Tahoma"/>
        </w:rPr>
        <w:t xml:space="preserve"> исполнения Контракта</w:t>
      </w:r>
      <w:r w:rsidR="009D64A3" w:rsidRPr="00422906">
        <w:rPr>
          <w:rFonts w:ascii="Tahoma" w:hAnsi="Tahoma" w:cs="Tahoma"/>
        </w:rPr>
        <w:t xml:space="preserve"> в порядке и сроки, предусмотренные Правилами торгов </w:t>
      </w:r>
      <w:r w:rsidR="00371E7F" w:rsidRPr="00422906">
        <w:rPr>
          <w:rFonts w:ascii="Tahoma" w:hAnsi="Tahoma" w:cs="Tahoma"/>
        </w:rPr>
        <w:t xml:space="preserve">на фондовом рынке </w:t>
      </w:r>
      <w:r w:rsidR="009D64A3" w:rsidRPr="00422906">
        <w:rPr>
          <w:rFonts w:ascii="Tahoma" w:hAnsi="Tahoma" w:cs="Tahoma"/>
        </w:rPr>
        <w:t>и Правилами клиринга.</w:t>
      </w:r>
      <w:r w:rsidR="00DB7F24" w:rsidRPr="00422906">
        <w:rPr>
          <w:rFonts w:ascii="Tahoma" w:hAnsi="Tahoma" w:cs="Tahoma"/>
        </w:rPr>
        <w:t xml:space="preserve"> </w:t>
      </w:r>
    </w:p>
    <w:p w14:paraId="298DAA37" w14:textId="77777777"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14:paraId="3AC7B7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14:paraId="2329834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14:paraId="428615A5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14:paraId="2CF92665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1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1"/>
      <w:r w:rsidRPr="003042DA">
        <w:rPr>
          <w:rFonts w:ascii="Tahoma" w:hAnsi="Tahoma" w:cs="Tahoma"/>
        </w:rPr>
        <w:t>:</w:t>
      </w:r>
    </w:p>
    <w:p w14:paraId="6D42C728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77777777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14:paraId="4FE35CA6" w14:textId="77777777"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60663700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BB247A">
        <w:rPr>
          <w:rFonts w:ascii="Tahoma" w:hAnsi="Tahoma" w:cs="Tahoma"/>
        </w:rPr>
        <w:t>;</w:t>
      </w:r>
    </w:p>
    <w:p w14:paraId="4C58EE04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</w:t>
      </w:r>
      <w:r w:rsidRPr="00BB247A">
        <w:rPr>
          <w:rFonts w:ascii="Tahoma" w:hAnsi="Tahoma" w:cs="Tahoma"/>
        </w:rPr>
        <w:t>;</w:t>
      </w:r>
    </w:p>
    <w:p w14:paraId="0AAFE254" w14:textId="77777777"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14:paraId="188A5FF3" w14:textId="77777777"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14:paraId="0F40B49D" w14:textId="77777777"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2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3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2"/>
      <w:bookmarkEnd w:id="3"/>
      <w:r w:rsidRPr="003042DA">
        <w:rPr>
          <w:rFonts w:ascii="Tahoma" w:hAnsi="Tahoma" w:cs="Tahoma"/>
        </w:rPr>
        <w:t>.</w:t>
      </w:r>
    </w:p>
    <w:p w14:paraId="69D74964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14:paraId="03277E16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14:paraId="1D1CD608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14:paraId="764BA1AF" w14:textId="77777777"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14:paraId="4E86B0EE" w14:textId="77777777"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03E8C2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1A929685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04A53F9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14:paraId="38EC562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14:paraId="70C3A2C8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4110"/>
        <w:gridCol w:w="1276"/>
        <w:gridCol w:w="1418"/>
        <w:gridCol w:w="1564"/>
      </w:tblGrid>
      <w:tr w:rsidR="00625EC3" w:rsidRPr="00CD2745" w14:paraId="6A5DD6E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48C83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35E6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6AB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9B26F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3D21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EB065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25EC3" w:rsidRPr="00CD2745" w14:paraId="52BCFB6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9F2F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BBF86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346F9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AAB3E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827C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0489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AF5AF9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049945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78CE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7B81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7DC97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EF8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52DA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1E96AD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5E361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4D91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8AAC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C1C4D5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ED8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3AB9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69D8E1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B4697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3EA5E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FD7E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1B98C8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947E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F1AD9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C68917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FE0B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3DA64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0A7C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30BFD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CEA2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5FF5E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A914C3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0EB6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72B2B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F059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C6A6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7403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194C5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DB69B9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269C5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7DFC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2093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08C7D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1239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F4CF0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BBBEE5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7B4F6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A2566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9461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61F12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5DF7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674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7788C6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B2430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C19CA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3DFA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C8D95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E4B3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B69B8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984DC5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E9AC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7515A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C21C0" w14:textId="77777777" w:rsidR="00625EC3" w:rsidRPr="00C3596F" w:rsidRDefault="00625EC3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B378F2E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6F0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B0F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5FB4D1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0547C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9E644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A7F6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75F9C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23DC2" w14:textId="77777777" w:rsidR="00625EC3" w:rsidRPr="001F36EC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CBC2C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582360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C84EA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7F4A5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552EED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9A1EA7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E21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58F37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6EA3C17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5EF9F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A944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7DBC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A6BB0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0C3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87AA7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1A8F18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1E67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3272C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98A6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EEF93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BF01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F1F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D993DBF" w14:textId="77777777" w:rsidTr="003F0C60">
        <w:trPr>
          <w:trHeight w:val="5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5B69B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7B42D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0BC1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FD048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D14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892D3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B59668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E2B84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C376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13A3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131C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A26A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C4A77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D637C2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BE60D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9518B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2798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5C0C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0508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CA491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4F1C4F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FD5B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D6A19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504B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2C06B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1CA8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FB762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5A201EB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1CF93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9083A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74FA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4574CB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F754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B2062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2BE5A5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307DCC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56C46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8FC8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BCBCD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C01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861D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1A10BE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C57E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E6124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7752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36005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87CD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38019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FFC979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51F91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CE3B0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B5A8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58DB95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21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AA014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C918C2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1082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217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D525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8C53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6D5B5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F2256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EE1F77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773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D8220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DA20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4110" w:type="dxa"/>
            <w:shd w:val="clear" w:color="auto" w:fill="auto"/>
          </w:tcPr>
          <w:p w14:paraId="005EF28B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B7C7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BCA5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632728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6A77A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F19B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EB90E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3941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4110" w:type="dxa"/>
            <w:shd w:val="clear" w:color="auto" w:fill="auto"/>
          </w:tcPr>
          <w:p w14:paraId="79F4EE79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D9A08" w14:textId="5C813D3E" w:rsidR="00625EC3" w:rsidRPr="00F4267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F4267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EA15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5B0F6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C8223E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7BF81D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EA32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D7F2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F3F09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4FCE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E4EC7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2F093C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945DBA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83E58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6C7F4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A867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0E4DF9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8132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9E2D8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F564AC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086B4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4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9A7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DEA3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EF2D9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53CE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13EC1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D2015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7EEB1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0D997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42DA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11798C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D374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4DE83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5B1089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8A100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91691516"/>
          </w:p>
        </w:tc>
        <w:tc>
          <w:tcPr>
            <w:tcW w:w="4111" w:type="dxa"/>
            <w:shd w:val="clear" w:color="auto" w:fill="auto"/>
            <w:vAlign w:val="center"/>
          </w:tcPr>
          <w:p w14:paraId="45963AB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6FAE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E394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«Объединённая 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DA19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F3528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  <w:tr w:rsidR="00625EC3" w:rsidRPr="00CD2745" w14:paraId="0C179DA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A347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00670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D222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94FFC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435B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2B3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BC14D0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08B98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C18AE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A1E6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6E197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4746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C11B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76B0B7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B62A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8EA8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3F97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E538F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66E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40E3A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B85B0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4714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9C95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D083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BFDD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601D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5AE963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C61C50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88C9EC" w14:textId="77777777" w:rsidR="00625EC3" w:rsidRPr="00C3596F" w:rsidRDefault="00625EC3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B74D49" w14:textId="77777777" w:rsidR="00625EC3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A83C" w14:textId="77777777" w:rsidR="00625EC3" w:rsidRPr="00735766" w:rsidRDefault="00625EC3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6EE0E9" w14:textId="77777777" w:rsidR="00625EC3" w:rsidRPr="00735766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71FB1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625EC3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9453C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4788A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D12452" w14:textId="77777777" w:rsidR="00625EC3" w:rsidRPr="00C3596F" w:rsidRDefault="00625EC3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6B11C9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64E78" w14:textId="77777777" w:rsidR="00625EC3" w:rsidRPr="001434C2" w:rsidRDefault="00625EC3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4D3494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6C337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625EC3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791C82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FC23B7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18DCA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B9372E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6AD6A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B77CD8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Pr="00790496">
              <w:rPr>
                <w:rFonts w:ascii="Tahoma" w:hAnsi="Tahoma" w:cs="Tahoma"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D534A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541BF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9394CC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6FD817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C1A300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71D21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5454491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456C0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987BE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7B5EAB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35671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581952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04AAF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CE0AFF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9002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6C7AF6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206EF0A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FA1C8F" w14:textId="77777777" w:rsidR="00625EC3" w:rsidRPr="00C3596F" w:rsidRDefault="00625EC3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268EFE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84F1B" w14:textId="77777777" w:rsidR="00625EC3" w:rsidRPr="009D1DF9" w:rsidRDefault="00625EC3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0FBECA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70826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4A5E0D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2960A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0D3611" w14:textId="77777777" w:rsidR="00625EC3" w:rsidRPr="00C3596F" w:rsidRDefault="00625EC3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DFDF27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09EC2" w14:textId="77777777" w:rsidR="00625EC3" w:rsidRPr="009D1DF9" w:rsidRDefault="00625EC3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5725CF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24BE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E206BD" w14:textId="77777777" w:rsidR="00625EC3" w:rsidRPr="009D1DF9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7AA4A5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6D6792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2B066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1B0BA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05AD75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C2BD5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77D9A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3553E9A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F30429" w14:textId="77777777" w:rsidR="00625EC3" w:rsidRPr="009D1DF9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36BD8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CF3DD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A4608C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886B2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4D9B8C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E641A4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4F4D6B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59F9E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529C0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AF76E2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05E31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87598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A67F8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507891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2E5906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A08E2" w14:textId="77777777" w:rsidR="00625EC3" w:rsidRPr="00481ABD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9D38770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FBC82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6C3128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4269D4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77607F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BDA4AD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37810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01B0E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CD634" w14:textId="77777777" w:rsidR="00625EC3" w:rsidRPr="00D26A3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7F10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97FCE1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6C1FFB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13B7B4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B2DDC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9B36F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8D76F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ED7A76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3E8A6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33928" w14:textId="77777777" w:rsidR="00625EC3" w:rsidRPr="00C3596F" w:rsidRDefault="00625EC3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84685C" w14:textId="77777777" w:rsidR="00625EC3" w:rsidRPr="002A1F0A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44711" w14:textId="77777777" w:rsidR="00625EC3" w:rsidRPr="002A1F0A" w:rsidRDefault="00625EC3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47597A" w14:textId="77777777" w:rsidR="00625EC3" w:rsidRPr="00537B54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0725E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67E811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8BC902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513E8D" w14:textId="77777777" w:rsidR="00625EC3" w:rsidRPr="00C3596F" w:rsidRDefault="00625EC3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D9A7F2" w14:textId="77777777" w:rsidR="00625EC3" w:rsidRPr="007F550D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CF184" w14:textId="77777777" w:rsidR="00625EC3" w:rsidRPr="007F550D" w:rsidRDefault="00625EC3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39A1F82" w14:textId="77777777" w:rsidR="00625EC3" w:rsidRPr="00537B54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78DCE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3FD434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9AEFFE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F30A06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D46A90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8DC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095B55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1C4CF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EBEAC8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5F5DFC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5CE7E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FFB535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7686D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CE03F3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A5FC4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9AE2A7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592AC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95ED12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B48BFB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AD7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4110" w:type="dxa"/>
            <w:shd w:val="clear" w:color="auto" w:fill="auto"/>
          </w:tcPr>
          <w:p w14:paraId="58E3CA19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D09E8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1C864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552231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A5F2C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1D6DA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480F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4110" w:type="dxa"/>
            <w:shd w:val="clear" w:color="auto" w:fill="auto"/>
          </w:tcPr>
          <w:p w14:paraId="59B51946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78A9E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8805C5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FA18AD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182E7A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BBB5FE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41A98B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4110" w:type="dxa"/>
            <w:shd w:val="clear" w:color="auto" w:fill="auto"/>
          </w:tcPr>
          <w:p w14:paraId="1F11EBED" w14:textId="77777777" w:rsidR="00625EC3" w:rsidRPr="00C3596F" w:rsidRDefault="00625EC3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625EC3" w:rsidRDefault="00625EC3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8A6E9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232DD1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42D595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7FA67" w14:textId="77777777" w:rsidR="00625EC3" w:rsidRPr="00C3596F" w:rsidRDefault="00625EC3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2DFFE9" w14:textId="77777777" w:rsidR="00625EC3" w:rsidRPr="00EF46DD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53DA" w14:textId="77777777" w:rsidR="00625EC3" w:rsidRPr="00B05409" w:rsidRDefault="00625EC3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4110" w:type="dxa"/>
            <w:shd w:val="clear" w:color="auto" w:fill="auto"/>
          </w:tcPr>
          <w:p w14:paraId="6300B39A" w14:textId="77777777" w:rsidR="00625EC3" w:rsidRPr="00C3596F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F6F9E2" w14:textId="77777777" w:rsidR="00625EC3" w:rsidRPr="00EF46D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E4441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F4AE03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C83AE3" w14:textId="77777777" w:rsidR="00625EC3" w:rsidRPr="00C3596F" w:rsidRDefault="00625EC3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87F4B9" w14:textId="77777777" w:rsidR="00625EC3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44A61" w14:textId="77777777" w:rsidR="00625EC3" w:rsidRPr="00A21E06" w:rsidRDefault="00625EC3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4110" w:type="dxa"/>
            <w:shd w:val="clear" w:color="auto" w:fill="auto"/>
          </w:tcPr>
          <w:p w14:paraId="456637BD" w14:textId="77777777" w:rsidR="00625EC3" w:rsidRPr="003B53CF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538F4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9070FA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625EC3" w:rsidRPr="00CD2745" w14:paraId="2165184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887D10" w14:textId="77777777" w:rsidR="00625EC3" w:rsidRPr="00C3596F" w:rsidRDefault="00625EC3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2BBE8" w14:textId="77777777" w:rsidR="00625EC3" w:rsidRPr="00006C78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F9F1B" w14:textId="77777777" w:rsidR="00625EC3" w:rsidRPr="00225003" w:rsidRDefault="00625EC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56790E6" w14:textId="77777777" w:rsidR="00625EC3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E82FA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47E691" w14:textId="77777777" w:rsidR="00625EC3" w:rsidRPr="009D1DF9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438490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02558" w14:textId="77777777" w:rsidR="00625EC3" w:rsidRPr="00C3596F" w:rsidRDefault="00625EC3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856F7F" w14:textId="77777777" w:rsidR="00625EC3" w:rsidRPr="007F550D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31C66" w14:textId="77777777" w:rsidR="00625EC3" w:rsidRPr="007F550D" w:rsidRDefault="00625EC3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3556E8" w14:textId="77777777" w:rsidR="00625EC3" w:rsidRPr="00537B54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40B06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8213A5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3BCB27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67234" w14:textId="77777777" w:rsidR="00625EC3" w:rsidRPr="00C3596F" w:rsidRDefault="00625EC3" w:rsidP="00BC44F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67F480" w14:textId="77777777" w:rsidR="00625EC3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BDADF" w14:textId="77777777" w:rsidR="00625EC3" w:rsidRPr="005674AF" w:rsidRDefault="00625EC3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A866F7" w14:textId="77777777" w:rsidR="00625EC3" w:rsidRPr="00BC44FE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</w:t>
            </w:r>
            <w:r w:rsidRPr="00BC44FE">
              <w:rPr>
                <w:rFonts w:ascii="Tahoma" w:hAnsi="Tahoma" w:cs="Tahoma"/>
                <w:sz w:val="20"/>
                <w:szCs w:val="20"/>
              </w:rPr>
              <w:t>ISIN RU000A108X38)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2F649" w14:textId="77777777" w:rsidR="00625EC3" w:rsidRPr="00D13E5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CD72DE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00CBA" w:rsidRPr="00CD2745" w14:paraId="632AA59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59AC2A" w14:textId="77777777" w:rsidR="00800CBA" w:rsidRPr="00C3596F" w:rsidRDefault="00800CBA" w:rsidP="00800CB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2EB003" w14:textId="58597274" w:rsidR="00800CBA" w:rsidRP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3142C" w14:textId="084AE3EF" w:rsidR="00800CBA" w:rsidRPr="00800CBA" w:rsidRDefault="00800CBA" w:rsidP="00800CB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HEAD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C98E7D" w14:textId="4344A7C8" w:rsid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>ISIN RU000A107662)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C2397" w14:textId="4BB359BB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E1D2A" w14:textId="32F39191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1AEC6" w14:textId="45242E55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E066C" w:rsidRPr="00CD2745" w14:paraId="59F5749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190BF6" w14:textId="77777777" w:rsidR="007E066C" w:rsidRPr="00C3596F" w:rsidRDefault="007E066C" w:rsidP="007E066C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EC9F81" w14:textId="22D090E1" w:rsid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FE81C" w14:textId="4443D584" w:rsidR="007E066C" w:rsidRPr="007E066C" w:rsidRDefault="007E066C" w:rsidP="007E06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MDMG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68689D" w14:textId="55707529" w:rsidR="007E066C" w:rsidRP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7E066C">
              <w:rPr>
                <w:rFonts w:ascii="Tahoma" w:hAnsi="Tahoma" w:cs="Tahoma"/>
                <w:sz w:val="20"/>
                <w:szCs w:val="20"/>
              </w:rPr>
              <w:t>RU000A108KL3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24532" w14:textId="186EF10A" w:rsidR="007E066C" w:rsidRPr="007E066C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57A29" w14:textId="00E0CC94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4C5F6C" w14:textId="4B1507A8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13A52" w:rsidRPr="00CD2745" w14:paraId="622595B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ADEDA7" w14:textId="77777777" w:rsidR="00C13A52" w:rsidRPr="00C3596F" w:rsidRDefault="00C13A52" w:rsidP="00C13A5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830126" w14:textId="3594BA25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CFF4B5" w14:textId="53BDD562" w:rsidR="00C13A52" w:rsidRPr="00C13A52" w:rsidRDefault="00C13A52" w:rsidP="00C13A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RENI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CEB9ECB" w14:textId="48D445C8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C13A52">
              <w:rPr>
                <w:rFonts w:ascii="Tahoma" w:hAnsi="Tahoma" w:cs="Tahoma"/>
                <w:sz w:val="20"/>
                <w:szCs w:val="20"/>
              </w:rPr>
              <w:t>RU000A0ZZM04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79FD3" w14:textId="3BC91682" w:rsidR="00C13A52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1F78" w14:textId="3BA0C80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F312D1" w14:textId="222720C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F0C60" w:rsidRPr="00CD2745" w14:paraId="3794139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F34339" w14:textId="77777777" w:rsidR="003F0C60" w:rsidRPr="00C3596F" w:rsidRDefault="003F0C60" w:rsidP="003F0C60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6699E7" w14:textId="28BD5CF2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B1599" w14:textId="2B6BF2EA" w:rsidR="003F0C60" w:rsidRPr="009D701F" w:rsidRDefault="003F0C60" w:rsidP="003F0C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UPRO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870E3" w14:textId="3A491BD9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3F0C60">
              <w:rPr>
                <w:rFonts w:ascii="Tahoma" w:hAnsi="Tahoma" w:cs="Tahoma"/>
                <w:sz w:val="20"/>
                <w:szCs w:val="20"/>
              </w:rPr>
              <w:t>RU000A0JNGA5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F9A4C" w14:textId="4C1E4B2B" w:rsidR="003F0C60" w:rsidRPr="003F0C60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0F0351" w14:textId="2BE50F0D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FF0CA0" w14:textId="0D7F31B4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92A26" w:rsidRPr="00CD2745" w14:paraId="6645B8F8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823749" w14:textId="77777777" w:rsidR="00892A26" w:rsidRPr="00C3596F" w:rsidRDefault="00892A26" w:rsidP="00892A2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8F9C00" w14:textId="69F0AA6E" w:rsidR="00892A26" w:rsidRPr="00892A26" w:rsidRDefault="00892A26" w:rsidP="00892A26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  <w:r w:rsidRPr="00892A2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8E68C3">
              <w:rPr>
                <w:rFonts w:ascii="Tahoma" w:hAnsi="Tahoma" w:cs="Tahoma"/>
                <w:sz w:val="20"/>
                <w:szCs w:val="20"/>
              </w:rPr>
              <w:t>мини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60737C" w14:textId="1E230680" w:rsidR="00892A26" w:rsidRPr="00C126F0" w:rsidRDefault="00C126F0" w:rsidP="00892A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</w:p>
        </w:tc>
        <w:tc>
          <w:tcPr>
            <w:tcW w:w="4110" w:type="dxa"/>
            <w:shd w:val="clear" w:color="auto" w:fill="auto"/>
          </w:tcPr>
          <w:p w14:paraId="173B1A77" w14:textId="643D431C" w:rsidR="00892A26" w:rsidRDefault="00892A26" w:rsidP="00892A26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30678" w14:textId="4635C6B9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C0F1F" w14:textId="644973BE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6CF6D2" w14:textId="70EA2673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0D4097" w:rsidRPr="00CD2745" w14:paraId="406820E9" w14:textId="77777777" w:rsidTr="000D409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4D1C89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44CA523" w14:textId="124E3CFD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 (мини)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802BC" w14:textId="57AF8C9A" w:rsidR="000D4097" w:rsidRPr="00EE5C93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6B65FC" w:rsidRPr="00EE5C93">
              <w:rPr>
                <w:rFonts w:ascii="Tahoma" w:hAnsi="Tahoma" w:cs="Tahoma"/>
                <w:sz w:val="20"/>
                <w:szCs w:val="20"/>
                <w:lang w:val="en-US"/>
              </w:rPr>
              <w:t>O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TK</w:t>
            </w:r>
            <w:r w:rsidR="006B65FC" w:rsidRPr="00EE5C93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E6AE7D" w14:textId="77777777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703DCA06" w14:textId="7AC0C627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(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E5C93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C3F52" w14:textId="6CB566D9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5D912" w14:textId="274E41B6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B56EC9" w14:textId="003BA5CF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D4097" w:rsidRPr="00CD2745" w14:paraId="004949CA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1B4B73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2A2CC2" w14:textId="6BFE2130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 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DEDF" w14:textId="5A667079" w:rsidR="000D4097" w:rsidRPr="00EE5C93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RTKMP</w:t>
            </w:r>
          </w:p>
        </w:tc>
        <w:tc>
          <w:tcPr>
            <w:tcW w:w="4110" w:type="dxa"/>
            <w:shd w:val="clear" w:color="auto" w:fill="auto"/>
          </w:tcPr>
          <w:p w14:paraId="0A89D6C6" w14:textId="65994DAB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«Ростелеком» (ISIN RU0009046700)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12186" w14:textId="37B17867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EE5C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00956" w14:textId="47B2A2DE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232B85" w14:textId="2B1F023B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D4097" w:rsidRPr="00CD2745" w14:paraId="46C24925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6DC0E1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8D2765" w14:textId="09AAA2D5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 «ИВА»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72D153F" w14:textId="69A042CA" w:rsidR="000D4097" w:rsidRPr="00EE5C93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IVAT</w:t>
            </w:r>
          </w:p>
        </w:tc>
        <w:tc>
          <w:tcPr>
            <w:tcW w:w="4110" w:type="dxa"/>
            <w:shd w:val="clear" w:color="auto" w:fill="auto"/>
          </w:tcPr>
          <w:p w14:paraId="6770111F" w14:textId="2571F064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«ИВА» </w:t>
            </w:r>
          </w:p>
          <w:p w14:paraId="1794FDA3" w14:textId="3E170215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(ISIN RU000A108GD8)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3117C" w14:textId="70DD6A5E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EE5C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28F86" w14:textId="794683F8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58DA7A" w14:textId="2141A99F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A3629" w:rsidRPr="00CD2745" w14:paraId="46499CD3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B17078" w14:textId="77777777" w:rsidR="00CA3629" w:rsidRPr="00C3596F" w:rsidRDefault="00CA3629" w:rsidP="00CA362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B3489C7" w14:textId="527F092E" w:rsidR="00CA3629" w:rsidRPr="00EE5C93" w:rsidRDefault="00CA3629" w:rsidP="00CA3629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МКПАО ЭН+ ГРУП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9967D80" w14:textId="12669E80" w:rsidR="00CA3629" w:rsidRPr="00EE5C93" w:rsidRDefault="00CA3629" w:rsidP="00CA362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ENPG</w:t>
            </w:r>
          </w:p>
        </w:tc>
        <w:tc>
          <w:tcPr>
            <w:tcW w:w="4110" w:type="dxa"/>
            <w:shd w:val="clear" w:color="auto" w:fill="auto"/>
          </w:tcPr>
          <w:p w14:paraId="6D5941AF" w14:textId="4CF8AF8E" w:rsidR="00CA3629" w:rsidRPr="00EE5C93" w:rsidRDefault="00CA3629" w:rsidP="00CA3629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ЭН+ ГРУП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  <w:r w:rsidRPr="00EE5C93">
              <w:rPr>
                <w:rFonts w:ascii="Tahoma" w:hAnsi="Tahoma" w:cs="Tahoma"/>
                <w:sz w:val="20"/>
                <w:szCs w:val="20"/>
              </w:rPr>
              <w:t xml:space="preserve"> (ISIN </w:t>
            </w:r>
            <w:r w:rsidR="003A3DD7" w:rsidRPr="003A3DD7">
              <w:rPr>
                <w:rFonts w:ascii="Tahoma" w:hAnsi="Tahoma" w:cs="Tahoma"/>
                <w:sz w:val="20"/>
                <w:szCs w:val="20"/>
              </w:rPr>
              <w:t>RU000A100K72</w:t>
            </w:r>
            <w:bookmarkStart w:id="6" w:name="_GoBack"/>
            <w:bookmarkEnd w:id="6"/>
            <w:r w:rsidRPr="00EE5C9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9BA88" w14:textId="1454DBE8" w:rsidR="00CA3629" w:rsidRPr="00EE5C93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B5B2E0" w14:textId="2D73A8EF" w:rsidR="00CA3629" w:rsidRPr="00EE5C93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69BE915" w14:textId="49249EF6" w:rsidR="00CA3629" w:rsidRPr="00EE5C93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E5C93" w:rsidRPr="00CD2745" w14:paraId="4C065C4D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6CA1B6" w14:textId="77777777" w:rsidR="00EE5C93" w:rsidRPr="00C3596F" w:rsidRDefault="00EE5C93" w:rsidP="00EE5C93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848E92" w14:textId="0C23420A" w:rsidR="00EE5C93" w:rsidRPr="00EE5C93" w:rsidRDefault="00EE5C93" w:rsidP="00EE5C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  <w:bookmarkStart w:id="7" w:name="_Hlk219817810"/>
            <w:r>
              <w:rPr>
                <w:rFonts w:ascii="Tahoma" w:hAnsi="Tahoma" w:cs="Tahoma"/>
                <w:sz w:val="20"/>
                <w:szCs w:val="20"/>
              </w:rPr>
              <w:t>на обыкновенные акции МКПАО Озон</w:t>
            </w:r>
            <w:bookmarkEnd w:id="7"/>
          </w:p>
        </w:tc>
        <w:tc>
          <w:tcPr>
            <w:tcW w:w="1418" w:type="dxa"/>
            <w:shd w:val="clear" w:color="auto" w:fill="auto"/>
            <w:vAlign w:val="center"/>
          </w:tcPr>
          <w:p w14:paraId="445E4D82" w14:textId="29D7E345" w:rsidR="00EE5C93" w:rsidRPr="00EE5C93" w:rsidRDefault="00EE5C93" w:rsidP="00EE5C9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OZON</w:t>
            </w:r>
          </w:p>
        </w:tc>
        <w:tc>
          <w:tcPr>
            <w:tcW w:w="4110" w:type="dxa"/>
            <w:shd w:val="clear" w:color="auto" w:fill="auto"/>
          </w:tcPr>
          <w:p w14:paraId="70D03F3A" w14:textId="54CDC4A9" w:rsidR="00EE5C93" w:rsidRPr="00EE5C93" w:rsidRDefault="00EE5C93" w:rsidP="00EE5C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Озон (</w:t>
            </w:r>
            <w:r w:rsidRPr="00EE5C93">
              <w:rPr>
                <w:rFonts w:ascii="Tahoma" w:hAnsi="Tahoma" w:cs="Tahoma"/>
                <w:sz w:val="20"/>
                <w:szCs w:val="20"/>
              </w:rPr>
              <w:t>ISIN RU000A10CW95)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68D75" w14:textId="6EB65DF5" w:rsidR="00EE5C93" w:rsidRPr="00EE5C93" w:rsidRDefault="00EE5C93" w:rsidP="00EE5C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3D7EDE" w14:textId="653F774A" w:rsidR="00EE5C93" w:rsidRPr="00EE5C93" w:rsidRDefault="00EE5C93" w:rsidP="00EE5C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3901C9" w14:textId="4ED03251" w:rsidR="00EE5C93" w:rsidRPr="00EE5C93" w:rsidRDefault="00EE5C93" w:rsidP="00EE5C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4"/>
    </w:tbl>
    <w:p w14:paraId="4916ACBC" w14:textId="77777777"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03BA697C" w14:textId="5056F3DA"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3C55A9"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3C55A9"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A71E" w14:textId="77777777" w:rsidR="00FC0EED" w:rsidRDefault="00FC0EED" w:rsidP="002F7E61">
      <w:r>
        <w:separator/>
      </w:r>
    </w:p>
  </w:endnote>
  <w:endnote w:type="continuationSeparator" w:id="0">
    <w:p w14:paraId="4367E653" w14:textId="77777777" w:rsidR="00FC0EED" w:rsidRDefault="00FC0EE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FC0EED" w:rsidRDefault="00FC0EED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FC0EED" w:rsidRDefault="00FC0EED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FC0EED" w:rsidRPr="003768A8" w:rsidRDefault="00FC0EED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FC0EED" w:rsidRDefault="00FC0EED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4C75" w14:textId="77777777" w:rsidR="00FC0EED" w:rsidRDefault="00FC0EED" w:rsidP="002F7E61">
      <w:r>
        <w:separator/>
      </w:r>
    </w:p>
  </w:footnote>
  <w:footnote w:type="continuationSeparator" w:id="0">
    <w:p w14:paraId="70EC4CB3" w14:textId="77777777" w:rsidR="00FC0EED" w:rsidRDefault="00FC0EED" w:rsidP="002F7E61">
      <w:r>
        <w:continuationSeparator/>
      </w:r>
    </w:p>
  </w:footnote>
  <w:footnote w:id="1">
    <w:p w14:paraId="2789BED5" w14:textId="77777777" w:rsidR="00FC0EED" w:rsidRPr="00F7369A" w:rsidRDefault="00FC0EED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FC0EED" w:rsidRDefault="00FC0EED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FC0EED" w:rsidRPr="008F48E0" w:rsidRDefault="00FC0EED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FC0EED" w:rsidRPr="00B2571E" w:rsidRDefault="00FC0EED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872"/>
    <w:rsid w:val="000C1F35"/>
    <w:rsid w:val="000C7330"/>
    <w:rsid w:val="000D4097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5058E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A4666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579CC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A3DD7"/>
    <w:rsid w:val="003B42B6"/>
    <w:rsid w:val="003C3ACF"/>
    <w:rsid w:val="003C4414"/>
    <w:rsid w:val="003C55A9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0C60"/>
    <w:rsid w:val="003F38F8"/>
    <w:rsid w:val="003F69A0"/>
    <w:rsid w:val="00401477"/>
    <w:rsid w:val="0040429B"/>
    <w:rsid w:val="004046E4"/>
    <w:rsid w:val="00404DE6"/>
    <w:rsid w:val="0040790E"/>
    <w:rsid w:val="00413554"/>
    <w:rsid w:val="00413BF1"/>
    <w:rsid w:val="004147B7"/>
    <w:rsid w:val="0042171A"/>
    <w:rsid w:val="00422906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9022F"/>
    <w:rsid w:val="0049387B"/>
    <w:rsid w:val="004A562C"/>
    <w:rsid w:val="004A7EAD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27139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B65FC"/>
    <w:rsid w:val="006C1BF1"/>
    <w:rsid w:val="006C1FE2"/>
    <w:rsid w:val="006D0CC1"/>
    <w:rsid w:val="006D1F01"/>
    <w:rsid w:val="006D316C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12D0"/>
    <w:rsid w:val="00752B7D"/>
    <w:rsid w:val="007532C6"/>
    <w:rsid w:val="00753FA9"/>
    <w:rsid w:val="0076377D"/>
    <w:rsid w:val="0076447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066C"/>
    <w:rsid w:val="007E1A61"/>
    <w:rsid w:val="007E3BB6"/>
    <w:rsid w:val="007E575F"/>
    <w:rsid w:val="007E7793"/>
    <w:rsid w:val="007F493A"/>
    <w:rsid w:val="007F550D"/>
    <w:rsid w:val="007F591A"/>
    <w:rsid w:val="00800CBA"/>
    <w:rsid w:val="00805B81"/>
    <w:rsid w:val="00805BF7"/>
    <w:rsid w:val="0081156F"/>
    <w:rsid w:val="00811A12"/>
    <w:rsid w:val="0081360B"/>
    <w:rsid w:val="0081368E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92A26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E68C3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572D"/>
    <w:rsid w:val="009D64A3"/>
    <w:rsid w:val="009D701F"/>
    <w:rsid w:val="009E1C6E"/>
    <w:rsid w:val="009E2920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D46F7"/>
    <w:rsid w:val="00AD4767"/>
    <w:rsid w:val="00AE0DBF"/>
    <w:rsid w:val="00AE2E0F"/>
    <w:rsid w:val="00AE3060"/>
    <w:rsid w:val="00AE6C58"/>
    <w:rsid w:val="00AF4300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37B09"/>
    <w:rsid w:val="00B41866"/>
    <w:rsid w:val="00B41CFC"/>
    <w:rsid w:val="00B46ECD"/>
    <w:rsid w:val="00B471DD"/>
    <w:rsid w:val="00B54CFD"/>
    <w:rsid w:val="00B562CE"/>
    <w:rsid w:val="00B56B2E"/>
    <w:rsid w:val="00B6480C"/>
    <w:rsid w:val="00B700CE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26F0"/>
    <w:rsid w:val="00C12BA6"/>
    <w:rsid w:val="00C13A52"/>
    <w:rsid w:val="00C13EE6"/>
    <w:rsid w:val="00C151EC"/>
    <w:rsid w:val="00C162C8"/>
    <w:rsid w:val="00C16FA8"/>
    <w:rsid w:val="00C21030"/>
    <w:rsid w:val="00C23146"/>
    <w:rsid w:val="00C3137C"/>
    <w:rsid w:val="00C321AA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A3629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3C24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5C93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31360"/>
    <w:rsid w:val="00F31AC2"/>
    <w:rsid w:val="00F40A05"/>
    <w:rsid w:val="00F4267F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0EED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9938-357F-410F-9FDC-8BCDE9E1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3781</Words>
  <Characters>21554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Екатерина Бандакова</cp:lastModifiedBy>
  <cp:revision>5</cp:revision>
  <cp:lastPrinted>2025-10-14T08:58:00Z</cp:lastPrinted>
  <dcterms:created xsi:type="dcterms:W3CDTF">2026-01-15T09:18:00Z</dcterms:created>
  <dcterms:modified xsi:type="dcterms:W3CDTF">2026-01-20T14:30:00Z</dcterms:modified>
</cp:coreProperties>
</file>