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C935EF" w14:paraId="7A885D47" w14:textId="77777777" w:rsidTr="00BA5F98">
        <w:trPr>
          <w:jc w:val="center"/>
        </w:trPr>
        <w:tc>
          <w:tcPr>
            <w:tcW w:w="5636" w:type="dxa"/>
          </w:tcPr>
          <w:p w14:paraId="014CC879" w14:textId="77777777" w:rsidR="002A6D7C" w:rsidRPr="002470E3" w:rsidRDefault="002A6D7C" w:rsidP="002A6D7C">
            <w:pPr>
              <w:pStyle w:val="Iauiue"/>
              <w:widowControl w:val="0"/>
              <w:ind w:left="630"/>
              <w:rPr>
                <w:rFonts w:ascii="Arial" w:hAnsi="Arial" w:cs="Arial"/>
                <w:b/>
              </w:rPr>
            </w:pPr>
            <w:r>
              <w:rPr>
                <w:rFonts w:ascii="Arial" w:hAnsi="Arial"/>
                <w:b/>
              </w:rPr>
              <w:t>APPROVED</w:t>
            </w:r>
          </w:p>
          <w:p w14:paraId="79B37377" w14:textId="77777777" w:rsidR="002A6D7C" w:rsidRPr="002A6D7C" w:rsidRDefault="002A6D7C" w:rsidP="002A6D7C">
            <w:pPr>
              <w:pStyle w:val="Iauiue"/>
              <w:widowControl w:val="0"/>
              <w:spacing w:before="100"/>
              <w:ind w:left="630"/>
              <w:rPr>
                <w:rFonts w:ascii="Arial" w:hAnsi="Arial" w:cs="Arial"/>
                <w:lang w:val="en-US"/>
              </w:rPr>
            </w:pPr>
          </w:p>
          <w:p w14:paraId="74618E32" w14:textId="316775AF" w:rsidR="002A6D7C" w:rsidRPr="002470E3" w:rsidRDefault="002A6D7C" w:rsidP="002A6D7C">
            <w:pPr>
              <w:pStyle w:val="Iauiue"/>
              <w:widowControl w:val="0"/>
              <w:spacing w:before="100"/>
              <w:ind w:left="630"/>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t>20 May 2026 (Minutes No. 37)</w:t>
            </w:r>
          </w:p>
          <w:p w14:paraId="183CFC03" w14:textId="77777777" w:rsidR="000978CA" w:rsidRPr="00FE4720" w:rsidRDefault="000978CA" w:rsidP="002A6D7C">
            <w:pPr>
              <w:pStyle w:val="Iauiue"/>
              <w:widowControl w:val="0"/>
              <w:spacing w:before="100"/>
              <w:ind w:left="68"/>
              <w:rPr>
                <w:rFonts w:ascii="Arial" w:hAnsi="Arial" w:cs="Arial"/>
              </w:rPr>
            </w:pPr>
          </w:p>
        </w:tc>
        <w:tc>
          <w:tcPr>
            <w:tcW w:w="4216" w:type="dxa"/>
          </w:tcPr>
          <w:p w14:paraId="33FB162B" w14:textId="77777777" w:rsidR="000978CA" w:rsidRPr="002A6D7C" w:rsidRDefault="000978CA" w:rsidP="002A6D7C">
            <w:pPr>
              <w:pStyle w:val="Iauiue"/>
              <w:widowControl w:val="0"/>
              <w:spacing w:before="100"/>
              <w:ind w:left="68"/>
              <w:rPr>
                <w:rFonts w:ascii="Arial" w:hAnsi="Arial" w:cs="Arial"/>
                <w:lang w:val="en-US"/>
              </w:rPr>
            </w:pPr>
          </w:p>
          <w:p w14:paraId="54EF471F" w14:textId="49D379F8" w:rsidR="000978CA" w:rsidRPr="002A6D7C" w:rsidRDefault="000978CA" w:rsidP="002A6D7C">
            <w:pPr>
              <w:pStyle w:val="Iauiue"/>
              <w:widowControl w:val="0"/>
              <w:spacing w:before="100"/>
              <w:ind w:left="68"/>
              <w:rPr>
                <w:rFonts w:ascii="Arial" w:hAnsi="Arial" w:cs="Arial"/>
                <w:lang w:val="en-US"/>
              </w:rPr>
            </w:pPr>
          </w:p>
        </w:tc>
      </w:tr>
    </w:tbl>
    <w:p w14:paraId="3B749B6A" w14:textId="77777777" w:rsidR="002A6D7C" w:rsidRDefault="002A6D7C" w:rsidP="000978CA">
      <w:pPr>
        <w:pStyle w:val="1"/>
        <w:jc w:val="center"/>
        <w:rPr>
          <w:sz w:val="24"/>
        </w:rPr>
      </w:pPr>
    </w:p>
    <w:p w14:paraId="5C6F7802" w14:textId="2D491703" w:rsidR="000978CA" w:rsidRPr="000C6B64" w:rsidRDefault="00783F2B" w:rsidP="002A6D7C">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783F2B"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BEE9C41" w:rsidR="000978CA" w:rsidRPr="00502DCD" w:rsidRDefault="00783F2B" w:rsidP="000978CA">
      <w:pPr>
        <w:pStyle w:val="30"/>
        <w:numPr>
          <w:ilvl w:val="1"/>
          <w:numId w:val="1"/>
        </w:numPr>
        <w:spacing w:beforeLines="50" w:before="120" w:after="0"/>
        <w:jc w:val="both"/>
        <w:rPr>
          <w:rFonts w:cs="Arial"/>
          <w:szCs w:val="20"/>
        </w:rPr>
      </w:pPr>
      <w:r>
        <w:t xml:space="preserve">The present Methodology for calculation of the reference foreign exchange rates (the "Methodology") establishes a procedure for calculation of the reference foreign exchange rate (the "Reference Exchange Rate") by Public Joint Stock Company Moscow Exchange </w:t>
      </w:r>
      <w:proofErr w:type="spellStart"/>
      <w:r>
        <w:t>MICEX</w:t>
      </w:r>
      <w:proofErr w:type="spellEnd"/>
      <w:r>
        <w:t>-RTS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783F2B" w:rsidP="000978CA">
      <w:pPr>
        <w:pStyle w:val="30"/>
        <w:numPr>
          <w:ilvl w:val="1"/>
          <w:numId w:val="1"/>
        </w:numPr>
        <w:spacing w:beforeLines="50" w:before="120" w:after="0"/>
        <w:jc w:val="both"/>
        <w:rPr>
          <w:rFonts w:cs="Arial"/>
          <w:szCs w:val="20"/>
        </w:rPr>
      </w:pPr>
      <w:r>
        <w:t>The Reference Exchange Rate is calculated by the Exchange based on information on FX trading data of the Exchange (the "</w:t>
      </w:r>
      <w:proofErr w:type="spellStart"/>
      <w:r>
        <w:t>MOEX</w:t>
      </w:r>
      <w:proofErr w:type="spellEnd"/>
      <w:r>
        <w:t xml:space="preserve">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783F2B" w:rsidP="000978CA">
      <w:pPr>
        <w:pStyle w:val="30"/>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783F2B" w:rsidP="000978CA">
      <w:pPr>
        <w:pStyle w:val="30"/>
        <w:numPr>
          <w:ilvl w:val="1"/>
          <w:numId w:val="1"/>
        </w:numPr>
        <w:spacing w:beforeLines="50" w:before="120" w:after="0"/>
        <w:jc w:val="both"/>
        <w:rPr>
          <w:rFonts w:cs="Arial"/>
          <w:szCs w:val="20"/>
        </w:rPr>
      </w:pPr>
      <w:r>
        <w:t>This Methodology as amended from time to time is subject to approval by the Exchange. The Exchange establishes the date when the Methodology as amended comes into force.</w:t>
      </w:r>
    </w:p>
    <w:p w14:paraId="38609B54" w14:textId="3211EF71" w:rsidR="000978CA" w:rsidRDefault="00783F2B" w:rsidP="000978CA">
      <w:pPr>
        <w:pStyle w:val="30"/>
        <w:numPr>
          <w:ilvl w:val="1"/>
          <w:numId w:val="1"/>
        </w:numPr>
        <w:spacing w:beforeLines="50" w:before="120" w:after="0"/>
        <w:jc w:val="both"/>
        <w:rPr>
          <w:rFonts w:cs="Arial"/>
          <w:szCs w:val="20"/>
        </w:rPr>
      </w:pPr>
      <w:r>
        <w:t>The Methodology as approved by the Executive Board (amendments and supplements thereto) shall be published on the Moscow Exchange website not later than three working days prior to its effective date, unless the Exchange resolves otherwise.</w:t>
      </w:r>
    </w:p>
    <w:p w14:paraId="6D33C6EC" w14:textId="77777777" w:rsidR="000978CA" w:rsidRDefault="00783F2B"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 xml:space="preserve">Calculation of </w:t>
      </w:r>
      <w:proofErr w:type="spellStart"/>
      <w:r>
        <w:rPr>
          <w:rFonts w:ascii="Arial" w:hAnsi="Arial"/>
          <w:b/>
          <w:sz w:val="20"/>
        </w:rPr>
        <w:t>MOEX</w:t>
      </w:r>
      <w:proofErr w:type="spellEnd"/>
      <w:r>
        <w:rPr>
          <w:rFonts w:ascii="Arial" w:hAnsi="Arial"/>
          <w:b/>
          <w:sz w:val="20"/>
        </w:rPr>
        <w:t xml:space="preserve"> Exchange Rate</w:t>
      </w:r>
    </w:p>
    <w:p w14:paraId="76632AAA" w14:textId="77777777" w:rsidR="000978CA" w:rsidRDefault="00783F2B" w:rsidP="000978CA">
      <w:pPr>
        <w:pStyle w:val="30"/>
        <w:numPr>
          <w:ilvl w:val="1"/>
          <w:numId w:val="1"/>
        </w:numPr>
        <w:spacing w:beforeLines="50" w:before="120" w:after="0"/>
        <w:jc w:val="both"/>
      </w:pPr>
      <w:r>
        <w:t xml:space="preserve">The </w:t>
      </w:r>
      <w:proofErr w:type="spellStart"/>
      <w:r>
        <w:t>MOEX</w:t>
      </w:r>
      <w:proofErr w:type="spellEnd"/>
      <w:r>
        <w:t xml:space="preserve"> Exchange Rate is calculated on the basis of FX trades in the relevant Instrument executed on the Exchange.</w:t>
      </w:r>
    </w:p>
    <w:p w14:paraId="5568C15B" w14:textId="77777777" w:rsidR="000978CA" w:rsidRDefault="00783F2B" w:rsidP="000978CA">
      <w:pPr>
        <w:pStyle w:val="30"/>
        <w:numPr>
          <w:ilvl w:val="1"/>
          <w:numId w:val="1"/>
        </w:numPr>
        <w:spacing w:beforeLines="50" w:before="120" w:after="0"/>
        <w:jc w:val="both"/>
      </w:pPr>
      <w:r>
        <w:t xml:space="preserve">The </w:t>
      </w:r>
      <w:proofErr w:type="spellStart"/>
      <w:r>
        <w:t>MOEX</w:t>
      </w:r>
      <w:proofErr w:type="spellEnd"/>
      <w:r>
        <w:t xml:space="preserve"> Exchange Rate is calculated every second during the trading hours in the main mode on each day the Moscow Exchange FX Market is open.</w:t>
      </w:r>
    </w:p>
    <w:p w14:paraId="2ECE94CE" w14:textId="77777777" w:rsidR="000978CA" w:rsidRDefault="00783F2B" w:rsidP="000978CA">
      <w:pPr>
        <w:pStyle w:val="30"/>
        <w:numPr>
          <w:ilvl w:val="1"/>
          <w:numId w:val="1"/>
        </w:numPr>
        <w:spacing w:beforeLines="50" w:before="120" w:after="0"/>
        <w:jc w:val="both"/>
      </w:pPr>
      <w:r>
        <w:t xml:space="preserve">The </w:t>
      </w:r>
      <w:proofErr w:type="spellStart"/>
      <w:r>
        <w:t>MOEX</w:t>
      </w:r>
      <w:proofErr w:type="spellEnd"/>
      <w:r>
        <w:t xml:space="preserve"> Exchange Rate is calculated according to the following formula:</w:t>
      </w:r>
    </w:p>
    <w:bookmarkStart w:id="0" w:name="_Hlk20315160"/>
    <w:p w14:paraId="462F6705" w14:textId="77777777" w:rsidR="000978CA" w:rsidRDefault="0023271F" w:rsidP="000978CA">
      <w:pPr>
        <w:pStyle w:val="30"/>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783F2B"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23271F"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A50D93">
        <w:rPr>
          <w:rFonts w:ascii="Arial" w:hAnsi="Arial"/>
          <w:sz w:val="22"/>
        </w:rPr>
        <w:t xml:space="preserve"> </w:t>
      </w:r>
      <w:r w:rsidR="00A50D93">
        <w:rPr>
          <w:rFonts w:ascii="Arial" w:hAnsi="Arial"/>
          <w:sz w:val="20"/>
        </w:rPr>
        <w:t xml:space="preserve">– the </w:t>
      </w:r>
      <w:proofErr w:type="spellStart"/>
      <w:r w:rsidR="00A50D93">
        <w:rPr>
          <w:rFonts w:ascii="Arial" w:hAnsi="Arial"/>
          <w:sz w:val="20"/>
        </w:rPr>
        <w:t>MOEX</w:t>
      </w:r>
      <w:proofErr w:type="spellEnd"/>
      <w:r w:rsidR="00A50D93">
        <w:rPr>
          <w:rFonts w:ascii="Arial" w:hAnsi="Arial"/>
          <w:sz w:val="20"/>
        </w:rPr>
        <w:t xml:space="preserve"> Exchange Rate at time t;</w:t>
      </w:r>
    </w:p>
    <w:p w14:paraId="73F24860" w14:textId="0ABC8E60" w:rsidR="000978CA" w:rsidRDefault="00783F2B"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F6017A">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783F2B" w:rsidP="000978CA">
      <w:pPr>
        <w:pStyle w:val="30"/>
        <w:numPr>
          <w:ilvl w:val="1"/>
          <w:numId w:val="1"/>
        </w:numPr>
        <w:spacing w:beforeLines="50" w:before="120" w:after="0"/>
        <w:jc w:val="both"/>
      </w:pPr>
      <w:bookmarkStart w:id="1" w:name="_Ref306028248"/>
      <w:r>
        <w:t>The moving average at time t is calculated using the following formula:</w:t>
      </w:r>
      <w:bookmarkEnd w:id="1"/>
    </w:p>
    <w:p w14:paraId="2605E55B" w14:textId="41BA97D3" w:rsidR="000978CA" w:rsidRPr="002A4EE8" w:rsidRDefault="00783F2B" w:rsidP="00841D6C">
      <w:pPr>
        <w:jc w:val="center"/>
      </w:pPr>
      <m:oMathPara>
        <m:oMath>
          <m:r>
            <w:rPr>
              <w:rFonts w:ascii="Cambria Math"/>
            </w:rPr>
            <m:t>M</m:t>
          </m:r>
          <m:sSub>
            <m:sSubPr>
              <m:ctrlPr>
                <w:rPr>
                  <w:rFonts w:ascii="Cambria Math" w:hAnsi="Cambria Math"/>
                  <w:i/>
                </w:rPr>
              </m:ctrlPr>
            </m:sSubPr>
            <m:e>
              <m:r>
                <w:rPr>
                  <w:rFonts w:ascii="Cambria Math"/>
                </w:rPr>
                <m:t>A</m:t>
              </m:r>
            </m:e>
            <m:sub>
              <m:r>
                <w:rPr>
                  <w:rFonts w:ascii="Cambria Math"/>
                </w:rPr>
                <m:t>t</m:t>
              </m:r>
            </m:sub>
          </m:sSub>
          <m:r>
            <w:rPr>
              <w:rFonts w:ascii="Cambria Math"/>
            </w:rPr>
            <m:t>=</m:t>
          </m:r>
          <m:nary>
            <m:naryPr>
              <m:chr m:val="∑"/>
              <m:ctrlPr>
                <w:rPr>
                  <w:rFonts w:ascii="Cambria Math" w:hAnsi="Cambria Math"/>
                  <w:i/>
                </w:rPr>
              </m:ctrlPr>
            </m:naryPr>
            <m:sub>
              <m:r>
                <w:rPr>
                  <w:rFonts w:ascii="Cambria Math"/>
                </w:rPr>
                <m:t>i=t</m:t>
              </m:r>
              <m:r>
                <w:rPr>
                  <w:rFonts w:ascii="Cambria Math"/>
                </w:rPr>
                <m:t>-</m:t>
              </m:r>
              <m:r>
                <w:rPr>
                  <w:rFonts w:ascii="Cambria Math"/>
                </w:rPr>
                <m:t>M+1</m:t>
              </m:r>
            </m:sub>
            <m:sup>
              <m:r>
                <w:rPr>
                  <w:rFonts w:ascii="Cambria Math"/>
                </w:rPr>
                <m:t>t</m:t>
              </m:r>
            </m:sup>
            <m:e>
              <m:sSub>
                <m:sSubPr>
                  <m:ctrlPr>
                    <w:rPr>
                      <w:rFonts w:ascii="Cambria Math" w:hAnsi="Cambria Math"/>
                      <w:i/>
                    </w:rPr>
                  </m:ctrlPr>
                </m:sSubPr>
                <m:e>
                  <m:r>
                    <w:rPr>
                      <w:rFonts w:ascii="Cambria Math"/>
                    </w:rPr>
                    <m:t>R</m:t>
                  </m:r>
                </m:e>
                <m:sub>
                  <m:r>
                    <w:rPr>
                      <w:rFonts w:ascii="Cambria Math"/>
                    </w:rPr>
                    <m:t>i</m:t>
                  </m:r>
                </m:sub>
              </m:sSub>
            </m:e>
          </m:nary>
          <m:r>
            <w:rPr>
              <w:rFonts w:ascii="Cambria Math"/>
            </w:rPr>
            <m:t>/M</m:t>
          </m:r>
        </m:oMath>
      </m:oMathPara>
    </w:p>
    <w:p w14:paraId="4B3C983E" w14:textId="77777777" w:rsidR="000978CA" w:rsidRDefault="00783F2B"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783F2B"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w:t>
      </w:r>
    </w:p>
    <w:p w14:paraId="73F85A0E" w14:textId="0ED481D6" w:rsidR="000978CA" w:rsidRPr="00032E03" w:rsidRDefault="00783F2B"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F6017A">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783F2B" w:rsidP="000978CA">
      <w:pPr>
        <w:ind w:left="910"/>
        <w:jc w:val="both"/>
        <w:rPr>
          <w:rFonts w:ascii="Arial" w:hAnsi="Arial" w:cs="Arial"/>
          <w:sz w:val="20"/>
          <w:szCs w:val="20"/>
        </w:rPr>
      </w:pPr>
      <w:r>
        <w:rPr>
          <w:rFonts w:ascii="Arial" w:hAnsi="Arial"/>
          <w:sz w:val="20"/>
        </w:rPr>
        <w:lastRenderedPageBreak/>
        <w:t>M - averaging period expressed in seconds, determined according to Appendix 1 to this Methodology.</w:t>
      </w:r>
    </w:p>
    <w:p w14:paraId="3B02AFE8" w14:textId="77777777" w:rsidR="000978CA" w:rsidRDefault="00783F2B" w:rsidP="000978CA">
      <w:pPr>
        <w:pStyle w:val="30"/>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2E5F4482" w:rsidR="000978CA" w:rsidRPr="00032E03" w:rsidRDefault="0023271F" w:rsidP="00841D6C">
      <w:pPr>
        <w:jc w:val="center"/>
      </w:pPr>
      <m:oMathPara>
        <m:oMath>
          <m:sSub>
            <m:sSubPr>
              <m:ctrlPr>
                <w:rPr>
                  <w:rFonts w:ascii="Cambria Math" w:hAnsi="Cambria Math"/>
                  <w:i/>
                  <w:lang w:val="en-US"/>
                </w:rPr>
              </m:ctrlPr>
            </m:sSubPr>
            <m:e>
              <m:r>
                <w:rPr>
                  <w:rFonts w:ascii="Cambria Math"/>
                  <w:lang w:val="en-US"/>
                </w:rPr>
                <m:t>R</m:t>
              </m:r>
            </m:e>
            <m:sub>
              <m:r>
                <w:rPr>
                  <w:rFonts w:ascii="Cambria Math"/>
                  <w:lang w:val="en-US"/>
                </w:rPr>
                <m:t>t</m:t>
              </m:r>
            </m:sub>
          </m:sSub>
          <m:r>
            <w:rPr>
              <w:rFonts w:ascii="Cambria Math"/>
              <w:lang w:val="en-US"/>
            </w:rPr>
            <m:t>=</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t</m:t>
                      </m:r>
                    </m:sub>
                  </m:sSub>
                  <m:r>
                    <w:rPr>
                      <w:rFonts w:ascii="Cambria Math"/>
                      <w:lang w:val="en-US"/>
                    </w:rPr>
                    <m:t>,</m:t>
                  </m:r>
                  <m:r>
                    <w:rPr>
                      <w:rFonts w:ascii="Cambria Math"/>
                      <w:lang w:val="en-US"/>
                    </w:rPr>
                    <m:t>если</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t</m:t>
                              </m:r>
                            </m:sub>
                          </m:sSub>
                          <m:r>
                            <w:rPr>
                              <w:rFonts w:ascii="Cambria Math"/>
                              <w:lang w:val="en-US"/>
                            </w:rPr>
                            <m:t>/</m:t>
                          </m:r>
                          <m:sSub>
                            <m:sSubPr>
                              <m:ctrlPr>
                                <w:rPr>
                                  <w:rFonts w:ascii="Cambria Math" w:hAnsi="Cambria Math"/>
                                  <w:i/>
                                  <w:lang w:val="en-US"/>
                                </w:rPr>
                              </m:ctrlPr>
                            </m:sSubPr>
                            <m:e>
                              <m:r>
                                <w:rPr>
                                  <w:rFonts w:ascii="Cambria Math"/>
                                  <w:lang w:val="en-US"/>
                                </w:rPr>
                                <m:t>R</m:t>
                              </m:r>
                            </m:e>
                            <m:sub>
                              <m:r>
                                <w:rPr>
                                  <w:rFonts w:ascii="Cambria Math"/>
                                  <w:lang w:val="en-US"/>
                                </w:rPr>
                                <m:t>t</m:t>
                              </m:r>
                              <m:r>
                                <w:rPr>
                                  <w:rFonts w:ascii="Cambria Math"/>
                                  <w:lang w:val="en-US"/>
                                </w:rPr>
                                <m:t>-</m:t>
                              </m:r>
                              <m:r>
                                <w:rPr>
                                  <w:rFonts w:ascii="Cambria Math"/>
                                  <w:lang w:val="en-US"/>
                                </w:rPr>
                                <m:t>1</m:t>
                              </m:r>
                            </m:sub>
                          </m:sSub>
                          <m:r>
                            <w:rPr>
                              <w:rFonts w:ascii="Cambria Math"/>
                              <w:lang w:val="en-US"/>
                            </w:rPr>
                            <m:t>-</m:t>
                          </m:r>
                          <m:r>
                            <w:rPr>
                              <w:rFonts w:ascii="Cambria Math"/>
                              <w:lang w:val="en-US"/>
                            </w:rPr>
                            <m:t>1|</m:t>
                          </m:r>
                          <m:r>
                            <w:rPr>
                              <w:rFonts w:ascii="Cambria Math"/>
                              <w:lang w:val="en-US"/>
                            </w:rPr>
                            <m:t>≤</m:t>
                          </m:r>
                          <m:r>
                            <w:rPr>
                              <w:rFonts w:ascii="Cambria Math"/>
                              <w:lang w:val="en-US"/>
                            </w:rPr>
                            <m:t>K</m:t>
                          </m:r>
                        </m:e>
                        <m:e>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t</m:t>
                                      </m:r>
                                    </m:sub>
                                  </m:sSub>
                                  <m:r>
                                    <w:rPr>
                                      <w:rFonts w:ascii="Cambria Math"/>
                                      <w:lang w:val="en-US"/>
                                    </w:rPr>
                                    <m:t>/</m:t>
                                  </m:r>
                                  <m:sSub>
                                    <m:sSubPr>
                                      <m:ctrlPr>
                                        <w:rPr>
                                          <w:rFonts w:ascii="Cambria Math" w:hAnsi="Cambria Math"/>
                                          <w:i/>
                                          <w:lang w:val="en-US"/>
                                        </w:rPr>
                                      </m:ctrlPr>
                                    </m:sSubPr>
                                    <m:e>
                                      <m:r>
                                        <w:rPr>
                                          <w:rFonts w:ascii="Cambria Math"/>
                                          <w:lang w:val="en-US"/>
                                        </w:rPr>
                                        <m:t>R</m:t>
                                      </m:r>
                                    </m:e>
                                    <m:sub>
                                      <m:r>
                                        <w:rPr>
                                          <w:rFonts w:ascii="Cambria Math"/>
                                          <w:lang w:val="en-US"/>
                                        </w:rPr>
                                        <m:t>t</m:t>
                                      </m:r>
                                      <m:r>
                                        <w:rPr>
                                          <w:rFonts w:ascii="Cambria Math"/>
                                          <w:lang w:val="en-US"/>
                                        </w:rPr>
                                        <m:t>-</m:t>
                                      </m:r>
                                      <m:r>
                                        <w:rPr>
                                          <w:rFonts w:ascii="Cambria Math"/>
                                          <w:lang w:val="en-US"/>
                                        </w:rPr>
                                        <m:t>1</m:t>
                                      </m:r>
                                    </m:sub>
                                  </m:sSub>
                                  <m:r>
                                    <w:rPr>
                                      <w:rFonts w:ascii="Cambria Math"/>
                                      <w:lang w:val="en-US"/>
                                    </w:rPr>
                                    <m:t>-</m:t>
                                  </m:r>
                                  <m:r>
                                    <w:rPr>
                                      <w:rFonts w:ascii="Cambria Math"/>
                                      <w:lang w:val="en-US"/>
                                    </w:rPr>
                                    <m:t>1|&gt;K</m:t>
                                  </m:r>
                                </m:e>
                                <m:e>
                                  <m:r>
                                    <w:rPr>
                                      <w:rFonts w:ascii="Cambria Math" w:hAnsi="Cambria Math" w:cs="Cambria Math"/>
                                      <w:lang w:val="en-US"/>
                                    </w:rPr>
                                    <m:t>∀</m:t>
                                  </m:r>
                                  <m:r>
                                    <w:rPr>
                                      <w:rFonts w:ascii="Cambria Math"/>
                                      <w:lang w:val="en-US"/>
                                    </w:rPr>
                                    <m:t>i,t</m:t>
                                  </m:r>
                                  <m:r>
                                    <w:rPr>
                                      <w:rFonts w:ascii="Cambria Math"/>
                                      <w:lang w:val="en-US"/>
                                    </w:rPr>
                                    <m:t>-</m:t>
                                  </m:r>
                                  <m:r>
                                    <w:rPr>
                                      <w:rFonts w:ascii="Cambria Math"/>
                                      <w:lang w:val="en-US"/>
                                    </w:rPr>
                                    <m:t>S+1</m:t>
                                  </m:r>
                                  <m:r>
                                    <w:rPr>
                                      <w:rFonts w:ascii="Cambria Math"/>
                                      <w:lang w:val="en-US"/>
                                    </w:rPr>
                                    <m:t>≤</m:t>
                                  </m:r>
                                  <m:r>
                                    <w:rPr>
                                      <w:rFonts w:ascii="Cambria Math"/>
                                      <w:lang w:val="en-US"/>
                                    </w:rPr>
                                    <m:t>i</m:t>
                                  </m:r>
                                  <m:r>
                                    <w:rPr>
                                      <w:rFonts w:ascii="Cambria Math"/>
                                      <w:lang w:val="en-US"/>
                                    </w:rPr>
                                    <m:t>≤</m:t>
                                  </m:r>
                                  <m:r>
                                    <w:rPr>
                                      <w:rFonts w:ascii="Cambria Math"/>
                                      <w:lang w:val="en-US"/>
                                    </w:rPr>
                                    <m:t>t</m:t>
                                  </m:r>
                                  <m:func>
                                    <m:funcPr>
                                      <m:ctrlPr>
                                        <w:rPr>
                                          <w:rFonts w:ascii="Cambria Math" w:hAnsi="Cambria Math"/>
                                          <w:i/>
                                          <w:lang w:val="en-US"/>
                                        </w:rPr>
                                      </m:ctrlPr>
                                    </m:funcPr>
                                    <m:fName>
                                      <m:r>
                                        <w:rPr>
                                          <w:rFonts w:ascii="Cambria Math"/>
                                          <w:lang w:val="en-US"/>
                                        </w:rPr>
                                        <m:t>:</m:t>
                                      </m:r>
                                    </m:fName>
                                    <m:e>
                                      <m:r>
                                        <w:rPr>
                                          <w:rFonts w:ascii="Cambria Math"/>
                                          <w:lang w:val="en-US"/>
                                        </w:rPr>
                                        <m:t>|</m:t>
                                      </m:r>
                                    </m:e>
                                  </m:func>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i</m:t>
                                      </m:r>
                                    </m:sub>
                                  </m:sSub>
                                  <m:r>
                                    <w:rPr>
                                      <w:rFonts w:ascii="Cambria Math"/>
                                      <w:lang w:val="en-US"/>
                                    </w:rPr>
                                    <m:t>/</m:t>
                                  </m:r>
                                  <m:sSub>
                                    <m:sSubPr>
                                      <m:ctrlPr>
                                        <w:rPr>
                                          <w:rFonts w:ascii="Cambria Math" w:hAnsi="Cambria Math"/>
                                          <w:i/>
                                          <w:lang w:val="en-US"/>
                                        </w:rPr>
                                      </m:ctrlPr>
                                    </m:sSubPr>
                                    <m:e>
                                      <m:r>
                                        <w:rPr>
                                          <w:rFonts w:ascii="Cambria Math"/>
                                          <w:lang w:val="en-US"/>
                                        </w:rPr>
                                        <m:t>R</m:t>
                                      </m:r>
                                    </m:e>
                                    <m:sub>
                                      <m:r>
                                        <w:rPr>
                                          <w:rFonts w:ascii="Cambria Math"/>
                                          <w:lang w:val="en-US"/>
                                        </w:rPr>
                                        <m:t>i</m:t>
                                      </m:r>
                                      <m:r>
                                        <w:rPr>
                                          <w:rFonts w:ascii="Cambria Math"/>
                                          <w:lang w:val="en-US"/>
                                        </w:rPr>
                                        <m:t>-</m:t>
                                      </m:r>
                                      <m:r>
                                        <w:rPr>
                                          <w:rFonts w:ascii="Cambria Math"/>
                                          <w:lang w:val="en-US"/>
                                        </w:rPr>
                                        <m:t>1</m:t>
                                      </m:r>
                                    </m:sub>
                                  </m:sSub>
                                  <m:r>
                                    <w:rPr>
                                      <w:rFonts w:ascii="Cambria Math"/>
                                      <w:lang w:val="en-US"/>
                                    </w:rPr>
                                    <m:t>-</m:t>
                                  </m:r>
                                  <m:r>
                                    <w:rPr>
                                      <w:rFonts w:ascii="Cambria Math"/>
                                      <w:lang w:val="en-US"/>
                                    </w:rPr>
                                    <m:t>1|&gt;K</m:t>
                                  </m:r>
                                </m:e>
                              </m:eqArr>
                            </m:e>
                          </m:d>
                        </m:e>
                      </m:eqArr>
                    </m:e>
                  </m:d>
                </m:e>
                <m:e>
                  <m:sSub>
                    <m:sSubPr>
                      <m:ctrlPr>
                        <w:rPr>
                          <w:rFonts w:ascii="Cambria Math" w:hAnsi="Cambria Math"/>
                          <w:i/>
                          <w:lang w:val="en-US"/>
                        </w:rPr>
                      </m:ctrlPr>
                    </m:sSubPr>
                    <m:e>
                      <m:r>
                        <w:rPr>
                          <w:rFonts w:ascii="Cambria Math"/>
                          <w:lang w:val="en-US"/>
                        </w:rPr>
                        <m:t>R</m:t>
                      </m:r>
                    </m:e>
                    <m:sub>
                      <m:r>
                        <w:rPr>
                          <w:rFonts w:ascii="Cambria Math"/>
                          <w:lang w:val="en-US"/>
                        </w:rPr>
                        <m:t>t</m:t>
                      </m:r>
                      <m:r>
                        <w:rPr>
                          <w:rFonts w:ascii="Cambria Math"/>
                          <w:lang w:val="en-US"/>
                        </w:rPr>
                        <m:t>-</m:t>
                      </m:r>
                      <m:r>
                        <w:rPr>
                          <w:rFonts w:ascii="Cambria Math"/>
                          <w:lang w:val="en-US"/>
                        </w:rPr>
                        <m:t>1</m:t>
                      </m:r>
                    </m:sub>
                  </m:sSub>
                  <m:r>
                    <w:rPr>
                      <w:rFonts w:ascii="Cambria Math"/>
                      <w:lang w:val="en-US"/>
                    </w:rPr>
                    <m:t>,</m:t>
                  </m:r>
                  <m:r>
                    <w:rPr>
                      <w:rFonts w:ascii="Cambria Math"/>
                      <w:lang w:val="en-US"/>
                    </w:rPr>
                    <m:t>если</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t</m:t>
                              </m:r>
                            </m:sub>
                          </m:sSub>
                          <m:r>
                            <w:rPr>
                              <w:rFonts w:ascii="Cambria Math"/>
                              <w:lang w:val="en-US"/>
                            </w:rPr>
                            <m:t>/</m:t>
                          </m:r>
                          <m:sSub>
                            <m:sSubPr>
                              <m:ctrlPr>
                                <w:rPr>
                                  <w:rFonts w:ascii="Cambria Math" w:hAnsi="Cambria Math"/>
                                  <w:i/>
                                  <w:lang w:val="en-US"/>
                                </w:rPr>
                              </m:ctrlPr>
                            </m:sSubPr>
                            <m:e>
                              <m:r>
                                <w:rPr>
                                  <w:rFonts w:ascii="Cambria Math"/>
                                  <w:lang w:val="en-US"/>
                                </w:rPr>
                                <m:t>R</m:t>
                              </m:r>
                            </m:e>
                            <m:sub>
                              <m:r>
                                <w:rPr>
                                  <w:rFonts w:ascii="Cambria Math"/>
                                  <w:lang w:val="en-US"/>
                                </w:rPr>
                                <m:t>t</m:t>
                              </m:r>
                              <m:r>
                                <w:rPr>
                                  <w:rFonts w:ascii="Cambria Math"/>
                                  <w:lang w:val="en-US"/>
                                </w:rPr>
                                <m:t>-</m:t>
                              </m:r>
                              <m:r>
                                <w:rPr>
                                  <w:rFonts w:ascii="Cambria Math"/>
                                  <w:lang w:val="en-US"/>
                                </w:rPr>
                                <m:t>1</m:t>
                              </m:r>
                            </m:sub>
                          </m:sSub>
                          <m:r>
                            <w:rPr>
                              <w:rFonts w:ascii="Cambria Math"/>
                              <w:lang w:val="en-US"/>
                            </w:rPr>
                            <m:t>-</m:t>
                          </m:r>
                          <m:r>
                            <w:rPr>
                              <w:rFonts w:ascii="Cambria Math"/>
                              <w:lang w:val="en-US"/>
                            </w:rPr>
                            <m:t>1|&gt;K</m:t>
                          </m:r>
                        </m:e>
                        <m:e>
                          <m:r>
                            <w:rPr>
                              <w:rFonts w:ascii="Cambria Math" w:hAnsi="Cambria Math" w:cs="Cambria Math"/>
                              <w:lang w:val="en-US"/>
                            </w:rPr>
                            <m:t>∃</m:t>
                          </m:r>
                          <m:r>
                            <w:rPr>
                              <w:rFonts w:ascii="Cambria Math"/>
                              <w:lang w:val="en-US"/>
                            </w:rPr>
                            <m:t>i,t</m:t>
                          </m:r>
                          <m:r>
                            <w:rPr>
                              <w:rFonts w:ascii="Cambria Math"/>
                              <w:lang w:val="en-US"/>
                            </w:rPr>
                            <m:t>-</m:t>
                          </m:r>
                          <m:r>
                            <w:rPr>
                              <w:rFonts w:ascii="Cambria Math"/>
                              <w:lang w:val="en-US"/>
                            </w:rPr>
                            <m:t>S+1</m:t>
                          </m:r>
                          <m:r>
                            <w:rPr>
                              <w:rFonts w:ascii="Cambria Math"/>
                              <w:lang w:val="en-US"/>
                            </w:rPr>
                            <m:t>≤</m:t>
                          </m:r>
                          <m:r>
                            <w:rPr>
                              <w:rFonts w:ascii="Cambria Math"/>
                              <w:lang w:val="en-US"/>
                            </w:rPr>
                            <m:t>i</m:t>
                          </m:r>
                          <m:r>
                            <w:rPr>
                              <w:rFonts w:ascii="Cambria Math"/>
                              <w:lang w:val="en-US"/>
                            </w:rPr>
                            <m:t>≤</m:t>
                          </m:r>
                          <m:r>
                            <w:rPr>
                              <w:rFonts w:ascii="Cambria Math"/>
                              <w:lang w:val="en-US"/>
                            </w:rPr>
                            <m:t>t</m:t>
                          </m:r>
                          <m:func>
                            <m:funcPr>
                              <m:ctrlPr>
                                <w:rPr>
                                  <w:rFonts w:ascii="Cambria Math" w:hAnsi="Cambria Math"/>
                                  <w:i/>
                                  <w:lang w:val="en-US"/>
                                </w:rPr>
                              </m:ctrlPr>
                            </m:funcPr>
                            <m:fName>
                              <m:r>
                                <w:rPr>
                                  <w:rFonts w:ascii="Cambria Math"/>
                                  <w:lang w:val="en-US"/>
                                </w:rPr>
                                <m:t>:</m:t>
                              </m:r>
                            </m:fName>
                            <m:e>
                              <m:r>
                                <w:rPr>
                                  <w:rFonts w:ascii="Cambria Math"/>
                                  <w:lang w:val="en-US"/>
                                </w:rPr>
                                <m:t>|</m:t>
                              </m:r>
                            </m:e>
                          </m:func>
                          <m:r>
                            <w:rPr>
                              <w:rFonts w:ascii="Cambria Math"/>
                              <w:lang w:val="en-US"/>
                            </w:rPr>
                            <m:t>R</m:t>
                          </m:r>
                          <m:sSub>
                            <m:sSubPr>
                              <m:ctrlPr>
                                <w:rPr>
                                  <w:rFonts w:ascii="Cambria Math" w:hAnsi="Cambria Math"/>
                                  <w:i/>
                                  <w:lang w:val="en-US"/>
                                </w:rPr>
                              </m:ctrlPr>
                            </m:sSubPr>
                            <m:e>
                              <m:r>
                                <w:rPr>
                                  <w:rFonts w:ascii="Cambria Math"/>
                                  <w:lang w:val="en-US"/>
                                </w:rPr>
                                <m:t>A</m:t>
                              </m:r>
                            </m:e>
                            <m:sub>
                              <m:r>
                                <w:rPr>
                                  <w:rFonts w:ascii="Cambria Math"/>
                                  <w:lang w:val="en-US"/>
                                </w:rPr>
                                <m:t>i</m:t>
                              </m:r>
                            </m:sub>
                          </m:sSub>
                          <m:r>
                            <w:rPr>
                              <w:rFonts w:ascii="Cambria Math"/>
                              <w:lang w:val="en-US"/>
                            </w:rPr>
                            <m:t>/</m:t>
                          </m:r>
                          <m:sSub>
                            <m:sSubPr>
                              <m:ctrlPr>
                                <w:rPr>
                                  <w:rFonts w:ascii="Cambria Math" w:hAnsi="Cambria Math"/>
                                  <w:i/>
                                  <w:lang w:val="en-US"/>
                                </w:rPr>
                              </m:ctrlPr>
                            </m:sSubPr>
                            <m:e>
                              <m:r>
                                <w:rPr>
                                  <w:rFonts w:ascii="Cambria Math"/>
                                  <w:lang w:val="en-US"/>
                                </w:rPr>
                                <m:t>R</m:t>
                              </m:r>
                            </m:e>
                            <m:sub>
                              <m:r>
                                <w:rPr>
                                  <w:rFonts w:ascii="Cambria Math"/>
                                  <w:lang w:val="en-US"/>
                                </w:rPr>
                                <m:t>i</m:t>
                              </m:r>
                              <m:r>
                                <w:rPr>
                                  <w:rFonts w:ascii="Cambria Math"/>
                                  <w:lang w:val="en-US"/>
                                </w:rPr>
                                <m:t>-</m:t>
                              </m:r>
                              <m:r>
                                <w:rPr>
                                  <w:rFonts w:ascii="Cambria Math"/>
                                  <w:lang w:val="en-US"/>
                                </w:rPr>
                                <m:t>1</m:t>
                              </m:r>
                            </m:sub>
                          </m:sSub>
                          <m:r>
                            <w:rPr>
                              <w:rFonts w:ascii="Cambria Math"/>
                              <w:lang w:val="en-US"/>
                            </w:rPr>
                            <m:t>-</m:t>
                          </m:r>
                          <m:r>
                            <w:rPr>
                              <w:rFonts w:ascii="Cambria Math"/>
                              <w:lang w:val="en-US"/>
                            </w:rPr>
                            <m:t>1|</m:t>
                          </m:r>
                          <m:r>
                            <w:rPr>
                              <w:rFonts w:ascii="Cambria Math"/>
                              <w:lang w:val="en-US"/>
                            </w:rPr>
                            <m:t>≤</m:t>
                          </m:r>
                          <m:r>
                            <w:rPr>
                              <w:rFonts w:ascii="Cambria Math"/>
                              <w:lang w:val="en-US"/>
                            </w:rPr>
                            <m:t>K</m:t>
                          </m:r>
                        </m:e>
                      </m:eqArr>
                    </m:e>
                  </m:d>
                </m:e>
              </m:eqArr>
            </m:e>
          </m:d>
        </m:oMath>
      </m:oMathPara>
    </w:p>
    <w:p w14:paraId="4F2E84C6" w14:textId="77777777" w:rsidR="000978CA" w:rsidRPr="00323A6A" w:rsidRDefault="00783F2B"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783F2B"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783F2B"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783F2B"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783F2B"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783F2B"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783F2B"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783F2B" w:rsidP="000978CA">
      <w:pPr>
        <w:pStyle w:val="30"/>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C0D0D">
      <w:pPr>
        <w:pStyle w:val="30"/>
        <w:spacing w:after="0"/>
        <w:jc w:val="both"/>
        <w:rPr>
          <w:rFonts w:cs="Arial"/>
        </w:rPr>
      </w:pPr>
    </w:p>
    <w:p w14:paraId="282001F9" w14:textId="77777777" w:rsidR="000978CA" w:rsidRPr="00582DC4" w:rsidRDefault="00783F2B"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504E0973" w:rsidR="000978CA" w:rsidRDefault="00783F2B" w:rsidP="000978CA">
      <w:pPr>
        <w:pStyle w:val="30"/>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(https://cbr.ru/currency_base/daily/). The exchange monitors the page at most once an hour, as a rule. The updated Bank of Russia Exchange Rate will be applied for calculating Reference Exchange Rates from 17:00 Moscow time or later.</w:t>
      </w:r>
    </w:p>
    <w:p w14:paraId="49F91F01" w14:textId="6B505848" w:rsidR="000978CA" w:rsidRDefault="000978CA" w:rsidP="000C0D0D">
      <w:pPr>
        <w:pStyle w:val="30"/>
        <w:spacing w:after="0"/>
        <w:jc w:val="both"/>
        <w:rPr>
          <w:rFonts w:cs="Arial"/>
        </w:rPr>
      </w:pPr>
    </w:p>
    <w:p w14:paraId="752746A5" w14:textId="77777777" w:rsidR="000978CA" w:rsidRDefault="00783F2B"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783F2B" w:rsidP="000978CA">
      <w:pPr>
        <w:pStyle w:val="30"/>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23271F" w:rsidP="000978CA">
      <w:pPr>
        <w:pStyle w:val="30"/>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783F2B" w:rsidP="000978CA">
      <w:pPr>
        <w:ind w:leftChars="379" w:left="910"/>
        <w:jc w:val="both"/>
        <w:rPr>
          <w:rFonts w:ascii="Arial" w:hAnsi="Arial" w:cs="Arial"/>
          <w:sz w:val="20"/>
          <w:szCs w:val="20"/>
        </w:rPr>
      </w:pPr>
      <w:r>
        <w:rPr>
          <w:rFonts w:ascii="Arial" w:hAnsi="Arial"/>
          <w:sz w:val="20"/>
        </w:rPr>
        <w:t>where:</w:t>
      </w:r>
    </w:p>
    <w:p w14:paraId="22D5AAFF" w14:textId="103B806C" w:rsidR="000978CA" w:rsidRPr="00A44142" w:rsidRDefault="00783F2B"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783F2B"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3885CB67" w:rsidR="000978CA" w:rsidRPr="004B52E7" w:rsidRDefault="00783F2B"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0"/>
        <w:spacing w:after="0"/>
        <w:jc w:val="both"/>
        <w:rPr>
          <w:rFonts w:cs="Arial"/>
        </w:rPr>
      </w:pPr>
    </w:p>
    <w:p w14:paraId="0E9B75D0" w14:textId="77777777" w:rsidR="000978CA" w:rsidRPr="00D005C7" w:rsidRDefault="00783F2B" w:rsidP="00204294">
      <w:pPr>
        <w:pStyle w:val="30"/>
        <w:keepNext/>
        <w:numPr>
          <w:ilvl w:val="0"/>
          <w:numId w:val="1"/>
        </w:numPr>
        <w:spacing w:beforeLines="50" w:before="120" w:after="0"/>
        <w:ind w:left="357" w:hanging="357"/>
        <w:jc w:val="both"/>
        <w:rPr>
          <w:b/>
          <w:bCs/>
        </w:rPr>
      </w:pPr>
      <w:r>
        <w:rPr>
          <w:b/>
        </w:rPr>
        <w:t>Supplementary</w:t>
      </w:r>
    </w:p>
    <w:p w14:paraId="7D0362F5" w14:textId="41305F67" w:rsidR="000978CA" w:rsidRDefault="00783F2B" w:rsidP="000978CA">
      <w:pPr>
        <w:pStyle w:val="30"/>
        <w:numPr>
          <w:ilvl w:val="1"/>
          <w:numId w:val="1"/>
        </w:numPr>
        <w:tabs>
          <w:tab w:val="left" w:pos="851"/>
        </w:tabs>
        <w:spacing w:beforeLines="50" w:before="120" w:after="0"/>
        <w:ind w:left="788" w:hanging="431"/>
        <w:jc w:val="both"/>
      </w:pPr>
      <w:r>
        <w:t>If the currency pair used to calculate the Reference Rate is not traded on the Exchange, one of the following values is set as the Reference Rate:</w:t>
      </w:r>
    </w:p>
    <w:p w14:paraId="05F84C44" w14:textId="59E5B47C" w:rsidR="000978CA" w:rsidRDefault="00783F2B" w:rsidP="000978CA">
      <w:pPr>
        <w:pStyle w:val="30"/>
        <w:tabs>
          <w:tab w:val="left" w:pos="851"/>
        </w:tabs>
        <w:spacing w:beforeLines="50" w:before="120" w:after="0"/>
        <w:ind w:left="788"/>
        <w:jc w:val="both"/>
      </w:pPr>
      <w:r>
        <w:t>a) the value of the Bank of Russia Exchange Rate;</w:t>
      </w:r>
    </w:p>
    <w:p w14:paraId="2192788A" w14:textId="032D7FFF" w:rsidR="000978CA" w:rsidRDefault="00783F2B" w:rsidP="000978CA">
      <w:pPr>
        <w:pStyle w:val="30"/>
        <w:tabs>
          <w:tab w:val="left" w:pos="851"/>
        </w:tabs>
        <w:spacing w:beforeLines="50" w:before="120" w:after="0"/>
        <w:ind w:left="788"/>
        <w:jc w:val="both"/>
      </w:pPr>
      <w:r>
        <w:t>b) the value of the Cross Rate calculated using the Bank of Russia Exchange Rate for the currency pair not traded;</w:t>
      </w:r>
    </w:p>
    <w:p w14:paraId="0B270394" w14:textId="0393FA29" w:rsidR="000978CA" w:rsidRDefault="00783F2B" w:rsidP="000978CA">
      <w:pPr>
        <w:pStyle w:val="30"/>
        <w:tabs>
          <w:tab w:val="left" w:pos="851"/>
        </w:tabs>
        <w:spacing w:beforeLines="50" w:before="120" w:after="0"/>
        <w:ind w:left="788"/>
        <w:jc w:val="both"/>
      </w:pPr>
      <w:r>
        <w:t>c) the value of the Central Bank exchange rate for the state of the quoted currency on the day the Reference Rate is determined;</w:t>
      </w:r>
    </w:p>
    <w:p w14:paraId="72C0F624" w14:textId="2B4BF144" w:rsidR="000978CA" w:rsidRDefault="00783F2B" w:rsidP="000978CA">
      <w:pPr>
        <w:pStyle w:val="30"/>
        <w:tabs>
          <w:tab w:val="left" w:pos="851"/>
        </w:tabs>
        <w:spacing w:beforeLines="50" w:before="120" w:after="0"/>
        <w:ind w:left="788"/>
        <w:jc w:val="both"/>
      </w:pPr>
      <w:r>
        <w:t>d) the value of the exchange rate as quoted on Russian or international stock exchanges, if the Exchange so decides.</w:t>
      </w:r>
    </w:p>
    <w:p w14:paraId="61607EA0" w14:textId="3C18592B" w:rsidR="00334E5B" w:rsidRDefault="00783F2B" w:rsidP="00334E5B">
      <w:pPr>
        <w:pStyle w:val="30"/>
        <w:numPr>
          <w:ilvl w:val="1"/>
          <w:numId w:val="1"/>
        </w:numPr>
        <w:tabs>
          <w:tab w:val="left" w:pos="851"/>
        </w:tabs>
        <w:spacing w:beforeLines="50" w:before="120" w:after="0"/>
        <w:ind w:left="788" w:hanging="431"/>
        <w:jc w:val="both"/>
      </w:pPr>
      <w:r>
        <w:t>In the event of a technical failure during the calculation of the reference Rates or a technical failure during the receipt of price data required for their calculation, recalculation of the previously calculated values is permitted. This recalculation is carried out within the shortest possible time from the moment of detection of the technical failure.</w:t>
      </w:r>
    </w:p>
    <w:p w14:paraId="6FAFB7D0" w14:textId="77777777" w:rsidR="000978CA" w:rsidRPr="00582DC4" w:rsidRDefault="00783F2B"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12527333" w:rsidR="000978CA" w:rsidRDefault="00783F2B" w:rsidP="000978CA">
      <w:pPr>
        <w:pStyle w:val="30"/>
        <w:numPr>
          <w:ilvl w:val="1"/>
          <w:numId w:val="1"/>
        </w:numPr>
        <w:spacing w:beforeLines="50" w:before="120" w:after="0"/>
        <w:ind w:left="788" w:hanging="431"/>
        <w:jc w:val="both"/>
      </w:pPr>
      <w:r>
        <w:t>The Exchange may disclose the calculated values of the Reference Rates for information purposes on its website.</w:t>
      </w:r>
    </w:p>
    <w:p w14:paraId="001A3902" w14:textId="39AED9DA" w:rsidR="00334E5B" w:rsidRDefault="00783F2B" w:rsidP="00334E5B">
      <w:pPr>
        <w:pStyle w:val="30"/>
        <w:numPr>
          <w:ilvl w:val="1"/>
          <w:numId w:val="1"/>
        </w:numPr>
        <w:spacing w:beforeLines="50" w:before="120" w:after="0"/>
        <w:ind w:left="788" w:hanging="431"/>
        <w:jc w:val="both"/>
      </w:pPr>
      <w:r>
        <w:t xml:space="preserve">Information subject to disclosure in accordance with this Methodology may be additionally disseminated by other means, including through information agencies disseminating </w:t>
      </w:r>
      <w:proofErr w:type="spellStart"/>
      <w:r>
        <w:t>MOEX</w:t>
      </w:r>
      <w:proofErr w:type="spellEnd"/>
      <w:r>
        <w:t xml:space="preserve"> market data.</w:t>
      </w:r>
    </w:p>
    <w:p w14:paraId="7CA97EF2" w14:textId="77777777" w:rsidR="000978CA" w:rsidRDefault="00783F2B" w:rsidP="000978CA">
      <w:pPr>
        <w:jc w:val="right"/>
        <w:rPr>
          <w:rFonts w:ascii="Arial" w:hAnsi="Arial" w:cs="Arial"/>
          <w:sz w:val="20"/>
          <w:szCs w:val="20"/>
        </w:rPr>
      </w:pPr>
      <w:r>
        <w:br w:type="page"/>
      </w:r>
      <w:r>
        <w:rPr>
          <w:rFonts w:ascii="Arial" w:hAnsi="Arial"/>
          <w:sz w:val="20"/>
        </w:rPr>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783F2B" w:rsidP="000978CA">
      <w:pPr>
        <w:pStyle w:val="1"/>
      </w:pPr>
      <w:bookmarkStart w:id="3" w:name="_Hlk221724294"/>
      <w:r>
        <w:t>List of Reference Exchange Rates and Calculation Parameters</w:t>
      </w:r>
    </w:p>
    <w:bookmarkEnd w:id="3"/>
    <w:p w14:paraId="1BA2F39C" w14:textId="77777777" w:rsidR="000978CA" w:rsidRDefault="00783F2B"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C935EF" w14:paraId="3481B84D" w14:textId="77777777" w:rsidTr="00B66CBC">
        <w:tc>
          <w:tcPr>
            <w:tcW w:w="1134" w:type="dxa"/>
          </w:tcPr>
          <w:p w14:paraId="556874B2" w14:textId="77777777" w:rsidR="000978CA" w:rsidRPr="00B66CBC" w:rsidRDefault="00783F2B">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783F2B">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783F2B">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783F2B">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783F2B">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783F2B">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783F2B">
            <w:pPr>
              <w:spacing w:after="120"/>
              <w:rPr>
                <w:rFonts w:ascii="Arial" w:hAnsi="Arial" w:cs="Arial"/>
                <w:b/>
                <w:sz w:val="18"/>
                <w:szCs w:val="18"/>
              </w:rPr>
            </w:pPr>
            <w:r>
              <w:rPr>
                <w:rFonts w:ascii="Arial" w:hAnsi="Arial"/>
                <w:b/>
                <w:sz w:val="18"/>
              </w:rPr>
              <w:t>Deviation calculation period S</w:t>
            </w:r>
          </w:p>
        </w:tc>
      </w:tr>
      <w:tr w:rsidR="00C935EF" w14:paraId="744D5D16" w14:textId="77777777" w:rsidTr="00A72529">
        <w:trPr>
          <w:trHeight w:val="527"/>
        </w:trPr>
        <w:tc>
          <w:tcPr>
            <w:tcW w:w="1134" w:type="dxa"/>
          </w:tcPr>
          <w:p w14:paraId="6F884061" w14:textId="77777777" w:rsidR="000978CA" w:rsidRPr="00B66CBC" w:rsidRDefault="00783F2B"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783F2B"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196A7DE" w:rsidR="000978CA" w:rsidRPr="00B66CBC" w:rsidRDefault="00F46447" w:rsidP="00BA5F98">
            <w:pPr>
              <w:spacing w:after="120"/>
              <w:rPr>
                <w:rFonts w:ascii="Arial" w:hAnsi="Arial" w:cs="Arial"/>
                <w:sz w:val="18"/>
                <w:szCs w:val="18"/>
              </w:rPr>
            </w:pPr>
            <w:r>
              <w:rPr>
                <w:rFonts w:ascii="Arial" w:hAnsi="Arial"/>
                <w:sz w:val="18"/>
              </w:rPr>
              <w:t>Bank of Russia Exchange Rate</w:t>
            </w:r>
          </w:p>
        </w:tc>
        <w:tc>
          <w:tcPr>
            <w:tcW w:w="1559" w:type="dxa"/>
          </w:tcPr>
          <w:p w14:paraId="4832E2E7" w14:textId="3BB2DF98" w:rsidR="000978CA" w:rsidRPr="00B66CBC" w:rsidRDefault="00783F2B" w:rsidP="00BA5F98">
            <w:pPr>
              <w:spacing w:after="120"/>
              <w:rPr>
                <w:rFonts w:ascii="Arial" w:hAnsi="Arial" w:cs="Arial"/>
                <w:sz w:val="18"/>
                <w:szCs w:val="18"/>
              </w:rPr>
            </w:pPr>
            <w:r>
              <w:rPr>
                <w:rFonts w:ascii="Arial" w:hAnsi="Arial"/>
                <w:sz w:val="18"/>
              </w:rPr>
              <w:t>USD</w:t>
            </w:r>
          </w:p>
        </w:tc>
        <w:tc>
          <w:tcPr>
            <w:tcW w:w="1276" w:type="dxa"/>
          </w:tcPr>
          <w:p w14:paraId="63378F0F" w14:textId="58388C14" w:rsidR="000978CA" w:rsidRPr="00B66CBC" w:rsidRDefault="000978CA" w:rsidP="00B66CBC">
            <w:pPr>
              <w:spacing w:after="120"/>
              <w:rPr>
                <w:rFonts w:ascii="Arial" w:hAnsi="Arial" w:cs="Arial"/>
                <w:sz w:val="18"/>
                <w:szCs w:val="18"/>
              </w:rPr>
            </w:pPr>
          </w:p>
        </w:tc>
        <w:tc>
          <w:tcPr>
            <w:tcW w:w="1134" w:type="dxa"/>
          </w:tcPr>
          <w:p w14:paraId="657815CD" w14:textId="0C62CE82" w:rsidR="000978CA" w:rsidRPr="00B66CBC" w:rsidRDefault="000978CA" w:rsidP="00B66CBC">
            <w:pPr>
              <w:spacing w:after="120"/>
              <w:rPr>
                <w:rFonts w:ascii="Arial" w:hAnsi="Arial" w:cs="Arial"/>
                <w:sz w:val="18"/>
                <w:szCs w:val="18"/>
              </w:rPr>
            </w:pPr>
          </w:p>
        </w:tc>
        <w:tc>
          <w:tcPr>
            <w:tcW w:w="1138" w:type="dxa"/>
          </w:tcPr>
          <w:p w14:paraId="4AE95421" w14:textId="459912A4" w:rsidR="000978CA" w:rsidRPr="00B66CBC" w:rsidRDefault="000978CA" w:rsidP="00B66CBC">
            <w:pPr>
              <w:spacing w:after="120"/>
              <w:rPr>
                <w:rFonts w:ascii="Arial" w:hAnsi="Arial" w:cs="Arial"/>
                <w:sz w:val="18"/>
                <w:szCs w:val="18"/>
              </w:rPr>
            </w:pPr>
          </w:p>
        </w:tc>
      </w:tr>
      <w:tr w:rsidR="00C935EF" w14:paraId="0E0B5AFF" w14:textId="77777777" w:rsidTr="00A72529">
        <w:trPr>
          <w:trHeight w:val="810"/>
        </w:trPr>
        <w:tc>
          <w:tcPr>
            <w:tcW w:w="1134" w:type="dxa"/>
          </w:tcPr>
          <w:p w14:paraId="56F912CC" w14:textId="77777777" w:rsidR="000978CA" w:rsidRPr="00B66CBC" w:rsidRDefault="00783F2B"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783F2B"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18E711DE" w:rsidR="000978CA" w:rsidRPr="00B66CBC" w:rsidRDefault="00F46447" w:rsidP="00BA5F98">
            <w:pPr>
              <w:spacing w:after="120"/>
              <w:rPr>
                <w:rFonts w:ascii="Arial" w:hAnsi="Arial" w:cs="Arial"/>
                <w:sz w:val="18"/>
                <w:szCs w:val="18"/>
              </w:rPr>
            </w:pPr>
            <w:r>
              <w:rPr>
                <w:rFonts w:ascii="Arial" w:hAnsi="Arial"/>
                <w:sz w:val="18"/>
              </w:rPr>
              <w:t>Bank of Russia Exchange Rate</w:t>
            </w:r>
          </w:p>
        </w:tc>
        <w:tc>
          <w:tcPr>
            <w:tcW w:w="1559" w:type="dxa"/>
          </w:tcPr>
          <w:p w14:paraId="768C18FA" w14:textId="73A538D4" w:rsidR="000978CA" w:rsidRPr="00B66CBC" w:rsidRDefault="00783F2B" w:rsidP="00BA5F98">
            <w:pPr>
              <w:spacing w:after="120"/>
              <w:rPr>
                <w:rFonts w:ascii="Arial" w:hAnsi="Arial" w:cs="Arial"/>
                <w:sz w:val="18"/>
                <w:szCs w:val="18"/>
              </w:rPr>
            </w:pPr>
            <w:r>
              <w:rPr>
                <w:rFonts w:ascii="Arial" w:hAnsi="Arial"/>
                <w:sz w:val="18"/>
              </w:rPr>
              <w:t>EUR</w:t>
            </w:r>
          </w:p>
        </w:tc>
        <w:tc>
          <w:tcPr>
            <w:tcW w:w="1276" w:type="dxa"/>
          </w:tcPr>
          <w:p w14:paraId="77A71EE9" w14:textId="24820C49" w:rsidR="000978CA" w:rsidRPr="00B66CBC" w:rsidRDefault="000978CA" w:rsidP="00B66CBC">
            <w:pPr>
              <w:spacing w:after="120"/>
              <w:rPr>
                <w:rFonts w:ascii="Arial" w:hAnsi="Arial" w:cs="Arial"/>
                <w:sz w:val="18"/>
                <w:szCs w:val="18"/>
              </w:rPr>
            </w:pPr>
          </w:p>
        </w:tc>
        <w:tc>
          <w:tcPr>
            <w:tcW w:w="1134" w:type="dxa"/>
          </w:tcPr>
          <w:p w14:paraId="6159C6A8" w14:textId="2C1E1C52" w:rsidR="000978CA" w:rsidRPr="00B66CBC" w:rsidRDefault="000978CA" w:rsidP="00B66CBC">
            <w:pPr>
              <w:spacing w:after="120"/>
              <w:rPr>
                <w:rFonts w:ascii="Arial" w:hAnsi="Arial" w:cs="Arial"/>
                <w:sz w:val="18"/>
                <w:szCs w:val="18"/>
              </w:rPr>
            </w:pPr>
          </w:p>
        </w:tc>
        <w:tc>
          <w:tcPr>
            <w:tcW w:w="1138" w:type="dxa"/>
          </w:tcPr>
          <w:p w14:paraId="4C26F82B" w14:textId="1A313A6D" w:rsidR="000978CA" w:rsidRPr="00B66CBC" w:rsidRDefault="000978CA" w:rsidP="00B66CBC">
            <w:pPr>
              <w:spacing w:after="120"/>
              <w:rPr>
                <w:rFonts w:ascii="Arial" w:hAnsi="Arial" w:cs="Arial"/>
                <w:sz w:val="18"/>
                <w:szCs w:val="18"/>
              </w:rPr>
            </w:pPr>
          </w:p>
        </w:tc>
      </w:tr>
      <w:tr w:rsidR="00C935EF" w14:paraId="5454CFE2" w14:textId="77777777" w:rsidTr="00A72529">
        <w:trPr>
          <w:trHeight w:val="810"/>
        </w:trPr>
        <w:tc>
          <w:tcPr>
            <w:tcW w:w="1134" w:type="dxa"/>
          </w:tcPr>
          <w:p w14:paraId="090863EB" w14:textId="5B77DD95" w:rsidR="0096100E" w:rsidRPr="00B66CBC" w:rsidRDefault="00783F2B"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783F2B"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783F2B" w:rsidP="0096100E">
            <w:pPr>
              <w:spacing w:after="120"/>
              <w:rPr>
                <w:rFonts w:ascii="Arial" w:hAnsi="Arial" w:cs="Arial"/>
                <w:sz w:val="18"/>
                <w:szCs w:val="18"/>
              </w:rPr>
            </w:pPr>
            <w:proofErr w:type="spellStart"/>
            <w:r>
              <w:rPr>
                <w:rFonts w:ascii="Arial" w:hAnsi="Arial"/>
                <w:sz w:val="18"/>
              </w:rPr>
              <w:t>MOEX</w:t>
            </w:r>
            <w:proofErr w:type="spellEnd"/>
            <w:r>
              <w:rPr>
                <w:rFonts w:ascii="Arial" w:hAnsi="Arial"/>
                <w:sz w:val="18"/>
              </w:rPr>
              <w:t xml:space="preserve"> Exchange Rate</w:t>
            </w:r>
          </w:p>
        </w:tc>
        <w:tc>
          <w:tcPr>
            <w:tcW w:w="1559" w:type="dxa"/>
          </w:tcPr>
          <w:p w14:paraId="0C4CBA7A" w14:textId="65C14B35" w:rsidR="0096100E" w:rsidRPr="00B66CBC" w:rsidRDefault="00783F2B">
            <w:pPr>
              <w:spacing w:after="120"/>
              <w:rPr>
                <w:rFonts w:ascii="Arial" w:hAnsi="Arial" w:cs="Arial"/>
                <w:sz w:val="18"/>
                <w:szCs w:val="18"/>
              </w:rPr>
            </w:pPr>
            <w:proofErr w:type="spellStart"/>
            <w:r>
              <w:rPr>
                <w:rFonts w:ascii="Arial" w:hAnsi="Arial"/>
                <w:sz w:val="18"/>
              </w:rPr>
              <w:t>CNYRUB_TOM</w:t>
            </w:r>
            <w:proofErr w:type="spellEnd"/>
          </w:p>
        </w:tc>
        <w:tc>
          <w:tcPr>
            <w:tcW w:w="1276" w:type="dxa"/>
          </w:tcPr>
          <w:p w14:paraId="769A9968" w14:textId="436F2BA9" w:rsidR="0096100E" w:rsidRPr="00B66CBC" w:rsidRDefault="00783F2B"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783F2B"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783F2B" w:rsidP="00B66CBC">
            <w:pPr>
              <w:spacing w:after="120"/>
              <w:rPr>
                <w:rFonts w:ascii="Arial" w:hAnsi="Arial" w:cs="Arial"/>
                <w:sz w:val="18"/>
                <w:szCs w:val="18"/>
              </w:rPr>
            </w:pPr>
            <w:r>
              <w:rPr>
                <w:rFonts w:ascii="Arial" w:hAnsi="Arial"/>
                <w:sz w:val="18"/>
              </w:rPr>
              <w:t>60</w:t>
            </w:r>
          </w:p>
        </w:tc>
      </w:tr>
      <w:tr w:rsidR="00C935EF" w14:paraId="6A6ADC5E" w14:textId="77777777" w:rsidTr="00A72529">
        <w:trPr>
          <w:trHeight w:val="1180"/>
        </w:trPr>
        <w:tc>
          <w:tcPr>
            <w:tcW w:w="1134" w:type="dxa"/>
          </w:tcPr>
          <w:p w14:paraId="64AEA627" w14:textId="77777777" w:rsidR="0096100E" w:rsidRPr="00B66CBC" w:rsidRDefault="00783F2B"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783F2B"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783F2B"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783F2B">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783F2B" w:rsidP="00B66CBC">
            <w:pPr>
              <w:spacing w:after="120"/>
              <w:rPr>
                <w:rFonts w:ascii="Arial" w:hAnsi="Arial" w:cs="Arial"/>
                <w:sz w:val="18"/>
                <w:szCs w:val="18"/>
              </w:rPr>
            </w:pPr>
            <w:r>
              <w:rPr>
                <w:rFonts w:ascii="Arial" w:hAnsi="Arial"/>
                <w:sz w:val="18"/>
              </w:rPr>
              <w:t>-</w:t>
            </w:r>
          </w:p>
        </w:tc>
      </w:tr>
      <w:tr w:rsidR="00C935EF" w14:paraId="2B0CFA54" w14:textId="77777777" w:rsidTr="00A72529">
        <w:trPr>
          <w:trHeight w:val="810"/>
        </w:trPr>
        <w:tc>
          <w:tcPr>
            <w:tcW w:w="1134" w:type="dxa"/>
          </w:tcPr>
          <w:p w14:paraId="209503C7" w14:textId="77777777" w:rsidR="0096100E" w:rsidRPr="00B66CBC" w:rsidRDefault="00783F2B"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783F2B"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783F2B"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783F2B">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783F2B" w:rsidP="00B66CBC">
            <w:pPr>
              <w:spacing w:after="120"/>
              <w:rPr>
                <w:rFonts w:ascii="Arial" w:hAnsi="Arial" w:cs="Arial"/>
                <w:sz w:val="18"/>
                <w:szCs w:val="18"/>
              </w:rPr>
            </w:pPr>
            <w:r>
              <w:rPr>
                <w:rFonts w:ascii="Arial" w:hAnsi="Arial"/>
                <w:sz w:val="18"/>
              </w:rPr>
              <w:t>-</w:t>
            </w:r>
          </w:p>
        </w:tc>
      </w:tr>
      <w:tr w:rsidR="00C935EF" w14:paraId="2D21C51A" w14:textId="77777777" w:rsidTr="00A72529">
        <w:trPr>
          <w:trHeight w:val="810"/>
        </w:trPr>
        <w:tc>
          <w:tcPr>
            <w:tcW w:w="1134" w:type="dxa"/>
          </w:tcPr>
          <w:p w14:paraId="2BEC3D43" w14:textId="77777777" w:rsidR="0096100E" w:rsidRPr="00B66CBC" w:rsidRDefault="00783F2B" w:rsidP="00A72529">
            <w:pPr>
              <w:spacing w:after="120"/>
              <w:jc w:val="center"/>
              <w:rPr>
                <w:rFonts w:ascii="Arial" w:hAnsi="Arial" w:cs="Arial"/>
                <w:sz w:val="18"/>
                <w:szCs w:val="18"/>
              </w:rPr>
            </w:pPr>
            <w:r>
              <w:rPr>
                <w:rFonts w:ascii="Arial" w:hAnsi="Arial"/>
                <w:sz w:val="18"/>
              </w:rPr>
              <w:t>TRY/RUB</w:t>
            </w:r>
          </w:p>
        </w:tc>
        <w:tc>
          <w:tcPr>
            <w:tcW w:w="1560" w:type="dxa"/>
          </w:tcPr>
          <w:p w14:paraId="20F6F787" w14:textId="77777777" w:rsidR="0096100E" w:rsidRPr="00B66CBC" w:rsidRDefault="00783F2B"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783F2B"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783F2B">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783F2B" w:rsidP="00B66CBC">
            <w:pPr>
              <w:spacing w:after="120"/>
              <w:rPr>
                <w:rFonts w:ascii="Arial" w:hAnsi="Arial" w:cs="Arial"/>
                <w:sz w:val="18"/>
                <w:szCs w:val="18"/>
              </w:rPr>
            </w:pPr>
            <w:r>
              <w:rPr>
                <w:rFonts w:ascii="Arial" w:hAnsi="Arial"/>
                <w:sz w:val="18"/>
              </w:rPr>
              <w:t>-</w:t>
            </w:r>
          </w:p>
        </w:tc>
      </w:tr>
      <w:tr w:rsidR="00C935EF" w14:paraId="69F3C447" w14:textId="77777777" w:rsidTr="00A72529">
        <w:trPr>
          <w:trHeight w:val="810"/>
        </w:trPr>
        <w:tc>
          <w:tcPr>
            <w:tcW w:w="1134" w:type="dxa"/>
          </w:tcPr>
          <w:p w14:paraId="4DE7BC2A" w14:textId="77777777" w:rsidR="0096100E" w:rsidRPr="00B66CBC" w:rsidRDefault="00783F2B"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783F2B"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1B73821D" w:rsidR="0096100E" w:rsidRPr="00B66CBC" w:rsidRDefault="00783F2B"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4F82DB48" w:rsidR="0096100E" w:rsidRPr="00B66CBC" w:rsidRDefault="00783F2B">
            <w:pPr>
              <w:spacing w:after="120"/>
              <w:rPr>
                <w:rFonts w:ascii="Arial" w:hAnsi="Arial" w:cs="Arial"/>
                <w:sz w:val="18"/>
                <w:szCs w:val="18"/>
              </w:rPr>
            </w:pPr>
            <w:r>
              <w:rPr>
                <w:rFonts w:ascii="Arial" w:hAnsi="Arial"/>
                <w:sz w:val="18"/>
              </w:rPr>
              <w:t>GBP</w:t>
            </w:r>
          </w:p>
        </w:tc>
        <w:tc>
          <w:tcPr>
            <w:tcW w:w="1276" w:type="dxa"/>
          </w:tcPr>
          <w:p w14:paraId="20DE13E0" w14:textId="6A232F52" w:rsidR="0096100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02AD35F8" w14:textId="62DB58A5" w:rsidR="0096100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49FC2A68" w14:textId="13E49573" w:rsidR="0096100E" w:rsidRPr="00B66CBC" w:rsidRDefault="00783F2B" w:rsidP="00B66CBC">
            <w:pPr>
              <w:spacing w:after="120"/>
              <w:rPr>
                <w:rFonts w:ascii="Arial" w:hAnsi="Arial" w:cs="Arial"/>
                <w:sz w:val="18"/>
                <w:szCs w:val="18"/>
              </w:rPr>
            </w:pPr>
            <w:r>
              <w:rPr>
                <w:rFonts w:ascii="Arial" w:hAnsi="Arial"/>
                <w:sz w:val="18"/>
              </w:rPr>
              <w:t>-</w:t>
            </w:r>
          </w:p>
        </w:tc>
      </w:tr>
      <w:tr w:rsidR="00C935EF" w14:paraId="5D456879" w14:textId="77777777" w:rsidTr="00A72529">
        <w:trPr>
          <w:trHeight w:val="810"/>
        </w:trPr>
        <w:tc>
          <w:tcPr>
            <w:tcW w:w="1134" w:type="dxa"/>
          </w:tcPr>
          <w:p w14:paraId="02EE20BE" w14:textId="789B627B" w:rsidR="0096100E" w:rsidRPr="00B66CBC" w:rsidRDefault="00783F2B"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783F2B"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10BE5B55" w:rsidR="0096100E" w:rsidRPr="00B66CBC" w:rsidRDefault="00783F2B" w:rsidP="0096100E">
            <w:pPr>
              <w:spacing w:after="120"/>
              <w:rPr>
                <w:rFonts w:ascii="Arial" w:hAnsi="Arial" w:cs="Arial"/>
                <w:sz w:val="18"/>
                <w:szCs w:val="18"/>
              </w:rPr>
            </w:pPr>
            <w:r>
              <w:rPr>
                <w:rFonts w:ascii="Arial" w:hAnsi="Arial"/>
                <w:sz w:val="18"/>
              </w:rPr>
              <w:t>Bank of Russia Exchange Rate</w:t>
            </w:r>
          </w:p>
        </w:tc>
        <w:tc>
          <w:tcPr>
            <w:tcW w:w="1559" w:type="dxa"/>
          </w:tcPr>
          <w:p w14:paraId="4E2785DC" w14:textId="50097BCC" w:rsidR="0096100E" w:rsidRPr="00B66CBC" w:rsidRDefault="00783F2B">
            <w:pPr>
              <w:spacing w:after="120"/>
              <w:rPr>
                <w:rFonts w:ascii="Arial" w:hAnsi="Arial" w:cs="Arial"/>
                <w:sz w:val="18"/>
                <w:szCs w:val="18"/>
              </w:rPr>
            </w:pPr>
            <w:r>
              <w:rPr>
                <w:rFonts w:ascii="Arial" w:hAnsi="Arial"/>
                <w:sz w:val="18"/>
              </w:rPr>
              <w:t>HKD</w:t>
            </w:r>
          </w:p>
        </w:tc>
        <w:tc>
          <w:tcPr>
            <w:tcW w:w="1276" w:type="dxa"/>
          </w:tcPr>
          <w:p w14:paraId="5D4735FB" w14:textId="0624A0AB" w:rsidR="0096100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0FEEB34E" w14:textId="46346BA8" w:rsidR="0096100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53617800" w14:textId="6412D3F6" w:rsidR="0096100E" w:rsidRPr="00B66CBC" w:rsidRDefault="00783F2B" w:rsidP="00B66CBC">
            <w:pPr>
              <w:spacing w:after="120"/>
              <w:rPr>
                <w:rFonts w:ascii="Arial" w:hAnsi="Arial" w:cs="Arial"/>
                <w:sz w:val="18"/>
                <w:szCs w:val="18"/>
              </w:rPr>
            </w:pPr>
            <w:r>
              <w:rPr>
                <w:rFonts w:ascii="Arial" w:hAnsi="Arial"/>
                <w:sz w:val="18"/>
              </w:rPr>
              <w:t>-</w:t>
            </w:r>
          </w:p>
        </w:tc>
      </w:tr>
      <w:tr w:rsidR="00C935EF" w14:paraId="18911967" w14:textId="77777777" w:rsidTr="00A72529">
        <w:trPr>
          <w:trHeight w:val="810"/>
        </w:trPr>
        <w:tc>
          <w:tcPr>
            <w:tcW w:w="1134" w:type="dxa"/>
          </w:tcPr>
          <w:p w14:paraId="4F6E0E5B" w14:textId="7E70A796" w:rsidR="00455E7E" w:rsidRPr="00B66CBC" w:rsidRDefault="00783F2B"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783F2B">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783F2B"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783F2B">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783F2B"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783F2B"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783F2B" w:rsidP="00B66CBC">
            <w:pPr>
              <w:spacing w:after="120"/>
              <w:rPr>
                <w:rFonts w:ascii="Arial" w:hAnsi="Arial" w:cs="Arial"/>
                <w:sz w:val="18"/>
                <w:szCs w:val="18"/>
              </w:rPr>
            </w:pPr>
            <w:r>
              <w:rPr>
                <w:rFonts w:ascii="Arial" w:hAnsi="Arial"/>
                <w:sz w:val="18"/>
              </w:rPr>
              <w:t>-</w:t>
            </w:r>
          </w:p>
        </w:tc>
      </w:tr>
      <w:tr w:rsidR="00C935EF" w14:paraId="6967EF9B" w14:textId="77777777" w:rsidTr="00A72529">
        <w:trPr>
          <w:trHeight w:val="810"/>
        </w:trPr>
        <w:tc>
          <w:tcPr>
            <w:tcW w:w="1134" w:type="dxa"/>
          </w:tcPr>
          <w:p w14:paraId="7017E9BD" w14:textId="535FF5D5" w:rsidR="008F0646" w:rsidRDefault="00783F2B" w:rsidP="008F0646">
            <w:pPr>
              <w:spacing w:after="120"/>
              <w:jc w:val="center"/>
              <w:rPr>
                <w:rFonts w:ascii="Arial" w:hAnsi="Arial" w:cs="Arial"/>
                <w:sz w:val="18"/>
                <w:szCs w:val="18"/>
              </w:rPr>
            </w:pPr>
            <w:r>
              <w:rPr>
                <w:rFonts w:ascii="Arial" w:hAnsi="Arial"/>
                <w:sz w:val="18"/>
              </w:rPr>
              <w:t>KZT/RUB</w:t>
            </w:r>
          </w:p>
        </w:tc>
        <w:tc>
          <w:tcPr>
            <w:tcW w:w="1560" w:type="dxa"/>
            <w:vAlign w:val="center"/>
          </w:tcPr>
          <w:p w14:paraId="606EE847" w14:textId="6D9B29C2" w:rsidR="008F0646" w:rsidRPr="008F0646" w:rsidRDefault="00783F2B" w:rsidP="008F0646">
            <w:pPr>
              <w:spacing w:after="120"/>
              <w:rPr>
                <w:rFonts w:ascii="Arial" w:hAnsi="Arial" w:cs="Arial"/>
                <w:sz w:val="18"/>
                <w:szCs w:val="18"/>
              </w:rPr>
            </w:pPr>
            <w:r>
              <w:rPr>
                <w:rFonts w:ascii="Arial" w:hAnsi="Arial"/>
                <w:sz w:val="18"/>
              </w:rPr>
              <w:t xml:space="preserve">Reference Kazakhstani </w:t>
            </w:r>
            <w:proofErr w:type="spellStart"/>
            <w:r>
              <w:rPr>
                <w:rFonts w:ascii="Arial" w:hAnsi="Arial"/>
                <w:sz w:val="18"/>
              </w:rPr>
              <w:t>Tenge</w:t>
            </w:r>
            <w:proofErr w:type="spellEnd"/>
            <w:r>
              <w:rPr>
                <w:rFonts w:ascii="Arial" w:hAnsi="Arial"/>
                <w:sz w:val="18"/>
              </w:rPr>
              <w:t xml:space="preserve"> to Russian Rouble exchange rate</w:t>
            </w:r>
          </w:p>
        </w:tc>
        <w:tc>
          <w:tcPr>
            <w:tcW w:w="1701" w:type="dxa"/>
          </w:tcPr>
          <w:p w14:paraId="19D1C5EF" w14:textId="35D8022C" w:rsidR="008F0646" w:rsidRPr="008F0646" w:rsidRDefault="00783F2B" w:rsidP="008F0646">
            <w:pPr>
              <w:spacing w:after="120"/>
              <w:rPr>
                <w:rFonts w:ascii="Arial" w:hAnsi="Arial" w:cs="Arial"/>
                <w:sz w:val="18"/>
                <w:szCs w:val="18"/>
              </w:rPr>
            </w:pPr>
            <w:proofErr w:type="spellStart"/>
            <w:r>
              <w:rPr>
                <w:rFonts w:ascii="Arial" w:hAnsi="Arial"/>
                <w:sz w:val="18"/>
              </w:rPr>
              <w:t>MOEX</w:t>
            </w:r>
            <w:proofErr w:type="spellEnd"/>
            <w:r>
              <w:rPr>
                <w:rFonts w:ascii="Arial" w:hAnsi="Arial"/>
                <w:sz w:val="18"/>
              </w:rPr>
              <w:t xml:space="preserve"> Exchange Rate divided by 100</w:t>
            </w:r>
          </w:p>
        </w:tc>
        <w:tc>
          <w:tcPr>
            <w:tcW w:w="1559" w:type="dxa"/>
          </w:tcPr>
          <w:p w14:paraId="1FA32902" w14:textId="32FDA451" w:rsidR="008F0646" w:rsidRPr="008F0646" w:rsidRDefault="00783F2B" w:rsidP="008F0646">
            <w:pPr>
              <w:spacing w:after="120"/>
              <w:rPr>
                <w:rFonts w:ascii="Arial" w:hAnsi="Arial" w:cs="Arial"/>
                <w:sz w:val="18"/>
                <w:szCs w:val="18"/>
              </w:rPr>
            </w:pPr>
            <w:proofErr w:type="spellStart"/>
            <w:r>
              <w:rPr>
                <w:rFonts w:ascii="Arial" w:hAnsi="Arial"/>
                <w:sz w:val="18"/>
              </w:rPr>
              <w:t>KZTRUB_TOM</w:t>
            </w:r>
            <w:proofErr w:type="spellEnd"/>
            <w:r>
              <w:rPr>
                <w:rFonts w:ascii="Arial" w:hAnsi="Arial"/>
                <w:sz w:val="18"/>
              </w:rPr>
              <w:t xml:space="preserve"> / 100</w:t>
            </w:r>
          </w:p>
        </w:tc>
        <w:tc>
          <w:tcPr>
            <w:tcW w:w="1276" w:type="dxa"/>
          </w:tcPr>
          <w:p w14:paraId="5168FAA2" w14:textId="68EC4C62" w:rsidR="008F0646" w:rsidRPr="008F0646" w:rsidRDefault="00783F2B" w:rsidP="008F0646">
            <w:pPr>
              <w:spacing w:after="120"/>
              <w:rPr>
                <w:rFonts w:ascii="Arial" w:hAnsi="Arial" w:cs="Arial"/>
                <w:sz w:val="18"/>
                <w:szCs w:val="18"/>
              </w:rPr>
            </w:pPr>
            <w:r>
              <w:rPr>
                <w:rFonts w:ascii="Arial" w:hAnsi="Arial"/>
                <w:sz w:val="18"/>
              </w:rPr>
              <w:t>0.0005</w:t>
            </w:r>
          </w:p>
        </w:tc>
        <w:tc>
          <w:tcPr>
            <w:tcW w:w="1134" w:type="dxa"/>
          </w:tcPr>
          <w:p w14:paraId="4363E893" w14:textId="4C3B3A6C" w:rsidR="008F0646" w:rsidRPr="008F0646" w:rsidRDefault="00783F2B" w:rsidP="008F0646">
            <w:pPr>
              <w:spacing w:after="120"/>
              <w:rPr>
                <w:rFonts w:ascii="Arial" w:hAnsi="Arial" w:cs="Arial"/>
                <w:sz w:val="18"/>
                <w:szCs w:val="18"/>
              </w:rPr>
            </w:pPr>
            <w:r>
              <w:rPr>
                <w:rFonts w:ascii="Arial" w:hAnsi="Arial"/>
                <w:sz w:val="18"/>
              </w:rPr>
              <w:t>60</w:t>
            </w:r>
          </w:p>
        </w:tc>
        <w:tc>
          <w:tcPr>
            <w:tcW w:w="1138" w:type="dxa"/>
          </w:tcPr>
          <w:p w14:paraId="6ADE336E" w14:textId="173D0D84" w:rsidR="008F0646" w:rsidRPr="008F0646" w:rsidRDefault="00783F2B" w:rsidP="008F0646">
            <w:pPr>
              <w:spacing w:after="120"/>
              <w:rPr>
                <w:rFonts w:ascii="Arial" w:hAnsi="Arial" w:cs="Arial"/>
                <w:sz w:val="18"/>
                <w:szCs w:val="18"/>
              </w:rPr>
            </w:pPr>
            <w:r>
              <w:rPr>
                <w:rFonts w:ascii="Arial" w:hAnsi="Arial"/>
                <w:sz w:val="18"/>
              </w:rPr>
              <w:t>60</w:t>
            </w:r>
          </w:p>
        </w:tc>
      </w:tr>
      <w:tr w:rsidR="00207E44" w14:paraId="274A842C" w14:textId="77777777" w:rsidTr="00A72529">
        <w:trPr>
          <w:trHeight w:val="810"/>
        </w:trPr>
        <w:tc>
          <w:tcPr>
            <w:tcW w:w="1134" w:type="dxa"/>
          </w:tcPr>
          <w:p w14:paraId="402F3452" w14:textId="0EBBF747" w:rsidR="00207E44" w:rsidRDefault="00207E44" w:rsidP="008F0646">
            <w:pPr>
              <w:spacing w:after="120"/>
              <w:jc w:val="center"/>
              <w:rPr>
                <w:rFonts w:ascii="Arial" w:hAnsi="Arial" w:cs="Arial"/>
                <w:sz w:val="18"/>
                <w:szCs w:val="18"/>
              </w:rPr>
            </w:pPr>
            <w:r>
              <w:rPr>
                <w:rFonts w:ascii="Arial" w:hAnsi="Arial"/>
                <w:sz w:val="18"/>
              </w:rPr>
              <w:t>INR/RUB</w:t>
            </w:r>
          </w:p>
        </w:tc>
        <w:tc>
          <w:tcPr>
            <w:tcW w:w="1560" w:type="dxa"/>
            <w:vAlign w:val="center"/>
          </w:tcPr>
          <w:p w14:paraId="6DF6F32C" w14:textId="08B78113" w:rsidR="00207E44" w:rsidRPr="00207E44" w:rsidRDefault="00207E44" w:rsidP="008F0646">
            <w:pPr>
              <w:spacing w:after="120"/>
              <w:rPr>
                <w:rFonts w:ascii="Arial" w:hAnsi="Arial" w:cs="Arial"/>
                <w:sz w:val="18"/>
                <w:szCs w:val="18"/>
              </w:rPr>
            </w:pPr>
            <w:r>
              <w:rPr>
                <w:rFonts w:ascii="Arial" w:hAnsi="Arial"/>
                <w:sz w:val="18"/>
              </w:rPr>
              <w:t>Reference Indian Rupee to Russian Rouble exchange rate</w:t>
            </w:r>
          </w:p>
        </w:tc>
        <w:tc>
          <w:tcPr>
            <w:tcW w:w="1701" w:type="dxa"/>
          </w:tcPr>
          <w:p w14:paraId="35DBC078" w14:textId="1B0A69DB" w:rsidR="00207E44" w:rsidRPr="00207E44" w:rsidRDefault="00207E44" w:rsidP="008F0646">
            <w:pPr>
              <w:spacing w:after="120"/>
              <w:rPr>
                <w:rFonts w:ascii="Arial" w:hAnsi="Arial" w:cs="Arial"/>
                <w:sz w:val="18"/>
                <w:szCs w:val="18"/>
              </w:rPr>
            </w:pPr>
            <w:r>
              <w:rPr>
                <w:rFonts w:ascii="Arial" w:hAnsi="Arial"/>
                <w:sz w:val="18"/>
              </w:rPr>
              <w:t>Bank of Russia rate divided by 100</w:t>
            </w:r>
          </w:p>
        </w:tc>
        <w:tc>
          <w:tcPr>
            <w:tcW w:w="1559" w:type="dxa"/>
          </w:tcPr>
          <w:p w14:paraId="4A737B35" w14:textId="4E19FB7C" w:rsidR="00207E44" w:rsidRPr="00207E44" w:rsidRDefault="00207E44" w:rsidP="008F0646">
            <w:pPr>
              <w:spacing w:after="120"/>
              <w:rPr>
                <w:rFonts w:ascii="Arial" w:hAnsi="Arial" w:cs="Arial"/>
                <w:sz w:val="18"/>
                <w:szCs w:val="18"/>
              </w:rPr>
            </w:pPr>
            <w:r>
              <w:rPr>
                <w:rFonts w:ascii="Arial" w:hAnsi="Arial"/>
                <w:sz w:val="18"/>
              </w:rPr>
              <w:t>INR / 100</w:t>
            </w:r>
          </w:p>
        </w:tc>
        <w:tc>
          <w:tcPr>
            <w:tcW w:w="1276" w:type="dxa"/>
          </w:tcPr>
          <w:p w14:paraId="4B4A8242" w14:textId="55D19F29" w:rsidR="00207E44" w:rsidRPr="00207E44" w:rsidRDefault="00207E44" w:rsidP="008F0646">
            <w:pPr>
              <w:spacing w:after="120"/>
              <w:rPr>
                <w:rFonts w:ascii="Arial" w:hAnsi="Arial" w:cs="Arial"/>
                <w:sz w:val="18"/>
                <w:szCs w:val="18"/>
              </w:rPr>
            </w:pPr>
            <w:r>
              <w:rPr>
                <w:rFonts w:ascii="Arial" w:hAnsi="Arial"/>
                <w:sz w:val="18"/>
              </w:rPr>
              <w:t>-</w:t>
            </w:r>
          </w:p>
        </w:tc>
        <w:tc>
          <w:tcPr>
            <w:tcW w:w="1134" w:type="dxa"/>
          </w:tcPr>
          <w:p w14:paraId="04740E4C" w14:textId="65D3BCF0" w:rsidR="00207E44" w:rsidRPr="00207E44" w:rsidRDefault="00207E44" w:rsidP="008F0646">
            <w:pPr>
              <w:spacing w:after="120"/>
              <w:rPr>
                <w:rFonts w:ascii="Arial" w:hAnsi="Arial" w:cs="Arial"/>
                <w:sz w:val="18"/>
                <w:szCs w:val="18"/>
              </w:rPr>
            </w:pPr>
            <w:r>
              <w:rPr>
                <w:rFonts w:ascii="Arial" w:hAnsi="Arial"/>
                <w:sz w:val="18"/>
              </w:rPr>
              <w:t>-</w:t>
            </w:r>
          </w:p>
        </w:tc>
        <w:tc>
          <w:tcPr>
            <w:tcW w:w="1138" w:type="dxa"/>
          </w:tcPr>
          <w:p w14:paraId="735537CC" w14:textId="07042340" w:rsidR="00207E44" w:rsidRPr="00207E44" w:rsidRDefault="00207E44" w:rsidP="008F0646">
            <w:pPr>
              <w:spacing w:after="120"/>
              <w:rPr>
                <w:rFonts w:ascii="Arial" w:hAnsi="Arial" w:cs="Arial"/>
                <w:sz w:val="18"/>
                <w:szCs w:val="18"/>
              </w:rPr>
            </w:pPr>
            <w:r>
              <w:rPr>
                <w:rFonts w:ascii="Arial" w:hAnsi="Arial"/>
                <w:sz w:val="18"/>
              </w:rPr>
              <w:t>-</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783F2B"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C935EF" w14:paraId="42275841" w14:textId="77777777" w:rsidTr="00BA5F98">
        <w:tc>
          <w:tcPr>
            <w:tcW w:w="1555" w:type="dxa"/>
          </w:tcPr>
          <w:bookmarkEnd w:id="4"/>
          <w:p w14:paraId="7F14F3A2" w14:textId="77777777" w:rsidR="000978CA" w:rsidRPr="00A72529" w:rsidRDefault="00783F2B" w:rsidP="00BA5F98">
            <w:pPr>
              <w:spacing w:after="120"/>
              <w:rPr>
                <w:rFonts w:ascii="Arial" w:hAnsi="Arial" w:cs="Arial"/>
                <w:b/>
                <w:sz w:val="18"/>
                <w:szCs w:val="18"/>
              </w:rPr>
            </w:pPr>
            <w:r>
              <w:rPr>
                <w:rFonts w:ascii="Arial" w:hAnsi="Arial"/>
                <w:b/>
                <w:sz w:val="18"/>
              </w:rPr>
              <w:t>Code</w:t>
            </w:r>
          </w:p>
        </w:tc>
        <w:tc>
          <w:tcPr>
            <w:tcW w:w="3827" w:type="dxa"/>
          </w:tcPr>
          <w:p w14:paraId="61D38330" w14:textId="5175A191" w:rsidR="000978CA" w:rsidRPr="00A72529" w:rsidRDefault="00783F2B"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783F2B"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250E27E9" w:rsidR="000978CA" w:rsidRPr="00A72529" w:rsidRDefault="00783F2B"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C935EF" w14:paraId="409B663A" w14:textId="77777777" w:rsidTr="00BA5F98">
        <w:trPr>
          <w:trHeight w:val="527"/>
        </w:trPr>
        <w:tc>
          <w:tcPr>
            <w:tcW w:w="1555" w:type="dxa"/>
          </w:tcPr>
          <w:p w14:paraId="7A718E07" w14:textId="77777777" w:rsidR="000978CA" w:rsidRPr="00A72529" w:rsidRDefault="00783F2B"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RDefault="00783F2B"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RDefault="00783F2B"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44571729" w:rsidR="000978CA" w:rsidRPr="00A72529" w:rsidRDefault="00783F2B" w:rsidP="00BA5F98">
            <w:pPr>
              <w:shd w:val="clear" w:color="auto" w:fill="FFFFFF"/>
              <w:spacing w:after="120"/>
              <w:rPr>
                <w:rFonts w:ascii="Arial" w:hAnsi="Arial" w:cs="Arial"/>
                <w:sz w:val="18"/>
                <w:szCs w:val="18"/>
              </w:rPr>
            </w:pPr>
            <w:r>
              <w:rPr>
                <w:rFonts w:ascii="Arial" w:hAnsi="Arial"/>
                <w:sz w:val="18"/>
              </w:rPr>
              <w:t>JPY/RUB</w:t>
            </w:r>
          </w:p>
        </w:tc>
      </w:tr>
      <w:tr w:rsidR="00C935EF" w14:paraId="5EF4C357" w14:textId="77777777" w:rsidTr="00BA5F98">
        <w:trPr>
          <w:trHeight w:val="527"/>
        </w:trPr>
        <w:tc>
          <w:tcPr>
            <w:tcW w:w="1555" w:type="dxa"/>
          </w:tcPr>
          <w:p w14:paraId="24AD9624" w14:textId="77777777" w:rsidR="000978CA" w:rsidRPr="00A72529" w:rsidRDefault="00783F2B"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RDefault="00783F2B"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RDefault="00783F2B"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5C206ABE" w:rsidR="000978CA" w:rsidRPr="00A72529" w:rsidRDefault="00783F2B" w:rsidP="00BA5F98">
            <w:pPr>
              <w:shd w:val="clear" w:color="auto" w:fill="FFFFFF"/>
              <w:spacing w:after="120"/>
              <w:rPr>
                <w:rFonts w:ascii="Arial" w:hAnsi="Arial" w:cs="Arial"/>
                <w:sz w:val="18"/>
                <w:szCs w:val="18"/>
              </w:rPr>
            </w:pPr>
            <w:r>
              <w:rPr>
                <w:rFonts w:ascii="Arial" w:hAnsi="Arial"/>
                <w:sz w:val="18"/>
              </w:rPr>
              <w:t>CHF/</w:t>
            </w:r>
            <w:bookmarkStart w:id="5" w:name="_GoBack"/>
            <w:bookmarkEnd w:id="5"/>
            <w:r>
              <w:rPr>
                <w:rFonts w:ascii="Arial" w:hAnsi="Arial"/>
                <w:sz w:val="18"/>
              </w:rPr>
              <w:t>RUB</w:t>
            </w:r>
          </w:p>
        </w:tc>
      </w:tr>
      <w:tr w:rsidR="00C935EF" w14:paraId="535775A7" w14:textId="77777777" w:rsidTr="00BA5F98">
        <w:trPr>
          <w:trHeight w:val="527"/>
        </w:trPr>
        <w:tc>
          <w:tcPr>
            <w:tcW w:w="1555" w:type="dxa"/>
          </w:tcPr>
          <w:p w14:paraId="6EF6D50B" w14:textId="77777777" w:rsidR="000978CA" w:rsidRPr="00A72529" w:rsidRDefault="00783F2B"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RDefault="00783F2B"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RDefault="00783F2B"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RDefault="00783F2B" w:rsidP="00BA5F98">
            <w:pPr>
              <w:shd w:val="clear" w:color="auto" w:fill="FFFFFF"/>
              <w:spacing w:after="120"/>
              <w:rPr>
                <w:rFonts w:ascii="Arial" w:hAnsi="Arial" w:cs="Arial"/>
                <w:sz w:val="18"/>
                <w:szCs w:val="18"/>
              </w:rPr>
            </w:pPr>
            <w:r>
              <w:rPr>
                <w:rFonts w:ascii="Arial" w:hAnsi="Arial"/>
                <w:sz w:val="18"/>
              </w:rPr>
              <w:t>TRY/RUB</w:t>
            </w:r>
          </w:p>
        </w:tc>
      </w:tr>
      <w:tr w:rsidR="00C935EF" w14:paraId="1A8D481C" w14:textId="77777777" w:rsidTr="00BA5F98">
        <w:trPr>
          <w:trHeight w:val="527"/>
        </w:trPr>
        <w:tc>
          <w:tcPr>
            <w:tcW w:w="1555" w:type="dxa"/>
          </w:tcPr>
          <w:p w14:paraId="5D496088" w14:textId="77777777" w:rsidR="001236C1" w:rsidRPr="00A72529" w:rsidRDefault="00783F2B"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RDefault="00783F2B"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RDefault="00783F2B"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RDefault="00783F2B"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3E929" w14:textId="77777777" w:rsidR="0023271F" w:rsidRDefault="0023271F">
      <w:r>
        <w:separator/>
      </w:r>
    </w:p>
  </w:endnote>
  <w:endnote w:type="continuationSeparator" w:id="0">
    <w:p w14:paraId="30EC6CF4" w14:textId="77777777" w:rsidR="0023271F" w:rsidRDefault="00232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783F2B">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B0042" w14:textId="77777777" w:rsidR="0023271F" w:rsidRDefault="0023271F">
      <w:r>
        <w:separator/>
      </w:r>
    </w:p>
  </w:footnote>
  <w:footnote w:type="continuationSeparator" w:id="0">
    <w:p w14:paraId="06A2D3BB" w14:textId="77777777" w:rsidR="0023271F" w:rsidRDefault="00232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2"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doNotTrackFormatting/>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04726"/>
    <w:rsid w:val="00015F34"/>
    <w:rsid w:val="000167FD"/>
    <w:rsid w:val="000220A3"/>
    <w:rsid w:val="000326E2"/>
    <w:rsid w:val="00032E03"/>
    <w:rsid w:val="000969CE"/>
    <w:rsid w:val="000978CA"/>
    <w:rsid w:val="000C0D0D"/>
    <w:rsid w:val="000C4054"/>
    <w:rsid w:val="000C6B64"/>
    <w:rsid w:val="000D1998"/>
    <w:rsid w:val="000E2701"/>
    <w:rsid w:val="001236C1"/>
    <w:rsid w:val="00134BD4"/>
    <w:rsid w:val="00174312"/>
    <w:rsid w:val="0017567D"/>
    <w:rsid w:val="00204294"/>
    <w:rsid w:val="002069DC"/>
    <w:rsid w:val="00207E44"/>
    <w:rsid w:val="0023271F"/>
    <w:rsid w:val="00237722"/>
    <w:rsid w:val="002470E3"/>
    <w:rsid w:val="00276B46"/>
    <w:rsid w:val="002A4EE8"/>
    <w:rsid w:val="002A6D7C"/>
    <w:rsid w:val="002B04A2"/>
    <w:rsid w:val="002B7259"/>
    <w:rsid w:val="002C4B08"/>
    <w:rsid w:val="00320AC6"/>
    <w:rsid w:val="00323A6A"/>
    <w:rsid w:val="00334E5B"/>
    <w:rsid w:val="0033626E"/>
    <w:rsid w:val="0036076A"/>
    <w:rsid w:val="00382378"/>
    <w:rsid w:val="00397FF0"/>
    <w:rsid w:val="00404519"/>
    <w:rsid w:val="0041645B"/>
    <w:rsid w:val="00455E7E"/>
    <w:rsid w:val="00456C65"/>
    <w:rsid w:val="004A6CEA"/>
    <w:rsid w:val="004B52E7"/>
    <w:rsid w:val="004E4014"/>
    <w:rsid w:val="004E4960"/>
    <w:rsid w:val="00502DCD"/>
    <w:rsid w:val="005101CB"/>
    <w:rsid w:val="00517600"/>
    <w:rsid w:val="00521746"/>
    <w:rsid w:val="00547CF2"/>
    <w:rsid w:val="00561F8C"/>
    <w:rsid w:val="005767EE"/>
    <w:rsid w:val="00582DC4"/>
    <w:rsid w:val="00585C47"/>
    <w:rsid w:val="00594DD8"/>
    <w:rsid w:val="005D35B0"/>
    <w:rsid w:val="005F6364"/>
    <w:rsid w:val="006460DC"/>
    <w:rsid w:val="0067627A"/>
    <w:rsid w:val="00686304"/>
    <w:rsid w:val="006A0199"/>
    <w:rsid w:val="006B7F9C"/>
    <w:rsid w:val="006D2B34"/>
    <w:rsid w:val="006F1778"/>
    <w:rsid w:val="00702848"/>
    <w:rsid w:val="00776334"/>
    <w:rsid w:val="00783F2B"/>
    <w:rsid w:val="007A1747"/>
    <w:rsid w:val="007E7B41"/>
    <w:rsid w:val="007F065E"/>
    <w:rsid w:val="00820A12"/>
    <w:rsid w:val="00841D6C"/>
    <w:rsid w:val="00883CA3"/>
    <w:rsid w:val="00896A1C"/>
    <w:rsid w:val="008B4117"/>
    <w:rsid w:val="008E5A1D"/>
    <w:rsid w:val="008F0646"/>
    <w:rsid w:val="0096100E"/>
    <w:rsid w:val="009700E9"/>
    <w:rsid w:val="00996980"/>
    <w:rsid w:val="00A05BC8"/>
    <w:rsid w:val="00A44142"/>
    <w:rsid w:val="00A50D93"/>
    <w:rsid w:val="00A57C0A"/>
    <w:rsid w:val="00A72529"/>
    <w:rsid w:val="00A76A4E"/>
    <w:rsid w:val="00A86F22"/>
    <w:rsid w:val="00AB614D"/>
    <w:rsid w:val="00AF6DD6"/>
    <w:rsid w:val="00B3106C"/>
    <w:rsid w:val="00B66CBC"/>
    <w:rsid w:val="00B8624F"/>
    <w:rsid w:val="00BA5F98"/>
    <w:rsid w:val="00BC000B"/>
    <w:rsid w:val="00BC3E22"/>
    <w:rsid w:val="00BE2FE5"/>
    <w:rsid w:val="00C20215"/>
    <w:rsid w:val="00C24362"/>
    <w:rsid w:val="00C53164"/>
    <w:rsid w:val="00C935EF"/>
    <w:rsid w:val="00CA6C89"/>
    <w:rsid w:val="00CE46E3"/>
    <w:rsid w:val="00D005C7"/>
    <w:rsid w:val="00D1134C"/>
    <w:rsid w:val="00D254D2"/>
    <w:rsid w:val="00D84265"/>
    <w:rsid w:val="00DA2EFF"/>
    <w:rsid w:val="00E31C83"/>
    <w:rsid w:val="00E36F0D"/>
    <w:rsid w:val="00E439F3"/>
    <w:rsid w:val="00EB311F"/>
    <w:rsid w:val="00EE6164"/>
    <w:rsid w:val="00EF2BFF"/>
    <w:rsid w:val="00F0322E"/>
    <w:rsid w:val="00F07F63"/>
    <w:rsid w:val="00F108C0"/>
    <w:rsid w:val="00F44DBF"/>
    <w:rsid w:val="00F46447"/>
    <w:rsid w:val="00F6017A"/>
    <w:rsid w:val="00F64298"/>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D1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aliases w:val="Уровень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Уровень 1 Знак"/>
    <w:basedOn w:val="a0"/>
    <w:link w:val="1"/>
    <w:rsid w:val="000978CA"/>
    <w:rPr>
      <w:rFonts w:ascii="Arial" w:eastAsia="Times New Roman" w:hAnsi="Arial" w:cs="Arial"/>
      <w:b/>
      <w:bCs/>
      <w:kern w:val="32"/>
      <w:sz w:val="32"/>
      <w:szCs w:val="32"/>
      <w:lang w:eastAsia="ru-RU"/>
    </w:rPr>
  </w:style>
  <w:style w:type="paragraph" w:styleId="30">
    <w:name w:val="Body Text 3"/>
    <w:basedOn w:val="a"/>
    <w:link w:val="31"/>
    <w:rsid w:val="000978CA"/>
    <w:pPr>
      <w:spacing w:after="120"/>
    </w:pPr>
    <w:rPr>
      <w:rFonts w:ascii="Arial" w:hAnsi="Arial"/>
      <w:sz w:val="20"/>
      <w:szCs w:val="16"/>
    </w:rPr>
  </w:style>
  <w:style w:type="character" w:customStyle="1" w:styleId="31">
    <w:name w:val="Основной текст 3 Знак"/>
    <w:basedOn w:val="a0"/>
    <w:link w:val="30"/>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customStyle="1" w:styleId="11">
    <w:name w:val="Неразрешенное упоминание1"/>
    <w:basedOn w:val="a0"/>
    <w:uiPriority w:val="99"/>
    <w:semiHidden/>
    <w:unhideWhenUsed/>
    <w:rsid w:val="00E36F0D"/>
    <w:rPr>
      <w:color w:val="605E5C"/>
      <w:shd w:val="clear" w:color="auto" w:fill="E1DFDD"/>
    </w:rPr>
  </w:style>
  <w:style w:type="paragraph" w:styleId="a9">
    <w:name w:val="List Paragraph"/>
    <w:basedOn w:val="a"/>
    <w:uiPriority w:val="34"/>
    <w:qFormat/>
    <w:rsid w:val="000C0D0D"/>
    <w:pPr>
      <w:ind w:left="720"/>
      <w:contextualSpacing/>
    </w:pPr>
  </w:style>
  <w:style w:type="paragraph" w:styleId="aa">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 w:type="numbering" w:customStyle="1" w:styleId="3">
    <w:name w:val="Стиль3"/>
    <w:uiPriority w:val="99"/>
    <w:rsid w:val="00334E5B"/>
    <w:pPr>
      <w:numPr>
        <w:numId w:val="2"/>
      </w:numPr>
    </w:pPr>
  </w:style>
  <w:style w:type="paragraph" w:styleId="ab">
    <w:name w:val="Title"/>
    <w:aliases w:val="Уровень 2"/>
    <w:basedOn w:val="21"/>
    <w:next w:val="a"/>
    <w:link w:val="ac"/>
    <w:qFormat/>
    <w:rsid w:val="00334E5B"/>
    <w:pPr>
      <w:keepNext/>
      <w:tabs>
        <w:tab w:val="left" w:pos="1026"/>
        <w:tab w:val="right" w:leader="dot" w:pos="9344"/>
      </w:tabs>
      <w:spacing w:after="0"/>
      <w:ind w:left="680" w:hanging="567"/>
      <w:outlineLvl w:val="1"/>
    </w:pPr>
    <w:rPr>
      <w:rFonts w:ascii="Tahoma" w:hAnsi="Tahoma" w:cs="Arial"/>
      <w:b/>
      <w:sz w:val="20"/>
      <w:szCs w:val="20"/>
    </w:rPr>
  </w:style>
  <w:style w:type="character" w:customStyle="1" w:styleId="ac">
    <w:name w:val="Заголовок Знак"/>
    <w:aliases w:val="Уровень 2 Знак"/>
    <w:basedOn w:val="a0"/>
    <w:link w:val="ab"/>
    <w:rsid w:val="00334E5B"/>
    <w:rPr>
      <w:rFonts w:ascii="Tahoma" w:eastAsia="Times New Roman" w:hAnsi="Tahoma" w:cs="Arial"/>
      <w:b/>
      <w:sz w:val="20"/>
      <w:szCs w:val="20"/>
      <w:lang w:eastAsia="ru-RU"/>
    </w:rPr>
  </w:style>
  <w:style w:type="paragraph" w:customStyle="1" w:styleId="32">
    <w:name w:val="Уровень 3"/>
    <w:basedOn w:val="a"/>
    <w:link w:val="33"/>
    <w:qFormat/>
    <w:rsid w:val="00334E5B"/>
    <w:pPr>
      <w:ind w:left="1077" w:hanging="793"/>
      <w:jc w:val="both"/>
    </w:pPr>
    <w:rPr>
      <w:rFonts w:ascii="Tahoma" w:hAnsi="Tahoma"/>
      <w:sz w:val="20"/>
    </w:rPr>
  </w:style>
  <w:style w:type="paragraph" w:customStyle="1" w:styleId="4">
    <w:name w:val="Уровень 4"/>
    <w:basedOn w:val="a"/>
    <w:qFormat/>
    <w:rsid w:val="00334E5B"/>
    <w:pPr>
      <w:tabs>
        <w:tab w:val="left" w:pos="1701"/>
      </w:tabs>
      <w:ind w:left="1701" w:hanging="1134"/>
      <w:jc w:val="both"/>
    </w:pPr>
    <w:rPr>
      <w:rFonts w:ascii="Tahoma" w:hAnsi="Tahoma"/>
      <w:sz w:val="20"/>
    </w:rPr>
  </w:style>
  <w:style w:type="character" w:customStyle="1" w:styleId="33">
    <w:name w:val="Уровень 3 Знак"/>
    <w:basedOn w:val="a0"/>
    <w:link w:val="32"/>
    <w:rsid w:val="00334E5B"/>
    <w:rPr>
      <w:rFonts w:ascii="Tahoma" w:eastAsia="Times New Roman" w:hAnsi="Tahoma" w:cs="Times New Roman"/>
      <w:sz w:val="20"/>
      <w:szCs w:val="24"/>
      <w:lang w:eastAsia="ru-RU"/>
    </w:rPr>
  </w:style>
  <w:style w:type="paragraph" w:customStyle="1" w:styleId="12">
    <w:name w:val="Уровень Выделение 1"/>
    <w:basedOn w:val="a"/>
    <w:qFormat/>
    <w:rsid w:val="00334E5B"/>
    <w:pPr>
      <w:ind w:left="1701" w:hanging="397"/>
      <w:jc w:val="both"/>
    </w:pPr>
    <w:rPr>
      <w:rFonts w:ascii="Tahoma" w:hAnsi="Tahoma" w:cs="Arial"/>
      <w:sz w:val="20"/>
      <w:szCs w:val="20"/>
    </w:rPr>
  </w:style>
  <w:style w:type="paragraph" w:customStyle="1" w:styleId="22">
    <w:name w:val="Уровень Выделение 2"/>
    <w:basedOn w:val="a"/>
    <w:qFormat/>
    <w:rsid w:val="00334E5B"/>
    <w:pPr>
      <w:ind w:left="1814" w:hanging="340"/>
      <w:jc w:val="both"/>
    </w:pPr>
    <w:rPr>
      <w:rFonts w:ascii="Tahoma" w:hAnsi="Tahoma"/>
      <w:sz w:val="20"/>
    </w:rPr>
  </w:style>
  <w:style w:type="paragraph" w:customStyle="1" w:styleId="5">
    <w:name w:val="Уровень 5"/>
    <w:basedOn w:val="a"/>
    <w:qFormat/>
    <w:rsid w:val="00334E5B"/>
    <w:pPr>
      <w:ind w:left="3240" w:hanging="1080"/>
    </w:pPr>
    <w:rPr>
      <w:rFonts w:ascii="Tahoma" w:hAnsi="Tahoma"/>
      <w:sz w:val="20"/>
    </w:rPr>
  </w:style>
  <w:style w:type="paragraph" w:styleId="21">
    <w:name w:val="toc 2"/>
    <w:basedOn w:val="a"/>
    <w:next w:val="a"/>
    <w:autoRedefine/>
    <w:uiPriority w:val="39"/>
    <w:semiHidden/>
    <w:unhideWhenUsed/>
    <w:rsid w:val="00334E5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EC7DE-B8DE-43A2-AE2D-16FF563C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2026-05-21T08:10:00Z</dcterms:created>
  <dcterms:modified xsi:type="dcterms:W3CDTF">2026-07-02T12:56:00Z</dcterms:modified>
</cp:coreProperties>
</file>