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CE" w:rsidRDefault="00AD3ECE" w:rsidP="00AD3ECE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Публичного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eastAsia="x-none"/>
        </w:rPr>
        <w:t>ММВБ-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№</w:t>
      </w:r>
      <w:r w:rsidR="002422BD" w:rsidRPr="002422B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2C18B2">
        <w:rPr>
          <w:rFonts w:ascii="Tahoma" w:hAnsi="Tahoma" w:cs="Tahoma"/>
          <w:bCs/>
          <w:sz w:val="22"/>
          <w:szCs w:val="22"/>
          <w:lang w:eastAsia="x-none"/>
        </w:rPr>
        <w:t>13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C538D8" w:rsidRPr="004B64EA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2C18B2">
        <w:rPr>
          <w:rFonts w:ascii="Tahoma" w:hAnsi="Tahoma" w:cs="Tahoma"/>
          <w:bCs/>
          <w:sz w:val="22"/>
          <w:szCs w:val="22"/>
          <w:lang w:eastAsia="x-none"/>
        </w:rPr>
        <w:t>01 «марта»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596199">
        <w:rPr>
          <w:rFonts w:ascii="Tahoma" w:hAnsi="Tahoma" w:cs="Tahoma"/>
          <w:bCs/>
          <w:sz w:val="22"/>
          <w:szCs w:val="22"/>
          <w:lang w:eastAsia="x-none"/>
        </w:rPr>
        <w:t>9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  <w:bookmarkStart w:id="0" w:name="_GoBack"/>
      <w:bookmarkEnd w:id="0"/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38AD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</w:p>
          <w:p w:rsidR="001620A4" w:rsidRPr="002418BD" w:rsidRDefault="001E306C" w:rsidP="002A65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2418BD">
              <w:rPr>
                <w:rFonts w:ascii="Tahoma" w:hAnsi="Tahoma" w:cs="Tahoma"/>
                <w:sz w:val="20"/>
                <w:szCs w:val="20"/>
              </w:rPr>
              <w:t xml:space="preserve">Сбербанк 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2B51BC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3402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ОАО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О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A55E71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ГМК «Норильский </w:t>
            </w:r>
            <w:r w:rsidR="00A55E71">
              <w:rPr>
                <w:rFonts w:ascii="Tahoma" w:hAnsi="Tahoma" w:cs="Tahoma"/>
                <w:sz w:val="20"/>
                <w:szCs w:val="20"/>
              </w:rPr>
              <w:t>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="00A55E71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GMKR-xx.yy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>Транснефть»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>Транснефть»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TRNF-xx.yy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07E4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 Банк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ВТБ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VTBR-xx.yy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8707E4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«ФСК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ЕЭС»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«Татнефть» им В.Д. Шашина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«Татнефть» им В.Д. Шашина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ОАО «НОВАТЭК»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«НОВАТЭК»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74CCB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374CCB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8783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8783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345F1F" w:rsidRPr="00CD2745" w:rsidTr="008174C1">
        <w:tc>
          <w:tcPr>
            <w:tcW w:w="709" w:type="dxa"/>
            <w:vAlign w:val="center"/>
          </w:tcPr>
          <w:p w:rsidR="00345F1F" w:rsidRPr="004F5DA5" w:rsidRDefault="00345F1F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45F1F" w:rsidRPr="00345F1F" w:rsidRDefault="00345F1F" w:rsidP="008707E4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07E4">
              <w:rPr>
                <w:rFonts w:ascii="Tahoma" w:hAnsi="Tahoma" w:cs="Tahoma"/>
                <w:sz w:val="20"/>
                <w:szCs w:val="20"/>
              </w:rPr>
              <w:t>П</w:t>
            </w:r>
            <w:r w:rsidRPr="00DE3878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</w:p>
        </w:tc>
        <w:tc>
          <w:tcPr>
            <w:tcW w:w="3402" w:type="dxa"/>
            <w:vAlign w:val="center"/>
          </w:tcPr>
          <w:p w:rsidR="00345F1F" w:rsidRPr="0092365E" w:rsidRDefault="00345F1F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ОАО «НЛМК»</w:t>
            </w:r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NLMK-xx.yy</w:t>
            </w:r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9A1261" w:rsidRPr="00CD2745" w:rsidTr="008174C1">
        <w:tc>
          <w:tcPr>
            <w:tcW w:w="709" w:type="dxa"/>
            <w:vAlign w:val="center"/>
          </w:tcPr>
          <w:p w:rsidR="009A1261" w:rsidRPr="004F5DA5" w:rsidRDefault="009A1261" w:rsidP="009A126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9A1261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A1261" w:rsidRPr="0092365E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3402" w:type="dxa"/>
            <w:vAlign w:val="center"/>
          </w:tcPr>
          <w:p w:rsidR="009A1261" w:rsidRPr="00CA75AA" w:rsidRDefault="009A1261" w:rsidP="009A1261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ALRS-xx.yy</w:t>
            </w:r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422BD" w:rsidRPr="00CD2745" w:rsidTr="008174C1">
        <w:tc>
          <w:tcPr>
            <w:tcW w:w="709" w:type="dxa"/>
            <w:vAlign w:val="center"/>
          </w:tcPr>
          <w:p w:rsidR="002422BD" w:rsidRPr="004F5DA5" w:rsidRDefault="002422BD" w:rsidP="002422BD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422BD" w:rsidRPr="0092365E" w:rsidRDefault="002422BD" w:rsidP="002422BD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</w:t>
            </w:r>
            <w:r>
              <w:rPr>
                <w:rFonts w:ascii="Tahoma" w:hAnsi="Tahoma" w:cs="Tahoma"/>
                <w:sz w:val="20"/>
                <w:szCs w:val="20"/>
              </w:rPr>
              <w:t>на фьючерсный контракт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:rsidR="002422BD" w:rsidRPr="00DF01EF" w:rsidRDefault="002422BD" w:rsidP="002422BD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984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AFLT-xx.yy</w:t>
            </w:r>
          </w:p>
        </w:tc>
        <w:tc>
          <w:tcPr>
            <w:tcW w:w="1984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80DCA" w:rsidRPr="00CD2745" w:rsidTr="00206B7B">
        <w:tc>
          <w:tcPr>
            <w:tcW w:w="709" w:type="dxa"/>
            <w:vAlign w:val="center"/>
          </w:tcPr>
          <w:p w:rsidR="00880DCA" w:rsidRPr="004F5DA5" w:rsidRDefault="00880DCA" w:rsidP="00880DC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880DCA" w:rsidRDefault="00880DCA" w:rsidP="00880DCA">
            <w:r w:rsidRPr="00472532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880DCA" w:rsidRDefault="00880DCA" w:rsidP="00880DCA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880DCA" w:rsidRPr="00596199" w:rsidRDefault="00880DCA" w:rsidP="00880DCA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MAGN-xx.yy</w:t>
            </w:r>
          </w:p>
        </w:tc>
        <w:tc>
          <w:tcPr>
            <w:tcW w:w="1984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80DCA" w:rsidRPr="00CD2745" w:rsidTr="00206B7B">
        <w:tc>
          <w:tcPr>
            <w:tcW w:w="709" w:type="dxa"/>
            <w:vAlign w:val="center"/>
          </w:tcPr>
          <w:p w:rsidR="00880DCA" w:rsidRPr="004F5DA5" w:rsidRDefault="00880DCA" w:rsidP="00880DC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880DCA" w:rsidRDefault="00880DCA" w:rsidP="00880DCA">
            <w:r w:rsidRPr="00472532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880DCA" w:rsidRDefault="00880DCA" w:rsidP="00880DCA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880DCA" w:rsidRPr="00596199" w:rsidRDefault="00880DCA" w:rsidP="00880DCA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PLZL-xx.yy</w:t>
            </w:r>
          </w:p>
        </w:tc>
        <w:tc>
          <w:tcPr>
            <w:tcW w:w="1984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80DCA" w:rsidRPr="00CD2745" w:rsidTr="00206B7B">
        <w:tc>
          <w:tcPr>
            <w:tcW w:w="709" w:type="dxa"/>
            <w:vAlign w:val="center"/>
          </w:tcPr>
          <w:p w:rsidR="00880DCA" w:rsidRPr="004F5DA5" w:rsidRDefault="00880DCA" w:rsidP="00880DC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880DCA" w:rsidRDefault="00880DCA" w:rsidP="00880DCA">
            <w:r w:rsidRPr="00472532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:rsidR="00880DCA" w:rsidRDefault="00880DCA" w:rsidP="00880DCA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1984" w:type="dxa"/>
            <w:vAlign w:val="center"/>
          </w:tcPr>
          <w:p w:rsidR="00880DCA" w:rsidRPr="00880DCA" w:rsidRDefault="00880DCA" w:rsidP="00880DCA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AFKS-xx.yy</w:t>
            </w:r>
          </w:p>
        </w:tc>
        <w:tc>
          <w:tcPr>
            <w:tcW w:w="1984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r w:rsidR="00A52E44">
        <w:rPr>
          <w:rFonts w:ascii="Tahoma" w:hAnsi="Tahoma" w:cs="Tahoma"/>
          <w:sz w:val="20"/>
          <w:szCs w:val="22"/>
          <w:lang w:val="en-US"/>
        </w:rPr>
        <w:t>yy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</w:t>
      </w:r>
      <w:r w:rsidR="0005161A">
        <w:rPr>
          <w:rFonts w:ascii="Tahoma" w:hAnsi="Tahoma" w:cs="Tahoma"/>
          <w:sz w:val="20"/>
          <w:szCs w:val="22"/>
        </w:rPr>
        <w:t>3</w:t>
      </w:r>
      <w:r w:rsidR="00CD2745" w:rsidRPr="00CE6A84">
        <w:rPr>
          <w:rFonts w:ascii="Tahoma" w:hAnsi="Tahoma" w:cs="Tahoma"/>
          <w:sz w:val="20"/>
          <w:szCs w:val="22"/>
        </w:rPr>
        <w:t>.</w:t>
      </w:r>
      <w:r w:rsidR="0005161A">
        <w:rPr>
          <w:rFonts w:ascii="Tahoma" w:hAnsi="Tahoma" w:cs="Tahoma"/>
          <w:sz w:val="20"/>
          <w:szCs w:val="22"/>
        </w:rPr>
        <w:t>19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обыкновенные акции </w:t>
      </w:r>
      <w:r w:rsidR="00B71073">
        <w:rPr>
          <w:rFonts w:ascii="Tahoma" w:hAnsi="Tahoma" w:cs="Tahoma"/>
          <w:sz w:val="20"/>
          <w:szCs w:val="22"/>
        </w:rPr>
        <w:t>П</w:t>
      </w:r>
      <w:r w:rsidR="001620A4" w:rsidRPr="001620A4">
        <w:rPr>
          <w:rFonts w:ascii="Tahoma" w:hAnsi="Tahoma" w:cs="Tahoma"/>
          <w:sz w:val="20"/>
          <w:szCs w:val="22"/>
        </w:rPr>
        <w:t>АО «Газпром»</w:t>
      </w:r>
      <w:r>
        <w:rPr>
          <w:rFonts w:ascii="Tahoma" w:hAnsi="Tahoma" w:cs="Tahoma"/>
          <w:sz w:val="20"/>
          <w:szCs w:val="22"/>
        </w:rPr>
        <w:t>, являющийся базовым активом маржируемого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</w:t>
      </w:r>
      <w:r w:rsidR="0005161A">
        <w:rPr>
          <w:rFonts w:ascii="Tahoma" w:hAnsi="Tahoma" w:cs="Tahoma"/>
          <w:sz w:val="20"/>
          <w:szCs w:val="22"/>
        </w:rPr>
        <w:t>марте</w:t>
      </w:r>
      <w:r w:rsidR="00CD2745" w:rsidRPr="00CE6A84">
        <w:rPr>
          <w:rFonts w:ascii="Tahoma" w:hAnsi="Tahoma" w:cs="Tahoma"/>
          <w:sz w:val="20"/>
          <w:szCs w:val="22"/>
        </w:rPr>
        <w:t xml:space="preserve"> 201</w:t>
      </w:r>
      <w:r w:rsidR="0005161A">
        <w:rPr>
          <w:rFonts w:ascii="Tahoma" w:hAnsi="Tahoma" w:cs="Tahoma"/>
          <w:sz w:val="20"/>
          <w:szCs w:val="22"/>
        </w:rPr>
        <w:t>9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E" w:rsidRDefault="008E7F0E" w:rsidP="002F7E61">
      <w:r>
        <w:separator/>
      </w:r>
    </w:p>
  </w:endnote>
  <w:endnote w:type="continuationSeparator" w:id="0">
    <w:p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2C18B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2C18B2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2C18B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E" w:rsidRDefault="008E7F0E" w:rsidP="002F7E61">
      <w:r>
        <w:separator/>
      </w:r>
    </w:p>
  </w:footnote>
  <w:footnote w:type="continuationSeparator" w:id="0">
    <w:p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маржируемых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5CF9"/>
    <w:rsid w:val="002A6513"/>
    <w:rsid w:val="002B51BC"/>
    <w:rsid w:val="002C18B2"/>
    <w:rsid w:val="002C530B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40124"/>
    <w:rsid w:val="00345F1F"/>
    <w:rsid w:val="0035128F"/>
    <w:rsid w:val="00371C05"/>
    <w:rsid w:val="00374CCB"/>
    <w:rsid w:val="0038005F"/>
    <w:rsid w:val="0038420E"/>
    <w:rsid w:val="00392327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41EDE"/>
    <w:rsid w:val="004537E3"/>
    <w:rsid w:val="00482495"/>
    <w:rsid w:val="00487A9D"/>
    <w:rsid w:val="0049460B"/>
    <w:rsid w:val="004A3E83"/>
    <w:rsid w:val="004A7025"/>
    <w:rsid w:val="004A7817"/>
    <w:rsid w:val="004B1471"/>
    <w:rsid w:val="004B2134"/>
    <w:rsid w:val="004B64EA"/>
    <w:rsid w:val="004F0D3D"/>
    <w:rsid w:val="004F5DA5"/>
    <w:rsid w:val="004F6B2B"/>
    <w:rsid w:val="00510C43"/>
    <w:rsid w:val="0052138C"/>
    <w:rsid w:val="0056718D"/>
    <w:rsid w:val="005873F7"/>
    <w:rsid w:val="00591B10"/>
    <w:rsid w:val="00596199"/>
    <w:rsid w:val="00597534"/>
    <w:rsid w:val="005A1317"/>
    <w:rsid w:val="005A2720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80DCA"/>
    <w:rsid w:val="008A3018"/>
    <w:rsid w:val="008D6680"/>
    <w:rsid w:val="008E7F0E"/>
    <w:rsid w:val="008F757F"/>
    <w:rsid w:val="00903EF9"/>
    <w:rsid w:val="0092365E"/>
    <w:rsid w:val="00945564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C6989"/>
    <w:rsid w:val="00AD3ECE"/>
    <w:rsid w:val="00B16BE1"/>
    <w:rsid w:val="00B217B3"/>
    <w:rsid w:val="00B273B1"/>
    <w:rsid w:val="00B471DD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26890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3878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6660ED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133E-71AA-4148-8D4F-480E2F93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2019-03-04T14:46:00Z</dcterms:created>
  <dcterms:modified xsi:type="dcterms:W3CDTF">2019-03-04T14:46:00Z</dcterms:modified>
</cp:coreProperties>
</file>