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C0CB7" w14:textId="275E9B5E" w:rsidR="00902485" w:rsidRPr="00924FFB" w:rsidRDefault="00902485" w:rsidP="009B1E16">
      <w:pPr>
        <w:autoSpaceDE w:val="0"/>
        <w:autoSpaceDN w:val="0"/>
        <w:adjustRightInd w:val="0"/>
        <w:ind w:left="5245"/>
        <w:rPr>
          <w:rFonts w:cs="Tahoma"/>
          <w:color w:val="000000"/>
          <w:sz w:val="24"/>
          <w:lang w:val="en-US"/>
        </w:rPr>
      </w:pPr>
    </w:p>
    <w:tbl>
      <w:tblPr>
        <w:tblW w:w="9852" w:type="dxa"/>
        <w:jc w:val="center"/>
        <w:tblLook w:val="01E0" w:firstRow="1" w:lastRow="1" w:firstColumn="1" w:lastColumn="1" w:noHBand="0" w:noVBand="0"/>
      </w:tblPr>
      <w:tblGrid>
        <w:gridCol w:w="4926"/>
        <w:gridCol w:w="4926"/>
      </w:tblGrid>
      <w:tr w:rsidR="006E2C9F" w:rsidRPr="00924FFB" w14:paraId="05ED4CCE" w14:textId="77777777" w:rsidTr="006E2C9F">
        <w:trPr>
          <w:jc w:val="center"/>
        </w:trPr>
        <w:tc>
          <w:tcPr>
            <w:tcW w:w="4926" w:type="dxa"/>
          </w:tcPr>
          <w:p w14:paraId="4DB033B3" w14:textId="418BD687" w:rsidR="00373AB9" w:rsidRPr="00924FFB" w:rsidRDefault="00373AB9" w:rsidP="00373AB9">
            <w:pPr>
              <w:pStyle w:val="Iauiue"/>
              <w:ind w:left="70"/>
              <w:rPr>
                <w:rFonts w:ascii="Tahoma" w:hAnsi="Tahoma" w:cs="Tahoma"/>
                <w:b/>
                <w:sz w:val="24"/>
                <w:szCs w:val="24"/>
              </w:rPr>
            </w:pPr>
            <w:r w:rsidRPr="00924FFB">
              <w:rPr>
                <w:rFonts w:ascii="Tahoma" w:hAnsi="Tahoma" w:cs="Tahoma"/>
                <w:b/>
                <w:sz w:val="24"/>
                <w:szCs w:val="24"/>
              </w:rPr>
              <w:t>APPROVED</w:t>
            </w:r>
          </w:p>
          <w:p w14:paraId="7BBC270D" w14:textId="77777777" w:rsidR="00373AB9" w:rsidRPr="00924FFB" w:rsidRDefault="00373AB9" w:rsidP="00373AB9">
            <w:pPr>
              <w:pStyle w:val="Iauiue"/>
              <w:ind w:left="70"/>
              <w:rPr>
                <w:rFonts w:ascii="Tahoma" w:hAnsi="Tahoma" w:cs="Tahoma"/>
                <w:b/>
                <w:sz w:val="24"/>
                <w:szCs w:val="24"/>
              </w:rPr>
            </w:pPr>
          </w:p>
          <w:p w14:paraId="6CD36E2A" w14:textId="77777777" w:rsidR="003818A9" w:rsidRPr="00924FFB" w:rsidRDefault="003818A9" w:rsidP="00373AB9">
            <w:pPr>
              <w:pStyle w:val="Iauiue"/>
              <w:ind w:left="70"/>
              <w:rPr>
                <w:rFonts w:ascii="Tahoma" w:hAnsi="Tahoma" w:cs="Tahoma"/>
                <w:sz w:val="24"/>
                <w:szCs w:val="24"/>
              </w:rPr>
            </w:pPr>
            <w:r w:rsidRPr="00924FFB">
              <w:rPr>
                <w:rFonts w:ascii="Tahoma" w:hAnsi="Tahoma" w:cs="Tahoma"/>
                <w:sz w:val="24"/>
                <w:szCs w:val="24"/>
              </w:rPr>
              <w:t>Executive Board</w:t>
            </w:r>
          </w:p>
          <w:p w14:paraId="6ABF1A82" w14:textId="77777777" w:rsidR="003818A9" w:rsidRPr="00924FFB" w:rsidRDefault="003818A9" w:rsidP="00373AB9">
            <w:pPr>
              <w:pStyle w:val="Iauiue"/>
              <w:ind w:left="70"/>
              <w:rPr>
                <w:rFonts w:ascii="Tahoma" w:hAnsi="Tahoma" w:cs="Tahoma"/>
                <w:sz w:val="24"/>
                <w:szCs w:val="24"/>
              </w:rPr>
            </w:pPr>
            <w:r w:rsidRPr="00924FFB">
              <w:rPr>
                <w:rFonts w:ascii="Tahoma" w:hAnsi="Tahoma" w:cs="Tahoma"/>
                <w:sz w:val="24"/>
                <w:szCs w:val="24"/>
              </w:rPr>
              <w:t xml:space="preserve">Moscow Exchange </w:t>
            </w:r>
          </w:p>
          <w:p w14:paraId="2316BB18" w14:textId="319B2A69" w:rsidR="003818A9" w:rsidRPr="00924FFB" w:rsidRDefault="003818A9" w:rsidP="00373AB9">
            <w:pPr>
              <w:pStyle w:val="Iauiue"/>
              <w:ind w:left="70"/>
              <w:rPr>
                <w:rFonts w:ascii="Tahoma" w:hAnsi="Tahoma" w:cs="Tahoma"/>
                <w:sz w:val="24"/>
                <w:szCs w:val="24"/>
              </w:rPr>
            </w:pPr>
            <w:r w:rsidRPr="00924FFB">
              <w:rPr>
                <w:rFonts w:ascii="Tahoma" w:hAnsi="Tahoma" w:cs="Tahoma"/>
                <w:sz w:val="24"/>
                <w:szCs w:val="24"/>
              </w:rPr>
              <w:t>29 October 2020, Minutes No. 75</w:t>
            </w:r>
          </w:p>
          <w:p w14:paraId="4E7D70F3" w14:textId="703B9C24" w:rsidR="00373AB9" w:rsidRPr="00924FFB" w:rsidRDefault="00373AB9" w:rsidP="00373AB9">
            <w:pPr>
              <w:pStyle w:val="Iauiue"/>
              <w:ind w:left="70"/>
              <w:rPr>
                <w:rFonts w:ascii="Tahoma" w:hAnsi="Tahoma" w:cs="Tahoma"/>
                <w:sz w:val="24"/>
                <w:szCs w:val="24"/>
              </w:rPr>
            </w:pPr>
          </w:p>
          <w:p w14:paraId="3D62FC36" w14:textId="5E21691E" w:rsidR="00373AB9" w:rsidRPr="00924FFB" w:rsidRDefault="003818A9" w:rsidP="00373AB9">
            <w:pPr>
              <w:pStyle w:val="Iauiue"/>
              <w:ind w:left="70"/>
              <w:rPr>
                <w:rFonts w:ascii="Tahoma" w:hAnsi="Tahoma" w:cs="Tahoma"/>
                <w:sz w:val="24"/>
                <w:szCs w:val="24"/>
              </w:rPr>
            </w:pPr>
            <w:r w:rsidRPr="00924FFB">
              <w:rPr>
                <w:rFonts w:ascii="Tahoma" w:hAnsi="Tahoma" w:cs="Tahoma"/>
                <w:sz w:val="24"/>
                <w:szCs w:val="24"/>
              </w:rPr>
              <w:t>Yu</w:t>
            </w:r>
            <w:r w:rsidRPr="00924FFB">
              <w:rPr>
                <w:rFonts w:ascii="Tahoma" w:hAnsi="Tahoma" w:cs="Tahoma"/>
                <w:sz w:val="24"/>
                <w:szCs w:val="24"/>
                <w:lang w:val="ru-RU"/>
              </w:rPr>
              <w:t xml:space="preserve">. </w:t>
            </w:r>
            <w:r w:rsidRPr="00924FFB">
              <w:rPr>
                <w:rFonts w:ascii="Tahoma" w:hAnsi="Tahoma" w:cs="Tahoma"/>
                <w:sz w:val="24"/>
                <w:szCs w:val="24"/>
              </w:rPr>
              <w:t>Denisov</w:t>
            </w:r>
          </w:p>
          <w:p w14:paraId="07BFA4C9" w14:textId="6E1B43C2" w:rsidR="003818A9" w:rsidRPr="00924FFB" w:rsidRDefault="003818A9" w:rsidP="00373AB9">
            <w:pPr>
              <w:pStyle w:val="Iauiue"/>
              <w:ind w:left="70"/>
              <w:rPr>
                <w:rFonts w:ascii="Tahoma" w:hAnsi="Tahoma" w:cs="Tahoma"/>
                <w:sz w:val="24"/>
                <w:szCs w:val="24"/>
              </w:rPr>
            </w:pPr>
            <w:r w:rsidRPr="00924FFB">
              <w:rPr>
                <w:rFonts w:ascii="Tahoma" w:hAnsi="Tahoma" w:cs="Tahoma"/>
                <w:sz w:val="24"/>
                <w:szCs w:val="24"/>
              </w:rPr>
              <w:t>CEO</w:t>
            </w:r>
          </w:p>
          <w:p w14:paraId="58BF4615" w14:textId="5CE38A94" w:rsidR="00373AB9" w:rsidRPr="00924FFB" w:rsidRDefault="003818A9" w:rsidP="003818A9">
            <w:pPr>
              <w:pStyle w:val="Iauiue"/>
              <w:ind w:left="70"/>
              <w:rPr>
                <w:rFonts w:ascii="Tahoma" w:hAnsi="Tahoma" w:cs="Tahoma"/>
                <w:sz w:val="24"/>
                <w:szCs w:val="24"/>
                <w:lang w:val="ru-RU"/>
              </w:rPr>
            </w:pPr>
            <w:r w:rsidRPr="00924FFB">
              <w:rPr>
                <w:rFonts w:ascii="Tahoma" w:hAnsi="Tahoma" w:cs="Tahoma"/>
                <w:sz w:val="24"/>
                <w:szCs w:val="24"/>
              </w:rPr>
              <w:t>Moscow Exchange</w:t>
            </w:r>
          </w:p>
          <w:p w14:paraId="18E7FED2" w14:textId="77777777" w:rsidR="006E2C9F" w:rsidRPr="00924FFB" w:rsidRDefault="006E2C9F">
            <w:pPr>
              <w:pStyle w:val="Iauiue"/>
              <w:tabs>
                <w:tab w:val="left" w:pos="4253"/>
              </w:tabs>
              <w:ind w:left="70"/>
              <w:rPr>
                <w:rFonts w:ascii="Tahoma" w:hAnsi="Tahoma" w:cs="Tahoma"/>
                <w:sz w:val="24"/>
                <w:szCs w:val="24"/>
                <w:lang w:val="ru-RU"/>
              </w:rPr>
            </w:pPr>
          </w:p>
        </w:tc>
        <w:tc>
          <w:tcPr>
            <w:tcW w:w="4926" w:type="dxa"/>
          </w:tcPr>
          <w:p w14:paraId="524A42B0" w14:textId="77777777" w:rsidR="006E2C9F" w:rsidRPr="00924FFB" w:rsidRDefault="006E2C9F" w:rsidP="00373AB9">
            <w:pPr>
              <w:pStyle w:val="Iauiue"/>
              <w:tabs>
                <w:tab w:val="left" w:pos="-9110"/>
              </w:tabs>
              <w:ind w:left="70"/>
              <w:rPr>
                <w:rFonts w:ascii="Tahoma" w:hAnsi="Tahoma" w:cs="Tahoma"/>
                <w:sz w:val="24"/>
                <w:szCs w:val="24"/>
                <w:lang w:val="ru-RU"/>
              </w:rPr>
            </w:pPr>
          </w:p>
        </w:tc>
      </w:tr>
    </w:tbl>
    <w:p w14:paraId="737B2955" w14:textId="77777777" w:rsidR="00DC63AB" w:rsidRPr="00924FFB" w:rsidRDefault="00DC63AB" w:rsidP="009B1E16">
      <w:pPr>
        <w:autoSpaceDE w:val="0"/>
        <w:autoSpaceDN w:val="0"/>
        <w:adjustRightInd w:val="0"/>
        <w:ind w:left="5245"/>
        <w:rPr>
          <w:rFonts w:cs="Tahoma"/>
          <w:color w:val="000000"/>
          <w:sz w:val="24"/>
        </w:rPr>
      </w:pPr>
    </w:p>
    <w:p w14:paraId="7260CC6D" w14:textId="086BC738" w:rsidR="00902485" w:rsidRPr="00924FFB" w:rsidRDefault="00902485" w:rsidP="009B1E16">
      <w:pPr>
        <w:autoSpaceDE w:val="0"/>
        <w:autoSpaceDN w:val="0"/>
        <w:adjustRightInd w:val="0"/>
        <w:spacing w:after="120"/>
        <w:ind w:left="5245"/>
        <w:rPr>
          <w:rFonts w:cs="Tahoma"/>
          <w:color w:val="000000"/>
          <w:sz w:val="24"/>
        </w:rPr>
      </w:pPr>
    </w:p>
    <w:p w14:paraId="068F6CDC" w14:textId="744708B2" w:rsidR="00902485" w:rsidRPr="00924FFB" w:rsidRDefault="00902485" w:rsidP="009B1E16">
      <w:pPr>
        <w:autoSpaceDE w:val="0"/>
        <w:autoSpaceDN w:val="0"/>
        <w:adjustRightInd w:val="0"/>
        <w:ind w:left="5245"/>
        <w:rPr>
          <w:rFonts w:cs="Tahoma"/>
          <w:color w:val="000000"/>
          <w:sz w:val="24"/>
        </w:rPr>
      </w:pPr>
    </w:p>
    <w:p w14:paraId="7B483E92" w14:textId="77777777" w:rsidR="00E212F7" w:rsidRPr="00924FFB" w:rsidRDefault="00E212F7" w:rsidP="00E212F7">
      <w:pPr>
        <w:rPr>
          <w:rFonts w:cs="Tahoma"/>
          <w:szCs w:val="20"/>
        </w:rPr>
      </w:pPr>
    </w:p>
    <w:p w14:paraId="1D95696B" w14:textId="77777777" w:rsidR="00E212F7" w:rsidRPr="00924FFB" w:rsidRDefault="00E212F7" w:rsidP="00E212F7">
      <w:pPr>
        <w:rPr>
          <w:rFonts w:cs="Tahoma"/>
          <w:szCs w:val="20"/>
        </w:rPr>
      </w:pPr>
    </w:p>
    <w:p w14:paraId="07F9E373" w14:textId="77777777" w:rsidR="00E212F7" w:rsidRPr="00924FFB" w:rsidRDefault="00E212F7" w:rsidP="00E212F7">
      <w:pPr>
        <w:rPr>
          <w:rFonts w:cs="Tahoma"/>
          <w:szCs w:val="20"/>
        </w:rPr>
      </w:pPr>
    </w:p>
    <w:p w14:paraId="18976163" w14:textId="77777777" w:rsidR="00E212F7" w:rsidRPr="00924FFB" w:rsidRDefault="00E212F7" w:rsidP="00E212F7">
      <w:pPr>
        <w:rPr>
          <w:rFonts w:cs="Tahoma"/>
          <w:szCs w:val="20"/>
        </w:rPr>
      </w:pPr>
    </w:p>
    <w:p w14:paraId="027FC5B2" w14:textId="77777777" w:rsidR="00E212F7" w:rsidRPr="00924FFB" w:rsidRDefault="00E212F7" w:rsidP="00E212F7">
      <w:pPr>
        <w:rPr>
          <w:rFonts w:cs="Tahoma"/>
          <w:szCs w:val="20"/>
        </w:rPr>
      </w:pPr>
    </w:p>
    <w:p w14:paraId="7ACFF003" w14:textId="77777777" w:rsidR="003A4FD0" w:rsidRPr="00924FFB" w:rsidRDefault="003A4FD0" w:rsidP="00E212F7">
      <w:pPr>
        <w:rPr>
          <w:rFonts w:cs="Tahoma"/>
          <w:szCs w:val="20"/>
        </w:rPr>
      </w:pPr>
    </w:p>
    <w:p w14:paraId="1637A5B2" w14:textId="77777777" w:rsidR="003A4FD0" w:rsidRPr="00924FFB" w:rsidRDefault="003A4FD0" w:rsidP="00E212F7">
      <w:pPr>
        <w:rPr>
          <w:rFonts w:cs="Tahoma"/>
          <w:szCs w:val="20"/>
        </w:rPr>
      </w:pPr>
    </w:p>
    <w:p w14:paraId="6FDC58C8" w14:textId="77777777" w:rsidR="003A4FD0" w:rsidRPr="00924FFB" w:rsidRDefault="003A4FD0" w:rsidP="00E212F7">
      <w:pPr>
        <w:rPr>
          <w:rFonts w:cs="Tahoma"/>
          <w:szCs w:val="20"/>
        </w:rPr>
      </w:pPr>
    </w:p>
    <w:p w14:paraId="7346D68E" w14:textId="77777777" w:rsidR="003A4FD0" w:rsidRPr="00924FFB" w:rsidRDefault="003A4FD0" w:rsidP="00E212F7">
      <w:pPr>
        <w:rPr>
          <w:rFonts w:cs="Tahoma"/>
          <w:szCs w:val="20"/>
        </w:rPr>
      </w:pPr>
    </w:p>
    <w:p w14:paraId="7FA206FC" w14:textId="77777777" w:rsidR="003A4FD0" w:rsidRPr="00924FFB" w:rsidRDefault="003A4FD0" w:rsidP="00E212F7">
      <w:pPr>
        <w:rPr>
          <w:rFonts w:cs="Tahoma"/>
          <w:szCs w:val="20"/>
        </w:rPr>
      </w:pPr>
    </w:p>
    <w:p w14:paraId="05F2E610" w14:textId="77777777" w:rsidR="003A4FD0" w:rsidRPr="00924FFB" w:rsidRDefault="003A4FD0" w:rsidP="00E212F7">
      <w:pPr>
        <w:rPr>
          <w:rFonts w:cs="Tahoma"/>
          <w:szCs w:val="20"/>
        </w:rPr>
      </w:pPr>
    </w:p>
    <w:p w14:paraId="5270B8AC" w14:textId="77777777" w:rsidR="003A4FD0" w:rsidRPr="00924FFB" w:rsidRDefault="003A4FD0" w:rsidP="00E212F7">
      <w:pPr>
        <w:rPr>
          <w:rFonts w:cs="Tahoma"/>
          <w:szCs w:val="20"/>
        </w:rPr>
      </w:pPr>
    </w:p>
    <w:p w14:paraId="4969758D" w14:textId="77777777" w:rsidR="003A4FD0" w:rsidRPr="00924FFB" w:rsidRDefault="003A4FD0" w:rsidP="00E212F7">
      <w:pPr>
        <w:rPr>
          <w:rFonts w:cs="Tahoma"/>
          <w:szCs w:val="20"/>
        </w:rPr>
      </w:pPr>
    </w:p>
    <w:p w14:paraId="6DCF7E9B" w14:textId="77777777" w:rsidR="003A4FD0" w:rsidRPr="00924FFB" w:rsidRDefault="003A4FD0" w:rsidP="00E212F7">
      <w:pPr>
        <w:rPr>
          <w:rFonts w:cs="Tahoma"/>
          <w:szCs w:val="20"/>
        </w:rPr>
      </w:pPr>
    </w:p>
    <w:p w14:paraId="4C38FF16" w14:textId="21946F47" w:rsidR="003A4FD0" w:rsidRPr="00924FFB" w:rsidRDefault="003A4FD0" w:rsidP="00E212F7">
      <w:pPr>
        <w:rPr>
          <w:rFonts w:cs="Tahoma"/>
          <w:szCs w:val="20"/>
        </w:rPr>
      </w:pPr>
    </w:p>
    <w:p w14:paraId="3017252A" w14:textId="77777777" w:rsidR="00924FFB" w:rsidRPr="00924FFB" w:rsidRDefault="00924FFB" w:rsidP="00CD157D">
      <w:pPr>
        <w:jc w:val="center"/>
        <w:rPr>
          <w:rFonts w:cs="Tahoma"/>
          <w:b/>
          <w:sz w:val="28"/>
          <w:szCs w:val="28"/>
          <w:lang w:val="en-US"/>
        </w:rPr>
      </w:pPr>
      <w:r w:rsidRPr="00924FFB">
        <w:rPr>
          <w:rFonts w:cs="Tahoma"/>
          <w:b/>
          <w:sz w:val="28"/>
          <w:szCs w:val="28"/>
          <w:lang w:val="en-US"/>
        </w:rPr>
        <w:t xml:space="preserve">PENSION INDICES </w:t>
      </w:r>
    </w:p>
    <w:p w14:paraId="660272A2" w14:textId="30A91F1E" w:rsidR="00E212F7" w:rsidRPr="00924FFB" w:rsidRDefault="00924FFB" w:rsidP="00924FFB">
      <w:pPr>
        <w:jc w:val="center"/>
        <w:rPr>
          <w:rFonts w:cs="Tahoma"/>
          <w:szCs w:val="20"/>
          <w:lang w:val="en-US"/>
        </w:rPr>
      </w:pPr>
      <w:r w:rsidRPr="00924FFB">
        <w:rPr>
          <w:rFonts w:cs="Tahoma"/>
          <w:b/>
          <w:sz w:val="28"/>
          <w:szCs w:val="28"/>
          <w:lang w:val="en-US"/>
        </w:rPr>
        <w:t>CALCULATION METHODOLOGY</w:t>
      </w:r>
    </w:p>
    <w:p w14:paraId="06F4AB10" w14:textId="77777777" w:rsidR="00E212F7" w:rsidRPr="00924FFB" w:rsidRDefault="00E212F7" w:rsidP="00E212F7">
      <w:pPr>
        <w:rPr>
          <w:rFonts w:cs="Tahoma"/>
          <w:szCs w:val="20"/>
          <w:lang w:val="en-US"/>
        </w:rPr>
      </w:pPr>
    </w:p>
    <w:p w14:paraId="5AA9F675" w14:textId="77777777" w:rsidR="00E212F7" w:rsidRPr="00924FFB" w:rsidRDefault="00E212F7" w:rsidP="00E212F7">
      <w:pPr>
        <w:rPr>
          <w:rFonts w:cs="Tahoma"/>
          <w:szCs w:val="20"/>
          <w:lang w:val="en-US"/>
        </w:rPr>
      </w:pPr>
    </w:p>
    <w:p w14:paraId="4560D313" w14:textId="77777777" w:rsidR="00E212F7" w:rsidRPr="00924FFB" w:rsidRDefault="00E212F7" w:rsidP="00E212F7">
      <w:pPr>
        <w:rPr>
          <w:rFonts w:cs="Tahoma"/>
          <w:szCs w:val="20"/>
          <w:lang w:val="en-US"/>
        </w:rPr>
      </w:pPr>
    </w:p>
    <w:p w14:paraId="2E8E614F" w14:textId="77777777" w:rsidR="00E212F7" w:rsidRPr="00924FFB" w:rsidRDefault="00E212F7" w:rsidP="00E212F7">
      <w:pPr>
        <w:rPr>
          <w:rFonts w:cs="Tahoma"/>
          <w:szCs w:val="20"/>
          <w:lang w:val="en-US"/>
        </w:rPr>
      </w:pPr>
    </w:p>
    <w:p w14:paraId="2737F2A3" w14:textId="77777777" w:rsidR="00E212F7" w:rsidRPr="00924FFB" w:rsidRDefault="00E212F7" w:rsidP="00E212F7">
      <w:pPr>
        <w:rPr>
          <w:rFonts w:cs="Tahoma"/>
          <w:szCs w:val="20"/>
          <w:lang w:val="en-US"/>
        </w:rPr>
      </w:pPr>
    </w:p>
    <w:p w14:paraId="28641003" w14:textId="77777777" w:rsidR="00E212F7" w:rsidRPr="00924FFB" w:rsidRDefault="00E212F7" w:rsidP="00E212F7">
      <w:pPr>
        <w:rPr>
          <w:rFonts w:cs="Tahoma"/>
          <w:szCs w:val="20"/>
          <w:lang w:val="en-US"/>
        </w:rPr>
      </w:pPr>
    </w:p>
    <w:p w14:paraId="21C710CB" w14:textId="77777777" w:rsidR="00E212F7" w:rsidRPr="00924FFB" w:rsidRDefault="00E212F7" w:rsidP="00E212F7">
      <w:pPr>
        <w:rPr>
          <w:rFonts w:cs="Tahoma"/>
          <w:szCs w:val="20"/>
          <w:lang w:val="en-US"/>
        </w:rPr>
      </w:pPr>
    </w:p>
    <w:p w14:paraId="6CDBFD15" w14:textId="77777777" w:rsidR="00E212F7" w:rsidRPr="00924FFB" w:rsidRDefault="00E212F7" w:rsidP="00E212F7">
      <w:pPr>
        <w:rPr>
          <w:rFonts w:cs="Tahoma"/>
          <w:szCs w:val="20"/>
          <w:lang w:val="en-US"/>
        </w:rPr>
      </w:pPr>
    </w:p>
    <w:p w14:paraId="4E88F774" w14:textId="77777777" w:rsidR="00E212F7" w:rsidRPr="00924FFB" w:rsidRDefault="00E212F7" w:rsidP="00E212F7">
      <w:pPr>
        <w:rPr>
          <w:rFonts w:cs="Tahoma"/>
          <w:szCs w:val="20"/>
          <w:lang w:val="en-US"/>
        </w:rPr>
      </w:pPr>
    </w:p>
    <w:p w14:paraId="7789FB79" w14:textId="77777777" w:rsidR="00E212F7" w:rsidRPr="00924FFB" w:rsidRDefault="00E212F7" w:rsidP="00E212F7">
      <w:pPr>
        <w:rPr>
          <w:rFonts w:cs="Tahoma"/>
          <w:szCs w:val="20"/>
          <w:lang w:val="en-US"/>
        </w:rPr>
      </w:pPr>
    </w:p>
    <w:p w14:paraId="0381451A" w14:textId="77777777" w:rsidR="00E212F7" w:rsidRPr="00924FFB" w:rsidRDefault="00E212F7" w:rsidP="00E212F7">
      <w:pPr>
        <w:rPr>
          <w:rFonts w:cs="Tahoma"/>
          <w:szCs w:val="20"/>
          <w:lang w:val="en-US"/>
        </w:rPr>
      </w:pPr>
    </w:p>
    <w:p w14:paraId="1144988A" w14:textId="77777777" w:rsidR="00E212F7" w:rsidRPr="00924FFB" w:rsidRDefault="00E212F7" w:rsidP="00E212F7">
      <w:pPr>
        <w:rPr>
          <w:rFonts w:cs="Tahoma"/>
          <w:szCs w:val="20"/>
          <w:lang w:val="en-US"/>
        </w:rPr>
      </w:pPr>
    </w:p>
    <w:p w14:paraId="09753C8A" w14:textId="77777777" w:rsidR="00E212F7" w:rsidRPr="00924FFB" w:rsidRDefault="00E212F7" w:rsidP="00E212F7">
      <w:pPr>
        <w:rPr>
          <w:rFonts w:cs="Tahoma"/>
          <w:szCs w:val="20"/>
          <w:lang w:val="en-US"/>
        </w:rPr>
      </w:pPr>
    </w:p>
    <w:p w14:paraId="71A03E2A" w14:textId="77777777" w:rsidR="00E212F7" w:rsidRPr="00924FFB" w:rsidRDefault="00E212F7" w:rsidP="00E212F7">
      <w:pPr>
        <w:rPr>
          <w:rFonts w:cs="Tahoma"/>
          <w:szCs w:val="20"/>
          <w:lang w:val="en-US"/>
        </w:rPr>
      </w:pPr>
    </w:p>
    <w:p w14:paraId="2B7DCEC4" w14:textId="77777777" w:rsidR="00E212F7" w:rsidRPr="00924FFB" w:rsidRDefault="00E212F7" w:rsidP="00E212F7">
      <w:pPr>
        <w:rPr>
          <w:rFonts w:cs="Tahoma"/>
          <w:szCs w:val="20"/>
          <w:lang w:val="en-US"/>
        </w:rPr>
      </w:pPr>
    </w:p>
    <w:p w14:paraId="1471F246" w14:textId="77777777" w:rsidR="00E212F7" w:rsidRPr="00924FFB" w:rsidRDefault="00E212F7" w:rsidP="00E212F7">
      <w:pPr>
        <w:rPr>
          <w:rFonts w:cs="Tahoma"/>
          <w:szCs w:val="20"/>
          <w:lang w:val="en-US"/>
        </w:rPr>
      </w:pPr>
    </w:p>
    <w:p w14:paraId="72681C54" w14:textId="77777777" w:rsidR="00E212F7" w:rsidRPr="00924FFB" w:rsidRDefault="00E212F7" w:rsidP="00E212F7">
      <w:pPr>
        <w:rPr>
          <w:rFonts w:cs="Tahoma"/>
          <w:szCs w:val="20"/>
          <w:lang w:val="en-US"/>
        </w:rPr>
      </w:pPr>
    </w:p>
    <w:p w14:paraId="1F13A580" w14:textId="77777777" w:rsidR="00E212F7" w:rsidRPr="00924FFB" w:rsidRDefault="00E212F7" w:rsidP="00E212F7">
      <w:pPr>
        <w:rPr>
          <w:rFonts w:cs="Tahoma"/>
          <w:szCs w:val="20"/>
          <w:lang w:val="en-US"/>
        </w:rPr>
      </w:pPr>
    </w:p>
    <w:p w14:paraId="4FC0D107" w14:textId="77777777" w:rsidR="00E212F7" w:rsidRPr="00924FFB" w:rsidRDefault="00E212F7" w:rsidP="00E212F7">
      <w:pPr>
        <w:rPr>
          <w:rFonts w:cs="Tahoma"/>
          <w:szCs w:val="20"/>
          <w:lang w:val="en-US"/>
        </w:rPr>
      </w:pPr>
    </w:p>
    <w:p w14:paraId="718D4334" w14:textId="77777777" w:rsidR="00E212F7" w:rsidRPr="00924FFB" w:rsidRDefault="00E212F7" w:rsidP="00E212F7">
      <w:pPr>
        <w:rPr>
          <w:rFonts w:cs="Tahoma"/>
          <w:szCs w:val="20"/>
          <w:lang w:val="en-US"/>
        </w:rPr>
      </w:pPr>
    </w:p>
    <w:p w14:paraId="5BD56910" w14:textId="77777777" w:rsidR="00902485" w:rsidRPr="00924FFB" w:rsidRDefault="00902485" w:rsidP="008E3002">
      <w:pPr>
        <w:jc w:val="center"/>
        <w:rPr>
          <w:rFonts w:cs="Tahoma"/>
          <w:b/>
          <w:sz w:val="24"/>
          <w:lang w:val="en-US"/>
        </w:rPr>
      </w:pPr>
    </w:p>
    <w:p w14:paraId="252C6EEB" w14:textId="77777777" w:rsidR="00902485" w:rsidRPr="00924FFB" w:rsidRDefault="00902485" w:rsidP="008E3002">
      <w:pPr>
        <w:jc w:val="center"/>
        <w:rPr>
          <w:rFonts w:cs="Tahoma"/>
          <w:b/>
          <w:sz w:val="24"/>
          <w:lang w:val="en-US"/>
        </w:rPr>
      </w:pPr>
    </w:p>
    <w:p w14:paraId="34A7FAA0" w14:textId="77777777" w:rsidR="00902485" w:rsidRPr="00924FFB" w:rsidRDefault="00902485" w:rsidP="008E3002">
      <w:pPr>
        <w:jc w:val="center"/>
        <w:rPr>
          <w:rFonts w:cs="Tahoma"/>
          <w:b/>
          <w:sz w:val="24"/>
          <w:lang w:val="en-US"/>
        </w:rPr>
      </w:pPr>
    </w:p>
    <w:p w14:paraId="535812E2" w14:textId="73FF4E56" w:rsidR="00596498" w:rsidRPr="00924FFB" w:rsidRDefault="00924FFB" w:rsidP="008E3002">
      <w:pPr>
        <w:jc w:val="center"/>
        <w:rPr>
          <w:rFonts w:cs="Tahoma"/>
          <w:b/>
          <w:sz w:val="24"/>
        </w:rPr>
        <w:sectPr w:rsidR="00596498" w:rsidRPr="00924FFB" w:rsidSect="00466FC1">
          <w:footerReference w:type="even" r:id="rId11"/>
          <w:footerReference w:type="default" r:id="rId12"/>
          <w:pgSz w:w="11906" w:h="16838"/>
          <w:pgMar w:top="1077" w:right="1134" w:bottom="1077" w:left="1418" w:header="709" w:footer="709" w:gutter="0"/>
          <w:cols w:space="708"/>
          <w:titlePg/>
          <w:docGrid w:linePitch="360"/>
        </w:sectPr>
      </w:pPr>
      <w:r w:rsidRPr="00924FFB">
        <w:rPr>
          <w:rFonts w:cs="Tahoma"/>
          <w:b/>
          <w:sz w:val="24"/>
          <w:lang w:val="en-US"/>
        </w:rPr>
        <w:t>Moscow</w:t>
      </w:r>
      <w:r w:rsidR="008E3002" w:rsidRPr="00924FFB">
        <w:rPr>
          <w:rFonts w:cs="Tahoma"/>
          <w:b/>
          <w:sz w:val="24"/>
        </w:rPr>
        <w:t xml:space="preserve">, </w:t>
      </w:r>
      <w:r w:rsidR="00E17130" w:rsidRPr="00924FFB">
        <w:rPr>
          <w:rFonts w:cs="Tahoma"/>
          <w:b/>
          <w:sz w:val="24"/>
        </w:rPr>
        <w:t>20</w:t>
      </w:r>
      <w:r w:rsidR="00CD157D" w:rsidRPr="00924FFB">
        <w:rPr>
          <w:rFonts w:cs="Tahoma"/>
          <w:b/>
          <w:sz w:val="24"/>
        </w:rPr>
        <w:t>20</w:t>
      </w:r>
    </w:p>
    <w:p w14:paraId="74D93EA4" w14:textId="2BCC7B7E" w:rsidR="00DF65DB" w:rsidRPr="00924FFB" w:rsidRDefault="003818A9" w:rsidP="00047157">
      <w:pPr>
        <w:spacing w:after="240"/>
        <w:jc w:val="center"/>
        <w:rPr>
          <w:rFonts w:cs="Tahoma"/>
          <w:b/>
        </w:rPr>
      </w:pPr>
      <w:r w:rsidRPr="00924FFB">
        <w:rPr>
          <w:rFonts w:cs="Tahoma"/>
          <w:b/>
        </w:rPr>
        <w:lastRenderedPageBreak/>
        <w:t xml:space="preserve">CONTENTS </w:t>
      </w:r>
    </w:p>
    <w:p w14:paraId="248DC1E8" w14:textId="3A4B62D0" w:rsidR="00924FFB" w:rsidRPr="00924FFB" w:rsidRDefault="00047157">
      <w:pPr>
        <w:pStyle w:val="14"/>
        <w:rPr>
          <w:rFonts w:eastAsiaTheme="minorEastAsia" w:cs="Tahoma"/>
          <w:b w:val="0"/>
          <w:bCs w:val="0"/>
          <w:caps w:val="0"/>
          <w:noProof/>
          <w:sz w:val="22"/>
          <w:szCs w:val="22"/>
        </w:rPr>
      </w:pPr>
      <w:r w:rsidRPr="00924FFB">
        <w:rPr>
          <w:rFonts w:cs="Tahoma"/>
        </w:rPr>
        <w:fldChar w:fldCharType="begin"/>
      </w:r>
      <w:r w:rsidRPr="00924FFB">
        <w:rPr>
          <w:rFonts w:cs="Tahoma"/>
        </w:rPr>
        <w:instrText xml:space="preserve"> TOC \o "2-3" \h \z \t "Заголовок 1;1;Название;2" </w:instrText>
      </w:r>
      <w:r w:rsidRPr="00924FFB">
        <w:rPr>
          <w:rFonts w:cs="Tahoma"/>
        </w:rPr>
        <w:fldChar w:fldCharType="separate"/>
      </w:r>
      <w:hyperlink w:anchor="_Toc62143957" w:history="1">
        <w:r w:rsidR="00924FFB" w:rsidRPr="00924FFB">
          <w:rPr>
            <w:rStyle w:val="a8"/>
            <w:rFonts w:cs="Tahoma"/>
            <w:noProof/>
          </w:rPr>
          <w:t>1.</w:t>
        </w:r>
        <w:r w:rsidR="00924FFB" w:rsidRPr="00924FFB">
          <w:rPr>
            <w:rFonts w:eastAsiaTheme="minorEastAsia" w:cs="Tahoma"/>
            <w:b w:val="0"/>
            <w:bCs w:val="0"/>
            <w:caps w:val="0"/>
            <w:noProof/>
            <w:sz w:val="22"/>
            <w:szCs w:val="22"/>
          </w:rPr>
          <w:tab/>
        </w:r>
        <w:r w:rsidR="00924FFB" w:rsidRPr="00924FFB">
          <w:rPr>
            <w:rStyle w:val="a8"/>
            <w:rFonts w:cs="Tahoma"/>
            <w:noProof/>
            <w:lang w:val="en-US"/>
          </w:rPr>
          <w:t>Introduction</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_Toc62143957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3</w:t>
        </w:r>
        <w:r w:rsidR="00924FFB" w:rsidRPr="00924FFB">
          <w:rPr>
            <w:rFonts w:cs="Tahoma"/>
            <w:noProof/>
            <w:webHidden/>
          </w:rPr>
          <w:fldChar w:fldCharType="end"/>
        </w:r>
      </w:hyperlink>
    </w:p>
    <w:p w14:paraId="6D54A131" w14:textId="6D26170F" w:rsidR="00924FFB" w:rsidRPr="00924FFB" w:rsidRDefault="00924FFB">
      <w:pPr>
        <w:pStyle w:val="23"/>
        <w:rPr>
          <w:rFonts w:eastAsiaTheme="minorEastAsia" w:cs="Tahoma"/>
          <w:noProof/>
          <w:sz w:val="22"/>
          <w:szCs w:val="22"/>
        </w:rPr>
      </w:pPr>
      <w:hyperlink w:anchor="_Toc62143958" w:history="1">
        <w:r w:rsidRPr="00924FFB">
          <w:rPr>
            <w:rStyle w:val="a8"/>
            <w:rFonts w:cs="Tahoma"/>
            <w:noProof/>
          </w:rPr>
          <w:t>1.1.</w:t>
        </w:r>
        <w:r w:rsidRPr="00924FFB">
          <w:rPr>
            <w:rFonts w:eastAsiaTheme="minorEastAsia" w:cs="Tahoma"/>
            <w:noProof/>
            <w:sz w:val="22"/>
            <w:szCs w:val="22"/>
          </w:rPr>
          <w:tab/>
        </w:r>
        <w:r w:rsidRPr="00924FFB">
          <w:rPr>
            <w:rStyle w:val="a8"/>
            <w:rFonts w:cs="Tahoma"/>
            <w:noProof/>
            <w:lang w:val="en-US"/>
          </w:rPr>
          <w:t>Terms and definitions</w:t>
        </w:r>
        <w:r w:rsidRPr="00924FFB">
          <w:rPr>
            <w:rFonts w:cs="Tahoma"/>
            <w:noProof/>
            <w:webHidden/>
          </w:rPr>
          <w:tab/>
        </w:r>
        <w:r w:rsidRPr="00924FFB">
          <w:rPr>
            <w:rFonts w:cs="Tahoma"/>
            <w:noProof/>
            <w:webHidden/>
          </w:rPr>
          <w:fldChar w:fldCharType="begin"/>
        </w:r>
        <w:r w:rsidRPr="00924FFB">
          <w:rPr>
            <w:rFonts w:cs="Tahoma"/>
            <w:noProof/>
            <w:webHidden/>
          </w:rPr>
          <w:instrText xml:space="preserve"> PAGEREF _Toc62143958 \h </w:instrText>
        </w:r>
        <w:r w:rsidRPr="00924FFB">
          <w:rPr>
            <w:rFonts w:cs="Tahoma"/>
            <w:noProof/>
            <w:webHidden/>
          </w:rPr>
        </w:r>
        <w:r w:rsidRPr="00924FFB">
          <w:rPr>
            <w:rFonts w:cs="Tahoma"/>
            <w:noProof/>
            <w:webHidden/>
          </w:rPr>
          <w:fldChar w:fldCharType="separate"/>
        </w:r>
        <w:r w:rsidRPr="00924FFB">
          <w:rPr>
            <w:rFonts w:cs="Tahoma"/>
            <w:noProof/>
            <w:webHidden/>
          </w:rPr>
          <w:t>3</w:t>
        </w:r>
        <w:r w:rsidRPr="00924FFB">
          <w:rPr>
            <w:rFonts w:cs="Tahoma"/>
            <w:noProof/>
            <w:webHidden/>
          </w:rPr>
          <w:fldChar w:fldCharType="end"/>
        </w:r>
      </w:hyperlink>
    </w:p>
    <w:p w14:paraId="62B8D2AE" w14:textId="502995CF" w:rsidR="00924FFB" w:rsidRPr="00924FFB" w:rsidRDefault="00924FFB">
      <w:pPr>
        <w:pStyle w:val="23"/>
        <w:rPr>
          <w:rFonts w:eastAsiaTheme="minorEastAsia" w:cs="Tahoma"/>
          <w:noProof/>
          <w:sz w:val="22"/>
          <w:szCs w:val="22"/>
        </w:rPr>
      </w:pPr>
      <w:hyperlink w:anchor="_Toc62143959" w:history="1">
        <w:r w:rsidRPr="00924FFB">
          <w:rPr>
            <w:rStyle w:val="a8"/>
            <w:rFonts w:cs="Tahoma"/>
            <w:noProof/>
            <w:lang w:val="en-US"/>
          </w:rPr>
          <w:t>1.2.</w:t>
        </w:r>
        <w:r w:rsidRPr="00924FFB">
          <w:rPr>
            <w:rFonts w:eastAsiaTheme="minorEastAsia" w:cs="Tahoma"/>
            <w:noProof/>
            <w:sz w:val="22"/>
            <w:szCs w:val="22"/>
          </w:rPr>
          <w:tab/>
        </w:r>
        <w:r w:rsidRPr="00924FFB">
          <w:rPr>
            <w:rStyle w:val="a8"/>
            <w:rFonts w:cs="Tahoma"/>
            <w:noProof/>
            <w:lang w:val="en-US"/>
          </w:rPr>
          <w:t>List of Indices</w:t>
        </w:r>
        <w:r w:rsidRPr="00924FFB">
          <w:rPr>
            <w:rFonts w:cs="Tahoma"/>
            <w:noProof/>
            <w:webHidden/>
          </w:rPr>
          <w:tab/>
        </w:r>
        <w:r w:rsidRPr="00924FFB">
          <w:rPr>
            <w:rFonts w:cs="Tahoma"/>
            <w:noProof/>
            <w:webHidden/>
          </w:rPr>
          <w:fldChar w:fldCharType="begin"/>
        </w:r>
        <w:r w:rsidRPr="00924FFB">
          <w:rPr>
            <w:rFonts w:cs="Tahoma"/>
            <w:noProof/>
            <w:webHidden/>
          </w:rPr>
          <w:instrText xml:space="preserve"> PAGEREF _Toc62143959 \h </w:instrText>
        </w:r>
        <w:r w:rsidRPr="00924FFB">
          <w:rPr>
            <w:rFonts w:cs="Tahoma"/>
            <w:noProof/>
            <w:webHidden/>
          </w:rPr>
        </w:r>
        <w:r w:rsidRPr="00924FFB">
          <w:rPr>
            <w:rFonts w:cs="Tahoma"/>
            <w:noProof/>
            <w:webHidden/>
          </w:rPr>
          <w:fldChar w:fldCharType="separate"/>
        </w:r>
        <w:r w:rsidRPr="00924FFB">
          <w:rPr>
            <w:rFonts w:cs="Tahoma"/>
            <w:noProof/>
            <w:webHidden/>
          </w:rPr>
          <w:t>3</w:t>
        </w:r>
        <w:r w:rsidRPr="00924FFB">
          <w:rPr>
            <w:rFonts w:cs="Tahoma"/>
            <w:noProof/>
            <w:webHidden/>
          </w:rPr>
          <w:fldChar w:fldCharType="end"/>
        </w:r>
      </w:hyperlink>
    </w:p>
    <w:p w14:paraId="67773D0B" w14:textId="20B5DE7D" w:rsidR="00924FFB" w:rsidRPr="00924FFB" w:rsidRDefault="00924FFB">
      <w:pPr>
        <w:pStyle w:val="23"/>
        <w:rPr>
          <w:rFonts w:eastAsiaTheme="minorEastAsia" w:cs="Tahoma"/>
          <w:noProof/>
          <w:sz w:val="22"/>
          <w:szCs w:val="22"/>
        </w:rPr>
      </w:pPr>
      <w:hyperlink w:anchor="_Toc62143960" w:history="1">
        <w:r w:rsidRPr="00924FFB">
          <w:rPr>
            <w:rStyle w:val="a8"/>
            <w:rFonts w:cs="Tahoma"/>
            <w:noProof/>
            <w:lang w:val="en-US"/>
          </w:rPr>
          <w:t>1.3.</w:t>
        </w:r>
        <w:r w:rsidRPr="00924FFB">
          <w:rPr>
            <w:rFonts w:eastAsiaTheme="minorEastAsia" w:cs="Tahoma"/>
            <w:noProof/>
            <w:sz w:val="22"/>
            <w:szCs w:val="22"/>
          </w:rPr>
          <w:tab/>
        </w:r>
        <w:r w:rsidRPr="00924FFB">
          <w:rPr>
            <w:rStyle w:val="a8"/>
            <w:rFonts w:cs="Tahoma"/>
            <w:noProof/>
            <w:lang w:val="en-US"/>
          </w:rPr>
          <w:t>Calculation method</w:t>
        </w:r>
        <w:r w:rsidRPr="00924FFB">
          <w:rPr>
            <w:rFonts w:cs="Tahoma"/>
            <w:noProof/>
            <w:webHidden/>
          </w:rPr>
          <w:tab/>
        </w:r>
        <w:r w:rsidRPr="00924FFB">
          <w:rPr>
            <w:rFonts w:cs="Tahoma"/>
            <w:noProof/>
            <w:webHidden/>
          </w:rPr>
          <w:fldChar w:fldCharType="begin"/>
        </w:r>
        <w:r w:rsidRPr="00924FFB">
          <w:rPr>
            <w:rFonts w:cs="Tahoma"/>
            <w:noProof/>
            <w:webHidden/>
          </w:rPr>
          <w:instrText xml:space="preserve"> PAGEREF _Toc62143960 \h </w:instrText>
        </w:r>
        <w:r w:rsidRPr="00924FFB">
          <w:rPr>
            <w:rFonts w:cs="Tahoma"/>
            <w:noProof/>
            <w:webHidden/>
          </w:rPr>
        </w:r>
        <w:r w:rsidRPr="00924FFB">
          <w:rPr>
            <w:rFonts w:cs="Tahoma"/>
            <w:noProof/>
            <w:webHidden/>
          </w:rPr>
          <w:fldChar w:fldCharType="separate"/>
        </w:r>
        <w:r w:rsidRPr="00924FFB">
          <w:rPr>
            <w:rFonts w:cs="Tahoma"/>
            <w:noProof/>
            <w:webHidden/>
          </w:rPr>
          <w:t>3</w:t>
        </w:r>
        <w:r w:rsidRPr="00924FFB">
          <w:rPr>
            <w:rFonts w:cs="Tahoma"/>
            <w:noProof/>
            <w:webHidden/>
          </w:rPr>
          <w:fldChar w:fldCharType="end"/>
        </w:r>
      </w:hyperlink>
    </w:p>
    <w:p w14:paraId="646DB50C" w14:textId="445EA202" w:rsidR="00924FFB" w:rsidRPr="00924FFB" w:rsidRDefault="00924FFB">
      <w:pPr>
        <w:pStyle w:val="14"/>
        <w:rPr>
          <w:rFonts w:eastAsiaTheme="minorEastAsia" w:cs="Tahoma"/>
          <w:b w:val="0"/>
          <w:bCs w:val="0"/>
          <w:caps w:val="0"/>
          <w:noProof/>
          <w:sz w:val="22"/>
          <w:szCs w:val="22"/>
        </w:rPr>
      </w:pPr>
      <w:hyperlink w:anchor="_Toc62143961" w:history="1">
        <w:r w:rsidRPr="00924FFB">
          <w:rPr>
            <w:rStyle w:val="a8"/>
            <w:rFonts w:cs="Tahoma"/>
            <w:noProof/>
          </w:rPr>
          <w:t>2.</w:t>
        </w:r>
        <w:r w:rsidRPr="00924FFB">
          <w:rPr>
            <w:rFonts w:eastAsiaTheme="minorEastAsia" w:cs="Tahoma"/>
            <w:b w:val="0"/>
            <w:bCs w:val="0"/>
            <w:caps w:val="0"/>
            <w:noProof/>
            <w:sz w:val="22"/>
            <w:szCs w:val="22"/>
          </w:rPr>
          <w:tab/>
        </w:r>
        <w:r w:rsidRPr="00924FFB">
          <w:rPr>
            <w:rStyle w:val="a8"/>
            <w:rFonts w:cs="Tahoma"/>
            <w:noProof/>
            <w:lang w:val="en-US"/>
          </w:rPr>
          <w:t>Index calculation</w:t>
        </w:r>
        <w:r w:rsidRPr="00924FFB">
          <w:rPr>
            <w:rFonts w:cs="Tahoma"/>
            <w:noProof/>
            <w:webHidden/>
          </w:rPr>
          <w:tab/>
        </w:r>
        <w:r w:rsidRPr="00924FFB">
          <w:rPr>
            <w:rFonts w:cs="Tahoma"/>
            <w:noProof/>
            <w:webHidden/>
          </w:rPr>
          <w:fldChar w:fldCharType="begin"/>
        </w:r>
        <w:r w:rsidRPr="00924FFB">
          <w:rPr>
            <w:rFonts w:cs="Tahoma"/>
            <w:noProof/>
            <w:webHidden/>
          </w:rPr>
          <w:instrText xml:space="preserve"> PAGEREF _Toc62143961 \h </w:instrText>
        </w:r>
        <w:r w:rsidRPr="00924FFB">
          <w:rPr>
            <w:rFonts w:cs="Tahoma"/>
            <w:noProof/>
            <w:webHidden/>
          </w:rPr>
        </w:r>
        <w:r w:rsidRPr="00924FFB">
          <w:rPr>
            <w:rFonts w:cs="Tahoma"/>
            <w:noProof/>
            <w:webHidden/>
          </w:rPr>
          <w:fldChar w:fldCharType="separate"/>
        </w:r>
        <w:r w:rsidRPr="00924FFB">
          <w:rPr>
            <w:rFonts w:cs="Tahoma"/>
            <w:noProof/>
            <w:webHidden/>
          </w:rPr>
          <w:t>3</w:t>
        </w:r>
        <w:r w:rsidRPr="00924FFB">
          <w:rPr>
            <w:rFonts w:cs="Tahoma"/>
            <w:noProof/>
            <w:webHidden/>
          </w:rPr>
          <w:fldChar w:fldCharType="end"/>
        </w:r>
      </w:hyperlink>
    </w:p>
    <w:p w14:paraId="5FC77655" w14:textId="5CE8138F" w:rsidR="00924FFB" w:rsidRPr="00924FFB" w:rsidRDefault="00924FFB">
      <w:pPr>
        <w:pStyle w:val="23"/>
        <w:rPr>
          <w:rFonts w:eastAsiaTheme="minorEastAsia" w:cs="Tahoma"/>
          <w:noProof/>
          <w:sz w:val="22"/>
          <w:szCs w:val="22"/>
        </w:rPr>
      </w:pPr>
      <w:hyperlink w:anchor="_Toc62143962" w:history="1">
        <w:r w:rsidRPr="00924FFB">
          <w:rPr>
            <w:rStyle w:val="a8"/>
            <w:rFonts w:cs="Tahoma"/>
            <w:noProof/>
            <w:lang w:val="en-US"/>
          </w:rPr>
          <w:t>2.1.</w:t>
        </w:r>
        <w:r w:rsidRPr="00924FFB">
          <w:rPr>
            <w:rFonts w:eastAsiaTheme="minorEastAsia" w:cs="Tahoma"/>
            <w:noProof/>
            <w:sz w:val="22"/>
            <w:szCs w:val="22"/>
          </w:rPr>
          <w:tab/>
        </w:r>
        <w:r w:rsidRPr="00924FFB">
          <w:rPr>
            <w:rStyle w:val="a8"/>
            <w:rFonts w:cs="Tahoma"/>
            <w:noProof/>
            <w:lang w:val="en-US"/>
          </w:rPr>
          <w:t>Index calculation procedure</w:t>
        </w:r>
        <w:r w:rsidRPr="00924FFB">
          <w:rPr>
            <w:rFonts w:cs="Tahoma"/>
            <w:noProof/>
            <w:webHidden/>
          </w:rPr>
          <w:tab/>
        </w:r>
        <w:r w:rsidRPr="00924FFB">
          <w:rPr>
            <w:rFonts w:cs="Tahoma"/>
            <w:noProof/>
            <w:webHidden/>
          </w:rPr>
          <w:fldChar w:fldCharType="begin"/>
        </w:r>
        <w:r w:rsidRPr="00924FFB">
          <w:rPr>
            <w:rFonts w:cs="Tahoma"/>
            <w:noProof/>
            <w:webHidden/>
          </w:rPr>
          <w:instrText xml:space="preserve"> PAGEREF _Toc62143962 \h </w:instrText>
        </w:r>
        <w:r w:rsidRPr="00924FFB">
          <w:rPr>
            <w:rFonts w:cs="Tahoma"/>
            <w:noProof/>
            <w:webHidden/>
          </w:rPr>
        </w:r>
        <w:r w:rsidRPr="00924FFB">
          <w:rPr>
            <w:rFonts w:cs="Tahoma"/>
            <w:noProof/>
            <w:webHidden/>
          </w:rPr>
          <w:fldChar w:fldCharType="separate"/>
        </w:r>
        <w:r w:rsidRPr="00924FFB">
          <w:rPr>
            <w:rFonts w:cs="Tahoma"/>
            <w:noProof/>
            <w:webHidden/>
          </w:rPr>
          <w:t>3</w:t>
        </w:r>
        <w:r w:rsidRPr="00924FFB">
          <w:rPr>
            <w:rFonts w:cs="Tahoma"/>
            <w:noProof/>
            <w:webHidden/>
          </w:rPr>
          <w:fldChar w:fldCharType="end"/>
        </w:r>
      </w:hyperlink>
    </w:p>
    <w:p w14:paraId="02138714" w14:textId="5CD5DEDC" w:rsidR="00924FFB" w:rsidRPr="00924FFB" w:rsidRDefault="00924FFB">
      <w:pPr>
        <w:pStyle w:val="23"/>
        <w:rPr>
          <w:rFonts w:eastAsiaTheme="minorEastAsia" w:cs="Tahoma"/>
          <w:noProof/>
          <w:sz w:val="22"/>
          <w:szCs w:val="22"/>
        </w:rPr>
      </w:pPr>
      <w:hyperlink w:anchor="_Toc62143963" w:history="1">
        <w:r w:rsidRPr="00924FFB">
          <w:rPr>
            <w:rStyle w:val="a8"/>
            <w:rFonts w:cs="Tahoma"/>
            <w:noProof/>
            <w:lang w:val="en-US"/>
          </w:rPr>
          <w:t>2.2.</w:t>
        </w:r>
        <w:r w:rsidRPr="00924FFB">
          <w:rPr>
            <w:rFonts w:eastAsiaTheme="minorEastAsia" w:cs="Tahoma"/>
            <w:noProof/>
            <w:sz w:val="22"/>
            <w:szCs w:val="22"/>
          </w:rPr>
          <w:tab/>
        </w:r>
        <w:r w:rsidRPr="00924FFB">
          <w:rPr>
            <w:rStyle w:val="a8"/>
            <w:rFonts w:cs="Tahoma"/>
            <w:noProof/>
            <w:lang w:val="en-US"/>
          </w:rPr>
          <w:t>Calculation of restrictive factors</w:t>
        </w:r>
        <w:r w:rsidRPr="00924FFB">
          <w:rPr>
            <w:rFonts w:cs="Tahoma"/>
            <w:noProof/>
            <w:webHidden/>
          </w:rPr>
          <w:tab/>
        </w:r>
        <w:r w:rsidRPr="00924FFB">
          <w:rPr>
            <w:rFonts w:cs="Tahoma"/>
            <w:noProof/>
            <w:webHidden/>
          </w:rPr>
          <w:fldChar w:fldCharType="begin"/>
        </w:r>
        <w:r w:rsidRPr="00924FFB">
          <w:rPr>
            <w:rFonts w:cs="Tahoma"/>
            <w:noProof/>
            <w:webHidden/>
          </w:rPr>
          <w:instrText xml:space="preserve"> PAGEREF _Toc62143963 \h </w:instrText>
        </w:r>
        <w:r w:rsidRPr="00924FFB">
          <w:rPr>
            <w:rFonts w:cs="Tahoma"/>
            <w:noProof/>
            <w:webHidden/>
          </w:rPr>
        </w:r>
        <w:r w:rsidRPr="00924FFB">
          <w:rPr>
            <w:rFonts w:cs="Tahoma"/>
            <w:noProof/>
            <w:webHidden/>
          </w:rPr>
          <w:fldChar w:fldCharType="separate"/>
        </w:r>
        <w:r w:rsidRPr="00924FFB">
          <w:rPr>
            <w:rFonts w:cs="Tahoma"/>
            <w:noProof/>
            <w:webHidden/>
          </w:rPr>
          <w:t>4</w:t>
        </w:r>
        <w:r w:rsidRPr="00924FFB">
          <w:rPr>
            <w:rFonts w:cs="Tahoma"/>
            <w:noProof/>
            <w:webHidden/>
          </w:rPr>
          <w:fldChar w:fldCharType="end"/>
        </w:r>
      </w:hyperlink>
    </w:p>
    <w:p w14:paraId="4231C8D5" w14:textId="029BAB8A" w:rsidR="00924FFB" w:rsidRPr="00924FFB" w:rsidRDefault="00924FFB">
      <w:pPr>
        <w:pStyle w:val="14"/>
        <w:rPr>
          <w:rFonts w:eastAsiaTheme="minorEastAsia" w:cs="Tahoma"/>
          <w:b w:val="0"/>
          <w:bCs w:val="0"/>
          <w:caps w:val="0"/>
          <w:noProof/>
          <w:sz w:val="22"/>
          <w:szCs w:val="22"/>
        </w:rPr>
      </w:pPr>
      <w:hyperlink w:anchor="_Toc62143964" w:history="1">
        <w:r w:rsidRPr="00924FFB">
          <w:rPr>
            <w:rStyle w:val="a8"/>
            <w:rFonts w:cs="Tahoma"/>
            <w:noProof/>
            <w:lang w:val="en-US"/>
          </w:rPr>
          <w:t>3.</w:t>
        </w:r>
        <w:r w:rsidRPr="00924FFB">
          <w:rPr>
            <w:rFonts w:eastAsiaTheme="minorEastAsia" w:cs="Tahoma"/>
            <w:b w:val="0"/>
            <w:bCs w:val="0"/>
            <w:caps w:val="0"/>
            <w:noProof/>
            <w:sz w:val="22"/>
            <w:szCs w:val="22"/>
          </w:rPr>
          <w:tab/>
        </w:r>
        <w:r w:rsidRPr="00924FFB">
          <w:rPr>
            <w:rStyle w:val="a8"/>
            <w:rFonts w:cs="Tahoma"/>
            <w:noProof/>
            <w:lang w:val="en-US"/>
          </w:rPr>
          <w:t>Calculation rules and disclosure</w:t>
        </w:r>
        <w:r w:rsidRPr="00924FFB">
          <w:rPr>
            <w:rFonts w:cs="Tahoma"/>
            <w:noProof/>
            <w:webHidden/>
          </w:rPr>
          <w:tab/>
        </w:r>
        <w:r w:rsidRPr="00924FFB">
          <w:rPr>
            <w:rFonts w:cs="Tahoma"/>
            <w:noProof/>
            <w:webHidden/>
          </w:rPr>
          <w:fldChar w:fldCharType="begin"/>
        </w:r>
        <w:r w:rsidRPr="00924FFB">
          <w:rPr>
            <w:rFonts w:cs="Tahoma"/>
            <w:noProof/>
            <w:webHidden/>
          </w:rPr>
          <w:instrText xml:space="preserve"> PAGEREF _Toc62143964 \h </w:instrText>
        </w:r>
        <w:r w:rsidRPr="00924FFB">
          <w:rPr>
            <w:rFonts w:cs="Tahoma"/>
            <w:noProof/>
            <w:webHidden/>
          </w:rPr>
        </w:r>
        <w:r w:rsidRPr="00924FFB">
          <w:rPr>
            <w:rFonts w:cs="Tahoma"/>
            <w:noProof/>
            <w:webHidden/>
          </w:rPr>
          <w:fldChar w:fldCharType="separate"/>
        </w:r>
        <w:r w:rsidRPr="00924FFB">
          <w:rPr>
            <w:rFonts w:cs="Tahoma"/>
            <w:noProof/>
            <w:webHidden/>
          </w:rPr>
          <w:t>4</w:t>
        </w:r>
        <w:r w:rsidRPr="00924FFB">
          <w:rPr>
            <w:rFonts w:cs="Tahoma"/>
            <w:noProof/>
            <w:webHidden/>
          </w:rPr>
          <w:fldChar w:fldCharType="end"/>
        </w:r>
      </w:hyperlink>
    </w:p>
    <w:p w14:paraId="0AF26090" w14:textId="40E66168" w:rsidR="00924FFB" w:rsidRPr="00924FFB" w:rsidRDefault="00924FFB">
      <w:pPr>
        <w:pStyle w:val="23"/>
        <w:rPr>
          <w:rFonts w:eastAsiaTheme="minorEastAsia" w:cs="Tahoma"/>
          <w:noProof/>
          <w:sz w:val="22"/>
          <w:szCs w:val="22"/>
        </w:rPr>
      </w:pPr>
      <w:hyperlink w:anchor="_Toc62143965" w:history="1">
        <w:r w:rsidRPr="00924FFB">
          <w:rPr>
            <w:rStyle w:val="a8"/>
            <w:rFonts w:cs="Tahoma"/>
            <w:noProof/>
            <w:lang w:val="en-US"/>
          </w:rPr>
          <w:t>3.1.</w:t>
        </w:r>
        <w:r w:rsidRPr="00924FFB">
          <w:rPr>
            <w:rFonts w:eastAsiaTheme="minorEastAsia" w:cs="Tahoma"/>
            <w:noProof/>
            <w:sz w:val="22"/>
            <w:szCs w:val="22"/>
          </w:rPr>
          <w:tab/>
        </w:r>
        <w:r w:rsidRPr="00924FFB">
          <w:rPr>
            <w:rStyle w:val="a8"/>
            <w:rFonts w:cs="Tahoma"/>
            <w:noProof/>
            <w:lang w:val="en-US"/>
          </w:rPr>
          <w:t>Deb</w:t>
        </w:r>
        <w:r w:rsidRPr="00924FFB">
          <w:rPr>
            <w:rStyle w:val="a8"/>
            <w:rFonts w:cs="Tahoma"/>
            <w:noProof/>
            <w:lang w:val="en-US"/>
          </w:rPr>
          <w:t>t</w:t>
        </w:r>
        <w:r w:rsidRPr="00924FFB">
          <w:rPr>
            <w:rStyle w:val="a8"/>
            <w:rFonts w:cs="Tahoma"/>
            <w:noProof/>
            <w:lang w:val="en-US"/>
          </w:rPr>
          <w:t xml:space="preserve"> Market Benchmarks Committee</w:t>
        </w:r>
        <w:r w:rsidRPr="00924FFB">
          <w:rPr>
            <w:rFonts w:cs="Tahoma"/>
            <w:noProof/>
            <w:webHidden/>
          </w:rPr>
          <w:tab/>
        </w:r>
        <w:r w:rsidRPr="00924FFB">
          <w:rPr>
            <w:rFonts w:cs="Tahoma"/>
            <w:noProof/>
            <w:webHidden/>
          </w:rPr>
          <w:fldChar w:fldCharType="begin"/>
        </w:r>
        <w:r w:rsidRPr="00924FFB">
          <w:rPr>
            <w:rFonts w:cs="Tahoma"/>
            <w:noProof/>
            <w:webHidden/>
          </w:rPr>
          <w:instrText xml:space="preserve"> PAGEREF _Toc62143965 \h </w:instrText>
        </w:r>
        <w:r w:rsidRPr="00924FFB">
          <w:rPr>
            <w:rFonts w:cs="Tahoma"/>
            <w:noProof/>
            <w:webHidden/>
          </w:rPr>
        </w:r>
        <w:r w:rsidRPr="00924FFB">
          <w:rPr>
            <w:rFonts w:cs="Tahoma"/>
            <w:noProof/>
            <w:webHidden/>
          </w:rPr>
          <w:fldChar w:fldCharType="separate"/>
        </w:r>
        <w:r w:rsidRPr="00924FFB">
          <w:rPr>
            <w:rFonts w:cs="Tahoma"/>
            <w:noProof/>
            <w:webHidden/>
          </w:rPr>
          <w:t>4</w:t>
        </w:r>
        <w:r w:rsidRPr="00924FFB">
          <w:rPr>
            <w:rFonts w:cs="Tahoma"/>
            <w:noProof/>
            <w:webHidden/>
          </w:rPr>
          <w:fldChar w:fldCharType="end"/>
        </w:r>
      </w:hyperlink>
    </w:p>
    <w:p w14:paraId="0F6F1BE1" w14:textId="173B6B18" w:rsidR="00924FFB" w:rsidRPr="00924FFB" w:rsidRDefault="00924FFB">
      <w:pPr>
        <w:pStyle w:val="23"/>
        <w:rPr>
          <w:rFonts w:eastAsiaTheme="minorEastAsia" w:cs="Tahoma"/>
          <w:noProof/>
          <w:sz w:val="22"/>
          <w:szCs w:val="22"/>
        </w:rPr>
      </w:pPr>
      <w:hyperlink w:anchor="_Toc62143966" w:history="1">
        <w:r w:rsidRPr="00924FFB">
          <w:rPr>
            <w:rStyle w:val="a8"/>
            <w:rFonts w:cs="Tahoma"/>
            <w:noProof/>
            <w:lang w:val="en-US"/>
          </w:rPr>
          <w:t>3.2.</w:t>
        </w:r>
        <w:r w:rsidRPr="00924FFB">
          <w:rPr>
            <w:rFonts w:eastAsiaTheme="minorEastAsia" w:cs="Tahoma"/>
            <w:noProof/>
            <w:sz w:val="22"/>
            <w:szCs w:val="22"/>
          </w:rPr>
          <w:tab/>
        </w:r>
        <w:r w:rsidRPr="00924FFB">
          <w:rPr>
            <w:rStyle w:val="a8"/>
            <w:rFonts w:cs="Tahoma"/>
            <w:noProof/>
            <w:lang w:val="en-US"/>
          </w:rPr>
          <w:t>Calculation schedule</w:t>
        </w:r>
        <w:r w:rsidRPr="00924FFB">
          <w:rPr>
            <w:rFonts w:cs="Tahoma"/>
            <w:noProof/>
            <w:webHidden/>
          </w:rPr>
          <w:tab/>
        </w:r>
        <w:r w:rsidRPr="00924FFB">
          <w:rPr>
            <w:rFonts w:cs="Tahoma"/>
            <w:noProof/>
            <w:webHidden/>
          </w:rPr>
          <w:fldChar w:fldCharType="begin"/>
        </w:r>
        <w:r w:rsidRPr="00924FFB">
          <w:rPr>
            <w:rFonts w:cs="Tahoma"/>
            <w:noProof/>
            <w:webHidden/>
          </w:rPr>
          <w:instrText xml:space="preserve"> PAGEREF _Toc62143966 \h </w:instrText>
        </w:r>
        <w:r w:rsidRPr="00924FFB">
          <w:rPr>
            <w:rFonts w:cs="Tahoma"/>
            <w:noProof/>
            <w:webHidden/>
          </w:rPr>
        </w:r>
        <w:r w:rsidRPr="00924FFB">
          <w:rPr>
            <w:rFonts w:cs="Tahoma"/>
            <w:noProof/>
            <w:webHidden/>
          </w:rPr>
          <w:fldChar w:fldCharType="separate"/>
        </w:r>
        <w:r w:rsidRPr="00924FFB">
          <w:rPr>
            <w:rFonts w:cs="Tahoma"/>
            <w:noProof/>
            <w:webHidden/>
          </w:rPr>
          <w:t>5</w:t>
        </w:r>
        <w:r w:rsidRPr="00924FFB">
          <w:rPr>
            <w:rFonts w:cs="Tahoma"/>
            <w:noProof/>
            <w:webHidden/>
          </w:rPr>
          <w:fldChar w:fldCharType="end"/>
        </w:r>
      </w:hyperlink>
    </w:p>
    <w:p w14:paraId="348D369E" w14:textId="487DFA9E" w:rsidR="00924FFB" w:rsidRPr="00924FFB" w:rsidRDefault="00924FFB">
      <w:pPr>
        <w:pStyle w:val="23"/>
        <w:rPr>
          <w:rFonts w:eastAsiaTheme="minorEastAsia" w:cs="Tahoma"/>
          <w:noProof/>
          <w:sz w:val="22"/>
          <w:szCs w:val="22"/>
        </w:rPr>
      </w:pPr>
      <w:hyperlink w:anchor="_Toc62143967" w:history="1">
        <w:r w:rsidRPr="00924FFB">
          <w:rPr>
            <w:rStyle w:val="a8"/>
            <w:rFonts w:cs="Tahoma"/>
            <w:noProof/>
            <w:lang w:val="en-US"/>
          </w:rPr>
          <w:t>3.3.</w:t>
        </w:r>
        <w:r w:rsidRPr="00924FFB">
          <w:rPr>
            <w:rFonts w:eastAsiaTheme="minorEastAsia" w:cs="Tahoma"/>
            <w:noProof/>
            <w:sz w:val="22"/>
            <w:szCs w:val="22"/>
          </w:rPr>
          <w:tab/>
        </w:r>
        <w:r w:rsidRPr="00924FFB">
          <w:rPr>
            <w:rStyle w:val="a8"/>
            <w:rFonts w:cs="Tahoma"/>
            <w:noProof/>
            <w:lang w:val="en-US"/>
          </w:rPr>
          <w:t>Control over the calculation of the Indices</w:t>
        </w:r>
        <w:r w:rsidRPr="00924FFB">
          <w:rPr>
            <w:rFonts w:cs="Tahoma"/>
            <w:noProof/>
            <w:webHidden/>
          </w:rPr>
          <w:tab/>
        </w:r>
        <w:r w:rsidRPr="00924FFB">
          <w:rPr>
            <w:rFonts w:cs="Tahoma"/>
            <w:noProof/>
            <w:webHidden/>
          </w:rPr>
          <w:fldChar w:fldCharType="begin"/>
        </w:r>
        <w:r w:rsidRPr="00924FFB">
          <w:rPr>
            <w:rFonts w:cs="Tahoma"/>
            <w:noProof/>
            <w:webHidden/>
          </w:rPr>
          <w:instrText xml:space="preserve"> PAGEREF _Toc62143967 \h </w:instrText>
        </w:r>
        <w:r w:rsidRPr="00924FFB">
          <w:rPr>
            <w:rFonts w:cs="Tahoma"/>
            <w:noProof/>
            <w:webHidden/>
          </w:rPr>
        </w:r>
        <w:r w:rsidRPr="00924FFB">
          <w:rPr>
            <w:rFonts w:cs="Tahoma"/>
            <w:noProof/>
            <w:webHidden/>
          </w:rPr>
          <w:fldChar w:fldCharType="separate"/>
        </w:r>
        <w:r w:rsidRPr="00924FFB">
          <w:rPr>
            <w:rFonts w:cs="Tahoma"/>
            <w:noProof/>
            <w:webHidden/>
          </w:rPr>
          <w:t>5</w:t>
        </w:r>
        <w:r w:rsidRPr="00924FFB">
          <w:rPr>
            <w:rFonts w:cs="Tahoma"/>
            <w:noProof/>
            <w:webHidden/>
          </w:rPr>
          <w:fldChar w:fldCharType="end"/>
        </w:r>
      </w:hyperlink>
    </w:p>
    <w:p w14:paraId="287527DD" w14:textId="627C15F6" w:rsidR="00924FFB" w:rsidRPr="00924FFB" w:rsidRDefault="00924FFB">
      <w:pPr>
        <w:pStyle w:val="23"/>
        <w:rPr>
          <w:rFonts w:eastAsiaTheme="minorEastAsia" w:cs="Tahoma"/>
          <w:noProof/>
          <w:sz w:val="22"/>
          <w:szCs w:val="22"/>
        </w:rPr>
      </w:pPr>
      <w:hyperlink w:anchor="_Toc62143968" w:history="1">
        <w:r w:rsidRPr="00924FFB">
          <w:rPr>
            <w:rStyle w:val="a8"/>
            <w:rFonts w:cs="Tahoma"/>
            <w:noProof/>
            <w:lang w:val="en-US"/>
          </w:rPr>
          <w:t>3.4.</w:t>
        </w:r>
        <w:r w:rsidRPr="00924FFB">
          <w:rPr>
            <w:rFonts w:eastAsiaTheme="minorEastAsia" w:cs="Tahoma"/>
            <w:noProof/>
            <w:sz w:val="22"/>
            <w:szCs w:val="22"/>
          </w:rPr>
          <w:tab/>
        </w:r>
        <w:r w:rsidRPr="00924FFB">
          <w:rPr>
            <w:rStyle w:val="a8"/>
            <w:rFonts w:cs="Tahoma"/>
            <w:noProof/>
            <w:lang w:val="en-US"/>
          </w:rPr>
          <w:t>Disclosure</w:t>
        </w:r>
        <w:r w:rsidRPr="00924FFB">
          <w:rPr>
            <w:rFonts w:cs="Tahoma"/>
            <w:noProof/>
            <w:webHidden/>
          </w:rPr>
          <w:tab/>
        </w:r>
        <w:r w:rsidRPr="00924FFB">
          <w:rPr>
            <w:rFonts w:cs="Tahoma"/>
            <w:noProof/>
            <w:webHidden/>
          </w:rPr>
          <w:fldChar w:fldCharType="begin"/>
        </w:r>
        <w:r w:rsidRPr="00924FFB">
          <w:rPr>
            <w:rFonts w:cs="Tahoma"/>
            <w:noProof/>
            <w:webHidden/>
          </w:rPr>
          <w:instrText xml:space="preserve"> PAGEREF _Toc62143968 \h </w:instrText>
        </w:r>
        <w:r w:rsidRPr="00924FFB">
          <w:rPr>
            <w:rFonts w:cs="Tahoma"/>
            <w:noProof/>
            <w:webHidden/>
          </w:rPr>
        </w:r>
        <w:r w:rsidRPr="00924FFB">
          <w:rPr>
            <w:rFonts w:cs="Tahoma"/>
            <w:noProof/>
            <w:webHidden/>
          </w:rPr>
          <w:fldChar w:fldCharType="separate"/>
        </w:r>
        <w:r w:rsidRPr="00924FFB">
          <w:rPr>
            <w:rFonts w:cs="Tahoma"/>
            <w:noProof/>
            <w:webHidden/>
          </w:rPr>
          <w:t>5</w:t>
        </w:r>
        <w:r w:rsidRPr="00924FFB">
          <w:rPr>
            <w:rFonts w:cs="Tahoma"/>
            <w:noProof/>
            <w:webHidden/>
          </w:rPr>
          <w:fldChar w:fldCharType="end"/>
        </w:r>
      </w:hyperlink>
    </w:p>
    <w:p w14:paraId="3187024F" w14:textId="17BB0434" w:rsidR="00924FFB" w:rsidRPr="00924FFB" w:rsidRDefault="00924FFB">
      <w:pPr>
        <w:pStyle w:val="23"/>
        <w:rPr>
          <w:rFonts w:eastAsiaTheme="minorEastAsia" w:cs="Tahoma"/>
          <w:noProof/>
          <w:sz w:val="22"/>
          <w:szCs w:val="22"/>
        </w:rPr>
      </w:pPr>
      <w:hyperlink w:anchor="_Toc62143969" w:history="1">
        <w:r w:rsidRPr="00924FFB">
          <w:rPr>
            <w:rStyle w:val="a8"/>
            <w:rFonts w:cs="Tahoma"/>
            <w:noProof/>
            <w:lang w:val="en-US"/>
          </w:rPr>
          <w:t>3.5.</w:t>
        </w:r>
        <w:r w:rsidRPr="00924FFB">
          <w:rPr>
            <w:rFonts w:eastAsiaTheme="minorEastAsia" w:cs="Tahoma"/>
            <w:noProof/>
            <w:sz w:val="22"/>
            <w:szCs w:val="22"/>
          </w:rPr>
          <w:tab/>
        </w:r>
        <w:r w:rsidRPr="00924FFB">
          <w:rPr>
            <w:rStyle w:val="a8"/>
            <w:rFonts w:cs="Tahoma"/>
            <w:noProof/>
            <w:lang w:val="en-US"/>
          </w:rPr>
          <w:t>Transition provision</w:t>
        </w:r>
        <w:r w:rsidRPr="00924FFB">
          <w:rPr>
            <w:rFonts w:cs="Tahoma"/>
            <w:noProof/>
            <w:webHidden/>
          </w:rPr>
          <w:tab/>
        </w:r>
        <w:r w:rsidRPr="00924FFB">
          <w:rPr>
            <w:rFonts w:cs="Tahoma"/>
            <w:noProof/>
            <w:webHidden/>
          </w:rPr>
          <w:fldChar w:fldCharType="begin"/>
        </w:r>
        <w:r w:rsidRPr="00924FFB">
          <w:rPr>
            <w:rFonts w:cs="Tahoma"/>
            <w:noProof/>
            <w:webHidden/>
          </w:rPr>
          <w:instrText xml:space="preserve"> PAGEREF _Toc62143969 \h </w:instrText>
        </w:r>
        <w:r w:rsidRPr="00924FFB">
          <w:rPr>
            <w:rFonts w:cs="Tahoma"/>
            <w:noProof/>
            <w:webHidden/>
          </w:rPr>
        </w:r>
        <w:r w:rsidRPr="00924FFB">
          <w:rPr>
            <w:rFonts w:cs="Tahoma"/>
            <w:noProof/>
            <w:webHidden/>
          </w:rPr>
          <w:fldChar w:fldCharType="separate"/>
        </w:r>
        <w:r w:rsidRPr="00924FFB">
          <w:rPr>
            <w:rFonts w:cs="Tahoma"/>
            <w:noProof/>
            <w:webHidden/>
          </w:rPr>
          <w:t>5</w:t>
        </w:r>
        <w:r w:rsidRPr="00924FFB">
          <w:rPr>
            <w:rFonts w:cs="Tahoma"/>
            <w:noProof/>
            <w:webHidden/>
          </w:rPr>
          <w:fldChar w:fldCharType="end"/>
        </w:r>
      </w:hyperlink>
    </w:p>
    <w:p w14:paraId="23704CF2" w14:textId="6850CBBC" w:rsidR="00924FFB" w:rsidRPr="00924FFB" w:rsidRDefault="00924FFB">
      <w:pPr>
        <w:pStyle w:val="14"/>
        <w:rPr>
          <w:rFonts w:eastAsiaTheme="minorEastAsia" w:cs="Tahoma"/>
          <w:b w:val="0"/>
          <w:bCs w:val="0"/>
          <w:caps w:val="0"/>
          <w:noProof/>
          <w:sz w:val="22"/>
          <w:szCs w:val="22"/>
        </w:rPr>
      </w:pPr>
      <w:hyperlink w:anchor="_Toc62143970" w:history="1">
        <w:r w:rsidRPr="00924FFB">
          <w:rPr>
            <w:rStyle w:val="a8"/>
            <w:rFonts w:cs="Tahoma"/>
            <w:noProof/>
            <w:lang w:val="en-US"/>
          </w:rPr>
          <w:t>Appendix 1</w:t>
        </w:r>
        <w:r w:rsidRPr="00924FFB">
          <w:rPr>
            <w:rFonts w:cs="Tahoma"/>
            <w:noProof/>
            <w:webHidden/>
          </w:rPr>
          <w:tab/>
        </w:r>
        <w:r w:rsidRPr="00924FFB">
          <w:rPr>
            <w:rFonts w:cs="Tahoma"/>
            <w:noProof/>
            <w:webHidden/>
          </w:rPr>
          <w:fldChar w:fldCharType="begin"/>
        </w:r>
        <w:r w:rsidRPr="00924FFB">
          <w:rPr>
            <w:rFonts w:cs="Tahoma"/>
            <w:noProof/>
            <w:webHidden/>
          </w:rPr>
          <w:instrText xml:space="preserve"> PAGEREF _Toc62143970 \h </w:instrText>
        </w:r>
        <w:r w:rsidRPr="00924FFB">
          <w:rPr>
            <w:rFonts w:cs="Tahoma"/>
            <w:noProof/>
            <w:webHidden/>
          </w:rPr>
        </w:r>
        <w:r w:rsidRPr="00924FFB">
          <w:rPr>
            <w:rFonts w:cs="Tahoma"/>
            <w:noProof/>
            <w:webHidden/>
          </w:rPr>
          <w:fldChar w:fldCharType="separate"/>
        </w:r>
        <w:r w:rsidRPr="00924FFB">
          <w:rPr>
            <w:rFonts w:cs="Tahoma"/>
            <w:noProof/>
            <w:webHidden/>
          </w:rPr>
          <w:t>6</w:t>
        </w:r>
        <w:r w:rsidRPr="00924FFB">
          <w:rPr>
            <w:rFonts w:cs="Tahoma"/>
            <w:noProof/>
            <w:webHidden/>
          </w:rPr>
          <w:fldChar w:fldCharType="end"/>
        </w:r>
      </w:hyperlink>
    </w:p>
    <w:p w14:paraId="264494E4" w14:textId="52673E47" w:rsidR="00924FFB" w:rsidRPr="00924FFB" w:rsidRDefault="00924FFB">
      <w:pPr>
        <w:pStyle w:val="14"/>
        <w:rPr>
          <w:rFonts w:eastAsiaTheme="minorEastAsia" w:cs="Tahoma"/>
          <w:b w:val="0"/>
          <w:bCs w:val="0"/>
          <w:caps w:val="0"/>
          <w:noProof/>
          <w:sz w:val="22"/>
          <w:szCs w:val="22"/>
        </w:rPr>
      </w:pPr>
      <w:hyperlink w:anchor="_Toc62143971" w:history="1">
        <w:r w:rsidRPr="00924FFB">
          <w:rPr>
            <w:rStyle w:val="a8"/>
            <w:rFonts w:cs="Tahoma"/>
            <w:noProof/>
            <w:lang w:val="en-US"/>
          </w:rPr>
          <w:t xml:space="preserve">Appendix </w:t>
        </w:r>
        <w:r w:rsidRPr="00924FFB">
          <w:rPr>
            <w:rStyle w:val="a8"/>
            <w:rFonts w:cs="Tahoma"/>
            <w:noProof/>
          </w:rPr>
          <w:t>2</w:t>
        </w:r>
        <w:r w:rsidRPr="00924FFB">
          <w:rPr>
            <w:rFonts w:cs="Tahoma"/>
            <w:noProof/>
            <w:webHidden/>
          </w:rPr>
          <w:tab/>
        </w:r>
        <w:r w:rsidRPr="00924FFB">
          <w:rPr>
            <w:rFonts w:cs="Tahoma"/>
            <w:noProof/>
            <w:webHidden/>
          </w:rPr>
          <w:fldChar w:fldCharType="begin"/>
        </w:r>
        <w:r w:rsidRPr="00924FFB">
          <w:rPr>
            <w:rFonts w:cs="Tahoma"/>
            <w:noProof/>
            <w:webHidden/>
          </w:rPr>
          <w:instrText xml:space="preserve"> PAGEREF _Toc62143971 \h </w:instrText>
        </w:r>
        <w:r w:rsidRPr="00924FFB">
          <w:rPr>
            <w:rFonts w:cs="Tahoma"/>
            <w:noProof/>
            <w:webHidden/>
          </w:rPr>
        </w:r>
        <w:r w:rsidRPr="00924FFB">
          <w:rPr>
            <w:rFonts w:cs="Tahoma"/>
            <w:noProof/>
            <w:webHidden/>
          </w:rPr>
          <w:fldChar w:fldCharType="separate"/>
        </w:r>
        <w:r w:rsidRPr="00924FFB">
          <w:rPr>
            <w:rFonts w:cs="Tahoma"/>
            <w:noProof/>
            <w:webHidden/>
          </w:rPr>
          <w:t>7</w:t>
        </w:r>
        <w:r w:rsidRPr="00924FFB">
          <w:rPr>
            <w:rFonts w:cs="Tahoma"/>
            <w:noProof/>
            <w:webHidden/>
          </w:rPr>
          <w:fldChar w:fldCharType="end"/>
        </w:r>
      </w:hyperlink>
    </w:p>
    <w:p w14:paraId="3010B26A" w14:textId="53A1EA5A" w:rsidR="00924FFB" w:rsidRPr="00924FFB" w:rsidRDefault="00924FFB">
      <w:pPr>
        <w:pStyle w:val="14"/>
        <w:rPr>
          <w:rFonts w:eastAsiaTheme="minorEastAsia" w:cs="Tahoma"/>
          <w:b w:val="0"/>
          <w:bCs w:val="0"/>
          <w:caps w:val="0"/>
          <w:noProof/>
          <w:sz w:val="22"/>
          <w:szCs w:val="22"/>
        </w:rPr>
      </w:pPr>
      <w:hyperlink w:anchor="_Toc62143972" w:history="1">
        <w:r w:rsidRPr="00924FFB">
          <w:rPr>
            <w:rStyle w:val="a8"/>
            <w:rFonts w:cs="Tahoma"/>
            <w:noProof/>
            <w:lang w:val="en-US"/>
          </w:rPr>
          <w:t>Appendix</w:t>
        </w:r>
        <w:r w:rsidRPr="00924FFB">
          <w:rPr>
            <w:rStyle w:val="a8"/>
            <w:rFonts w:cs="Tahoma"/>
            <w:noProof/>
          </w:rPr>
          <w:t xml:space="preserve"> 3</w:t>
        </w:r>
        <w:r w:rsidRPr="00924FFB">
          <w:rPr>
            <w:rFonts w:cs="Tahoma"/>
            <w:noProof/>
            <w:webHidden/>
          </w:rPr>
          <w:tab/>
        </w:r>
        <w:r w:rsidRPr="00924FFB">
          <w:rPr>
            <w:rFonts w:cs="Tahoma"/>
            <w:noProof/>
            <w:webHidden/>
          </w:rPr>
          <w:fldChar w:fldCharType="begin"/>
        </w:r>
        <w:r w:rsidRPr="00924FFB">
          <w:rPr>
            <w:rFonts w:cs="Tahoma"/>
            <w:noProof/>
            <w:webHidden/>
          </w:rPr>
          <w:instrText xml:space="preserve"> PAGEREF _Toc62143972 \h </w:instrText>
        </w:r>
        <w:r w:rsidRPr="00924FFB">
          <w:rPr>
            <w:rFonts w:cs="Tahoma"/>
            <w:noProof/>
            <w:webHidden/>
          </w:rPr>
        </w:r>
        <w:r w:rsidRPr="00924FFB">
          <w:rPr>
            <w:rFonts w:cs="Tahoma"/>
            <w:noProof/>
            <w:webHidden/>
          </w:rPr>
          <w:fldChar w:fldCharType="separate"/>
        </w:r>
        <w:r w:rsidRPr="00924FFB">
          <w:rPr>
            <w:rFonts w:cs="Tahoma"/>
            <w:noProof/>
            <w:webHidden/>
          </w:rPr>
          <w:t>10</w:t>
        </w:r>
        <w:r w:rsidRPr="00924FFB">
          <w:rPr>
            <w:rFonts w:cs="Tahoma"/>
            <w:noProof/>
            <w:webHidden/>
          </w:rPr>
          <w:fldChar w:fldCharType="end"/>
        </w:r>
      </w:hyperlink>
    </w:p>
    <w:p w14:paraId="3DEF2CE1" w14:textId="0B996035" w:rsidR="00047157" w:rsidRPr="00924FFB" w:rsidRDefault="00047157" w:rsidP="00047157">
      <w:pPr>
        <w:rPr>
          <w:rFonts w:cs="Tahoma"/>
        </w:rPr>
      </w:pPr>
      <w:r w:rsidRPr="00924FFB">
        <w:rPr>
          <w:rFonts w:cs="Tahoma"/>
        </w:rPr>
        <w:fldChar w:fldCharType="end"/>
      </w:r>
    </w:p>
    <w:p w14:paraId="1B997F6B" w14:textId="77777777" w:rsidR="00A916CD" w:rsidRPr="00924FFB" w:rsidRDefault="00A916CD" w:rsidP="00A916CD">
      <w:pPr>
        <w:rPr>
          <w:rFonts w:cs="Tahoma"/>
        </w:rPr>
      </w:pPr>
    </w:p>
    <w:p w14:paraId="5EAA5601" w14:textId="77777777" w:rsidR="003818A9" w:rsidRPr="00924FFB" w:rsidRDefault="00DC523B" w:rsidP="00CD157D">
      <w:pPr>
        <w:pStyle w:val="10"/>
        <w:rPr>
          <w:rFonts w:cs="Tahoma"/>
        </w:rPr>
      </w:pPr>
      <w:r w:rsidRPr="00924FFB">
        <w:rPr>
          <w:rFonts w:cs="Tahoma"/>
        </w:rPr>
        <w:br w:type="page"/>
      </w:r>
    </w:p>
    <w:p w14:paraId="7FA6BFE7" w14:textId="77777777" w:rsidR="006F2C74" w:rsidRPr="00924FFB" w:rsidRDefault="006F2C74" w:rsidP="008B081E">
      <w:pPr>
        <w:pStyle w:val="10"/>
        <w:numPr>
          <w:ilvl w:val="0"/>
          <w:numId w:val="13"/>
        </w:numPr>
        <w:rPr>
          <w:rFonts w:cs="Tahoma"/>
        </w:rPr>
      </w:pPr>
      <w:bookmarkStart w:id="0" w:name="_Toc62143957"/>
      <w:r w:rsidRPr="00924FFB">
        <w:rPr>
          <w:rFonts w:cs="Tahoma"/>
          <w:lang w:val="en-US"/>
        </w:rPr>
        <w:lastRenderedPageBreak/>
        <w:t>Introduction</w:t>
      </w:r>
      <w:bookmarkEnd w:id="0"/>
      <w:r w:rsidRPr="00924FFB">
        <w:rPr>
          <w:rFonts w:cs="Tahoma"/>
          <w:lang w:val="en-US"/>
        </w:rPr>
        <w:t xml:space="preserve"> </w:t>
      </w:r>
    </w:p>
    <w:p w14:paraId="3B1D0697" w14:textId="77777777" w:rsidR="006F2C74" w:rsidRPr="00924FFB" w:rsidRDefault="006F2C74" w:rsidP="006F2C74">
      <w:pPr>
        <w:pStyle w:val="a"/>
        <w:rPr>
          <w:rFonts w:cs="Tahoma"/>
        </w:rPr>
      </w:pPr>
      <w:bookmarkStart w:id="1" w:name="_Toc62143958"/>
      <w:r w:rsidRPr="00924FFB">
        <w:rPr>
          <w:rFonts w:cs="Tahoma"/>
          <w:lang w:val="en-US"/>
        </w:rPr>
        <w:t>Terms and definitions</w:t>
      </w:r>
      <w:bookmarkEnd w:id="1"/>
      <w:r w:rsidRPr="00924FFB">
        <w:rPr>
          <w:rFonts w:cs="Tahoma"/>
          <w:lang w:val="en-US"/>
        </w:rPr>
        <w:t xml:space="preserve"> </w:t>
      </w:r>
    </w:p>
    <w:p w14:paraId="6392AA7E" w14:textId="77777777" w:rsidR="006F2C74" w:rsidRPr="00924FFB" w:rsidRDefault="006F2C74" w:rsidP="006F2C74">
      <w:pPr>
        <w:pStyle w:val="30"/>
        <w:numPr>
          <w:ilvl w:val="0"/>
          <w:numId w:val="0"/>
        </w:numPr>
        <w:ind w:left="426"/>
        <w:rPr>
          <w:rStyle w:val="af7"/>
          <w:rFonts w:ascii="Tahoma" w:hAnsi="Tahoma" w:cs="Tahoma"/>
          <w:szCs w:val="24"/>
          <w:lang w:val="en-US"/>
        </w:rPr>
      </w:pPr>
      <w:r w:rsidRPr="00924FFB">
        <w:rPr>
          <w:rStyle w:val="af7"/>
          <w:rFonts w:ascii="Tahoma" w:hAnsi="Tahoma" w:cs="Tahoma"/>
          <w:szCs w:val="24"/>
          <w:lang w:val="en-US"/>
        </w:rPr>
        <w:t xml:space="preserve">For the purposes of this Methodology for the calculation of Pension Assets Indices by Public Joint Stock Company Moscow Exchange MICEX-RTS (the “Methodology”), the following terms and definitions apply:   </w:t>
      </w:r>
    </w:p>
    <w:p w14:paraId="0CA3833C" w14:textId="56B9CA0A" w:rsidR="006F2C74" w:rsidRPr="00924FFB" w:rsidRDefault="00C83308" w:rsidP="006F2C74">
      <w:pPr>
        <w:pStyle w:val="11"/>
        <w:rPr>
          <w:rStyle w:val="af7"/>
          <w:rFonts w:ascii="Tahoma" w:hAnsi="Tahoma" w:cs="Tahoma"/>
          <w:lang w:val="en-US"/>
        </w:rPr>
      </w:pPr>
      <w:r w:rsidRPr="00924FFB">
        <w:rPr>
          <w:rStyle w:val="af7"/>
          <w:rFonts w:ascii="Tahoma" w:hAnsi="Tahoma" w:cs="Tahoma"/>
          <w:u w:val="single"/>
          <w:lang w:val="en-US"/>
        </w:rPr>
        <w:t xml:space="preserve">Index </w:t>
      </w:r>
      <w:r w:rsidR="006F2C74" w:rsidRPr="00924FFB">
        <w:rPr>
          <w:rStyle w:val="af7"/>
          <w:rFonts w:ascii="Tahoma" w:hAnsi="Tahoma" w:cs="Tahoma"/>
          <w:u w:val="single"/>
          <w:lang w:val="en-US"/>
        </w:rPr>
        <w:t>Constituents</w:t>
      </w:r>
      <w:r w:rsidR="006F2C74" w:rsidRPr="00924FFB">
        <w:rPr>
          <w:rStyle w:val="af7"/>
          <w:rFonts w:ascii="Tahoma" w:hAnsi="Tahoma" w:cs="Tahoma"/>
          <w:lang w:val="en-US"/>
        </w:rPr>
        <w:t xml:space="preserve"> – the list of securities used to calculate the Sub index. </w:t>
      </w:r>
    </w:p>
    <w:p w14:paraId="77EE5801" w14:textId="77777777" w:rsidR="006F2C74" w:rsidRPr="00924FFB" w:rsidRDefault="006F2C74" w:rsidP="006F2C74">
      <w:pPr>
        <w:pStyle w:val="11"/>
        <w:rPr>
          <w:rStyle w:val="af7"/>
          <w:rFonts w:ascii="Tahoma" w:hAnsi="Tahoma" w:cs="Tahoma"/>
          <w:lang w:val="en-US"/>
        </w:rPr>
      </w:pPr>
      <w:r w:rsidRPr="00924FFB">
        <w:rPr>
          <w:rStyle w:val="af7"/>
          <w:rFonts w:ascii="Tahoma" w:hAnsi="Tahoma" w:cs="Tahoma"/>
          <w:u w:val="single"/>
          <w:lang w:val="en-US"/>
        </w:rPr>
        <w:t>The Exchange, Moscow Exchange</w:t>
      </w:r>
      <w:r w:rsidRPr="00924FFB">
        <w:rPr>
          <w:rStyle w:val="af7"/>
          <w:rFonts w:ascii="Tahoma" w:hAnsi="Tahoma" w:cs="Tahoma"/>
          <w:lang w:val="en-US"/>
        </w:rPr>
        <w:t xml:space="preserve"> – Public Joint Stock Company Moscow Exchange MICEX-RTS.</w:t>
      </w:r>
    </w:p>
    <w:p w14:paraId="0DB31BF2" w14:textId="2DD8E022" w:rsidR="006F2C74" w:rsidRPr="00924FFB" w:rsidRDefault="006F2C74" w:rsidP="006F2C74">
      <w:pPr>
        <w:pStyle w:val="11"/>
        <w:rPr>
          <w:rStyle w:val="af7"/>
          <w:rFonts w:ascii="Tahoma" w:hAnsi="Tahoma" w:cs="Tahoma"/>
          <w:lang w:val="en-US"/>
        </w:rPr>
      </w:pPr>
      <w:r w:rsidRPr="00924FFB">
        <w:rPr>
          <w:rStyle w:val="af7"/>
          <w:rFonts w:ascii="Tahoma" w:hAnsi="Tahoma" w:cs="Tahoma"/>
          <w:u w:val="single"/>
          <w:lang w:val="en-US"/>
        </w:rPr>
        <w:t>The MOEX Pension Index, Index</w:t>
      </w:r>
      <w:r w:rsidRPr="00924FFB">
        <w:rPr>
          <w:rStyle w:val="af7"/>
          <w:rFonts w:ascii="Tahoma" w:hAnsi="Tahoma" w:cs="Tahoma"/>
          <w:lang w:val="en-US"/>
        </w:rPr>
        <w:t xml:space="preserve"> – the securities index </w:t>
      </w:r>
      <w:r w:rsidR="00362465" w:rsidRPr="00924FFB">
        <w:rPr>
          <w:rStyle w:val="af7"/>
          <w:rFonts w:ascii="Tahoma" w:hAnsi="Tahoma" w:cs="Tahoma"/>
          <w:lang w:val="en-US"/>
        </w:rPr>
        <w:t>calculated based on the Sub-indices</w:t>
      </w:r>
      <w:r w:rsidR="00276E13" w:rsidRPr="00924FFB">
        <w:rPr>
          <w:rStyle w:val="af7"/>
          <w:rFonts w:ascii="Tahoma" w:hAnsi="Tahoma" w:cs="Tahoma"/>
          <w:lang w:val="en-US"/>
        </w:rPr>
        <w:t xml:space="preserve"> </w:t>
      </w:r>
      <w:r w:rsidR="00362465" w:rsidRPr="00924FFB">
        <w:rPr>
          <w:rStyle w:val="af7"/>
          <w:rFonts w:ascii="Tahoma" w:hAnsi="Tahoma" w:cs="Tahoma"/>
          <w:lang w:val="en-US"/>
        </w:rPr>
        <w:t xml:space="preserve">that </w:t>
      </w:r>
      <w:r w:rsidR="00276E13" w:rsidRPr="00924FFB">
        <w:rPr>
          <w:rStyle w:val="af7"/>
          <w:rFonts w:ascii="Tahoma" w:hAnsi="Tahoma" w:cs="Tahoma"/>
          <w:lang w:val="en-US"/>
        </w:rPr>
        <w:t xml:space="preserve">can be used </w:t>
      </w:r>
      <w:r w:rsidRPr="00924FFB">
        <w:rPr>
          <w:rStyle w:val="af7"/>
          <w:rFonts w:ascii="Tahoma" w:hAnsi="Tahoma" w:cs="Tahoma"/>
          <w:lang w:val="en-US"/>
        </w:rPr>
        <w:t>as an investment vehicle</w:t>
      </w:r>
      <w:r w:rsidR="00362465" w:rsidRPr="00924FFB">
        <w:rPr>
          <w:rStyle w:val="af7"/>
          <w:rFonts w:ascii="Tahoma" w:hAnsi="Tahoma" w:cs="Tahoma"/>
          <w:lang w:val="en-US"/>
        </w:rPr>
        <w:t xml:space="preserve"> for pension savings. </w:t>
      </w:r>
    </w:p>
    <w:p w14:paraId="7103B204" w14:textId="57DF98BE" w:rsidR="00AB2EB2" w:rsidRPr="00924FFB" w:rsidRDefault="00872D1F" w:rsidP="00606D6E">
      <w:pPr>
        <w:pStyle w:val="11"/>
        <w:rPr>
          <w:rStyle w:val="af7"/>
          <w:rFonts w:ascii="Tahoma" w:hAnsi="Tahoma" w:cs="Tahoma"/>
          <w:lang w:val="en-US"/>
        </w:rPr>
      </w:pPr>
      <w:r w:rsidRPr="00924FFB">
        <w:rPr>
          <w:rFonts w:cs="Tahoma"/>
          <w:u w:val="single"/>
          <w:lang w:val="en-US"/>
        </w:rPr>
        <w:t>Debt Market Benchmarks Committee</w:t>
      </w:r>
      <w:r w:rsidR="002C4736" w:rsidRPr="00924FFB">
        <w:rPr>
          <w:rFonts w:cs="Tahoma"/>
          <w:lang w:val="en-US"/>
        </w:rPr>
        <w:t xml:space="preserve"> </w:t>
      </w:r>
      <w:r w:rsidR="00690175" w:rsidRPr="00924FFB">
        <w:rPr>
          <w:rFonts w:cs="Tahoma"/>
          <w:lang w:val="en-US"/>
        </w:rPr>
        <w:t>–</w:t>
      </w:r>
      <w:r w:rsidR="002C4736" w:rsidRPr="00924FFB">
        <w:rPr>
          <w:rFonts w:cs="Tahoma"/>
          <w:lang w:val="en-US"/>
        </w:rPr>
        <w:t xml:space="preserve"> </w:t>
      </w:r>
      <w:r w:rsidR="00606D6E" w:rsidRPr="00924FFB">
        <w:rPr>
          <w:rFonts w:cs="Tahoma"/>
          <w:lang w:val="en-US"/>
        </w:rPr>
        <w:t xml:space="preserve">the permanent consultative body of the Exchange. </w:t>
      </w:r>
    </w:p>
    <w:p w14:paraId="745645EB" w14:textId="1EEB4381" w:rsidR="00606D6E" w:rsidRPr="00924FFB" w:rsidRDefault="00606D6E" w:rsidP="00A82E8B">
      <w:pPr>
        <w:pStyle w:val="11"/>
        <w:rPr>
          <w:rStyle w:val="af7"/>
          <w:rFonts w:ascii="Tahoma" w:hAnsi="Tahoma" w:cs="Tahoma"/>
          <w:lang w:val="en-US"/>
        </w:rPr>
      </w:pPr>
      <w:r w:rsidRPr="00924FFB">
        <w:rPr>
          <w:rStyle w:val="af7"/>
          <w:rFonts w:ascii="Tahoma" w:hAnsi="Tahoma" w:cs="Tahoma"/>
          <w:u w:val="single"/>
          <w:lang w:val="en-US"/>
        </w:rPr>
        <w:t>Sub-index</w:t>
      </w:r>
      <w:r w:rsidR="005D67F9" w:rsidRPr="00924FFB">
        <w:rPr>
          <w:rStyle w:val="af7"/>
          <w:rFonts w:ascii="Tahoma" w:hAnsi="Tahoma" w:cs="Tahoma"/>
          <w:lang w:val="en-US"/>
        </w:rPr>
        <w:t xml:space="preserve"> </w:t>
      </w:r>
      <w:r w:rsidR="00A82E8B" w:rsidRPr="00924FFB">
        <w:rPr>
          <w:rStyle w:val="af7"/>
          <w:rFonts w:ascii="Tahoma" w:hAnsi="Tahoma" w:cs="Tahoma"/>
          <w:lang w:val="en-US"/>
        </w:rPr>
        <w:t>–</w:t>
      </w:r>
      <w:r w:rsidRPr="00924FFB">
        <w:rPr>
          <w:rStyle w:val="af7"/>
          <w:rFonts w:ascii="Tahoma" w:hAnsi="Tahoma" w:cs="Tahoma"/>
          <w:lang w:val="en-US"/>
        </w:rPr>
        <w:t xml:space="preserve"> the measure of a section of securities calculated based on </w:t>
      </w:r>
      <w:r w:rsidR="0010201F" w:rsidRPr="00924FFB">
        <w:rPr>
          <w:rStyle w:val="af7"/>
          <w:rFonts w:ascii="Tahoma" w:hAnsi="Tahoma" w:cs="Tahoma"/>
          <w:lang w:val="en-US"/>
        </w:rPr>
        <w:t xml:space="preserve">trades in the securities executed on the Exchange. The securities are valued in RUB. </w:t>
      </w:r>
      <w:r w:rsidRPr="00924FFB">
        <w:rPr>
          <w:rStyle w:val="af7"/>
          <w:rFonts w:ascii="Tahoma" w:hAnsi="Tahoma" w:cs="Tahoma"/>
          <w:lang w:val="en-US"/>
        </w:rPr>
        <w:t xml:space="preserve"> </w:t>
      </w:r>
      <w:r w:rsidR="00A82E8B" w:rsidRPr="00924FFB">
        <w:rPr>
          <w:rStyle w:val="af7"/>
          <w:rFonts w:ascii="Tahoma" w:hAnsi="Tahoma" w:cs="Tahoma"/>
          <w:lang w:val="en-US"/>
        </w:rPr>
        <w:t xml:space="preserve"> </w:t>
      </w:r>
    </w:p>
    <w:p w14:paraId="7C83547F" w14:textId="34435EB4" w:rsidR="0010201F" w:rsidRPr="00924FFB" w:rsidRDefault="0010201F" w:rsidP="00A82E8B">
      <w:pPr>
        <w:pStyle w:val="11"/>
        <w:rPr>
          <w:rFonts w:cs="Tahoma"/>
          <w:lang w:val="en-US"/>
        </w:rPr>
      </w:pPr>
      <w:r w:rsidRPr="00924FFB">
        <w:rPr>
          <w:rFonts w:cs="Tahoma"/>
          <w:u w:val="single"/>
          <w:lang w:val="en-US"/>
        </w:rPr>
        <w:t>Weight</w:t>
      </w:r>
      <w:r w:rsidR="00A82E8B" w:rsidRPr="00924FFB">
        <w:rPr>
          <w:rFonts w:cs="Tahoma"/>
          <w:lang w:val="en-US"/>
        </w:rPr>
        <w:t xml:space="preserve"> </w:t>
      </w:r>
      <w:r w:rsidR="00FF4DFB" w:rsidRPr="00924FFB">
        <w:rPr>
          <w:rStyle w:val="af7"/>
          <w:rFonts w:ascii="Tahoma" w:hAnsi="Tahoma" w:cs="Tahoma"/>
          <w:lang w:val="en-US"/>
        </w:rPr>
        <w:t>–</w:t>
      </w:r>
      <w:r w:rsidR="00A82E8B" w:rsidRPr="00924FFB">
        <w:rPr>
          <w:rFonts w:cs="Tahoma"/>
          <w:lang w:val="en-US"/>
        </w:rPr>
        <w:t xml:space="preserve"> </w:t>
      </w:r>
      <w:r w:rsidRPr="00924FFB">
        <w:rPr>
          <w:rFonts w:cs="Tahoma"/>
          <w:lang w:val="en-US"/>
        </w:rPr>
        <w:t>is a percentage of a security in the total value of all securities in the Index.</w:t>
      </w:r>
    </w:p>
    <w:p w14:paraId="430ADA77" w14:textId="4CD7A18B" w:rsidR="00531F9C" w:rsidRPr="00924FFB" w:rsidRDefault="0010201F" w:rsidP="00A82E8B">
      <w:pPr>
        <w:pStyle w:val="11"/>
        <w:rPr>
          <w:rFonts w:cs="Tahoma"/>
          <w:lang w:val="en-US"/>
        </w:rPr>
      </w:pPr>
      <w:r w:rsidRPr="00924FFB">
        <w:rPr>
          <w:rFonts w:cs="Tahoma"/>
          <w:u w:val="single"/>
          <w:lang w:val="en-US"/>
        </w:rPr>
        <w:t>Issuer</w:t>
      </w:r>
      <w:r w:rsidR="00D657AF" w:rsidRPr="00924FFB">
        <w:rPr>
          <w:rFonts w:cs="Tahoma"/>
          <w:u w:val="single"/>
          <w:lang w:val="en-US"/>
        </w:rPr>
        <w:t xml:space="preserve"> –</w:t>
      </w:r>
      <w:r w:rsidR="00D657AF" w:rsidRPr="00924FFB">
        <w:rPr>
          <w:rFonts w:cs="Tahoma"/>
          <w:lang w:val="en-US"/>
        </w:rPr>
        <w:t xml:space="preserve"> </w:t>
      </w:r>
      <w:r w:rsidR="00531F9C" w:rsidRPr="00924FFB">
        <w:rPr>
          <w:rFonts w:cs="Tahoma"/>
          <w:lang w:val="en-US"/>
        </w:rPr>
        <w:t>an issuer of ordinary, preferred, represented shares, bonds or OFZ.</w:t>
      </w:r>
    </w:p>
    <w:p w14:paraId="075D2558" w14:textId="2A72E585" w:rsidR="00531F9C" w:rsidRPr="00924FFB" w:rsidRDefault="00531F9C" w:rsidP="00553138">
      <w:pPr>
        <w:pStyle w:val="30"/>
        <w:numPr>
          <w:ilvl w:val="0"/>
          <w:numId w:val="0"/>
        </w:numPr>
        <w:ind w:left="426"/>
        <w:rPr>
          <w:rStyle w:val="af7"/>
          <w:rFonts w:ascii="Tahoma" w:hAnsi="Tahoma" w:cs="Tahoma"/>
          <w:szCs w:val="24"/>
          <w:lang w:val="en-US"/>
        </w:rPr>
      </w:pPr>
      <w:r w:rsidRPr="00924FFB">
        <w:rPr>
          <w:rStyle w:val="af7"/>
          <w:rFonts w:ascii="Tahoma" w:hAnsi="Tahoma" w:cs="Tahoma"/>
          <w:szCs w:val="24"/>
          <w:lang w:val="en-US"/>
        </w:rPr>
        <w:t xml:space="preserve">Terms </w:t>
      </w:r>
      <w:r w:rsidR="00CF09E8" w:rsidRPr="00924FFB">
        <w:rPr>
          <w:rStyle w:val="af7"/>
          <w:rFonts w:ascii="Tahoma" w:hAnsi="Tahoma" w:cs="Tahoma"/>
          <w:szCs w:val="24"/>
          <w:lang w:val="en-US"/>
        </w:rPr>
        <w:t xml:space="preserve">not specifically defined herein shall have meanings ascribed to them in the internal documents of the Exchange and laws and regulatory acts of the Bank of Russia. </w:t>
      </w:r>
    </w:p>
    <w:p w14:paraId="4867C3C7" w14:textId="77777777" w:rsidR="00657BF4" w:rsidRPr="00924FFB" w:rsidRDefault="00657BF4" w:rsidP="00882C8F">
      <w:pPr>
        <w:rPr>
          <w:rFonts w:cs="Tahoma"/>
          <w:lang w:val="en-US"/>
        </w:rPr>
      </w:pPr>
    </w:p>
    <w:p w14:paraId="4FCE7B44" w14:textId="4686E58F" w:rsidR="00DF7C2D" w:rsidRPr="00924FFB" w:rsidRDefault="00CF09E8" w:rsidP="00373AB9">
      <w:pPr>
        <w:pStyle w:val="a"/>
        <w:rPr>
          <w:rFonts w:cs="Tahoma"/>
          <w:lang w:val="en-US"/>
        </w:rPr>
      </w:pPr>
      <w:bookmarkStart w:id="2" w:name="_Toc47009977"/>
      <w:bookmarkStart w:id="3" w:name="_Toc62143959"/>
      <w:r w:rsidRPr="00924FFB">
        <w:rPr>
          <w:rFonts w:cs="Tahoma"/>
          <w:lang w:val="en-US"/>
        </w:rPr>
        <w:t>List of Indices</w:t>
      </w:r>
      <w:bookmarkEnd w:id="3"/>
      <w:r w:rsidRPr="00924FFB">
        <w:rPr>
          <w:rFonts w:cs="Tahoma"/>
          <w:lang w:val="en-US"/>
        </w:rPr>
        <w:t xml:space="preserve"> </w:t>
      </w:r>
      <w:bookmarkEnd w:id="2"/>
    </w:p>
    <w:p w14:paraId="26A1CDA1" w14:textId="77777777" w:rsidR="00CF09E8" w:rsidRPr="00924FFB" w:rsidRDefault="00CF09E8" w:rsidP="00CF09E8">
      <w:pPr>
        <w:rPr>
          <w:rFonts w:cs="Tahoma"/>
          <w:lang w:val="en-US"/>
        </w:rPr>
      </w:pPr>
    </w:p>
    <w:p w14:paraId="285A6EAF" w14:textId="3054F735" w:rsidR="00CF09E8" w:rsidRPr="00924FFB" w:rsidRDefault="00CF09E8" w:rsidP="00553138">
      <w:pPr>
        <w:pStyle w:val="30"/>
        <w:numPr>
          <w:ilvl w:val="0"/>
          <w:numId w:val="0"/>
        </w:numPr>
        <w:ind w:left="426"/>
        <w:rPr>
          <w:rStyle w:val="af7"/>
          <w:rFonts w:ascii="Tahoma" w:hAnsi="Tahoma" w:cs="Tahoma"/>
          <w:szCs w:val="24"/>
          <w:lang w:val="en-US"/>
        </w:rPr>
      </w:pPr>
      <w:r w:rsidRPr="00924FFB">
        <w:rPr>
          <w:rStyle w:val="af7"/>
          <w:rFonts w:ascii="Tahoma" w:hAnsi="Tahoma" w:cs="Tahoma"/>
          <w:szCs w:val="24"/>
          <w:lang w:val="en-US"/>
        </w:rPr>
        <w:t>According to this Methodology, Pension Indices are the following indices:</w:t>
      </w:r>
    </w:p>
    <w:p w14:paraId="1199B789" w14:textId="30C77750" w:rsidR="005E2621" w:rsidRPr="00924FFB" w:rsidRDefault="00CF09E8" w:rsidP="00373AB9">
      <w:pPr>
        <w:numPr>
          <w:ilvl w:val="3"/>
          <w:numId w:val="10"/>
        </w:numPr>
        <w:spacing w:after="120"/>
        <w:ind w:left="1701" w:hanging="567"/>
        <w:jc w:val="both"/>
        <w:rPr>
          <w:rFonts w:cs="Tahoma"/>
          <w:lang w:val="en-US"/>
        </w:rPr>
      </w:pPr>
      <w:r w:rsidRPr="00924FFB">
        <w:rPr>
          <w:rFonts w:cs="Tahoma"/>
          <w:lang w:val="en-US"/>
        </w:rPr>
        <w:t xml:space="preserve">The Conservative Index. Its name is </w:t>
      </w:r>
      <w:r w:rsidR="005E2621" w:rsidRPr="00924FFB">
        <w:rPr>
          <w:rFonts w:cs="Tahoma"/>
          <w:lang w:val="en-US"/>
        </w:rPr>
        <w:t>«</w:t>
      </w:r>
      <w:r w:rsidR="005E2621" w:rsidRPr="00924FFB">
        <w:rPr>
          <w:rFonts w:cs="Tahoma"/>
        </w:rPr>
        <w:t>Индекс</w:t>
      </w:r>
      <w:r w:rsidR="005E2621" w:rsidRPr="00924FFB">
        <w:rPr>
          <w:rFonts w:cs="Tahoma"/>
          <w:lang w:val="en-US"/>
        </w:rPr>
        <w:t xml:space="preserve"> </w:t>
      </w:r>
      <w:proofErr w:type="spellStart"/>
      <w:r w:rsidR="000861D6" w:rsidRPr="00924FFB">
        <w:rPr>
          <w:rFonts w:cs="Tahoma"/>
        </w:rPr>
        <w:t>МосБиржи</w:t>
      </w:r>
      <w:proofErr w:type="spellEnd"/>
      <w:r w:rsidR="000861D6" w:rsidRPr="00924FFB">
        <w:rPr>
          <w:rFonts w:cs="Tahoma"/>
          <w:lang w:val="en-US"/>
        </w:rPr>
        <w:t xml:space="preserve"> </w:t>
      </w:r>
      <w:r w:rsidR="005E2621" w:rsidRPr="00924FFB">
        <w:rPr>
          <w:rFonts w:cs="Tahoma"/>
        </w:rPr>
        <w:t>активов</w:t>
      </w:r>
      <w:r w:rsidR="005E2621" w:rsidRPr="00924FFB">
        <w:rPr>
          <w:rFonts w:cs="Tahoma"/>
          <w:lang w:val="en-US"/>
        </w:rPr>
        <w:t xml:space="preserve"> </w:t>
      </w:r>
      <w:r w:rsidR="005E2621" w:rsidRPr="00924FFB">
        <w:rPr>
          <w:rFonts w:cs="Tahoma"/>
        </w:rPr>
        <w:t>пенсионных</w:t>
      </w:r>
      <w:r w:rsidR="005E2621" w:rsidRPr="00924FFB">
        <w:rPr>
          <w:rFonts w:cs="Tahoma"/>
          <w:lang w:val="en-US"/>
        </w:rPr>
        <w:t xml:space="preserve"> </w:t>
      </w:r>
      <w:r w:rsidR="005E2621" w:rsidRPr="00924FFB">
        <w:rPr>
          <w:rFonts w:cs="Tahoma"/>
        </w:rPr>
        <w:t>накоплений</w:t>
      </w:r>
      <w:r w:rsidR="005E2621" w:rsidRPr="00924FFB">
        <w:rPr>
          <w:rFonts w:cs="Tahoma"/>
          <w:lang w:val="en-US"/>
        </w:rPr>
        <w:t xml:space="preserve"> </w:t>
      </w:r>
      <w:r w:rsidR="005E2621" w:rsidRPr="00924FFB">
        <w:rPr>
          <w:rFonts w:cs="Tahoma"/>
        </w:rPr>
        <w:t>консервативный</w:t>
      </w:r>
      <w:r w:rsidR="005E2621" w:rsidRPr="00924FFB">
        <w:rPr>
          <w:rFonts w:cs="Tahoma"/>
          <w:lang w:val="en-US"/>
        </w:rPr>
        <w:t>»</w:t>
      </w:r>
      <w:r w:rsidRPr="00924FFB">
        <w:rPr>
          <w:rFonts w:cs="Tahoma"/>
          <w:lang w:val="en-US"/>
        </w:rPr>
        <w:t xml:space="preserve"> in Russian and “</w:t>
      </w:r>
      <w:r w:rsidR="000861D6" w:rsidRPr="00924FFB">
        <w:rPr>
          <w:rFonts w:cs="Tahoma"/>
          <w:lang w:val="en-US"/>
        </w:rPr>
        <w:t>MOEX</w:t>
      </w:r>
      <w:r w:rsidR="005E2621" w:rsidRPr="00924FFB">
        <w:rPr>
          <w:rFonts w:cs="Tahoma"/>
          <w:lang w:val="en-US"/>
        </w:rPr>
        <w:t xml:space="preserve"> Pension Conservative Index</w:t>
      </w:r>
      <w:r w:rsidRPr="00924FFB">
        <w:rPr>
          <w:rFonts w:cs="Tahoma"/>
          <w:lang w:val="en-US"/>
        </w:rPr>
        <w:t xml:space="preserve"> in English</w:t>
      </w:r>
      <w:r w:rsidR="005E2621" w:rsidRPr="00924FFB">
        <w:rPr>
          <w:rFonts w:cs="Tahoma"/>
          <w:lang w:val="en-US"/>
        </w:rPr>
        <w:t xml:space="preserve">. </w:t>
      </w:r>
      <w:r w:rsidRPr="00924FFB">
        <w:rPr>
          <w:rFonts w:cs="Tahoma"/>
          <w:lang w:val="en-US"/>
        </w:rPr>
        <w:t xml:space="preserve">The index code is </w:t>
      </w:r>
      <w:r w:rsidR="005E2621" w:rsidRPr="00924FFB">
        <w:rPr>
          <w:rFonts w:cs="Tahoma"/>
          <w:lang w:val="en-US"/>
        </w:rPr>
        <w:t>RUPCI.</w:t>
      </w:r>
    </w:p>
    <w:p w14:paraId="30D3BB0E" w14:textId="2D263384" w:rsidR="005E2621" w:rsidRPr="00924FFB" w:rsidRDefault="00062315" w:rsidP="00E7783E">
      <w:pPr>
        <w:numPr>
          <w:ilvl w:val="3"/>
          <w:numId w:val="10"/>
        </w:numPr>
        <w:spacing w:after="120"/>
        <w:ind w:left="1701" w:hanging="567"/>
        <w:jc w:val="both"/>
        <w:rPr>
          <w:rFonts w:cs="Tahoma"/>
        </w:rPr>
      </w:pPr>
      <w:r w:rsidRPr="00924FFB">
        <w:rPr>
          <w:rFonts w:cs="Tahoma"/>
          <w:lang w:val="en-US"/>
        </w:rPr>
        <w:t xml:space="preserve">The Moderate Index. Its name is </w:t>
      </w:r>
      <w:r w:rsidR="005E2621" w:rsidRPr="00924FFB">
        <w:rPr>
          <w:rFonts w:cs="Tahoma"/>
          <w:lang w:val="en-US"/>
        </w:rPr>
        <w:t>«</w:t>
      </w:r>
      <w:r w:rsidR="005E2621" w:rsidRPr="00924FFB">
        <w:rPr>
          <w:rFonts w:cs="Tahoma"/>
        </w:rPr>
        <w:t>Индекс</w:t>
      </w:r>
      <w:r w:rsidR="005E2621" w:rsidRPr="00924FFB">
        <w:rPr>
          <w:rFonts w:cs="Tahoma"/>
          <w:lang w:val="en-US"/>
        </w:rPr>
        <w:t xml:space="preserve"> </w:t>
      </w:r>
      <w:proofErr w:type="spellStart"/>
      <w:r w:rsidR="000861D6" w:rsidRPr="00924FFB">
        <w:rPr>
          <w:rFonts w:cs="Tahoma"/>
        </w:rPr>
        <w:t>МосБиржи</w:t>
      </w:r>
      <w:proofErr w:type="spellEnd"/>
      <w:r w:rsidR="000861D6" w:rsidRPr="00924FFB">
        <w:rPr>
          <w:rFonts w:cs="Tahoma"/>
          <w:lang w:val="en-US"/>
        </w:rPr>
        <w:t xml:space="preserve"> </w:t>
      </w:r>
      <w:r w:rsidR="005E2621" w:rsidRPr="00924FFB">
        <w:rPr>
          <w:rFonts w:cs="Tahoma"/>
        </w:rPr>
        <w:t>активов</w:t>
      </w:r>
      <w:r w:rsidR="005E2621" w:rsidRPr="00924FFB">
        <w:rPr>
          <w:rFonts w:cs="Tahoma"/>
          <w:lang w:val="en-US"/>
        </w:rPr>
        <w:t xml:space="preserve"> </w:t>
      </w:r>
      <w:r w:rsidR="005E2621" w:rsidRPr="00924FFB">
        <w:rPr>
          <w:rFonts w:cs="Tahoma"/>
        </w:rPr>
        <w:t>пенсионных</w:t>
      </w:r>
      <w:r w:rsidR="005E2621" w:rsidRPr="00924FFB">
        <w:rPr>
          <w:rFonts w:cs="Tahoma"/>
          <w:lang w:val="en-US"/>
        </w:rPr>
        <w:t xml:space="preserve"> </w:t>
      </w:r>
      <w:r w:rsidR="005E2621" w:rsidRPr="00924FFB">
        <w:rPr>
          <w:rFonts w:cs="Tahoma"/>
        </w:rPr>
        <w:t>накоплений</w:t>
      </w:r>
      <w:r w:rsidR="005E2621" w:rsidRPr="00924FFB">
        <w:rPr>
          <w:rFonts w:cs="Tahoma"/>
          <w:lang w:val="en-US"/>
        </w:rPr>
        <w:t xml:space="preserve"> </w:t>
      </w:r>
      <w:r w:rsidR="005E2621" w:rsidRPr="00924FFB">
        <w:rPr>
          <w:rFonts w:cs="Tahoma"/>
        </w:rPr>
        <w:t>сбалансированный</w:t>
      </w:r>
      <w:r w:rsidR="005E2621" w:rsidRPr="00924FFB">
        <w:rPr>
          <w:rFonts w:cs="Tahoma"/>
          <w:lang w:val="en-US"/>
        </w:rPr>
        <w:t>»</w:t>
      </w:r>
      <w:r w:rsidRPr="00924FFB">
        <w:rPr>
          <w:rFonts w:cs="Tahoma"/>
          <w:lang w:val="en-US"/>
        </w:rPr>
        <w:t xml:space="preserve"> in Russian and “</w:t>
      </w:r>
      <w:r w:rsidR="000861D6" w:rsidRPr="00924FFB">
        <w:rPr>
          <w:rFonts w:cs="Tahoma"/>
          <w:lang w:val="en-US"/>
        </w:rPr>
        <w:t>MOEX</w:t>
      </w:r>
      <w:r w:rsidR="005E2621" w:rsidRPr="00924FFB">
        <w:rPr>
          <w:rFonts w:cs="Tahoma"/>
          <w:lang w:val="en-US"/>
        </w:rPr>
        <w:t xml:space="preserve"> Pension Moderate Index</w:t>
      </w:r>
      <w:r w:rsidRPr="00924FFB">
        <w:rPr>
          <w:rFonts w:cs="Tahoma"/>
          <w:lang w:val="en-US"/>
        </w:rPr>
        <w:t>” in English</w:t>
      </w:r>
      <w:r w:rsidR="005E2621" w:rsidRPr="00924FFB">
        <w:rPr>
          <w:rFonts w:cs="Tahoma"/>
          <w:lang w:val="en-US"/>
        </w:rPr>
        <w:t xml:space="preserve">. </w:t>
      </w:r>
      <w:r w:rsidRPr="00924FFB">
        <w:rPr>
          <w:rFonts w:cs="Tahoma"/>
          <w:lang w:val="en-US"/>
        </w:rPr>
        <w:t>The index code is</w:t>
      </w:r>
      <w:r w:rsidR="005E2621" w:rsidRPr="00924FFB">
        <w:rPr>
          <w:rFonts w:cs="Tahoma"/>
        </w:rPr>
        <w:t xml:space="preserve"> </w:t>
      </w:r>
      <w:r w:rsidR="005E2621" w:rsidRPr="00924FFB">
        <w:rPr>
          <w:rFonts w:cs="Tahoma"/>
          <w:lang w:val="en-US"/>
        </w:rPr>
        <w:t>RUPMI</w:t>
      </w:r>
      <w:r w:rsidR="005E2621" w:rsidRPr="00924FFB">
        <w:rPr>
          <w:rFonts w:cs="Tahoma"/>
        </w:rPr>
        <w:t>.</w:t>
      </w:r>
    </w:p>
    <w:p w14:paraId="2CCD566A" w14:textId="37F3967A" w:rsidR="005E2621" w:rsidRPr="00924FFB" w:rsidRDefault="00062315" w:rsidP="00E7783E">
      <w:pPr>
        <w:numPr>
          <w:ilvl w:val="3"/>
          <w:numId w:val="10"/>
        </w:numPr>
        <w:spacing w:after="120"/>
        <w:ind w:left="1701" w:hanging="567"/>
        <w:jc w:val="both"/>
        <w:rPr>
          <w:rFonts w:cs="Tahoma"/>
          <w:lang w:val="en-US"/>
        </w:rPr>
      </w:pPr>
      <w:r w:rsidRPr="00924FFB">
        <w:rPr>
          <w:rFonts w:cs="Tahoma"/>
          <w:lang w:val="en-US"/>
        </w:rPr>
        <w:t>The Aggressive Index</w:t>
      </w:r>
      <w:r w:rsidR="005E2621" w:rsidRPr="00924FFB">
        <w:rPr>
          <w:rFonts w:cs="Tahoma"/>
          <w:lang w:val="en-US"/>
        </w:rPr>
        <w:t xml:space="preserve">. </w:t>
      </w:r>
      <w:r w:rsidRPr="00924FFB">
        <w:rPr>
          <w:rFonts w:cs="Tahoma"/>
          <w:lang w:val="en-US"/>
        </w:rPr>
        <w:t xml:space="preserve">Its name is </w:t>
      </w:r>
      <w:r w:rsidR="005E2621" w:rsidRPr="00924FFB">
        <w:rPr>
          <w:rFonts w:cs="Tahoma"/>
          <w:lang w:val="en-US"/>
        </w:rPr>
        <w:t>«</w:t>
      </w:r>
      <w:r w:rsidR="005E2621" w:rsidRPr="00924FFB">
        <w:rPr>
          <w:rFonts w:cs="Tahoma"/>
        </w:rPr>
        <w:t>Индекс</w:t>
      </w:r>
      <w:r w:rsidR="005E2621" w:rsidRPr="00924FFB">
        <w:rPr>
          <w:rFonts w:cs="Tahoma"/>
          <w:lang w:val="en-US"/>
        </w:rPr>
        <w:t xml:space="preserve"> </w:t>
      </w:r>
      <w:proofErr w:type="spellStart"/>
      <w:r w:rsidR="000861D6" w:rsidRPr="00924FFB">
        <w:rPr>
          <w:rFonts w:cs="Tahoma"/>
        </w:rPr>
        <w:t>МосБиржи</w:t>
      </w:r>
      <w:proofErr w:type="spellEnd"/>
      <w:r w:rsidR="000861D6" w:rsidRPr="00924FFB">
        <w:rPr>
          <w:rFonts w:cs="Tahoma"/>
          <w:lang w:val="en-US"/>
        </w:rPr>
        <w:t xml:space="preserve"> </w:t>
      </w:r>
      <w:r w:rsidR="005E2621" w:rsidRPr="00924FFB">
        <w:rPr>
          <w:rFonts w:cs="Tahoma"/>
        </w:rPr>
        <w:t>активов</w:t>
      </w:r>
      <w:r w:rsidR="005E2621" w:rsidRPr="00924FFB">
        <w:rPr>
          <w:rFonts w:cs="Tahoma"/>
          <w:lang w:val="en-US"/>
        </w:rPr>
        <w:t xml:space="preserve"> </w:t>
      </w:r>
      <w:r w:rsidR="005E2621" w:rsidRPr="00924FFB">
        <w:rPr>
          <w:rFonts w:cs="Tahoma"/>
        </w:rPr>
        <w:t>пенсионных</w:t>
      </w:r>
      <w:r w:rsidR="005E2621" w:rsidRPr="00924FFB">
        <w:rPr>
          <w:rFonts w:cs="Tahoma"/>
          <w:lang w:val="en-US"/>
        </w:rPr>
        <w:t xml:space="preserve"> </w:t>
      </w:r>
      <w:r w:rsidR="005E2621" w:rsidRPr="00924FFB">
        <w:rPr>
          <w:rFonts w:cs="Tahoma"/>
        </w:rPr>
        <w:t>накоплений</w:t>
      </w:r>
      <w:r w:rsidR="005E2621" w:rsidRPr="00924FFB">
        <w:rPr>
          <w:rFonts w:cs="Tahoma"/>
          <w:lang w:val="en-US"/>
        </w:rPr>
        <w:t xml:space="preserve"> </w:t>
      </w:r>
      <w:r w:rsidR="005E2621" w:rsidRPr="00924FFB">
        <w:rPr>
          <w:rFonts w:cs="Tahoma"/>
        </w:rPr>
        <w:t>агрессивный</w:t>
      </w:r>
      <w:r w:rsidR="005E2621" w:rsidRPr="00924FFB">
        <w:rPr>
          <w:rFonts w:cs="Tahoma"/>
          <w:lang w:val="en-US"/>
        </w:rPr>
        <w:t>»</w:t>
      </w:r>
      <w:r w:rsidRPr="00924FFB">
        <w:rPr>
          <w:rFonts w:cs="Tahoma"/>
          <w:lang w:val="en-US"/>
        </w:rPr>
        <w:t xml:space="preserve"> in Russian and “</w:t>
      </w:r>
      <w:r w:rsidR="000861D6" w:rsidRPr="00924FFB">
        <w:rPr>
          <w:rFonts w:cs="Tahoma"/>
          <w:lang w:val="en-US"/>
        </w:rPr>
        <w:t>MOEX</w:t>
      </w:r>
      <w:r w:rsidR="008C5EAC" w:rsidRPr="00924FFB">
        <w:rPr>
          <w:rFonts w:cs="Tahoma"/>
          <w:lang w:val="en-US"/>
        </w:rPr>
        <w:t xml:space="preserve"> </w:t>
      </w:r>
      <w:r w:rsidR="005E2621" w:rsidRPr="00924FFB">
        <w:rPr>
          <w:rFonts w:cs="Tahoma"/>
          <w:lang w:val="en-US"/>
        </w:rPr>
        <w:t>Pension Aggressive Index</w:t>
      </w:r>
      <w:r w:rsidRPr="00924FFB">
        <w:rPr>
          <w:rFonts w:cs="Tahoma"/>
          <w:lang w:val="en-US"/>
        </w:rPr>
        <w:t>” in English</w:t>
      </w:r>
      <w:r w:rsidR="005E2621" w:rsidRPr="00924FFB">
        <w:rPr>
          <w:rFonts w:cs="Tahoma"/>
          <w:lang w:val="en-US"/>
        </w:rPr>
        <w:t>.</w:t>
      </w:r>
      <w:r w:rsidR="00CB500B" w:rsidRPr="00924FFB">
        <w:rPr>
          <w:rFonts w:cs="Tahoma"/>
          <w:lang w:val="en-US"/>
        </w:rPr>
        <w:t xml:space="preserve"> The index code is </w:t>
      </w:r>
      <w:r w:rsidR="005E2621" w:rsidRPr="00924FFB">
        <w:rPr>
          <w:rFonts w:cs="Tahoma"/>
          <w:lang w:val="en-US"/>
        </w:rPr>
        <w:t>RUPAI.</w:t>
      </w:r>
    </w:p>
    <w:p w14:paraId="7525EF7C" w14:textId="77777777" w:rsidR="00CB500B" w:rsidRPr="00924FFB" w:rsidRDefault="00CB500B" w:rsidP="00CB500B">
      <w:pPr>
        <w:pStyle w:val="30"/>
        <w:numPr>
          <w:ilvl w:val="0"/>
          <w:numId w:val="0"/>
        </w:numPr>
        <w:ind w:left="426"/>
        <w:rPr>
          <w:rFonts w:cs="Tahoma"/>
          <w:szCs w:val="20"/>
          <w:lang w:val="en-US"/>
        </w:rPr>
      </w:pPr>
      <w:r w:rsidRPr="00924FFB">
        <w:rPr>
          <w:rStyle w:val="af7"/>
          <w:rFonts w:ascii="Tahoma" w:hAnsi="Tahoma" w:cs="Tahoma"/>
          <w:szCs w:val="24"/>
          <w:lang w:val="en-US"/>
        </w:rPr>
        <w:t>Wordmark</w:t>
      </w:r>
      <w:r w:rsidRPr="00924FFB">
        <w:rPr>
          <w:rFonts w:cs="Tahoma"/>
          <w:szCs w:val="20"/>
          <w:lang w:val="en-US"/>
        </w:rPr>
        <w:t xml:space="preserve"> </w:t>
      </w:r>
      <w:r w:rsidRPr="00924FFB">
        <w:rPr>
          <w:rFonts w:cs="Tahoma"/>
          <w:i/>
          <w:szCs w:val="20"/>
        </w:rPr>
        <w:t>Индекс</w:t>
      </w:r>
      <w:r w:rsidRPr="00924FFB">
        <w:rPr>
          <w:rFonts w:cs="Tahoma"/>
          <w:i/>
          <w:szCs w:val="20"/>
          <w:lang w:val="en-US"/>
        </w:rPr>
        <w:t xml:space="preserve"> </w:t>
      </w:r>
      <w:proofErr w:type="spellStart"/>
      <w:r w:rsidRPr="00924FFB">
        <w:rPr>
          <w:rFonts w:cs="Tahoma"/>
          <w:i/>
          <w:szCs w:val="20"/>
        </w:rPr>
        <w:t>МосБиржи</w:t>
      </w:r>
      <w:proofErr w:type="spellEnd"/>
      <w:r w:rsidRPr="00924FFB">
        <w:rPr>
          <w:rFonts w:cs="Tahoma"/>
          <w:szCs w:val="20"/>
          <w:lang w:val="en-US"/>
        </w:rPr>
        <w:t xml:space="preserve"> is MOEX’s trademark registered in the Public Register of Trademarks and Service Marks of the Russian Federation on 18 September 2017 (trademark certificate No.630519). Wordmark MOEX is MOEX’s trademark registered Federal Intellectual Property Service in the Public Register of Trademarks and Service Marks of the Russian Federation on 29 August 2014 (trademark certificate No. 521450).</w:t>
      </w:r>
    </w:p>
    <w:p w14:paraId="2FF3BE41" w14:textId="77777777" w:rsidR="00CB500B" w:rsidRPr="00924FFB" w:rsidRDefault="00CB500B" w:rsidP="00553138">
      <w:pPr>
        <w:pStyle w:val="30"/>
        <w:numPr>
          <w:ilvl w:val="0"/>
          <w:numId w:val="0"/>
        </w:numPr>
        <w:ind w:left="426"/>
        <w:rPr>
          <w:rStyle w:val="af7"/>
          <w:rFonts w:ascii="Tahoma" w:hAnsi="Tahoma" w:cs="Tahoma"/>
          <w:szCs w:val="24"/>
          <w:lang w:val="en-US"/>
        </w:rPr>
      </w:pPr>
    </w:p>
    <w:p w14:paraId="5BED857D" w14:textId="6BE2F762" w:rsidR="00553138" w:rsidRPr="00924FFB" w:rsidRDefault="00CB500B" w:rsidP="00553138">
      <w:pPr>
        <w:pStyle w:val="a"/>
        <w:rPr>
          <w:rFonts w:cs="Tahoma"/>
          <w:lang w:val="en-US"/>
        </w:rPr>
      </w:pPr>
      <w:bookmarkStart w:id="4" w:name="_Toc62143960"/>
      <w:r w:rsidRPr="00924FFB">
        <w:rPr>
          <w:rFonts w:cs="Tahoma"/>
          <w:lang w:val="en-US"/>
        </w:rPr>
        <w:t>Calculation method</w:t>
      </w:r>
      <w:bookmarkEnd w:id="4"/>
    </w:p>
    <w:p w14:paraId="7D395E23" w14:textId="77777777" w:rsidR="00CB500B" w:rsidRPr="00924FFB" w:rsidRDefault="00CB500B" w:rsidP="00CB500B">
      <w:pPr>
        <w:rPr>
          <w:rFonts w:cs="Tahoma"/>
          <w:lang w:val="en-US"/>
        </w:rPr>
      </w:pPr>
    </w:p>
    <w:p w14:paraId="47BC8FA0" w14:textId="40F45D3D" w:rsidR="00CB500B" w:rsidRPr="00924FFB" w:rsidRDefault="00CB500B" w:rsidP="00553138">
      <w:pPr>
        <w:pStyle w:val="30"/>
        <w:ind w:left="1134" w:hanging="708"/>
        <w:rPr>
          <w:rStyle w:val="af7"/>
          <w:rFonts w:ascii="Tahoma" w:hAnsi="Tahoma" w:cs="Tahoma"/>
          <w:szCs w:val="24"/>
          <w:lang w:val="en-US"/>
        </w:rPr>
      </w:pPr>
      <w:r w:rsidRPr="00924FFB">
        <w:rPr>
          <w:rStyle w:val="af7"/>
          <w:rFonts w:ascii="Tahoma" w:hAnsi="Tahoma" w:cs="Tahoma"/>
          <w:szCs w:val="24"/>
          <w:lang w:val="en-US"/>
        </w:rPr>
        <w:t>This</w:t>
      </w:r>
      <w:r w:rsidRPr="00924FFB">
        <w:rPr>
          <w:rFonts w:cs="Tahoma"/>
          <w:lang w:val="en-US"/>
        </w:rPr>
        <w:t xml:space="preserve"> Methodology as well as any amendments and supplements thereto are created subject to recommendations by the Debt Market Benchmarks Committee</w:t>
      </w:r>
      <w:r w:rsidR="009E5BAD" w:rsidRPr="00924FFB">
        <w:rPr>
          <w:rFonts w:cs="Tahoma"/>
          <w:lang w:val="en-US"/>
        </w:rPr>
        <w:t>.</w:t>
      </w:r>
      <w:r w:rsidRPr="00924FFB">
        <w:rPr>
          <w:rFonts w:cs="Tahoma"/>
          <w:lang w:val="en-US"/>
        </w:rPr>
        <w:t xml:space="preserve"> </w:t>
      </w:r>
    </w:p>
    <w:p w14:paraId="02B60303" w14:textId="5016EB78" w:rsidR="00CB500B" w:rsidRPr="00924FFB" w:rsidRDefault="00CB500B" w:rsidP="00CB500B">
      <w:pPr>
        <w:pStyle w:val="30"/>
        <w:ind w:left="1134" w:hanging="708"/>
        <w:rPr>
          <w:rFonts w:cs="Tahoma"/>
          <w:lang w:val="en-US"/>
        </w:rPr>
      </w:pPr>
      <w:r w:rsidRPr="00924FFB">
        <w:rPr>
          <w:rStyle w:val="af7"/>
          <w:rFonts w:ascii="Tahoma" w:hAnsi="Tahoma" w:cs="Tahoma"/>
          <w:szCs w:val="24"/>
          <w:lang w:val="en-US"/>
        </w:rPr>
        <w:t>This</w:t>
      </w:r>
      <w:r w:rsidRPr="00924FFB">
        <w:rPr>
          <w:rFonts w:cs="Tahoma"/>
          <w:lang w:val="en-US"/>
        </w:rPr>
        <w:t xml:space="preserve"> Methodology as well as any amendments and supplements thereto are subject to approval by the Exchange. The effective date is set by the Exchange. The Methodology may be amended or supplemented once a quarter, or less frequently.</w:t>
      </w:r>
      <w:r w:rsidR="009E5BAD" w:rsidRPr="00924FFB">
        <w:rPr>
          <w:rFonts w:cs="Tahoma"/>
          <w:lang w:val="en-US"/>
        </w:rPr>
        <w:t xml:space="preserve"> The approaches proposed in the Methodology are updated annually. </w:t>
      </w:r>
    </w:p>
    <w:p w14:paraId="74FF56E8" w14:textId="44303EF2" w:rsidR="00CB500B" w:rsidRPr="00924FFB" w:rsidRDefault="009E5BAD" w:rsidP="00553138">
      <w:pPr>
        <w:pStyle w:val="30"/>
        <w:ind w:left="1134" w:hanging="708"/>
        <w:rPr>
          <w:rStyle w:val="af7"/>
          <w:rFonts w:ascii="Tahoma" w:hAnsi="Tahoma" w:cs="Tahoma"/>
          <w:szCs w:val="24"/>
          <w:lang w:val="en-US"/>
        </w:rPr>
      </w:pPr>
      <w:r w:rsidRPr="00924FFB">
        <w:rPr>
          <w:rStyle w:val="af7"/>
          <w:rFonts w:ascii="Tahoma" w:hAnsi="Tahoma" w:cs="Tahoma"/>
          <w:szCs w:val="24"/>
          <w:lang w:val="en-US"/>
        </w:rPr>
        <w:t xml:space="preserve">The text of the Methodology is made available by the Exchange at least three business days before the effective date. </w:t>
      </w:r>
    </w:p>
    <w:p w14:paraId="59EA8045" w14:textId="77777777" w:rsidR="00747A59" w:rsidRPr="00924FFB" w:rsidRDefault="00747A59" w:rsidP="00882C8F">
      <w:pPr>
        <w:pStyle w:val="30"/>
        <w:numPr>
          <w:ilvl w:val="0"/>
          <w:numId w:val="0"/>
        </w:numPr>
        <w:ind w:left="340"/>
        <w:rPr>
          <w:rFonts w:cs="Tahoma"/>
          <w:lang w:val="en-US"/>
        </w:rPr>
      </w:pPr>
    </w:p>
    <w:p w14:paraId="1447AC1D" w14:textId="74865657" w:rsidR="00960720" w:rsidRPr="00924FFB" w:rsidRDefault="009E5BAD" w:rsidP="00882C8F">
      <w:pPr>
        <w:pStyle w:val="10"/>
        <w:rPr>
          <w:rFonts w:cs="Tahoma"/>
        </w:rPr>
      </w:pPr>
      <w:bookmarkStart w:id="5" w:name="_Toc424906484"/>
      <w:bookmarkStart w:id="6" w:name="_Toc424906555"/>
      <w:bookmarkStart w:id="7" w:name="_Toc424906587"/>
      <w:bookmarkStart w:id="8" w:name="_Toc424906631"/>
      <w:bookmarkStart w:id="9" w:name="_Toc424906675"/>
      <w:bookmarkStart w:id="10" w:name="_Toc424906713"/>
      <w:bookmarkStart w:id="11" w:name="_Toc424909130"/>
      <w:bookmarkStart w:id="12" w:name="_Toc425425252"/>
      <w:bookmarkStart w:id="13" w:name="_Toc424906485"/>
      <w:bookmarkStart w:id="14" w:name="_Toc424906556"/>
      <w:bookmarkStart w:id="15" w:name="_Toc424906588"/>
      <w:bookmarkStart w:id="16" w:name="_Toc424906632"/>
      <w:bookmarkStart w:id="17" w:name="_Toc424906676"/>
      <w:bookmarkStart w:id="18" w:name="_Toc424906714"/>
      <w:bookmarkStart w:id="19" w:name="_Toc424909131"/>
      <w:bookmarkStart w:id="20" w:name="_Toc425425253"/>
      <w:bookmarkStart w:id="21" w:name="_Toc6214396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924FFB">
        <w:rPr>
          <w:rFonts w:cs="Tahoma"/>
          <w:lang w:val="en-US"/>
        </w:rPr>
        <w:t>Index calculation</w:t>
      </w:r>
      <w:bookmarkEnd w:id="21"/>
    </w:p>
    <w:p w14:paraId="42665766" w14:textId="77777777" w:rsidR="009E5BAD" w:rsidRPr="00924FFB" w:rsidRDefault="009E5BAD" w:rsidP="009E5BAD">
      <w:pPr>
        <w:pStyle w:val="a"/>
        <w:numPr>
          <w:ilvl w:val="0"/>
          <w:numId w:val="0"/>
        </w:numPr>
        <w:ind w:left="567"/>
        <w:rPr>
          <w:rFonts w:cs="Tahoma"/>
          <w:lang w:val="en-US"/>
        </w:rPr>
      </w:pPr>
      <w:bookmarkStart w:id="22" w:name="_Toc424291531"/>
      <w:bookmarkStart w:id="23" w:name="_Toc424641373"/>
      <w:bookmarkStart w:id="24" w:name="_Toc424811488"/>
      <w:bookmarkStart w:id="25" w:name="_Toc424291532"/>
      <w:bookmarkStart w:id="26" w:name="_Toc424641374"/>
      <w:bookmarkStart w:id="27" w:name="_Toc424811489"/>
      <w:bookmarkStart w:id="28" w:name="_Toc424291533"/>
      <w:bookmarkStart w:id="29" w:name="_Toc424641375"/>
      <w:bookmarkStart w:id="30" w:name="_Toc424811490"/>
      <w:bookmarkStart w:id="31" w:name="_Toc424641376"/>
      <w:bookmarkStart w:id="32" w:name="_Toc424811491"/>
      <w:bookmarkStart w:id="33" w:name="_Toc424291535"/>
      <w:bookmarkStart w:id="34" w:name="_Toc424641377"/>
      <w:bookmarkStart w:id="35" w:name="_Toc424811492"/>
      <w:bookmarkStart w:id="36" w:name="_Toc424122351"/>
      <w:bookmarkStart w:id="37" w:name="_Toc433902898"/>
      <w:bookmarkStart w:id="38" w:name="_Toc463443752"/>
      <w:bookmarkStart w:id="39" w:name="_Toc488065465"/>
      <w:bookmarkStart w:id="40" w:name="_Ref272311215"/>
      <w:bookmarkStart w:id="41" w:name="_Ref335645386"/>
      <w:bookmarkStart w:id="42" w:name="_Ref410391505"/>
      <w:bookmarkStart w:id="43" w:name="п_2_3"/>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CA28E3C" w14:textId="3A0E6ABE" w:rsidR="009D567F" w:rsidRPr="00924FFB" w:rsidRDefault="009E5BAD" w:rsidP="00882C8F">
      <w:pPr>
        <w:pStyle w:val="a"/>
        <w:rPr>
          <w:rFonts w:cs="Tahoma"/>
          <w:lang w:val="en-US"/>
        </w:rPr>
      </w:pPr>
      <w:bookmarkStart w:id="44" w:name="_Toc62143962"/>
      <w:r w:rsidRPr="00924FFB">
        <w:rPr>
          <w:rFonts w:cs="Tahoma"/>
          <w:lang w:val="en-US"/>
        </w:rPr>
        <w:t>Index calculation procedure</w:t>
      </w:r>
      <w:bookmarkEnd w:id="36"/>
      <w:bookmarkEnd w:id="37"/>
      <w:bookmarkEnd w:id="38"/>
      <w:bookmarkEnd w:id="39"/>
      <w:bookmarkEnd w:id="44"/>
    </w:p>
    <w:p w14:paraId="665412E9" w14:textId="77777777" w:rsidR="009E5BAD" w:rsidRPr="00924FFB" w:rsidRDefault="009E5BAD" w:rsidP="009E5BAD">
      <w:pPr>
        <w:rPr>
          <w:rFonts w:cs="Tahoma"/>
          <w:lang w:val="en-US"/>
        </w:rPr>
      </w:pPr>
    </w:p>
    <w:bookmarkEnd w:id="40"/>
    <w:bookmarkEnd w:id="41"/>
    <w:bookmarkEnd w:id="42"/>
    <w:bookmarkEnd w:id="43"/>
    <w:p w14:paraId="23374208" w14:textId="5EC2FDFE" w:rsidR="00657BF4" w:rsidRPr="00924FFB" w:rsidRDefault="009E5BAD" w:rsidP="00373AB9">
      <w:pPr>
        <w:pStyle w:val="30"/>
        <w:ind w:left="1134" w:hanging="708"/>
        <w:rPr>
          <w:rStyle w:val="af7"/>
          <w:rFonts w:ascii="Tahoma" w:hAnsi="Tahoma" w:cs="Tahoma"/>
          <w:szCs w:val="24"/>
          <w:lang w:val="en-US"/>
        </w:rPr>
      </w:pPr>
      <w:r w:rsidRPr="00924FFB">
        <w:rPr>
          <w:rStyle w:val="af7"/>
          <w:rFonts w:ascii="Tahoma" w:hAnsi="Tahoma" w:cs="Tahoma"/>
          <w:szCs w:val="24"/>
          <w:lang w:val="en-US"/>
        </w:rPr>
        <w:t>The Indices are calculated as follows:</w:t>
      </w:r>
    </w:p>
    <w:p w14:paraId="0027C790" w14:textId="293E5D8B" w:rsidR="00192811" w:rsidRPr="00924FFB" w:rsidRDefault="00C83308" w:rsidP="00882C8F">
      <w:pPr>
        <w:rPr>
          <w:rFonts w:cs="Tahoma"/>
          <w:sz w:val="24"/>
        </w:rPr>
      </w:pPr>
      <m:oMathPara>
        <m:oMath>
          <m:sSub>
            <m:sSubPr>
              <m:ctrlPr>
                <w:rPr>
                  <w:rFonts w:ascii="Cambria Math" w:hAnsi="Cambria Math" w:cs="Tahoma"/>
                  <w:sz w:val="24"/>
                </w:rPr>
              </m:ctrlPr>
            </m:sSubPr>
            <m:e>
              <m:r>
                <w:rPr>
                  <w:rFonts w:ascii="Cambria Math" w:hAnsi="Cambria Math" w:cs="Tahoma"/>
                  <w:sz w:val="24"/>
                </w:rPr>
                <m:t>I</m:t>
              </m:r>
            </m:e>
            <m:sub>
              <m:r>
                <w:rPr>
                  <w:rFonts w:ascii="Cambria Math" w:hAnsi="Cambria Math" w:cs="Tahoma"/>
                  <w:sz w:val="24"/>
                </w:rPr>
                <m:t>n</m:t>
              </m:r>
            </m:sub>
          </m:sSub>
          <m:r>
            <m:rPr>
              <m:sty m:val="p"/>
            </m:rPr>
            <w:rPr>
              <w:rFonts w:ascii="Cambria Math" w:hAnsi="Cambria Math" w:cs="Tahoma"/>
              <w:sz w:val="24"/>
            </w:rPr>
            <m:t>=</m:t>
          </m:r>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e>
          </m:nary>
        </m:oMath>
      </m:oMathPara>
    </w:p>
    <w:p w14:paraId="3D16D475" w14:textId="77777777" w:rsidR="00192811" w:rsidRPr="00924FFB" w:rsidRDefault="00192811" w:rsidP="00882C8F">
      <w:pPr>
        <w:pStyle w:val="30"/>
        <w:numPr>
          <w:ilvl w:val="0"/>
          <w:numId w:val="0"/>
        </w:numPr>
        <w:ind w:left="1077"/>
        <w:rPr>
          <w:rFonts w:cs="Tahoma"/>
        </w:rPr>
      </w:pPr>
    </w:p>
    <w:p w14:paraId="2FD33C7D" w14:textId="538DC9E9" w:rsidR="00A9700C" w:rsidRPr="00924FFB" w:rsidRDefault="009E5BAD" w:rsidP="00882C8F">
      <w:pPr>
        <w:pStyle w:val="af9"/>
        <w:rPr>
          <w:rFonts w:cs="Tahoma"/>
          <w:lang w:val="en-US"/>
        </w:rPr>
      </w:pPr>
      <w:r w:rsidRPr="00924FFB">
        <w:rPr>
          <w:rFonts w:cs="Tahoma"/>
          <w:lang w:val="en-US"/>
        </w:rPr>
        <w:t>where</w:t>
      </w:r>
      <w:r w:rsidR="00A9700C" w:rsidRPr="00924FFB">
        <w:rPr>
          <w:rFonts w:cs="Tahoma"/>
          <w:lang w:val="en-US"/>
        </w:rPr>
        <w:t>:</w:t>
      </w:r>
    </w:p>
    <w:p w14:paraId="550F4044" w14:textId="5C9DA6A3" w:rsidR="009E5BAD" w:rsidRPr="00924FFB" w:rsidRDefault="00A9700C" w:rsidP="00882C8F">
      <w:pPr>
        <w:pStyle w:val="af9"/>
        <w:rPr>
          <w:rFonts w:cs="Tahoma"/>
          <w:lang w:val="en-US"/>
        </w:rPr>
      </w:pPr>
      <w:r w:rsidRPr="00924FFB">
        <w:rPr>
          <w:rFonts w:cs="Tahoma"/>
          <w:lang w:val="en-US"/>
        </w:rPr>
        <w:lastRenderedPageBreak/>
        <w:t>I</w:t>
      </w:r>
      <w:r w:rsidRPr="00924FFB">
        <w:rPr>
          <w:rFonts w:cs="Tahoma"/>
          <w:vertAlign w:val="subscript"/>
          <w:lang w:val="en-US"/>
        </w:rPr>
        <w:t>n</w:t>
      </w:r>
      <w:r w:rsidRPr="00924FFB">
        <w:rPr>
          <w:rFonts w:cs="Tahoma"/>
          <w:lang w:val="en-US"/>
        </w:rPr>
        <w:t xml:space="preserve"> – </w:t>
      </w:r>
      <w:r w:rsidR="009E5BAD" w:rsidRPr="00924FFB">
        <w:rPr>
          <w:rFonts w:cs="Tahoma"/>
          <w:lang w:val="en-US"/>
        </w:rPr>
        <w:t>the Index value as of the n</w:t>
      </w:r>
      <w:r w:rsidR="009E5BAD" w:rsidRPr="00924FFB">
        <w:rPr>
          <w:rFonts w:cs="Tahoma"/>
          <w:vertAlign w:val="superscript"/>
          <w:lang w:val="en-US"/>
        </w:rPr>
        <w:t>th</w:t>
      </w:r>
      <w:r w:rsidR="009E5BAD" w:rsidRPr="00924FFB">
        <w:rPr>
          <w:rFonts w:cs="Tahoma"/>
          <w:lang w:val="en-US"/>
        </w:rPr>
        <w:t xml:space="preserve"> moment of calculation; </w:t>
      </w:r>
    </w:p>
    <w:p w14:paraId="6821864A" w14:textId="6F2F18E7" w:rsidR="00192811" w:rsidRPr="00924FFB" w:rsidRDefault="00C83308" w:rsidP="00882C8F">
      <w:pPr>
        <w:pStyle w:val="af9"/>
        <w:rPr>
          <w:rFonts w:cs="Tahoma"/>
          <w:lang w:val="en-US"/>
        </w:rPr>
      </w:pPr>
      <m:oMath>
        <m:sSubSup>
          <m:sSubSupPr>
            <m:ctrlPr>
              <w:rPr>
                <w:rFonts w:ascii="Cambria Math" w:hAnsi="Cambria Math" w:cs="Tahoma"/>
                <w:i/>
                <w:lang w:val="en-US"/>
              </w:rPr>
            </m:ctrlPr>
          </m:sSubSupPr>
          <m:e>
            <m:r>
              <w:rPr>
                <w:rFonts w:ascii="Cambria Math" w:hAnsi="Cambria Math" w:cs="Tahoma"/>
                <w:lang w:val="en-US"/>
              </w:rPr>
              <m:t>Sub_I</m:t>
            </m:r>
          </m:e>
          <m:sub>
            <m:r>
              <w:rPr>
                <w:rFonts w:ascii="Cambria Math" w:hAnsi="Cambria Math" w:cs="Tahoma"/>
                <w:lang w:val="en-US"/>
              </w:rPr>
              <m:t>n</m:t>
            </m:r>
          </m:sub>
          <m:sup>
            <m:r>
              <w:rPr>
                <w:rFonts w:ascii="Cambria Math" w:hAnsi="Cambria Math" w:cs="Tahoma"/>
                <w:lang w:val="en-US"/>
              </w:rPr>
              <m:t>i</m:t>
            </m:r>
          </m:sup>
        </m:sSubSup>
      </m:oMath>
      <w:r w:rsidR="00192811" w:rsidRPr="00924FFB">
        <w:rPr>
          <w:rFonts w:cs="Tahoma"/>
          <w:lang w:val="en-US"/>
        </w:rPr>
        <w:t xml:space="preserve"> – </w:t>
      </w:r>
      <w:r w:rsidR="009E5BAD" w:rsidRPr="00924FFB">
        <w:rPr>
          <w:rFonts w:cs="Tahoma"/>
          <w:lang w:val="en-US"/>
        </w:rPr>
        <w:t xml:space="preserve">the value of Sub-index </w:t>
      </w:r>
      <w:proofErr w:type="spellStart"/>
      <w:r w:rsidR="00192811" w:rsidRPr="00924FFB">
        <w:rPr>
          <w:rFonts w:cs="Tahoma"/>
          <w:lang w:val="en-US"/>
        </w:rPr>
        <w:t>i</w:t>
      </w:r>
      <w:proofErr w:type="spellEnd"/>
      <w:r w:rsidR="00192811" w:rsidRPr="00924FFB">
        <w:rPr>
          <w:rFonts w:cs="Tahoma"/>
          <w:lang w:val="en-US"/>
        </w:rPr>
        <w:t>,</w:t>
      </w:r>
      <w:r w:rsidR="009E5BAD" w:rsidRPr="00924FFB">
        <w:rPr>
          <w:rFonts w:cs="Tahoma"/>
          <w:lang w:val="en-US"/>
        </w:rPr>
        <w:t xml:space="preserve"> calculated on day </w:t>
      </w:r>
      <w:r w:rsidR="00192811" w:rsidRPr="00924FFB">
        <w:rPr>
          <w:rFonts w:cs="Tahoma"/>
          <w:lang w:val="en-US"/>
        </w:rPr>
        <w:t>n;</w:t>
      </w:r>
    </w:p>
    <w:p w14:paraId="4E49FE75" w14:textId="31E1744D" w:rsidR="00571056" w:rsidRPr="00924FFB" w:rsidRDefault="00C83308" w:rsidP="00882C8F">
      <w:pPr>
        <w:pStyle w:val="af9"/>
        <w:rPr>
          <w:rFonts w:cs="Tahoma"/>
          <w:lang w:val="en-US"/>
        </w:rPr>
      </w:pPr>
      <m:oMath>
        <m:sSubSup>
          <m:sSubSupPr>
            <m:ctrlPr>
              <w:rPr>
                <w:rFonts w:ascii="Cambria Math" w:hAnsi="Cambria Math" w:cs="Tahoma"/>
                <w:i/>
                <w:lang w:val="en-US"/>
              </w:rPr>
            </m:ctrlPr>
          </m:sSubSupPr>
          <m:e>
            <m:r>
              <w:rPr>
                <w:rFonts w:ascii="Cambria Math" w:hAnsi="Cambria Math" w:cs="Tahoma"/>
                <w:lang w:val="en-US"/>
              </w:rPr>
              <m:t>W</m:t>
            </m:r>
          </m:e>
          <m:sub>
            <m:r>
              <w:rPr>
                <w:rFonts w:ascii="Cambria Math" w:hAnsi="Cambria Math" w:cs="Tahoma"/>
                <w:lang w:val="en-US"/>
              </w:rPr>
              <m:t>n-m</m:t>
            </m:r>
          </m:sub>
          <m:sup>
            <m:r>
              <w:rPr>
                <w:rFonts w:ascii="Cambria Math" w:hAnsi="Cambria Math" w:cs="Tahoma"/>
                <w:lang w:val="en-US"/>
              </w:rPr>
              <m:t>i</m:t>
            </m:r>
          </m:sup>
        </m:sSubSup>
      </m:oMath>
      <w:r w:rsidR="00192811" w:rsidRPr="00924FFB">
        <w:rPr>
          <w:rFonts w:cs="Tahoma"/>
          <w:lang w:val="en-US"/>
        </w:rPr>
        <w:t xml:space="preserve"> – </w:t>
      </w:r>
      <w:r w:rsidR="009E5BAD" w:rsidRPr="00924FFB">
        <w:rPr>
          <w:rFonts w:cs="Tahoma"/>
          <w:lang w:val="en-US"/>
        </w:rPr>
        <w:t xml:space="preserve">the restrictive factor for Sub-index I which is updated on day </w:t>
      </w:r>
      <w:r w:rsidR="00192811" w:rsidRPr="00924FFB">
        <w:rPr>
          <w:rFonts w:cs="Tahoma"/>
          <w:lang w:val="en-US"/>
        </w:rPr>
        <w:t>n-m</w:t>
      </w:r>
      <w:r w:rsidR="009E5BAD" w:rsidRPr="00924FFB">
        <w:rPr>
          <w:rFonts w:cs="Tahoma"/>
          <w:lang w:val="en-US"/>
        </w:rPr>
        <w:t>, i.e. the date preceding the last review date for the Sub-index</w:t>
      </w:r>
      <w:r w:rsidR="00693486" w:rsidRPr="00924FFB">
        <w:rPr>
          <w:rFonts w:cs="Tahoma"/>
          <w:lang w:val="en-US"/>
        </w:rPr>
        <w:t>, according to the procedure set out in clause 2.2 below.</w:t>
      </w:r>
    </w:p>
    <w:p w14:paraId="49E8AB3C" w14:textId="17FA61E8" w:rsidR="00051F6A" w:rsidRPr="00924FFB" w:rsidRDefault="00693486" w:rsidP="00373AB9">
      <w:pPr>
        <w:pStyle w:val="30"/>
        <w:ind w:left="1134" w:hanging="708"/>
        <w:rPr>
          <w:rStyle w:val="af7"/>
          <w:rFonts w:ascii="Tahoma" w:hAnsi="Tahoma" w:cs="Tahoma"/>
          <w:szCs w:val="24"/>
          <w:lang w:val="en-US"/>
        </w:rPr>
      </w:pPr>
      <w:bookmarkStart w:id="45" w:name="_Ref332015395"/>
      <w:r w:rsidRPr="00924FFB">
        <w:rPr>
          <w:rStyle w:val="af7"/>
          <w:rFonts w:ascii="Tahoma" w:hAnsi="Tahoma" w:cs="Tahoma"/>
          <w:szCs w:val="24"/>
          <w:lang w:val="en-US"/>
        </w:rPr>
        <w:t xml:space="preserve">The index was first calculated on 28 December 2007 with the base value of </w:t>
      </w:r>
      <w:r w:rsidR="00A91DEC" w:rsidRPr="00924FFB">
        <w:rPr>
          <w:rStyle w:val="af7"/>
          <w:rFonts w:ascii="Tahoma" w:hAnsi="Tahoma" w:cs="Tahoma"/>
          <w:szCs w:val="24"/>
          <w:lang w:val="en-US"/>
        </w:rPr>
        <w:t>I1 = 1</w:t>
      </w:r>
      <w:r w:rsidRPr="00924FFB">
        <w:rPr>
          <w:rStyle w:val="af7"/>
          <w:rFonts w:ascii="Tahoma" w:hAnsi="Tahoma" w:cs="Tahoma"/>
          <w:szCs w:val="24"/>
          <w:lang w:val="en-US"/>
        </w:rPr>
        <w:t>,</w:t>
      </w:r>
      <w:r w:rsidR="00BD1B01" w:rsidRPr="00924FFB">
        <w:rPr>
          <w:rStyle w:val="af7"/>
          <w:rFonts w:ascii="Tahoma" w:hAnsi="Tahoma" w:cs="Tahoma"/>
          <w:szCs w:val="24"/>
          <w:lang w:val="en-US"/>
        </w:rPr>
        <w:t>0</w:t>
      </w:r>
      <w:r w:rsidR="00A91DEC" w:rsidRPr="00924FFB">
        <w:rPr>
          <w:rStyle w:val="af7"/>
          <w:rFonts w:ascii="Tahoma" w:hAnsi="Tahoma" w:cs="Tahoma"/>
          <w:szCs w:val="24"/>
          <w:lang w:val="en-US"/>
        </w:rPr>
        <w:t>00</w:t>
      </w:r>
      <w:r w:rsidRPr="00924FFB">
        <w:rPr>
          <w:rStyle w:val="af7"/>
          <w:rFonts w:ascii="Tahoma" w:hAnsi="Tahoma" w:cs="Tahoma"/>
          <w:szCs w:val="24"/>
          <w:lang w:val="en-US"/>
        </w:rPr>
        <w:t>.</w:t>
      </w:r>
    </w:p>
    <w:p w14:paraId="31377741" w14:textId="77777777" w:rsidR="00693486" w:rsidRPr="00924FFB" w:rsidRDefault="00693486" w:rsidP="00693486">
      <w:pPr>
        <w:pStyle w:val="30"/>
        <w:numPr>
          <w:ilvl w:val="0"/>
          <w:numId w:val="0"/>
        </w:numPr>
        <w:ind w:left="1134"/>
        <w:rPr>
          <w:rStyle w:val="af7"/>
          <w:rFonts w:ascii="Tahoma" w:hAnsi="Tahoma" w:cs="Tahoma"/>
          <w:szCs w:val="24"/>
          <w:lang w:val="en-US"/>
        </w:rPr>
      </w:pPr>
    </w:p>
    <w:p w14:paraId="7B8ACF0E" w14:textId="0E920AD8" w:rsidR="00693486" w:rsidRPr="00924FFB" w:rsidRDefault="006959AE" w:rsidP="006959AE">
      <w:pPr>
        <w:pStyle w:val="30"/>
        <w:ind w:left="1134" w:hanging="708"/>
        <w:rPr>
          <w:rStyle w:val="af7"/>
          <w:rFonts w:ascii="Tahoma" w:hAnsi="Tahoma" w:cs="Tahoma"/>
          <w:szCs w:val="24"/>
          <w:lang w:val="en-US"/>
        </w:rPr>
      </w:pPr>
      <w:bookmarkStart w:id="46" w:name="_Ref335648511"/>
      <w:r w:rsidRPr="00924FFB">
        <w:rPr>
          <w:rStyle w:val="af7"/>
          <w:rFonts w:ascii="Tahoma" w:hAnsi="Tahoma" w:cs="Tahoma"/>
          <w:szCs w:val="24"/>
          <w:lang w:val="en-US"/>
        </w:rPr>
        <w:t>The Sub-indices are given in Appendix 1 hereto. They are calculated according to the procedure set out in Appendices 2 and 3 hereto.</w:t>
      </w:r>
    </w:p>
    <w:p w14:paraId="17363AC2" w14:textId="77777777" w:rsidR="00693486" w:rsidRPr="00924FFB" w:rsidRDefault="00693486" w:rsidP="00693486">
      <w:pPr>
        <w:pStyle w:val="af4"/>
        <w:rPr>
          <w:rStyle w:val="af7"/>
          <w:rFonts w:ascii="Tahoma" w:hAnsi="Tahoma" w:cs="Tahoma"/>
          <w:szCs w:val="24"/>
          <w:lang w:val="en-US"/>
        </w:rPr>
      </w:pPr>
    </w:p>
    <w:bookmarkEnd w:id="45"/>
    <w:bookmarkEnd w:id="46"/>
    <w:p w14:paraId="13B6BB4A" w14:textId="3ADE40EF" w:rsidR="006959AE" w:rsidRPr="00924FFB" w:rsidRDefault="006959AE" w:rsidP="00C31CDB">
      <w:pPr>
        <w:pStyle w:val="30"/>
        <w:ind w:left="1134" w:hanging="708"/>
        <w:rPr>
          <w:rStyle w:val="af7"/>
          <w:rFonts w:ascii="Tahoma" w:hAnsi="Tahoma" w:cs="Tahoma"/>
          <w:szCs w:val="24"/>
          <w:lang w:val="en-US"/>
        </w:rPr>
      </w:pPr>
      <w:r w:rsidRPr="00924FFB">
        <w:rPr>
          <w:rStyle w:val="af7"/>
          <w:rFonts w:ascii="Tahoma" w:hAnsi="Tahoma" w:cs="Tahoma"/>
          <w:szCs w:val="24"/>
          <w:lang w:val="en-US"/>
        </w:rPr>
        <w:t xml:space="preserve">The Indices are </w:t>
      </w:r>
      <w:r w:rsidR="000D5393" w:rsidRPr="00924FFB">
        <w:rPr>
          <w:rStyle w:val="af7"/>
          <w:rFonts w:ascii="Tahoma" w:hAnsi="Tahoma" w:cs="Tahoma"/>
          <w:szCs w:val="24"/>
          <w:lang w:val="en-US"/>
        </w:rPr>
        <w:t xml:space="preserve">expressed </w:t>
      </w:r>
      <w:r w:rsidRPr="00924FFB">
        <w:rPr>
          <w:rStyle w:val="af7"/>
          <w:rFonts w:ascii="Tahoma" w:hAnsi="Tahoma" w:cs="Tahoma"/>
          <w:szCs w:val="24"/>
          <w:lang w:val="en-US"/>
        </w:rPr>
        <w:t xml:space="preserve">in points </w:t>
      </w:r>
      <w:r w:rsidR="000D5393" w:rsidRPr="00924FFB">
        <w:rPr>
          <w:rStyle w:val="af7"/>
          <w:rFonts w:ascii="Tahoma" w:hAnsi="Tahoma" w:cs="Tahoma"/>
          <w:szCs w:val="24"/>
          <w:lang w:val="en-US"/>
        </w:rPr>
        <w:t xml:space="preserve">and rounded </w:t>
      </w:r>
      <w:r w:rsidRPr="00924FFB">
        <w:rPr>
          <w:rStyle w:val="af7"/>
          <w:rFonts w:ascii="Tahoma" w:hAnsi="Tahoma" w:cs="Tahoma"/>
          <w:szCs w:val="24"/>
          <w:lang w:val="en-US"/>
        </w:rPr>
        <w:t xml:space="preserve">to two decimal places. </w:t>
      </w:r>
    </w:p>
    <w:p w14:paraId="643BCFE9" w14:textId="77777777" w:rsidR="006959AE" w:rsidRPr="00924FFB" w:rsidRDefault="006959AE" w:rsidP="006959AE">
      <w:pPr>
        <w:pStyle w:val="af4"/>
        <w:rPr>
          <w:rStyle w:val="af7"/>
          <w:rFonts w:ascii="Tahoma" w:hAnsi="Tahoma" w:cs="Tahoma"/>
          <w:szCs w:val="24"/>
          <w:lang w:val="en-US"/>
        </w:rPr>
      </w:pPr>
    </w:p>
    <w:p w14:paraId="588D1354" w14:textId="1E9657D9" w:rsidR="00354EE2" w:rsidRPr="00924FFB" w:rsidRDefault="000D5393" w:rsidP="00373AB9">
      <w:pPr>
        <w:pStyle w:val="a"/>
        <w:rPr>
          <w:rFonts w:cs="Tahoma"/>
          <w:lang w:val="en-US"/>
        </w:rPr>
      </w:pPr>
      <w:bookmarkStart w:id="47" w:name="_Ref482878825"/>
      <w:bookmarkStart w:id="48" w:name="_Toc488065472"/>
      <w:bookmarkStart w:id="49" w:name="_Toc424122354"/>
      <w:bookmarkStart w:id="50" w:name="_Toc62143963"/>
      <w:r w:rsidRPr="00924FFB">
        <w:rPr>
          <w:rFonts w:cs="Tahoma"/>
          <w:lang w:val="en-US"/>
        </w:rPr>
        <w:t xml:space="preserve">Calculation of </w:t>
      </w:r>
      <w:r w:rsidR="00EC222A" w:rsidRPr="00924FFB">
        <w:rPr>
          <w:rFonts w:cs="Tahoma"/>
          <w:lang w:val="en-US"/>
        </w:rPr>
        <w:t>restrictive factors</w:t>
      </w:r>
      <w:bookmarkEnd w:id="50"/>
      <w:r w:rsidR="00EC222A" w:rsidRPr="00924FFB">
        <w:rPr>
          <w:rFonts w:cs="Tahoma"/>
          <w:lang w:val="en-US"/>
        </w:rPr>
        <w:t xml:space="preserve"> </w:t>
      </w:r>
      <w:bookmarkEnd w:id="47"/>
      <w:bookmarkEnd w:id="48"/>
    </w:p>
    <w:p w14:paraId="5692F5EA" w14:textId="77777777" w:rsidR="00EC222A" w:rsidRPr="00924FFB" w:rsidRDefault="00EC222A" w:rsidP="00EC222A">
      <w:pPr>
        <w:rPr>
          <w:rFonts w:cs="Tahoma"/>
          <w:lang w:val="en-US"/>
        </w:rPr>
      </w:pPr>
    </w:p>
    <w:p w14:paraId="06A1B1A5" w14:textId="1D597B93" w:rsidR="00DB1F1B" w:rsidRPr="00924FFB" w:rsidRDefault="00EC222A" w:rsidP="00373AB9">
      <w:pPr>
        <w:pStyle w:val="30"/>
        <w:ind w:left="1134" w:hanging="708"/>
        <w:rPr>
          <w:rStyle w:val="af7"/>
          <w:rFonts w:ascii="Tahoma" w:hAnsi="Tahoma" w:cs="Tahoma"/>
          <w:szCs w:val="24"/>
          <w:lang w:val="en-US"/>
        </w:rPr>
      </w:pPr>
      <w:bookmarkStart w:id="51" w:name="_Ref487538152"/>
      <w:bookmarkStart w:id="52" w:name="_Ref482878537"/>
      <w:r w:rsidRPr="00924FFB">
        <w:rPr>
          <w:rStyle w:val="af7"/>
          <w:rFonts w:ascii="Tahoma" w:hAnsi="Tahoma" w:cs="Tahoma"/>
          <w:szCs w:val="24"/>
          <w:lang w:val="en-US"/>
        </w:rPr>
        <w:t>The Weight (</w:t>
      </w:r>
      <w:proofErr w:type="spellStart"/>
      <w:r w:rsidRPr="00924FFB">
        <w:rPr>
          <w:rStyle w:val="af7"/>
          <w:rFonts w:ascii="Tahoma" w:hAnsi="Tahoma" w:cs="Tahoma"/>
          <w:szCs w:val="24"/>
          <w:lang w:val="en-US"/>
        </w:rPr>
        <w:t>Wghti</w:t>
      </w:r>
      <w:proofErr w:type="spellEnd"/>
      <w:r w:rsidRPr="00924FFB">
        <w:rPr>
          <w:rStyle w:val="af7"/>
          <w:rFonts w:ascii="Tahoma" w:hAnsi="Tahoma" w:cs="Tahoma"/>
          <w:szCs w:val="24"/>
          <w:lang w:val="en-US"/>
        </w:rPr>
        <w:t xml:space="preserve">) of the </w:t>
      </w:r>
      <w:proofErr w:type="spellStart"/>
      <w:r w:rsidRPr="00924FFB">
        <w:rPr>
          <w:rStyle w:val="af7"/>
          <w:rFonts w:ascii="Tahoma" w:hAnsi="Tahoma" w:cs="Tahoma"/>
          <w:szCs w:val="24"/>
          <w:lang w:val="en-US"/>
        </w:rPr>
        <w:t>i</w:t>
      </w:r>
      <w:r w:rsidRPr="00924FFB">
        <w:rPr>
          <w:rStyle w:val="af7"/>
          <w:rFonts w:ascii="Tahoma" w:hAnsi="Tahoma" w:cs="Tahoma"/>
          <w:szCs w:val="24"/>
          <w:vertAlign w:val="superscript"/>
          <w:lang w:val="en-US"/>
        </w:rPr>
        <w:t>th</w:t>
      </w:r>
      <w:proofErr w:type="spellEnd"/>
      <w:r w:rsidRPr="00924FFB">
        <w:rPr>
          <w:rStyle w:val="af7"/>
          <w:rFonts w:ascii="Tahoma" w:hAnsi="Tahoma" w:cs="Tahoma"/>
          <w:szCs w:val="24"/>
          <w:lang w:val="en-US"/>
        </w:rPr>
        <w:t xml:space="preserve"> Sub-index is calculated as follows:</w:t>
      </w:r>
      <w:bookmarkEnd w:id="51"/>
    </w:p>
    <w:p w14:paraId="1B535843" w14:textId="18C525C2" w:rsidR="00DB1F1B" w:rsidRPr="00924FFB" w:rsidRDefault="00DB1F1B" w:rsidP="00882C8F">
      <w:pPr>
        <w:rPr>
          <w:rFonts w:cs="Tahoma"/>
          <w:sz w:val="24"/>
        </w:rPr>
      </w:pPr>
      <m:oMathPara>
        <m:oMath>
          <m:r>
            <w:rPr>
              <w:rFonts w:ascii="Cambria Math" w:hAnsi="Cambria Math" w:cs="Tahoma"/>
              <w:sz w:val="24"/>
            </w:rPr>
            <m:t>Wgh</m:t>
          </m:r>
          <m:sSub>
            <m:sSubPr>
              <m:ctrlPr>
                <w:rPr>
                  <w:rFonts w:ascii="Cambria Math" w:hAnsi="Cambria Math" w:cs="Tahoma"/>
                  <w:sz w:val="24"/>
                </w:rPr>
              </m:ctrlPr>
            </m:sSubPr>
            <m:e>
              <m:r>
                <w:rPr>
                  <w:rFonts w:ascii="Cambria Math" w:hAnsi="Cambria Math" w:cs="Tahoma"/>
                  <w:sz w:val="24"/>
                </w:rPr>
                <m:t>t</m:t>
              </m:r>
            </m:e>
            <m:sub>
              <m:r>
                <w:rPr>
                  <w:rFonts w:ascii="Cambria Math" w:hAnsi="Cambria Math" w:cs="Tahoma"/>
                  <w:sz w:val="24"/>
                </w:rPr>
                <m:t>i</m:t>
              </m:r>
            </m:sub>
          </m:sSub>
          <m:r>
            <m:rPr>
              <m:sty m:val="p"/>
            </m:rPr>
            <w:rPr>
              <w:rFonts w:ascii="Cambria Math" w:hAnsi="Cambria Math" w:cs="Tahoma"/>
              <w:sz w:val="24"/>
            </w:rPr>
            <m:t>=</m:t>
          </m:r>
          <m:f>
            <m:fPr>
              <m:ctrlPr>
                <w:rPr>
                  <w:rFonts w:ascii="Cambria Math" w:hAnsi="Cambria Math" w:cs="Tahoma"/>
                  <w:sz w:val="24"/>
                </w:rPr>
              </m:ctrlPr>
            </m:fPr>
            <m:num>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num>
            <m:den>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e>
              </m:nary>
            </m:den>
          </m:f>
          <m:r>
            <m:rPr>
              <m:sty m:val="p"/>
            </m:rPr>
            <w:rPr>
              <w:rFonts w:ascii="Cambria Math" w:hAnsi="Cambria Math" w:cs="Tahoma"/>
              <w:sz w:val="24"/>
            </w:rPr>
            <m:t>∙100%.</m:t>
          </m:r>
        </m:oMath>
      </m:oMathPara>
    </w:p>
    <w:p w14:paraId="0700AD72" w14:textId="77777777" w:rsidR="00DB1F1B" w:rsidRPr="00924FFB" w:rsidRDefault="00DB1F1B" w:rsidP="00882C8F">
      <w:pPr>
        <w:pStyle w:val="30"/>
        <w:numPr>
          <w:ilvl w:val="0"/>
          <w:numId w:val="0"/>
        </w:numPr>
        <w:ind w:left="1077"/>
        <w:rPr>
          <w:rFonts w:cs="Tahoma"/>
        </w:rPr>
      </w:pPr>
    </w:p>
    <w:p w14:paraId="46FFF66C" w14:textId="0BF80495" w:rsidR="00A71AB0" w:rsidRPr="00924FFB" w:rsidRDefault="00E14B89" w:rsidP="00C31CDB">
      <w:pPr>
        <w:pStyle w:val="30"/>
        <w:ind w:left="1134" w:hanging="708"/>
        <w:rPr>
          <w:rStyle w:val="af7"/>
          <w:rFonts w:ascii="Tahoma" w:hAnsi="Tahoma" w:cs="Tahoma"/>
          <w:szCs w:val="24"/>
          <w:lang w:val="en-US"/>
        </w:rPr>
      </w:pPr>
      <w:r w:rsidRPr="00924FFB">
        <w:rPr>
          <w:rStyle w:val="af7"/>
          <w:rFonts w:ascii="Tahoma" w:hAnsi="Tahoma" w:cs="Tahoma"/>
          <w:szCs w:val="24"/>
          <w:lang w:val="en-US"/>
        </w:rPr>
        <w:t xml:space="preserve">To </w:t>
      </w:r>
      <w:r w:rsidR="002C3BEC" w:rsidRPr="00924FFB">
        <w:rPr>
          <w:rStyle w:val="af7"/>
          <w:rFonts w:ascii="Tahoma" w:hAnsi="Tahoma" w:cs="Tahoma"/>
          <w:szCs w:val="24"/>
          <w:lang w:val="en-US"/>
        </w:rPr>
        <w:t xml:space="preserve">keep the proper relation between the Sub-indices, weighting factors </w:t>
      </w:r>
      <m:oMath>
        <m:sSubSup>
          <m:sSubSupPr>
            <m:ctrlPr>
              <w:rPr>
                <w:rStyle w:val="af7"/>
                <w:rFonts w:ascii="Cambria Math" w:hAnsi="Cambria Math" w:cs="Tahoma"/>
                <w:szCs w:val="24"/>
              </w:rPr>
            </m:ctrlPr>
          </m:sSubSupPr>
          <m:e>
            <m:r>
              <w:rPr>
                <w:rStyle w:val="af7"/>
                <w:rFonts w:ascii="Cambria Math" w:hAnsi="Cambria Math" w:cs="Tahoma"/>
                <w:szCs w:val="24"/>
              </w:rPr>
              <m:t>W</m:t>
            </m:r>
          </m:e>
          <m:sub>
            <m:r>
              <w:rPr>
                <w:rStyle w:val="af7"/>
                <w:rFonts w:ascii="Cambria Math" w:hAnsi="Cambria Math" w:cs="Tahoma"/>
                <w:szCs w:val="24"/>
              </w:rPr>
              <m:t>n</m:t>
            </m:r>
            <m:r>
              <m:rPr>
                <m:sty m:val="p"/>
              </m:rPr>
              <w:rPr>
                <w:rStyle w:val="af7"/>
                <w:rFonts w:ascii="Cambria Math" w:hAnsi="Cambria Math" w:cs="Tahoma"/>
                <w:szCs w:val="24"/>
                <w:lang w:val="en-US"/>
              </w:rPr>
              <m:t>-</m:t>
            </m:r>
            <m:r>
              <w:rPr>
                <w:rStyle w:val="af7"/>
                <w:rFonts w:ascii="Cambria Math" w:hAnsi="Cambria Math" w:cs="Tahoma"/>
                <w:szCs w:val="24"/>
              </w:rPr>
              <m:t>m</m:t>
            </m:r>
          </m:sub>
          <m:sup>
            <m:r>
              <w:rPr>
                <w:rStyle w:val="af7"/>
                <w:rFonts w:ascii="Cambria Math" w:hAnsi="Cambria Math" w:cs="Tahoma"/>
                <w:szCs w:val="24"/>
              </w:rPr>
              <m:t>i</m:t>
            </m:r>
          </m:sup>
        </m:sSubSup>
      </m:oMath>
      <w:r w:rsidR="002C3BEC" w:rsidRPr="00924FFB">
        <w:rPr>
          <w:rStyle w:val="af7"/>
          <w:rFonts w:ascii="Tahoma" w:hAnsi="Tahoma" w:cs="Tahoma"/>
          <w:szCs w:val="24"/>
          <w:lang w:val="en-US"/>
        </w:rPr>
        <w:t xml:space="preserve"> are used which are calculated in a manner to ensure the Sub-index Weight as of date n-m equals to the Sub-index’s target weight set in Appendix 1 hereto.  </w:t>
      </w:r>
    </w:p>
    <w:p w14:paraId="729A053C" w14:textId="0CAF1D87" w:rsidR="00B2767D" w:rsidRPr="00924FFB" w:rsidRDefault="00F2073D" w:rsidP="00373AB9">
      <w:pPr>
        <w:pStyle w:val="30"/>
        <w:ind w:left="1134" w:hanging="708"/>
        <w:rPr>
          <w:rStyle w:val="af7"/>
          <w:rFonts w:ascii="Tahoma" w:hAnsi="Tahoma" w:cs="Tahoma"/>
          <w:szCs w:val="24"/>
          <w:lang w:val="en-US"/>
        </w:rPr>
      </w:pPr>
      <w:r w:rsidRPr="00924FFB">
        <w:rPr>
          <w:rStyle w:val="af7"/>
          <w:rFonts w:ascii="Tahoma" w:hAnsi="Tahoma" w:cs="Tahoma"/>
          <w:szCs w:val="24"/>
          <w:lang w:val="en-US"/>
        </w:rPr>
        <w:t>The restrictive factors are calculated as follows</w:t>
      </w:r>
      <w:r w:rsidR="002E1D87" w:rsidRPr="00924FFB">
        <w:rPr>
          <w:rStyle w:val="af7"/>
          <w:rFonts w:ascii="Tahoma" w:hAnsi="Tahoma" w:cs="Tahoma"/>
          <w:szCs w:val="24"/>
          <w:lang w:val="en-US"/>
        </w:rPr>
        <w:t>:</w:t>
      </w:r>
    </w:p>
    <w:p w14:paraId="3CA35F29" w14:textId="33682ED3" w:rsidR="002E1D87" w:rsidRPr="00924FFB" w:rsidRDefault="00C83308" w:rsidP="00882C8F">
      <w:pPr>
        <w:rPr>
          <w:rFonts w:cs="Tahoma"/>
          <w:sz w:val="24"/>
        </w:rPr>
      </w:pPr>
      <m:oMathPara>
        <m:oMath>
          <m:sSubSup>
            <m:sSubSupPr>
              <m:ctrlPr>
                <w:rPr>
                  <w:rFonts w:ascii="Cambria Math" w:hAnsi="Cambria Math" w:cs="Tahoma"/>
                  <w:sz w:val="24"/>
                </w:rPr>
              </m:ctrlPr>
            </m:sSubSupPr>
            <m:e>
              <m:r>
                <w:rPr>
                  <w:rFonts w:ascii="Cambria Math" w:hAnsi="Cambria Math" w:cs="Tahoma"/>
                  <w:sz w:val="24"/>
                </w:rPr>
                <m:t>W</m:t>
              </m:r>
            </m:e>
            <m:sub>
              <m:r>
                <m:rPr>
                  <m:sty m:val="p"/>
                </m:rPr>
                <w:rPr>
                  <w:rFonts w:ascii="Cambria Math" w:hAnsi="Cambria Math" w:cs="Tahoma"/>
                  <w:sz w:val="24"/>
                </w:rPr>
                <m:t>1</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C</m:t>
              </m:r>
            </m:e>
            <m:sub>
              <m:r>
                <m:rPr>
                  <m:sty m:val="p"/>
                </m:rPr>
                <w:rPr>
                  <w:rFonts w:ascii="Cambria Math" w:hAnsi="Cambria Math" w:cs="Tahoma"/>
                  <w:sz w:val="24"/>
                </w:rPr>
                <m:t>1</m:t>
              </m:r>
            </m:sub>
            <m:sup>
              <m:r>
                <w:rPr>
                  <w:rFonts w:ascii="Cambria Math" w:hAnsi="Cambria Math" w:cs="Tahoma"/>
                  <w:sz w:val="24"/>
                </w:rPr>
                <m:t>i</m:t>
              </m:r>
            </m:sup>
          </m:sSubSup>
          <m:f>
            <m:fPr>
              <m:ctrlPr>
                <w:rPr>
                  <w:rFonts w:ascii="Cambria Math" w:hAnsi="Cambria Math" w:cs="Tahoma"/>
                  <w:sz w:val="24"/>
                </w:rPr>
              </m:ctrlPr>
            </m:fPr>
            <m:num>
              <m:sSub>
                <m:sSubPr>
                  <m:ctrlPr>
                    <w:rPr>
                      <w:rFonts w:ascii="Cambria Math" w:hAnsi="Cambria Math" w:cs="Tahoma"/>
                      <w:sz w:val="24"/>
                    </w:rPr>
                  </m:ctrlPr>
                </m:sSubPr>
                <m:e>
                  <m:r>
                    <w:rPr>
                      <w:rFonts w:ascii="Cambria Math" w:hAnsi="Cambria Math" w:cs="Tahoma"/>
                      <w:sz w:val="24"/>
                    </w:rPr>
                    <m:t>I</m:t>
                  </m:r>
                </m:e>
                <m:sub>
                  <m:r>
                    <m:rPr>
                      <m:sty m:val="p"/>
                    </m:rPr>
                    <w:rPr>
                      <w:rFonts w:ascii="Cambria Math" w:hAnsi="Cambria Math" w:cs="Tahoma"/>
                      <w:sz w:val="24"/>
                    </w:rPr>
                    <m:t>1</m:t>
                  </m:r>
                </m:sub>
              </m:sSub>
            </m:num>
            <m:den>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m:rPr>
                      <m:sty m:val="p"/>
                    </m:rPr>
                    <w:rPr>
                      <w:rFonts w:ascii="Cambria Math" w:hAnsi="Cambria Math" w:cs="Tahoma"/>
                      <w:sz w:val="24"/>
                    </w:rPr>
                    <m:t>1</m:t>
                  </m:r>
                </m:sub>
                <m:sup>
                  <m:r>
                    <w:rPr>
                      <w:rFonts w:ascii="Cambria Math" w:hAnsi="Cambria Math" w:cs="Tahoma"/>
                      <w:sz w:val="24"/>
                    </w:rPr>
                    <m:t>i</m:t>
                  </m:r>
                </m:sup>
              </m:sSubSup>
            </m:den>
          </m:f>
          <m:r>
            <m:rPr>
              <m:sty m:val="p"/>
            </m:rPr>
            <w:rPr>
              <w:rFonts w:ascii="Cambria Math" w:hAnsi="Cambria Math" w:cs="Tahoma"/>
              <w:sz w:val="24"/>
            </w:rPr>
            <m:t xml:space="preserve"> </m:t>
          </m:r>
        </m:oMath>
      </m:oMathPara>
    </w:p>
    <w:p w14:paraId="363FFC8A" w14:textId="77777777" w:rsidR="002E1D87" w:rsidRPr="00924FFB" w:rsidRDefault="002E1D87" w:rsidP="00882C8F">
      <w:pPr>
        <w:rPr>
          <w:rFonts w:cs="Tahoma"/>
          <w:sz w:val="24"/>
        </w:rPr>
      </w:pPr>
    </w:p>
    <w:p w14:paraId="21507F50" w14:textId="60D6C4B1" w:rsidR="002E1D87" w:rsidRPr="00924FFB" w:rsidRDefault="00C83308" w:rsidP="00882C8F">
      <w:pPr>
        <w:rPr>
          <w:rFonts w:cs="Tahoma"/>
          <w:sz w:val="24"/>
        </w:rPr>
      </w:pPr>
      <m:oMathPara>
        <m:oMath>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r>
                <m:rPr>
                  <m:sty m:val="p"/>
                </m:rPr>
                <w:rPr>
                  <w:rFonts w:ascii="Cambria Math" w:hAnsi="Cambria Math" w:cs="Tahoma"/>
                  <w:sz w:val="24"/>
                </w:rPr>
                <m:t xml:space="preserve">, </m:t>
              </m:r>
              <m:r>
                <w:rPr>
                  <w:rFonts w:ascii="Cambria Math" w:hAnsi="Cambria Math" w:cs="Tahoma"/>
                  <w:sz w:val="24"/>
                </w:rPr>
                <m:t>new</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C</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f>
            <m:fPr>
              <m:ctrlPr>
                <w:rPr>
                  <w:rFonts w:ascii="Cambria Math" w:hAnsi="Cambria Math" w:cs="Tahoma"/>
                  <w:sz w:val="24"/>
                </w:rPr>
              </m:ctrlPr>
            </m:fPr>
            <m:num>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r>
                        <m:rPr>
                          <m:sty m:val="p"/>
                        </m:rPr>
                        <w:rPr>
                          <w:rFonts w:ascii="Cambria Math" w:hAnsi="Cambria Math" w:cs="Tahoma"/>
                          <w:sz w:val="24"/>
                        </w:rPr>
                        <m:t xml:space="preserve">, </m:t>
                      </m:r>
                      <m:r>
                        <w:rPr>
                          <w:rFonts w:ascii="Cambria Math" w:hAnsi="Cambria Math" w:cs="Tahoma"/>
                          <w:sz w:val="24"/>
                        </w:rPr>
                        <m:t>prev</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r>
                        <w:rPr>
                          <w:rFonts w:ascii="Cambria Math" w:hAnsi="Cambria Math" w:cs="Tahoma"/>
                          <w:sz w:val="24"/>
                          <w:lang w:val="en-US"/>
                        </w:rPr>
                        <m:t>m</m:t>
                      </m:r>
                    </m:sub>
                    <m:sup>
                      <m:r>
                        <w:rPr>
                          <w:rFonts w:ascii="Cambria Math" w:hAnsi="Cambria Math" w:cs="Tahoma"/>
                          <w:sz w:val="24"/>
                        </w:rPr>
                        <m:t>i</m:t>
                      </m:r>
                    </m:sup>
                  </m:sSubSup>
                </m:e>
              </m:nary>
            </m:num>
            <m:den>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den>
          </m:f>
          <m:r>
            <m:rPr>
              <m:sty m:val="p"/>
            </m:rPr>
            <w:rPr>
              <w:rFonts w:ascii="Cambria Math" w:hAnsi="Cambria Math" w:cs="Tahoma"/>
              <w:sz w:val="24"/>
            </w:rPr>
            <m:t xml:space="preserve"> </m:t>
          </m:r>
        </m:oMath>
      </m:oMathPara>
    </w:p>
    <w:p w14:paraId="7DEC721B" w14:textId="77777777" w:rsidR="002E1D87" w:rsidRPr="00924FFB" w:rsidRDefault="002E1D87" w:rsidP="00882C8F">
      <w:pPr>
        <w:pStyle w:val="af9"/>
        <w:rPr>
          <w:rFonts w:cs="Tahoma"/>
        </w:rPr>
      </w:pPr>
    </w:p>
    <w:p w14:paraId="19398CCC" w14:textId="7AA10773" w:rsidR="002E1D87" w:rsidRPr="00924FFB" w:rsidRDefault="00F2073D" w:rsidP="00882C8F">
      <w:pPr>
        <w:pStyle w:val="af9"/>
        <w:rPr>
          <w:rFonts w:cs="Tahoma"/>
          <w:lang w:val="en-US"/>
        </w:rPr>
      </w:pPr>
      <w:r w:rsidRPr="00924FFB">
        <w:rPr>
          <w:rFonts w:cs="Tahoma"/>
          <w:lang w:val="en-US"/>
        </w:rPr>
        <w:t>where</w:t>
      </w:r>
      <w:r w:rsidR="002E1D87" w:rsidRPr="00924FFB">
        <w:rPr>
          <w:rFonts w:cs="Tahoma"/>
          <w:lang w:val="en-US"/>
        </w:rPr>
        <w:t xml:space="preserve"> </w:t>
      </w:r>
      <m:oMath>
        <m:sSubSup>
          <m:sSubSupPr>
            <m:ctrlPr>
              <w:rPr>
                <w:rFonts w:ascii="Cambria Math" w:hAnsi="Cambria Math" w:cs="Tahoma"/>
              </w:rPr>
            </m:ctrlPr>
          </m:sSubSupPr>
          <m:e>
            <m:r>
              <w:rPr>
                <w:rFonts w:ascii="Cambria Math" w:hAnsi="Cambria Math" w:cs="Tahoma"/>
              </w:rPr>
              <m:t>C</m:t>
            </m:r>
          </m:e>
          <m:sub>
            <m:r>
              <w:rPr>
                <w:rFonts w:ascii="Cambria Math" w:hAnsi="Cambria Math" w:cs="Tahoma"/>
              </w:rPr>
              <m:t>n</m:t>
            </m:r>
          </m:sub>
          <m:sup>
            <m:r>
              <w:rPr>
                <w:rFonts w:ascii="Cambria Math" w:hAnsi="Cambria Math" w:cs="Tahoma"/>
              </w:rPr>
              <m:t>i</m:t>
            </m:r>
          </m:sup>
        </m:sSubSup>
      </m:oMath>
      <w:r w:rsidR="002E1D87" w:rsidRPr="00924FFB">
        <w:rPr>
          <w:rFonts w:cs="Tahoma"/>
          <w:lang w:val="en-US"/>
        </w:rPr>
        <w:t xml:space="preserve">- </w:t>
      </w:r>
      <w:r w:rsidRPr="00924FFB">
        <w:rPr>
          <w:rFonts w:cs="Tahoma"/>
          <w:lang w:val="en-US"/>
        </w:rPr>
        <w:t xml:space="preserve">the target weight of Sub-index </w:t>
      </w:r>
      <w:proofErr w:type="spellStart"/>
      <w:r w:rsidR="002E1D87" w:rsidRPr="00924FFB">
        <w:rPr>
          <w:rFonts w:cs="Tahoma"/>
          <w:lang w:val="en-US"/>
        </w:rPr>
        <w:t>i</w:t>
      </w:r>
      <w:proofErr w:type="spellEnd"/>
      <w:r w:rsidR="002E1D87" w:rsidRPr="00924FFB">
        <w:rPr>
          <w:rFonts w:cs="Tahoma"/>
          <w:lang w:val="en-US"/>
        </w:rPr>
        <w:t>.</w:t>
      </w:r>
    </w:p>
    <w:p w14:paraId="52C0D8AE" w14:textId="482D5E1A" w:rsidR="001E0929" w:rsidRPr="00924FFB" w:rsidRDefault="005611B9" w:rsidP="00373AB9">
      <w:pPr>
        <w:pStyle w:val="30"/>
        <w:ind w:left="1134" w:hanging="708"/>
        <w:rPr>
          <w:rStyle w:val="af7"/>
          <w:rFonts w:ascii="Tahoma" w:hAnsi="Tahoma" w:cs="Tahoma"/>
          <w:szCs w:val="24"/>
          <w:lang w:val="en-US"/>
        </w:rPr>
      </w:pPr>
      <w:bookmarkStart w:id="53" w:name="_Ref531085703"/>
      <w:r w:rsidRPr="00924FFB">
        <w:rPr>
          <w:rStyle w:val="af7"/>
          <w:rFonts w:ascii="Tahoma" w:hAnsi="Tahoma" w:cs="Tahoma"/>
          <w:szCs w:val="24"/>
          <w:lang w:val="en-US"/>
        </w:rPr>
        <w:t xml:space="preserve"> </w:t>
      </w:r>
      <w:r w:rsidR="00FD6D92" w:rsidRPr="00924FFB">
        <w:rPr>
          <w:rStyle w:val="af7"/>
          <w:rFonts w:ascii="Tahoma" w:hAnsi="Tahoma" w:cs="Tahoma"/>
          <w:szCs w:val="24"/>
          <w:lang w:val="en-US"/>
        </w:rPr>
        <w:t xml:space="preserve">The restrictive factors are reviewed once a quarter at the end of the trading day preceding the last review date for a Sub-index. The newly calculated factors take effect from the next trading day. </w:t>
      </w:r>
    </w:p>
    <w:bookmarkEnd w:id="49"/>
    <w:bookmarkEnd w:id="52"/>
    <w:bookmarkEnd w:id="53"/>
    <w:p w14:paraId="3105E8BF" w14:textId="77777777" w:rsidR="00700330" w:rsidRPr="00924FFB" w:rsidRDefault="00700330" w:rsidP="00882C8F">
      <w:pPr>
        <w:rPr>
          <w:rFonts w:cs="Tahoma"/>
          <w:lang w:val="en-US"/>
        </w:rPr>
      </w:pPr>
    </w:p>
    <w:p w14:paraId="4ABEAFD8" w14:textId="29382C2B" w:rsidR="00096A43" w:rsidRPr="00924FFB" w:rsidRDefault="000F7EB2" w:rsidP="00373AB9">
      <w:pPr>
        <w:pStyle w:val="10"/>
        <w:rPr>
          <w:rFonts w:cs="Tahoma"/>
          <w:lang w:val="en-US"/>
        </w:rPr>
      </w:pPr>
      <w:bookmarkStart w:id="54" w:name="_Toc424906503"/>
      <w:bookmarkStart w:id="55" w:name="_Toc424906574"/>
      <w:bookmarkStart w:id="56" w:name="_Toc424906606"/>
      <w:bookmarkStart w:id="57" w:name="_Toc424906650"/>
      <w:bookmarkStart w:id="58" w:name="_Toc424906694"/>
      <w:bookmarkStart w:id="59" w:name="_Toc424906732"/>
      <w:bookmarkStart w:id="60" w:name="_Toc424909149"/>
      <w:bookmarkStart w:id="61" w:name="_Toc425425272"/>
      <w:bookmarkStart w:id="62" w:name="_Toc424122376"/>
      <w:bookmarkStart w:id="63" w:name="_Toc438206742"/>
      <w:bookmarkStart w:id="64" w:name="_Toc438206778"/>
      <w:bookmarkStart w:id="65" w:name="_Toc438206998"/>
      <w:bookmarkStart w:id="66" w:name="_Toc433902914"/>
      <w:bookmarkStart w:id="67" w:name="_Toc463443772"/>
      <w:bookmarkStart w:id="68" w:name="_Toc488065485"/>
      <w:bookmarkStart w:id="69" w:name="_Ref30771025"/>
      <w:bookmarkStart w:id="70" w:name="_Ref272826482"/>
      <w:bookmarkStart w:id="71" w:name="п_6_1"/>
      <w:bookmarkStart w:id="72" w:name="_Toc62143964"/>
      <w:bookmarkEnd w:id="54"/>
      <w:bookmarkEnd w:id="55"/>
      <w:bookmarkEnd w:id="56"/>
      <w:bookmarkEnd w:id="57"/>
      <w:bookmarkEnd w:id="58"/>
      <w:bookmarkEnd w:id="59"/>
      <w:bookmarkEnd w:id="60"/>
      <w:bookmarkEnd w:id="61"/>
      <w:r w:rsidRPr="00924FFB">
        <w:rPr>
          <w:rFonts w:cs="Tahoma"/>
          <w:lang w:val="en-US"/>
        </w:rPr>
        <w:t>Calculation rules and disclosure</w:t>
      </w:r>
      <w:bookmarkEnd w:id="72"/>
      <w:r w:rsidRPr="00924FFB">
        <w:rPr>
          <w:rFonts w:cs="Tahoma"/>
          <w:lang w:val="en-US"/>
        </w:rPr>
        <w:t xml:space="preserve"> </w:t>
      </w:r>
      <w:bookmarkEnd w:id="62"/>
      <w:bookmarkEnd w:id="63"/>
      <w:bookmarkEnd w:id="64"/>
      <w:bookmarkEnd w:id="65"/>
      <w:bookmarkEnd w:id="66"/>
      <w:bookmarkEnd w:id="67"/>
      <w:bookmarkEnd w:id="68"/>
      <w:bookmarkEnd w:id="69"/>
    </w:p>
    <w:p w14:paraId="36CE6814" w14:textId="77777777" w:rsidR="000F7EB2" w:rsidRPr="00924FFB" w:rsidRDefault="000F7EB2" w:rsidP="000F7EB2">
      <w:pPr>
        <w:rPr>
          <w:rFonts w:cs="Tahoma"/>
          <w:lang w:val="en-US"/>
        </w:rPr>
      </w:pPr>
    </w:p>
    <w:p w14:paraId="5604FDA2" w14:textId="23569F14" w:rsidR="004334AB" w:rsidRPr="00924FFB" w:rsidRDefault="000F7EB2" w:rsidP="00882C8F">
      <w:pPr>
        <w:pStyle w:val="a"/>
        <w:rPr>
          <w:rFonts w:cs="Tahoma"/>
          <w:lang w:val="en-US"/>
        </w:rPr>
      </w:pPr>
      <w:bookmarkStart w:id="73" w:name="_Toc424122379"/>
      <w:bookmarkStart w:id="74" w:name="_Toc438206744"/>
      <w:bookmarkStart w:id="75" w:name="_Toc438206780"/>
      <w:bookmarkStart w:id="76" w:name="_Toc438207000"/>
      <w:bookmarkStart w:id="77" w:name="_Toc433902916"/>
      <w:bookmarkStart w:id="78" w:name="_Toc463443774"/>
      <w:bookmarkStart w:id="79" w:name="_Toc488065487"/>
      <w:bookmarkStart w:id="80" w:name="_Toc62143965"/>
      <w:r w:rsidRPr="00924FFB">
        <w:rPr>
          <w:rFonts w:cs="Tahoma"/>
          <w:lang w:val="en-US"/>
        </w:rPr>
        <w:t>Debt Market Benchmarks Committee</w:t>
      </w:r>
      <w:bookmarkEnd w:id="80"/>
    </w:p>
    <w:p w14:paraId="5D973185" w14:textId="77777777" w:rsidR="000F7EB2" w:rsidRPr="00924FFB" w:rsidRDefault="000F7EB2" w:rsidP="000F7EB2">
      <w:pPr>
        <w:rPr>
          <w:rFonts w:cs="Tahoma"/>
          <w:lang w:val="en-US"/>
        </w:rPr>
      </w:pPr>
    </w:p>
    <w:p w14:paraId="1883250B" w14:textId="50D45B9C" w:rsidR="004334AB" w:rsidRPr="00924FFB" w:rsidRDefault="000F7EB2" w:rsidP="00C31CDB">
      <w:pPr>
        <w:pStyle w:val="30"/>
        <w:ind w:left="1134" w:hanging="708"/>
        <w:rPr>
          <w:rStyle w:val="af7"/>
          <w:rFonts w:ascii="Tahoma" w:hAnsi="Tahoma" w:cs="Tahoma"/>
          <w:szCs w:val="24"/>
          <w:lang w:val="en-US"/>
        </w:rPr>
      </w:pPr>
      <w:r w:rsidRPr="00924FFB">
        <w:rPr>
          <w:rStyle w:val="af7"/>
          <w:rFonts w:ascii="Tahoma" w:hAnsi="Tahoma" w:cs="Tahoma"/>
          <w:szCs w:val="24"/>
          <w:lang w:val="en-US"/>
        </w:rPr>
        <w:t>The Debt Market Benchmarks Committee performs the following functions</w:t>
      </w:r>
      <w:r w:rsidR="004334AB" w:rsidRPr="00924FFB">
        <w:rPr>
          <w:rStyle w:val="af7"/>
          <w:rFonts w:ascii="Tahoma" w:hAnsi="Tahoma" w:cs="Tahoma"/>
          <w:szCs w:val="24"/>
          <w:lang w:val="en-US"/>
        </w:rPr>
        <w:t>:</w:t>
      </w:r>
    </w:p>
    <w:p w14:paraId="2AD63BC4" w14:textId="7EB1FA0A" w:rsidR="000F7EB2" w:rsidRPr="00924FFB" w:rsidRDefault="00891383" w:rsidP="000F7EB2">
      <w:pPr>
        <w:pStyle w:val="11"/>
        <w:rPr>
          <w:rFonts w:cs="Tahoma"/>
          <w:lang w:val="en-US"/>
        </w:rPr>
      </w:pPr>
      <w:r w:rsidRPr="00924FFB">
        <w:rPr>
          <w:rFonts w:cs="Tahoma"/>
          <w:lang w:val="en-US"/>
        </w:rPr>
        <w:t>D</w:t>
      </w:r>
      <w:r w:rsidR="000F7EB2" w:rsidRPr="00924FFB">
        <w:rPr>
          <w:rFonts w:cs="Tahoma"/>
          <w:lang w:val="en-US"/>
        </w:rPr>
        <w:t xml:space="preserve">elivery of expert opinions, proposals and recommendations to executive bodies and the Supervisory Board of the Exchange on the matters concerning Pension Indices management; </w:t>
      </w:r>
    </w:p>
    <w:p w14:paraId="452DBBFC" w14:textId="7DA578F3" w:rsidR="000F7EB2" w:rsidRPr="00924FFB" w:rsidRDefault="00891383" w:rsidP="00A532CD">
      <w:pPr>
        <w:pStyle w:val="11"/>
        <w:rPr>
          <w:rFonts w:cs="Tahoma"/>
          <w:lang w:val="en-US"/>
        </w:rPr>
      </w:pPr>
      <w:r w:rsidRPr="00924FFB">
        <w:rPr>
          <w:rFonts w:cs="Tahoma"/>
          <w:lang w:val="en-US"/>
        </w:rPr>
        <w:t>M</w:t>
      </w:r>
      <w:r w:rsidR="000F7EB2" w:rsidRPr="00924FFB">
        <w:rPr>
          <w:rFonts w:cs="Tahoma"/>
          <w:lang w:val="en-US"/>
        </w:rPr>
        <w:t xml:space="preserve">odification of methodology for Indices calculation, </w:t>
      </w:r>
    </w:p>
    <w:p w14:paraId="7CAA42EB" w14:textId="77D6F370" w:rsidR="000F7EB2" w:rsidRPr="00924FFB" w:rsidRDefault="000F36F9" w:rsidP="00882C8F">
      <w:pPr>
        <w:pStyle w:val="11"/>
        <w:rPr>
          <w:rFonts w:cs="Tahoma"/>
          <w:lang w:val="en-US"/>
        </w:rPr>
      </w:pPr>
      <w:r w:rsidRPr="00924FFB">
        <w:rPr>
          <w:rFonts w:cs="Tahoma"/>
          <w:lang w:val="en-US"/>
        </w:rPr>
        <w:t xml:space="preserve">Making proposals about </w:t>
      </w:r>
      <w:r w:rsidR="00915A6B" w:rsidRPr="00924FFB">
        <w:rPr>
          <w:rFonts w:cs="Tahoma"/>
          <w:lang w:val="en-US"/>
        </w:rPr>
        <w:t xml:space="preserve">new technology and calculation methods for the Exchange and making the relevant recommendations;  </w:t>
      </w:r>
    </w:p>
    <w:p w14:paraId="0C45FB83" w14:textId="5EEF2C8A" w:rsidR="00915A6B" w:rsidRPr="00924FFB" w:rsidRDefault="00915A6B" w:rsidP="00882C8F">
      <w:pPr>
        <w:pStyle w:val="11"/>
        <w:rPr>
          <w:rFonts w:cs="Tahoma"/>
          <w:lang w:val="en-US"/>
        </w:rPr>
      </w:pPr>
      <w:r w:rsidRPr="00924FFB">
        <w:rPr>
          <w:rFonts w:cs="Tahoma"/>
          <w:lang w:val="en-US"/>
        </w:rPr>
        <w:t>Making recommendations regarding disclosure of information about the Indices and other benchmarks;</w:t>
      </w:r>
    </w:p>
    <w:p w14:paraId="1594D9E5" w14:textId="28217393" w:rsidR="000F7EB2" w:rsidRPr="00924FFB" w:rsidRDefault="00891383" w:rsidP="00A532CD">
      <w:pPr>
        <w:pStyle w:val="11"/>
        <w:rPr>
          <w:rFonts w:cs="Tahoma"/>
          <w:lang w:val="en-US"/>
        </w:rPr>
      </w:pPr>
      <w:r w:rsidRPr="00924FFB">
        <w:rPr>
          <w:rFonts w:cs="Tahoma"/>
          <w:lang w:val="en-US"/>
        </w:rPr>
        <w:t>C</w:t>
      </w:r>
      <w:r w:rsidR="000F7EB2" w:rsidRPr="00924FFB">
        <w:rPr>
          <w:rFonts w:cs="Tahoma"/>
          <w:lang w:val="en-US"/>
        </w:rPr>
        <w:t>onsideration of claims and proposals from the users, and, in the event that there are substantiated and considerable claims, development and implementation of relevant changes jointly with the Exchange.</w:t>
      </w:r>
    </w:p>
    <w:p w14:paraId="173634D0" w14:textId="7EEBA017" w:rsidR="000F7EB2" w:rsidRPr="00924FFB" w:rsidRDefault="00891383" w:rsidP="00882C8F">
      <w:pPr>
        <w:pStyle w:val="11"/>
        <w:rPr>
          <w:rFonts w:cs="Tahoma"/>
          <w:lang w:val="en-US"/>
        </w:rPr>
      </w:pPr>
      <w:r w:rsidRPr="00924FFB">
        <w:rPr>
          <w:rFonts w:cs="Tahoma"/>
          <w:lang w:val="en-US"/>
        </w:rPr>
        <w:t xml:space="preserve">Making proposals about the effectiveness of the index management, discussion of the relevant issues and making appropriate recommendations. </w:t>
      </w:r>
    </w:p>
    <w:p w14:paraId="17F7F59E" w14:textId="77777777" w:rsidR="00480CD7" w:rsidRPr="00924FFB" w:rsidRDefault="00480CD7" w:rsidP="00480CD7">
      <w:pPr>
        <w:rPr>
          <w:rFonts w:cs="Tahoma"/>
          <w:lang w:val="en-US"/>
        </w:rPr>
      </w:pPr>
    </w:p>
    <w:p w14:paraId="3069879F" w14:textId="0EC32894" w:rsidR="00891383" w:rsidRPr="00924FFB" w:rsidRDefault="00EC4DCA" w:rsidP="00C31CDB">
      <w:pPr>
        <w:pStyle w:val="30"/>
        <w:ind w:left="1134" w:hanging="708"/>
        <w:rPr>
          <w:rStyle w:val="af7"/>
          <w:rFonts w:ascii="Tahoma" w:hAnsi="Tahoma" w:cs="Tahoma"/>
          <w:szCs w:val="24"/>
          <w:lang w:val="en-US"/>
        </w:rPr>
      </w:pPr>
      <w:r w:rsidRPr="00924FFB">
        <w:rPr>
          <w:rFonts w:cs="Tahoma"/>
          <w:lang w:val="en-US"/>
        </w:rPr>
        <w:t>The Indices are</w:t>
      </w:r>
      <w:r w:rsidR="00891383" w:rsidRPr="00924FFB">
        <w:rPr>
          <w:rFonts w:cs="Tahoma"/>
          <w:lang w:val="en-US"/>
        </w:rPr>
        <w:t xml:space="preserve"> constructed, calculated, reviewed and updated as well as this Methodology is amended in accordance with the administrative principles and rules set out in the Moscow Exchange Index Management Policy.</w:t>
      </w:r>
    </w:p>
    <w:p w14:paraId="4F97774E" w14:textId="77777777" w:rsidR="00EC4DCA" w:rsidRPr="00924FFB" w:rsidRDefault="00EC4DCA" w:rsidP="00EC4DCA">
      <w:pPr>
        <w:rPr>
          <w:rFonts w:cs="Tahoma"/>
          <w:u w:color="0000E9"/>
          <w:lang w:val="en-US"/>
        </w:rPr>
      </w:pPr>
    </w:p>
    <w:p w14:paraId="574EDCA4" w14:textId="4783E9F6" w:rsidR="00096A43" w:rsidRPr="00924FFB" w:rsidRDefault="00EC4DCA" w:rsidP="00373AB9">
      <w:pPr>
        <w:pStyle w:val="a"/>
        <w:rPr>
          <w:rFonts w:cs="Tahoma"/>
          <w:lang w:val="en-US"/>
        </w:rPr>
      </w:pPr>
      <w:bookmarkStart w:id="81" w:name="_Toc62143966"/>
      <w:r w:rsidRPr="00924FFB">
        <w:rPr>
          <w:rFonts w:cs="Tahoma"/>
          <w:lang w:val="en-US"/>
        </w:rPr>
        <w:lastRenderedPageBreak/>
        <w:t>Calculation schedule</w:t>
      </w:r>
      <w:bookmarkEnd w:id="81"/>
      <w:r w:rsidRPr="00924FFB">
        <w:rPr>
          <w:rFonts w:cs="Tahoma"/>
          <w:lang w:val="en-US"/>
        </w:rPr>
        <w:t xml:space="preserve"> </w:t>
      </w:r>
      <w:bookmarkEnd w:id="73"/>
      <w:bookmarkEnd w:id="74"/>
      <w:bookmarkEnd w:id="75"/>
      <w:bookmarkEnd w:id="76"/>
      <w:bookmarkEnd w:id="77"/>
      <w:bookmarkEnd w:id="78"/>
      <w:bookmarkEnd w:id="79"/>
    </w:p>
    <w:p w14:paraId="4E5E31BF" w14:textId="77777777" w:rsidR="00EC4DCA" w:rsidRPr="00924FFB" w:rsidRDefault="00EC4DCA" w:rsidP="00EC4DCA">
      <w:pPr>
        <w:rPr>
          <w:rFonts w:cs="Tahoma"/>
          <w:lang w:val="en-US"/>
        </w:rPr>
      </w:pPr>
    </w:p>
    <w:p w14:paraId="57EAC23D" w14:textId="3BC8C1AA" w:rsidR="00EC4DCA" w:rsidRPr="00924FFB" w:rsidRDefault="00EC4DCA" w:rsidP="00EC4DCA">
      <w:pPr>
        <w:pStyle w:val="30"/>
        <w:ind w:left="1077"/>
        <w:rPr>
          <w:rFonts w:cs="Tahoma"/>
          <w:lang w:val="en-US"/>
        </w:rPr>
      </w:pPr>
      <w:r w:rsidRPr="00924FFB">
        <w:rPr>
          <w:rFonts w:cs="Tahoma"/>
          <w:lang w:val="en-US"/>
        </w:rPr>
        <w:t xml:space="preserve">The Indices are calculated once a day at the close of the main trading session. The only daily values of the Indices are also their current and closing values valid till their next calculation on the next trading day. </w:t>
      </w:r>
    </w:p>
    <w:p w14:paraId="07735394" w14:textId="4E6D4595" w:rsidR="00096A43" w:rsidRPr="00924FFB" w:rsidRDefault="00334AEF" w:rsidP="00F47E5D">
      <w:pPr>
        <w:pStyle w:val="30"/>
        <w:ind w:left="1077"/>
        <w:rPr>
          <w:rStyle w:val="af7"/>
          <w:rFonts w:ascii="Tahoma" w:hAnsi="Tahoma" w:cs="Tahoma"/>
          <w:szCs w:val="24"/>
          <w:lang w:val="en-US"/>
        </w:rPr>
      </w:pPr>
      <w:r w:rsidRPr="00924FFB">
        <w:rPr>
          <w:rStyle w:val="af7"/>
          <w:rFonts w:ascii="Tahoma" w:hAnsi="Tahoma" w:cs="Tahoma"/>
          <w:szCs w:val="24"/>
          <w:lang w:val="en-US"/>
        </w:rPr>
        <w:t xml:space="preserve">The </w:t>
      </w:r>
      <w:r w:rsidRPr="00924FFB">
        <w:rPr>
          <w:rFonts w:cs="Tahoma"/>
          <w:lang w:val="en-US"/>
        </w:rPr>
        <w:t>Exchange</w:t>
      </w:r>
      <w:r w:rsidRPr="00924FFB">
        <w:rPr>
          <w:rStyle w:val="af7"/>
          <w:rFonts w:ascii="Tahoma" w:hAnsi="Tahoma" w:cs="Tahoma"/>
          <w:szCs w:val="24"/>
          <w:lang w:val="en-US"/>
        </w:rPr>
        <w:t xml:space="preserve"> may change the</w:t>
      </w:r>
      <w:r w:rsidR="00EC4DCA" w:rsidRPr="00924FFB">
        <w:rPr>
          <w:rStyle w:val="af7"/>
          <w:rFonts w:ascii="Tahoma" w:hAnsi="Tahoma" w:cs="Tahoma"/>
          <w:szCs w:val="24"/>
          <w:lang w:val="en-US"/>
        </w:rPr>
        <w:t xml:space="preserve"> frequency </w:t>
      </w:r>
      <w:r w:rsidRPr="00924FFB">
        <w:rPr>
          <w:rStyle w:val="af7"/>
          <w:rFonts w:ascii="Tahoma" w:hAnsi="Tahoma" w:cs="Tahoma"/>
          <w:szCs w:val="24"/>
          <w:lang w:val="en-US"/>
        </w:rPr>
        <w:t xml:space="preserve">of calculation </w:t>
      </w:r>
      <w:r w:rsidR="00B8181F" w:rsidRPr="00924FFB">
        <w:rPr>
          <w:rStyle w:val="af7"/>
          <w:rFonts w:ascii="Tahoma" w:hAnsi="Tahoma" w:cs="Tahoma"/>
          <w:szCs w:val="24"/>
          <w:lang w:val="en-US"/>
        </w:rPr>
        <w:t xml:space="preserve">of the Indices subject to terms set out in the Bank of Russia’s regulations. </w:t>
      </w:r>
    </w:p>
    <w:p w14:paraId="49A85840" w14:textId="77777777" w:rsidR="00502FD7" w:rsidRPr="00924FFB" w:rsidRDefault="00502FD7" w:rsidP="00882C8F">
      <w:pPr>
        <w:jc w:val="both"/>
        <w:rPr>
          <w:rFonts w:cs="Tahoma"/>
          <w:szCs w:val="20"/>
          <w:lang w:val="en-US"/>
        </w:rPr>
      </w:pPr>
    </w:p>
    <w:p w14:paraId="5A4E77D9" w14:textId="46F57930" w:rsidR="007A619B" w:rsidRPr="00924FFB" w:rsidRDefault="006F5855" w:rsidP="00882C8F">
      <w:pPr>
        <w:pStyle w:val="a"/>
        <w:rPr>
          <w:rFonts w:cs="Tahoma"/>
          <w:lang w:val="en-US"/>
        </w:rPr>
      </w:pPr>
      <w:bookmarkStart w:id="82" w:name="_Toc424122380"/>
      <w:bookmarkStart w:id="83" w:name="_Toc438206745"/>
      <w:bookmarkStart w:id="84" w:name="_Toc438206781"/>
      <w:bookmarkStart w:id="85" w:name="_Toc438207001"/>
      <w:bookmarkStart w:id="86" w:name="_Toc433902917"/>
      <w:bookmarkStart w:id="87" w:name="_Toc463443775"/>
      <w:bookmarkStart w:id="88" w:name="_Toc488065488"/>
      <w:bookmarkStart w:id="89" w:name="_Toc62143967"/>
      <w:r w:rsidRPr="00924FFB">
        <w:rPr>
          <w:rFonts w:cs="Tahoma"/>
          <w:lang w:val="en-US"/>
        </w:rPr>
        <w:t>Control over the calculation of the Indices</w:t>
      </w:r>
      <w:bookmarkEnd w:id="82"/>
      <w:bookmarkEnd w:id="83"/>
      <w:bookmarkEnd w:id="84"/>
      <w:bookmarkEnd w:id="85"/>
      <w:bookmarkEnd w:id="86"/>
      <w:bookmarkEnd w:id="87"/>
      <w:bookmarkEnd w:id="88"/>
      <w:bookmarkEnd w:id="89"/>
    </w:p>
    <w:p w14:paraId="0CCB3ED2" w14:textId="653BE37E" w:rsidR="006F5855" w:rsidRPr="00924FFB" w:rsidRDefault="006F5855" w:rsidP="006F5855">
      <w:pPr>
        <w:rPr>
          <w:rFonts w:cs="Tahoma"/>
          <w:lang w:val="en-US"/>
        </w:rPr>
      </w:pPr>
    </w:p>
    <w:p w14:paraId="04587C68" w14:textId="77777777" w:rsidR="006F5855" w:rsidRPr="00924FFB" w:rsidRDefault="006F5855" w:rsidP="00F47E5D">
      <w:pPr>
        <w:pStyle w:val="30"/>
        <w:ind w:left="1077"/>
        <w:rPr>
          <w:rFonts w:cs="Tahoma"/>
          <w:lang w:val="en-US"/>
        </w:rPr>
      </w:pPr>
      <w:r w:rsidRPr="00924FFB">
        <w:rPr>
          <w:rFonts w:cs="Tahoma"/>
          <w:lang w:val="en-US"/>
        </w:rPr>
        <w:t>Where a technical failure occurs while the Indices is being calculating, or on-Exchange trades in securities, which has resulted in corruption of data used to calculate indices, recalculation of the previous index values is possible. Such recalculation is carried out within the shortest possible time from the moment the technical failure has been detected. Information on the Indices as recalculated is published on the Exchange’s website.</w:t>
      </w:r>
    </w:p>
    <w:p w14:paraId="18B741FD" w14:textId="77777777" w:rsidR="00B8181F" w:rsidRPr="00924FFB" w:rsidRDefault="00B8181F" w:rsidP="00F47E5D">
      <w:pPr>
        <w:pStyle w:val="30"/>
        <w:ind w:left="1077"/>
        <w:rPr>
          <w:rFonts w:cs="Tahoma"/>
          <w:lang w:val="en-US"/>
        </w:rPr>
      </w:pPr>
      <w:r w:rsidRPr="00924FFB">
        <w:rPr>
          <w:rFonts w:cs="Tahoma"/>
          <w:lang w:val="en-US"/>
        </w:rPr>
        <w:t xml:space="preserve">If </w:t>
      </w:r>
      <w:r w:rsidRPr="00924FFB">
        <w:rPr>
          <w:rStyle w:val="af7"/>
          <w:rFonts w:ascii="Tahoma" w:hAnsi="Tahoma" w:cs="Tahoma"/>
          <w:szCs w:val="24"/>
          <w:lang w:val="en-US"/>
        </w:rPr>
        <w:t>circumstances</w:t>
      </w:r>
      <w:r w:rsidRPr="00924FFB">
        <w:rPr>
          <w:rFonts w:cs="Tahoma"/>
          <w:lang w:val="en-US"/>
        </w:rPr>
        <w:t xml:space="preserve"> occur that may have an adverse impact on the Indices’ ability to effectively represent the pension investment vehicles market, the Exchange can take any measures necessary to ensure representativeness of the Indices, also by removing a Stock from the Equity Sub-Index and/or a bond from the Bond Sub-Index and/or an OFZ from the OFZ Sub-Index or setting parameters used to calculate values set out in this Methodology.</w:t>
      </w:r>
    </w:p>
    <w:p w14:paraId="177DF8FF" w14:textId="77777777" w:rsidR="00562BF9" w:rsidRPr="00924FFB" w:rsidRDefault="00562BF9" w:rsidP="00882C8F">
      <w:pPr>
        <w:rPr>
          <w:rFonts w:cs="Tahoma"/>
          <w:lang w:val="en-US"/>
        </w:rPr>
      </w:pPr>
      <w:bookmarkStart w:id="90" w:name="_Ref423537260"/>
      <w:bookmarkEnd w:id="70"/>
      <w:bookmarkEnd w:id="71"/>
    </w:p>
    <w:p w14:paraId="56C6172B" w14:textId="3AA72E6B" w:rsidR="00657BF4" w:rsidRPr="00924FFB" w:rsidRDefault="00B8181F" w:rsidP="00882C8F">
      <w:pPr>
        <w:pStyle w:val="a"/>
        <w:rPr>
          <w:rFonts w:cs="Tahoma"/>
          <w:lang w:val="en-US"/>
        </w:rPr>
      </w:pPr>
      <w:bookmarkStart w:id="91" w:name="_Toc424122381"/>
      <w:bookmarkStart w:id="92" w:name="_Ref424288365"/>
      <w:bookmarkStart w:id="93" w:name="_Toc438206746"/>
      <w:bookmarkStart w:id="94" w:name="_Toc438206782"/>
      <w:bookmarkStart w:id="95" w:name="_Toc438207002"/>
      <w:bookmarkStart w:id="96" w:name="_Toc433902918"/>
      <w:bookmarkStart w:id="97" w:name="_Toc463443776"/>
      <w:bookmarkStart w:id="98" w:name="_Toc488065489"/>
      <w:bookmarkStart w:id="99" w:name="_Toc62143968"/>
      <w:r w:rsidRPr="00924FFB">
        <w:rPr>
          <w:rFonts w:cs="Tahoma"/>
          <w:lang w:val="en-US"/>
        </w:rPr>
        <w:t>Disclosure</w:t>
      </w:r>
      <w:bookmarkEnd w:id="90"/>
      <w:bookmarkEnd w:id="91"/>
      <w:bookmarkEnd w:id="92"/>
      <w:bookmarkEnd w:id="93"/>
      <w:bookmarkEnd w:id="94"/>
      <w:bookmarkEnd w:id="95"/>
      <w:bookmarkEnd w:id="96"/>
      <w:bookmarkEnd w:id="97"/>
      <w:bookmarkEnd w:id="98"/>
      <w:bookmarkEnd w:id="99"/>
    </w:p>
    <w:p w14:paraId="45749AB2" w14:textId="77777777" w:rsidR="00B8181F" w:rsidRPr="00924FFB" w:rsidRDefault="00B8181F" w:rsidP="00B8181F">
      <w:pPr>
        <w:rPr>
          <w:rFonts w:cs="Tahoma"/>
          <w:lang w:val="en-US"/>
        </w:rPr>
      </w:pPr>
    </w:p>
    <w:p w14:paraId="255F6E2A" w14:textId="63560D9D" w:rsidR="00B8181F" w:rsidRPr="00924FFB" w:rsidRDefault="00B8181F" w:rsidP="00F47E5D">
      <w:pPr>
        <w:pStyle w:val="30"/>
        <w:ind w:left="1077"/>
        <w:rPr>
          <w:rStyle w:val="af7"/>
          <w:rFonts w:ascii="Tahoma" w:hAnsi="Tahoma" w:cs="Tahoma"/>
          <w:szCs w:val="24"/>
          <w:lang w:val="en-US"/>
        </w:rPr>
      </w:pPr>
      <w:r w:rsidRPr="00924FFB">
        <w:rPr>
          <w:rFonts w:cs="Tahoma"/>
          <w:lang w:val="en-US"/>
        </w:rPr>
        <w:t>This</w:t>
      </w:r>
      <w:r w:rsidRPr="00924FFB">
        <w:rPr>
          <w:rStyle w:val="af7"/>
          <w:rFonts w:ascii="Tahoma" w:hAnsi="Tahoma" w:cs="Tahoma"/>
          <w:szCs w:val="24"/>
          <w:lang w:val="en-US"/>
        </w:rPr>
        <w:t xml:space="preserve"> Methodology, values of the Indices for their entire lifetime, information about Constituents of the Bond Sub-Index, Equity Sub-Index and OFZ Sub-Index used to calculate the Indices as well as other information including that </w:t>
      </w:r>
      <w:r w:rsidR="00F47E5D" w:rsidRPr="00924FFB">
        <w:rPr>
          <w:rStyle w:val="af7"/>
          <w:rFonts w:ascii="Tahoma" w:hAnsi="Tahoma" w:cs="Tahoma"/>
          <w:szCs w:val="24"/>
          <w:lang w:val="en-US"/>
        </w:rPr>
        <w:t xml:space="preserve">which is required to be disclosed by regulatory acts in the area of financial markets, are published on the Exchange website. </w:t>
      </w:r>
    </w:p>
    <w:p w14:paraId="02CF39E2" w14:textId="77777777" w:rsidR="000F7EB2" w:rsidRPr="00924FFB" w:rsidRDefault="000F7EB2" w:rsidP="00F47E5D">
      <w:pPr>
        <w:pStyle w:val="30"/>
        <w:ind w:left="1077"/>
        <w:rPr>
          <w:rFonts w:cs="Tahoma"/>
          <w:lang w:val="en-US"/>
        </w:rPr>
      </w:pPr>
      <w:r w:rsidRPr="00924FFB">
        <w:rPr>
          <w:rFonts w:cs="Tahoma"/>
          <w:lang w:val="en-US"/>
        </w:rPr>
        <w:t xml:space="preserve">When changing values used to calculate the Index that are based on expert opinion, the Exchange gives a notice on its website concerning circumstances taking into account in changing the values and the ground for these changes, within one day after the changes took effect. </w:t>
      </w:r>
    </w:p>
    <w:p w14:paraId="094426FB" w14:textId="77777777" w:rsidR="000F7EB2" w:rsidRPr="00924FFB" w:rsidRDefault="000F7EB2" w:rsidP="00F47E5D">
      <w:pPr>
        <w:pStyle w:val="30"/>
        <w:ind w:left="1077"/>
        <w:rPr>
          <w:rFonts w:cs="Tahoma"/>
          <w:lang w:val="en-US"/>
        </w:rPr>
      </w:pPr>
      <w:r w:rsidRPr="00924FFB">
        <w:rPr>
          <w:rFonts w:cs="Tahoma"/>
          <w:lang w:val="en-US"/>
        </w:rPr>
        <w:t xml:space="preserve">The Indices’ values for the previous trading day are announced by 12:00 noon MSK. </w:t>
      </w:r>
    </w:p>
    <w:p w14:paraId="53D12463" w14:textId="5FC7F723" w:rsidR="00F47E5D" w:rsidRPr="00924FFB" w:rsidRDefault="00F47E5D" w:rsidP="00F47E5D">
      <w:pPr>
        <w:pStyle w:val="30"/>
        <w:ind w:left="1077"/>
        <w:rPr>
          <w:rFonts w:cs="Tahoma"/>
          <w:lang w:val="en-US"/>
        </w:rPr>
      </w:pPr>
      <w:r w:rsidRPr="00924FFB">
        <w:rPr>
          <w:rFonts w:cs="Tahoma"/>
          <w:lang w:val="en-US"/>
        </w:rPr>
        <w:t xml:space="preserve">Results of regular reviews of the </w:t>
      </w:r>
      <w:r w:rsidRPr="00924FFB">
        <w:rPr>
          <w:rStyle w:val="af7"/>
          <w:rFonts w:ascii="Tahoma" w:hAnsi="Tahoma" w:cs="Tahoma"/>
          <w:szCs w:val="24"/>
          <w:lang w:val="en-US"/>
        </w:rPr>
        <w:t xml:space="preserve">Bond Sub-Index, Equity Sub-Index and OFZ Sub-Index are published on the Exchange website at least two calendar weeks before they take effect. </w:t>
      </w:r>
    </w:p>
    <w:p w14:paraId="1560E324" w14:textId="370A055B" w:rsidR="00F47E5D" w:rsidRPr="00924FFB" w:rsidRDefault="00F47E5D" w:rsidP="00F47E5D">
      <w:pPr>
        <w:pStyle w:val="30"/>
        <w:ind w:left="1077"/>
        <w:rPr>
          <w:rStyle w:val="af7"/>
          <w:rFonts w:ascii="Tahoma" w:hAnsi="Tahoma" w:cs="Tahoma"/>
          <w:szCs w:val="24"/>
          <w:lang w:val="en-US"/>
        </w:rPr>
      </w:pPr>
      <w:r w:rsidRPr="00924FFB">
        <w:rPr>
          <w:rFonts w:cs="Tahoma"/>
          <w:lang w:val="en-US"/>
        </w:rPr>
        <w:t>Results</w:t>
      </w:r>
      <w:r w:rsidRPr="00924FFB">
        <w:rPr>
          <w:rStyle w:val="af7"/>
          <w:rFonts w:ascii="Tahoma" w:hAnsi="Tahoma" w:cs="Tahoma"/>
          <w:szCs w:val="24"/>
          <w:lang w:val="en-US"/>
        </w:rPr>
        <w:t xml:space="preserve"> of extraordinary reviews of the Bond Sub-Index, Equity Sub-Index and OFZ Sub-Index are published before or on the date they take effect. </w:t>
      </w:r>
    </w:p>
    <w:p w14:paraId="6002C2DB" w14:textId="41192F74" w:rsidR="000F7EB2" w:rsidRPr="00924FFB" w:rsidRDefault="000F7EB2" w:rsidP="00F47E5D">
      <w:pPr>
        <w:pStyle w:val="30"/>
        <w:ind w:left="1077"/>
        <w:rPr>
          <w:rFonts w:cs="Tahoma"/>
          <w:lang w:val="en-US"/>
        </w:rPr>
      </w:pPr>
      <w:r w:rsidRPr="00924FFB">
        <w:rPr>
          <w:rFonts w:cs="Tahoma"/>
          <w:lang w:val="en-US"/>
        </w:rPr>
        <w:t xml:space="preserve">Information to be disclosed </w:t>
      </w:r>
      <w:r w:rsidR="00F47E5D" w:rsidRPr="00924FFB">
        <w:rPr>
          <w:rFonts w:cs="Tahoma"/>
          <w:lang w:val="en-US"/>
        </w:rPr>
        <w:t>under</w:t>
      </w:r>
      <w:r w:rsidRPr="00924FFB">
        <w:rPr>
          <w:rFonts w:cs="Tahoma"/>
          <w:lang w:val="en-US"/>
        </w:rPr>
        <w:t xml:space="preserve"> to this Methodology may also be disseminated in other ways, e.g. through information agencies spreading information on on-Exchange trades in securities.</w:t>
      </w:r>
    </w:p>
    <w:p w14:paraId="3CBABDF5" w14:textId="77777777" w:rsidR="00C20283" w:rsidRPr="00924FFB" w:rsidRDefault="00C20283" w:rsidP="00C20283">
      <w:pPr>
        <w:pStyle w:val="30"/>
        <w:numPr>
          <w:ilvl w:val="0"/>
          <w:numId w:val="0"/>
        </w:numPr>
        <w:ind w:left="1134"/>
        <w:rPr>
          <w:rStyle w:val="af7"/>
          <w:rFonts w:ascii="Tahoma" w:hAnsi="Tahoma" w:cs="Tahoma"/>
          <w:szCs w:val="24"/>
          <w:lang w:val="en-US"/>
        </w:rPr>
      </w:pPr>
    </w:p>
    <w:p w14:paraId="439AB042" w14:textId="49B23658" w:rsidR="00885FCE" w:rsidRPr="00924FFB" w:rsidRDefault="00F47E5D" w:rsidP="00885FCE">
      <w:pPr>
        <w:pStyle w:val="a"/>
        <w:rPr>
          <w:rStyle w:val="af7"/>
          <w:rFonts w:ascii="Tahoma" w:hAnsi="Tahoma" w:cs="Tahoma"/>
          <w:szCs w:val="24"/>
          <w:lang w:val="en-US"/>
        </w:rPr>
      </w:pPr>
      <w:bookmarkStart w:id="100" w:name="_Toc62143969"/>
      <w:r w:rsidRPr="00924FFB">
        <w:rPr>
          <w:rStyle w:val="af7"/>
          <w:rFonts w:ascii="Tahoma" w:hAnsi="Tahoma" w:cs="Tahoma"/>
          <w:szCs w:val="24"/>
          <w:lang w:val="en-US"/>
        </w:rPr>
        <w:t>Transition provision</w:t>
      </w:r>
      <w:bookmarkEnd w:id="100"/>
      <w:r w:rsidRPr="00924FFB">
        <w:rPr>
          <w:rStyle w:val="af7"/>
          <w:rFonts w:ascii="Tahoma" w:hAnsi="Tahoma" w:cs="Tahoma"/>
          <w:szCs w:val="24"/>
          <w:lang w:val="en-US"/>
        </w:rPr>
        <w:t xml:space="preserve"> </w:t>
      </w:r>
    </w:p>
    <w:p w14:paraId="35383E13" w14:textId="77777777" w:rsidR="00F47E5D" w:rsidRPr="00924FFB" w:rsidRDefault="00F47E5D" w:rsidP="00F47E5D">
      <w:pPr>
        <w:rPr>
          <w:rFonts w:cs="Tahoma"/>
          <w:lang w:val="en-US"/>
        </w:rPr>
      </w:pPr>
    </w:p>
    <w:p w14:paraId="6C3F794E" w14:textId="1BD522D0" w:rsidR="00F47E5D" w:rsidRDefault="00662799" w:rsidP="00F47E5D">
      <w:pPr>
        <w:pStyle w:val="30"/>
        <w:ind w:left="1077"/>
        <w:rPr>
          <w:rStyle w:val="af7"/>
          <w:rFonts w:ascii="Tahoma" w:hAnsi="Tahoma" w:cs="Tahoma"/>
          <w:szCs w:val="24"/>
          <w:lang w:val="en-US"/>
        </w:rPr>
      </w:pPr>
      <w:r w:rsidRPr="00924FFB">
        <w:rPr>
          <w:rStyle w:val="af7"/>
          <w:rFonts w:ascii="Tahoma" w:hAnsi="Tahoma" w:cs="Tahoma"/>
          <w:szCs w:val="24"/>
          <w:lang w:val="en-US"/>
        </w:rPr>
        <w:t>The Indices’ Constituents which were approved for the Indices pursuant to the previous version of the Methodology, remain valid for the period from the effective date of this Methodology until the next regular review of the Sub-Indices</w:t>
      </w:r>
      <w:r w:rsidR="000942E0">
        <w:rPr>
          <w:rStyle w:val="af7"/>
          <w:rFonts w:ascii="Tahoma" w:hAnsi="Tahoma" w:cs="Tahoma"/>
          <w:szCs w:val="24"/>
          <w:lang w:val="en-US"/>
        </w:rPr>
        <w:t>.</w:t>
      </w:r>
    </w:p>
    <w:p w14:paraId="5AA5336B" w14:textId="0EB27002" w:rsidR="000942E0" w:rsidRDefault="000942E0">
      <w:pPr>
        <w:rPr>
          <w:rStyle w:val="af7"/>
          <w:rFonts w:ascii="Tahoma" w:hAnsi="Tahoma" w:cs="Tahoma"/>
          <w:szCs w:val="24"/>
          <w:lang w:val="en-US"/>
        </w:rPr>
      </w:pPr>
      <w:r>
        <w:rPr>
          <w:rStyle w:val="af7"/>
          <w:rFonts w:ascii="Tahoma" w:hAnsi="Tahoma" w:cs="Tahoma"/>
          <w:szCs w:val="24"/>
          <w:lang w:val="en-US"/>
        </w:rPr>
        <w:br w:type="page"/>
      </w:r>
    </w:p>
    <w:p w14:paraId="6E7FB1EC" w14:textId="77777777" w:rsidR="000942E0" w:rsidRPr="00924FFB" w:rsidRDefault="000942E0" w:rsidP="000942E0">
      <w:pPr>
        <w:pStyle w:val="30"/>
        <w:numPr>
          <w:ilvl w:val="0"/>
          <w:numId w:val="0"/>
        </w:numPr>
        <w:ind w:left="1077"/>
        <w:rPr>
          <w:rStyle w:val="af7"/>
          <w:rFonts w:ascii="Tahoma" w:hAnsi="Tahoma" w:cs="Tahoma"/>
          <w:szCs w:val="24"/>
          <w:lang w:val="en-US"/>
        </w:rPr>
      </w:pPr>
    </w:p>
    <w:p w14:paraId="6A659E5B" w14:textId="078F54E6" w:rsidR="009B0501" w:rsidRPr="00924FFB" w:rsidRDefault="009B0501" w:rsidP="00882C8F">
      <w:pPr>
        <w:rPr>
          <w:rFonts w:cs="Tahoma"/>
          <w:lang w:val="en-US"/>
        </w:rPr>
      </w:pPr>
    </w:p>
    <w:p w14:paraId="20B8B507" w14:textId="77777777" w:rsidR="00662799" w:rsidRPr="00924FFB" w:rsidRDefault="00662799" w:rsidP="00882C8F">
      <w:pPr>
        <w:rPr>
          <w:rFonts w:cs="Tahoma"/>
          <w:lang w:val="en-US"/>
        </w:rPr>
      </w:pPr>
    </w:p>
    <w:p w14:paraId="6DBD8AAB" w14:textId="51336201" w:rsidR="009B0501" w:rsidRPr="00924FFB" w:rsidRDefault="00FD04C2" w:rsidP="00FD04C2">
      <w:pPr>
        <w:pStyle w:val="10"/>
        <w:numPr>
          <w:ilvl w:val="0"/>
          <w:numId w:val="0"/>
        </w:numPr>
        <w:ind w:left="397"/>
        <w:rPr>
          <w:rFonts w:cs="Tahoma"/>
        </w:rPr>
      </w:pPr>
      <w:bookmarkStart w:id="101" w:name="_Toc351375304"/>
      <w:bookmarkStart w:id="102" w:name="_Toc424122382"/>
      <w:bookmarkStart w:id="103" w:name="_Toc438206747"/>
      <w:bookmarkStart w:id="104" w:name="_Toc438206783"/>
      <w:bookmarkStart w:id="105" w:name="_Toc438207003"/>
      <w:bookmarkStart w:id="106" w:name="_Toc433902919"/>
      <w:bookmarkStart w:id="107" w:name="_Toc463443777"/>
      <w:bookmarkStart w:id="108" w:name="_Toc488065490"/>
      <w:bookmarkStart w:id="109" w:name="_Toc17997677"/>
      <w:bookmarkStart w:id="110" w:name="_Toc62143970"/>
      <w:r w:rsidRPr="00924FFB">
        <w:rPr>
          <w:rFonts w:cs="Tahoma"/>
          <w:lang w:val="en-US"/>
        </w:rPr>
        <w:t>Appendix 1</w:t>
      </w:r>
      <w:bookmarkEnd w:id="101"/>
      <w:bookmarkEnd w:id="102"/>
      <w:bookmarkEnd w:id="103"/>
      <w:bookmarkEnd w:id="104"/>
      <w:bookmarkEnd w:id="105"/>
      <w:bookmarkEnd w:id="106"/>
      <w:bookmarkEnd w:id="107"/>
      <w:bookmarkEnd w:id="108"/>
      <w:bookmarkEnd w:id="109"/>
      <w:bookmarkEnd w:id="110"/>
    </w:p>
    <w:p w14:paraId="3EBDA821" w14:textId="35C03943" w:rsidR="009B0501" w:rsidRPr="00924FFB" w:rsidRDefault="00DE569F" w:rsidP="009B0501">
      <w:pPr>
        <w:tabs>
          <w:tab w:val="left" w:pos="993"/>
        </w:tabs>
        <w:spacing w:before="240" w:after="240"/>
        <w:ind w:left="992"/>
        <w:jc w:val="center"/>
        <w:rPr>
          <w:rFonts w:cs="Tahoma"/>
          <w:b/>
          <w:szCs w:val="20"/>
          <w:lang w:val="en-US"/>
        </w:rPr>
      </w:pPr>
      <w:r w:rsidRPr="00924FFB">
        <w:rPr>
          <w:rFonts w:cs="Tahoma"/>
          <w:b/>
          <w:szCs w:val="20"/>
          <w:lang w:val="en-US"/>
        </w:rPr>
        <w:t>List of Sub-Indices</w:t>
      </w: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7"/>
        <w:gridCol w:w="3294"/>
        <w:gridCol w:w="1819"/>
        <w:gridCol w:w="1256"/>
        <w:gridCol w:w="1256"/>
      </w:tblGrid>
      <w:tr w:rsidR="002D66AD" w:rsidRPr="00924FFB" w14:paraId="1A5FC739" w14:textId="77777777" w:rsidTr="002D66AD">
        <w:trPr>
          <w:trHeight w:val="20"/>
          <w:tblHeader/>
          <w:jc w:val="center"/>
        </w:trPr>
        <w:tc>
          <w:tcPr>
            <w:tcW w:w="1237" w:type="dxa"/>
            <w:vMerge w:val="restart"/>
            <w:vAlign w:val="center"/>
          </w:tcPr>
          <w:p w14:paraId="509678E4" w14:textId="27BC016C" w:rsidR="002D66AD" w:rsidRPr="00924FFB" w:rsidRDefault="00DE569F" w:rsidP="00DE569F">
            <w:pPr>
              <w:spacing w:line="276" w:lineRule="auto"/>
              <w:jc w:val="center"/>
              <w:rPr>
                <w:rFonts w:cs="Tahoma"/>
                <w:b/>
                <w:bCs/>
                <w:color w:val="000000"/>
                <w:szCs w:val="20"/>
                <w:lang w:val="en-US"/>
              </w:rPr>
            </w:pPr>
            <w:r w:rsidRPr="00924FFB">
              <w:rPr>
                <w:rFonts w:cs="Tahoma"/>
                <w:b/>
                <w:bCs/>
                <w:color w:val="000000"/>
                <w:szCs w:val="20"/>
                <w:lang w:val="en-US"/>
              </w:rPr>
              <w:t>Sub-index code</w:t>
            </w:r>
          </w:p>
        </w:tc>
        <w:tc>
          <w:tcPr>
            <w:tcW w:w="3294" w:type="dxa"/>
            <w:vMerge w:val="restart"/>
            <w:vAlign w:val="center"/>
          </w:tcPr>
          <w:p w14:paraId="37A8AD4D" w14:textId="4353F37B" w:rsidR="002D66AD" w:rsidRPr="00924FFB" w:rsidRDefault="00DE569F" w:rsidP="00C244F6">
            <w:pPr>
              <w:spacing w:line="276" w:lineRule="auto"/>
              <w:jc w:val="center"/>
              <w:rPr>
                <w:rFonts w:cs="Tahoma"/>
                <w:b/>
                <w:bCs/>
                <w:color w:val="000000"/>
                <w:szCs w:val="20"/>
              </w:rPr>
            </w:pPr>
            <w:r w:rsidRPr="00924FFB">
              <w:rPr>
                <w:rFonts w:cs="Tahoma"/>
                <w:b/>
                <w:bCs/>
                <w:color w:val="000000"/>
                <w:szCs w:val="20"/>
                <w:lang w:val="en-US"/>
              </w:rPr>
              <w:t>Sub</w:t>
            </w:r>
            <w:r w:rsidRPr="00924FFB">
              <w:rPr>
                <w:rFonts w:cs="Tahoma"/>
                <w:b/>
                <w:bCs/>
                <w:color w:val="000000"/>
                <w:szCs w:val="20"/>
              </w:rPr>
              <w:t>-</w:t>
            </w:r>
            <w:r w:rsidRPr="00924FFB">
              <w:rPr>
                <w:rFonts w:cs="Tahoma"/>
                <w:b/>
                <w:bCs/>
                <w:color w:val="000000"/>
                <w:szCs w:val="20"/>
                <w:lang w:val="en-US"/>
              </w:rPr>
              <w:t>index</w:t>
            </w:r>
            <w:r w:rsidRPr="00924FFB">
              <w:rPr>
                <w:rFonts w:cs="Tahoma"/>
                <w:b/>
                <w:bCs/>
                <w:color w:val="000000"/>
                <w:szCs w:val="20"/>
              </w:rPr>
              <w:t xml:space="preserve"> </w:t>
            </w:r>
            <w:r w:rsidRPr="00924FFB">
              <w:rPr>
                <w:rFonts w:cs="Tahoma"/>
                <w:b/>
                <w:bCs/>
                <w:color w:val="000000"/>
                <w:szCs w:val="20"/>
                <w:lang w:val="en-US"/>
              </w:rPr>
              <w:t>name</w:t>
            </w:r>
          </w:p>
        </w:tc>
        <w:tc>
          <w:tcPr>
            <w:tcW w:w="4331" w:type="dxa"/>
            <w:gridSpan w:val="3"/>
            <w:shd w:val="clear" w:color="auto" w:fill="auto"/>
            <w:vAlign w:val="center"/>
            <w:hideMark/>
          </w:tcPr>
          <w:p w14:paraId="1669DBF2" w14:textId="6739B6AB" w:rsidR="002D66AD" w:rsidRPr="00924FFB" w:rsidRDefault="00DE569F" w:rsidP="002D66AD">
            <w:pPr>
              <w:spacing w:line="276" w:lineRule="auto"/>
              <w:jc w:val="center"/>
              <w:rPr>
                <w:rFonts w:cs="Tahoma"/>
                <w:b/>
                <w:bCs/>
                <w:color w:val="000000"/>
                <w:szCs w:val="20"/>
                <w:lang w:val="en-US"/>
              </w:rPr>
            </w:pPr>
            <w:r w:rsidRPr="00924FFB">
              <w:rPr>
                <w:rFonts w:cs="Tahoma"/>
                <w:b/>
                <w:bCs/>
                <w:color w:val="000000"/>
                <w:szCs w:val="20"/>
                <w:lang w:val="en-US"/>
              </w:rPr>
              <w:t xml:space="preserve">Target weight in the Index as </w:t>
            </w:r>
            <w:r w:rsidR="00924FFB" w:rsidRPr="00924FFB">
              <w:rPr>
                <w:rFonts w:cs="Tahoma"/>
                <w:b/>
                <w:bCs/>
                <w:color w:val="000000"/>
                <w:szCs w:val="20"/>
                <w:lang w:val="en-US"/>
              </w:rPr>
              <w:t xml:space="preserve">at the date of restriction </w:t>
            </w:r>
          </w:p>
        </w:tc>
      </w:tr>
      <w:tr w:rsidR="002D66AD" w:rsidRPr="00924FFB" w14:paraId="76B62C6A" w14:textId="77777777" w:rsidTr="002D66AD">
        <w:trPr>
          <w:trHeight w:val="41"/>
          <w:jc w:val="center"/>
        </w:trPr>
        <w:tc>
          <w:tcPr>
            <w:tcW w:w="1237" w:type="dxa"/>
            <w:vMerge/>
            <w:vAlign w:val="center"/>
          </w:tcPr>
          <w:p w14:paraId="4CE630CD" w14:textId="77777777" w:rsidR="002D66AD" w:rsidRPr="00924FFB" w:rsidRDefault="002D66AD" w:rsidP="00CF6D8D">
            <w:pPr>
              <w:spacing w:line="276" w:lineRule="auto"/>
              <w:rPr>
                <w:rFonts w:cs="Tahoma"/>
                <w:color w:val="000000"/>
                <w:szCs w:val="20"/>
                <w:lang w:val="en-US"/>
              </w:rPr>
            </w:pPr>
          </w:p>
        </w:tc>
        <w:tc>
          <w:tcPr>
            <w:tcW w:w="3294" w:type="dxa"/>
            <w:vMerge/>
            <w:vAlign w:val="center"/>
          </w:tcPr>
          <w:p w14:paraId="35EAFE57" w14:textId="77777777" w:rsidR="002D66AD" w:rsidRPr="00924FFB" w:rsidRDefault="002D66AD" w:rsidP="00CF6D8D">
            <w:pPr>
              <w:spacing w:line="276" w:lineRule="auto"/>
              <w:rPr>
                <w:rFonts w:cs="Tahoma"/>
                <w:color w:val="000000"/>
                <w:szCs w:val="20"/>
                <w:lang w:val="en-US"/>
              </w:rPr>
            </w:pPr>
          </w:p>
        </w:tc>
        <w:tc>
          <w:tcPr>
            <w:tcW w:w="1819" w:type="dxa"/>
            <w:shd w:val="clear" w:color="auto" w:fill="auto"/>
            <w:vAlign w:val="center"/>
          </w:tcPr>
          <w:p w14:paraId="132C2F97" w14:textId="6846A4AE" w:rsidR="002D66AD" w:rsidRPr="00924FFB" w:rsidRDefault="002D66AD" w:rsidP="001A7987">
            <w:pPr>
              <w:spacing w:line="276" w:lineRule="auto"/>
              <w:jc w:val="center"/>
              <w:rPr>
                <w:rFonts w:cs="Tahoma"/>
                <w:b/>
                <w:color w:val="000000"/>
                <w:szCs w:val="20"/>
                <w:lang w:val="en-US"/>
              </w:rPr>
            </w:pPr>
            <w:r w:rsidRPr="00924FFB">
              <w:rPr>
                <w:rFonts w:cs="Tahoma"/>
                <w:b/>
                <w:color w:val="000000"/>
                <w:szCs w:val="20"/>
                <w:lang w:val="en-US"/>
              </w:rPr>
              <w:t>RUPCI</w:t>
            </w:r>
          </w:p>
        </w:tc>
        <w:tc>
          <w:tcPr>
            <w:tcW w:w="1256" w:type="dxa"/>
          </w:tcPr>
          <w:p w14:paraId="7AECA158" w14:textId="3CEC6EDF" w:rsidR="002D66AD" w:rsidRPr="00924FFB" w:rsidRDefault="002D66AD" w:rsidP="00CF6D8D">
            <w:pPr>
              <w:spacing w:line="276" w:lineRule="auto"/>
              <w:jc w:val="center"/>
              <w:rPr>
                <w:rFonts w:cs="Tahoma"/>
                <w:b/>
                <w:color w:val="000000"/>
                <w:szCs w:val="20"/>
                <w:lang w:val="en-US"/>
              </w:rPr>
            </w:pPr>
            <w:r w:rsidRPr="00924FFB">
              <w:rPr>
                <w:rFonts w:cs="Tahoma"/>
                <w:b/>
                <w:color w:val="000000"/>
                <w:szCs w:val="20"/>
                <w:lang w:val="en-US"/>
              </w:rPr>
              <w:t>RUPMI</w:t>
            </w:r>
          </w:p>
        </w:tc>
        <w:tc>
          <w:tcPr>
            <w:tcW w:w="1256" w:type="dxa"/>
          </w:tcPr>
          <w:p w14:paraId="64A0A467" w14:textId="3CCAE9FF" w:rsidR="002D66AD" w:rsidRPr="00924FFB" w:rsidRDefault="002D66AD" w:rsidP="00CF6D8D">
            <w:pPr>
              <w:spacing w:line="276" w:lineRule="auto"/>
              <w:jc w:val="center"/>
              <w:rPr>
                <w:rFonts w:cs="Tahoma"/>
                <w:b/>
                <w:color w:val="000000"/>
                <w:szCs w:val="20"/>
                <w:lang w:val="en-US"/>
              </w:rPr>
            </w:pPr>
            <w:r w:rsidRPr="00924FFB">
              <w:rPr>
                <w:rFonts w:cs="Tahoma"/>
                <w:b/>
                <w:color w:val="000000"/>
                <w:szCs w:val="20"/>
                <w:lang w:val="en-US"/>
              </w:rPr>
              <w:t>RUPAI</w:t>
            </w:r>
          </w:p>
        </w:tc>
      </w:tr>
      <w:tr w:rsidR="002D66AD" w:rsidRPr="00924FFB" w14:paraId="5B1DE11E" w14:textId="77777777" w:rsidTr="002D66AD">
        <w:trPr>
          <w:trHeight w:val="41"/>
          <w:jc w:val="center"/>
        </w:trPr>
        <w:tc>
          <w:tcPr>
            <w:tcW w:w="1237" w:type="dxa"/>
            <w:vAlign w:val="center"/>
          </w:tcPr>
          <w:p w14:paraId="676A988A" w14:textId="6F2F8581" w:rsidR="002D66AD" w:rsidRPr="00924FFB" w:rsidRDefault="002D66AD" w:rsidP="00CF6D8D">
            <w:pPr>
              <w:spacing w:line="276" w:lineRule="auto"/>
              <w:rPr>
                <w:rFonts w:cs="Tahoma"/>
                <w:color w:val="000000"/>
                <w:szCs w:val="20"/>
                <w:lang w:val="en-US"/>
              </w:rPr>
            </w:pPr>
            <w:r w:rsidRPr="00924FFB">
              <w:rPr>
                <w:rFonts w:cs="Tahoma"/>
                <w:color w:val="000000"/>
                <w:szCs w:val="20"/>
                <w:lang w:val="en-US"/>
              </w:rPr>
              <w:t>BPSI</w:t>
            </w:r>
          </w:p>
        </w:tc>
        <w:tc>
          <w:tcPr>
            <w:tcW w:w="3294" w:type="dxa"/>
            <w:vAlign w:val="center"/>
          </w:tcPr>
          <w:p w14:paraId="7F6AE73B" w14:textId="3F7D71EF" w:rsidR="002D66AD" w:rsidRPr="00924FFB" w:rsidRDefault="00DE569F" w:rsidP="00CF6D8D">
            <w:pPr>
              <w:spacing w:line="276" w:lineRule="auto"/>
              <w:rPr>
                <w:rFonts w:cs="Tahoma"/>
                <w:color w:val="000000"/>
                <w:szCs w:val="20"/>
                <w:lang w:val="en-US"/>
              </w:rPr>
            </w:pPr>
            <w:r w:rsidRPr="00924FFB">
              <w:rPr>
                <w:rFonts w:cs="Tahoma"/>
                <w:color w:val="000000"/>
                <w:szCs w:val="20"/>
                <w:lang w:val="en-US"/>
              </w:rPr>
              <w:t>Bond sub-index</w:t>
            </w:r>
          </w:p>
        </w:tc>
        <w:tc>
          <w:tcPr>
            <w:tcW w:w="1819" w:type="dxa"/>
            <w:shd w:val="clear" w:color="auto" w:fill="auto"/>
            <w:vAlign w:val="center"/>
          </w:tcPr>
          <w:p w14:paraId="4335C15D" w14:textId="433FA66E" w:rsidR="002D66AD" w:rsidRPr="00924FFB" w:rsidRDefault="002D66AD" w:rsidP="001A7987">
            <w:pPr>
              <w:spacing w:line="276" w:lineRule="auto"/>
              <w:jc w:val="center"/>
              <w:rPr>
                <w:rFonts w:cs="Tahoma"/>
                <w:color w:val="000000"/>
                <w:szCs w:val="20"/>
              </w:rPr>
            </w:pPr>
            <w:r w:rsidRPr="00924FFB">
              <w:rPr>
                <w:rFonts w:cs="Tahoma"/>
                <w:color w:val="000000"/>
                <w:szCs w:val="20"/>
                <w:lang w:val="en-US"/>
              </w:rPr>
              <w:t>8</w:t>
            </w:r>
            <w:r w:rsidRPr="00924FFB">
              <w:rPr>
                <w:rFonts w:cs="Tahoma"/>
                <w:color w:val="000000"/>
                <w:szCs w:val="20"/>
              </w:rPr>
              <w:t>5%</w:t>
            </w:r>
          </w:p>
        </w:tc>
        <w:tc>
          <w:tcPr>
            <w:tcW w:w="1256" w:type="dxa"/>
          </w:tcPr>
          <w:p w14:paraId="2AC0555B" w14:textId="50FFE2A6" w:rsidR="002D66AD" w:rsidRPr="00924FFB" w:rsidRDefault="002D66AD" w:rsidP="00CF6D8D">
            <w:pPr>
              <w:spacing w:line="276" w:lineRule="auto"/>
              <w:jc w:val="center"/>
              <w:rPr>
                <w:rFonts w:cs="Tahoma"/>
                <w:color w:val="000000"/>
                <w:szCs w:val="20"/>
                <w:lang w:val="en-US"/>
              </w:rPr>
            </w:pPr>
            <w:r w:rsidRPr="00924FFB">
              <w:rPr>
                <w:rFonts w:cs="Tahoma"/>
                <w:color w:val="000000"/>
                <w:szCs w:val="20"/>
                <w:lang w:val="en-US"/>
              </w:rPr>
              <w:t>70%</w:t>
            </w:r>
          </w:p>
        </w:tc>
        <w:tc>
          <w:tcPr>
            <w:tcW w:w="1256" w:type="dxa"/>
          </w:tcPr>
          <w:p w14:paraId="23FF7E3F" w14:textId="65F0EA4A" w:rsidR="002D66AD" w:rsidRPr="00924FFB" w:rsidRDefault="002D66AD" w:rsidP="00CF6D8D">
            <w:pPr>
              <w:spacing w:line="276" w:lineRule="auto"/>
              <w:jc w:val="center"/>
              <w:rPr>
                <w:rFonts w:cs="Tahoma"/>
                <w:color w:val="000000"/>
                <w:szCs w:val="20"/>
                <w:lang w:val="en-US"/>
              </w:rPr>
            </w:pPr>
            <w:r w:rsidRPr="00924FFB">
              <w:rPr>
                <w:rFonts w:cs="Tahoma"/>
                <w:color w:val="000000"/>
                <w:szCs w:val="20"/>
                <w:lang w:val="en-US"/>
              </w:rPr>
              <w:t>40%</w:t>
            </w:r>
          </w:p>
        </w:tc>
      </w:tr>
      <w:tr w:rsidR="002D66AD" w:rsidRPr="00924FFB" w14:paraId="05905F9A" w14:textId="77777777" w:rsidTr="002D66AD">
        <w:trPr>
          <w:trHeight w:val="20"/>
          <w:jc w:val="center"/>
        </w:trPr>
        <w:tc>
          <w:tcPr>
            <w:tcW w:w="1237" w:type="dxa"/>
            <w:vAlign w:val="center"/>
          </w:tcPr>
          <w:p w14:paraId="24522C4B" w14:textId="1402D3D0" w:rsidR="002D66AD" w:rsidRPr="00924FFB" w:rsidRDefault="002D66AD" w:rsidP="001A7987">
            <w:pPr>
              <w:spacing w:line="276" w:lineRule="auto"/>
              <w:rPr>
                <w:rFonts w:cs="Tahoma"/>
                <w:color w:val="000000"/>
                <w:szCs w:val="20"/>
                <w:lang w:val="en-US"/>
              </w:rPr>
            </w:pPr>
            <w:r w:rsidRPr="00924FFB">
              <w:rPr>
                <w:rFonts w:cs="Tahoma"/>
                <w:color w:val="000000"/>
                <w:szCs w:val="20"/>
                <w:lang w:val="en-US"/>
              </w:rPr>
              <w:t>BPSIG</w:t>
            </w:r>
          </w:p>
        </w:tc>
        <w:tc>
          <w:tcPr>
            <w:tcW w:w="3294" w:type="dxa"/>
            <w:vAlign w:val="center"/>
          </w:tcPr>
          <w:p w14:paraId="7F79FE67" w14:textId="5F8B3218" w:rsidR="002D66AD" w:rsidRPr="00924FFB" w:rsidRDefault="00DE569F" w:rsidP="00CF6D8D">
            <w:pPr>
              <w:spacing w:line="276" w:lineRule="auto"/>
              <w:rPr>
                <w:rFonts w:cs="Tahoma"/>
                <w:color w:val="000000"/>
                <w:szCs w:val="20"/>
                <w:lang w:val="en-US"/>
              </w:rPr>
            </w:pPr>
            <w:r w:rsidRPr="00924FFB">
              <w:rPr>
                <w:rFonts w:cs="Tahoma"/>
                <w:color w:val="000000"/>
                <w:szCs w:val="20"/>
                <w:lang w:val="en-US"/>
              </w:rPr>
              <w:t>Government bond sub-index</w:t>
            </w:r>
          </w:p>
        </w:tc>
        <w:tc>
          <w:tcPr>
            <w:tcW w:w="1819" w:type="dxa"/>
            <w:shd w:val="clear" w:color="auto" w:fill="auto"/>
            <w:vAlign w:val="center"/>
          </w:tcPr>
          <w:p w14:paraId="0621A85D" w14:textId="2E1EFB18" w:rsidR="002D66AD" w:rsidRPr="00924FFB" w:rsidRDefault="002D66AD" w:rsidP="001A7987">
            <w:pPr>
              <w:spacing w:line="276" w:lineRule="auto"/>
              <w:jc w:val="center"/>
              <w:rPr>
                <w:rFonts w:cs="Tahoma"/>
                <w:color w:val="000000"/>
                <w:szCs w:val="20"/>
              </w:rPr>
            </w:pPr>
            <w:r w:rsidRPr="00924FFB">
              <w:rPr>
                <w:rFonts w:cs="Tahoma"/>
                <w:color w:val="000000"/>
                <w:szCs w:val="20"/>
                <w:lang w:val="en-US"/>
              </w:rPr>
              <w:t>1</w:t>
            </w:r>
            <w:r w:rsidRPr="00924FFB">
              <w:rPr>
                <w:rFonts w:cs="Tahoma"/>
                <w:color w:val="000000"/>
                <w:szCs w:val="20"/>
              </w:rPr>
              <w:t>5%</w:t>
            </w:r>
          </w:p>
        </w:tc>
        <w:tc>
          <w:tcPr>
            <w:tcW w:w="1256" w:type="dxa"/>
          </w:tcPr>
          <w:p w14:paraId="5AE64A27" w14:textId="2A58E7F3" w:rsidR="002D66AD" w:rsidRPr="00924FFB" w:rsidRDefault="002D66AD" w:rsidP="00CF6D8D">
            <w:pPr>
              <w:spacing w:line="276" w:lineRule="auto"/>
              <w:jc w:val="center"/>
              <w:rPr>
                <w:rFonts w:cs="Tahoma"/>
                <w:color w:val="000000"/>
                <w:szCs w:val="20"/>
                <w:lang w:val="en-US"/>
              </w:rPr>
            </w:pPr>
            <w:r w:rsidRPr="00924FFB">
              <w:rPr>
                <w:rFonts w:cs="Tahoma"/>
                <w:color w:val="000000"/>
                <w:szCs w:val="20"/>
                <w:lang w:val="en-US"/>
              </w:rPr>
              <w:t>20%</w:t>
            </w:r>
          </w:p>
        </w:tc>
        <w:tc>
          <w:tcPr>
            <w:tcW w:w="1256" w:type="dxa"/>
          </w:tcPr>
          <w:p w14:paraId="23F239DF" w14:textId="0F545A61" w:rsidR="002D66AD" w:rsidRPr="00924FFB" w:rsidRDefault="002D66AD" w:rsidP="00CF6D8D">
            <w:pPr>
              <w:spacing w:line="276" w:lineRule="auto"/>
              <w:jc w:val="center"/>
              <w:rPr>
                <w:rFonts w:cs="Tahoma"/>
                <w:color w:val="000000"/>
                <w:szCs w:val="20"/>
                <w:lang w:val="en-US"/>
              </w:rPr>
            </w:pPr>
            <w:r w:rsidRPr="00924FFB">
              <w:rPr>
                <w:rFonts w:cs="Tahoma"/>
                <w:color w:val="000000"/>
                <w:szCs w:val="20"/>
                <w:lang w:val="en-US"/>
              </w:rPr>
              <w:t>20%</w:t>
            </w:r>
          </w:p>
        </w:tc>
      </w:tr>
      <w:tr w:rsidR="002D66AD" w:rsidRPr="00924FFB" w14:paraId="0240D6C4" w14:textId="77777777" w:rsidTr="002D66AD">
        <w:trPr>
          <w:trHeight w:val="20"/>
          <w:jc w:val="center"/>
        </w:trPr>
        <w:tc>
          <w:tcPr>
            <w:tcW w:w="1237" w:type="dxa"/>
            <w:vAlign w:val="center"/>
          </w:tcPr>
          <w:p w14:paraId="0EB0469A" w14:textId="6FC4E84A" w:rsidR="002D66AD" w:rsidRPr="00924FFB" w:rsidRDefault="002D66AD" w:rsidP="001A7987">
            <w:pPr>
              <w:spacing w:line="276" w:lineRule="auto"/>
              <w:rPr>
                <w:rFonts w:eastAsia="Arial" w:cs="Tahoma"/>
                <w:color w:val="000000"/>
                <w:szCs w:val="20"/>
                <w:lang w:val="en-US"/>
              </w:rPr>
            </w:pPr>
            <w:r w:rsidRPr="00924FFB">
              <w:rPr>
                <w:rFonts w:eastAsia="Arial" w:cs="Tahoma"/>
                <w:color w:val="000000"/>
                <w:szCs w:val="20"/>
                <w:lang w:val="en-US"/>
              </w:rPr>
              <w:t>EPSI</w:t>
            </w:r>
            <w:r w:rsidR="008E5479" w:rsidRPr="00924FFB">
              <w:rPr>
                <w:rFonts w:eastAsia="Arial" w:cs="Tahoma"/>
                <w:color w:val="000000"/>
                <w:szCs w:val="20"/>
                <w:lang w:val="en-US"/>
              </w:rPr>
              <w:t>TR</w:t>
            </w:r>
          </w:p>
        </w:tc>
        <w:tc>
          <w:tcPr>
            <w:tcW w:w="3294" w:type="dxa"/>
            <w:vAlign w:val="center"/>
          </w:tcPr>
          <w:p w14:paraId="1B914981" w14:textId="3B430D8D" w:rsidR="002D66AD" w:rsidRPr="00924FFB" w:rsidRDefault="00DE569F" w:rsidP="003D14B4">
            <w:pPr>
              <w:pStyle w:val="af4"/>
              <w:spacing w:line="276" w:lineRule="auto"/>
              <w:ind w:left="0"/>
              <w:rPr>
                <w:rFonts w:cs="Tahoma"/>
                <w:color w:val="000000"/>
                <w:szCs w:val="20"/>
                <w:lang w:val="en-US"/>
              </w:rPr>
            </w:pPr>
            <w:r w:rsidRPr="00924FFB">
              <w:rPr>
                <w:rFonts w:cs="Tahoma"/>
                <w:color w:val="000000"/>
                <w:szCs w:val="20"/>
                <w:lang w:val="en-US"/>
              </w:rPr>
              <w:t>Equity sub-index</w:t>
            </w:r>
          </w:p>
        </w:tc>
        <w:tc>
          <w:tcPr>
            <w:tcW w:w="1819" w:type="dxa"/>
            <w:shd w:val="clear" w:color="auto" w:fill="auto"/>
            <w:vAlign w:val="center"/>
          </w:tcPr>
          <w:p w14:paraId="2FBD9F40" w14:textId="7C2DA0FC" w:rsidR="002D66AD" w:rsidRPr="00924FFB" w:rsidRDefault="002D66AD" w:rsidP="001A7987">
            <w:pPr>
              <w:spacing w:line="276" w:lineRule="auto"/>
              <w:jc w:val="center"/>
              <w:rPr>
                <w:rFonts w:cs="Tahoma"/>
                <w:color w:val="000000"/>
                <w:szCs w:val="20"/>
                <w:lang w:val="en-US"/>
              </w:rPr>
            </w:pPr>
            <w:r w:rsidRPr="00924FFB">
              <w:rPr>
                <w:rFonts w:cs="Tahoma"/>
                <w:color w:val="000000"/>
                <w:szCs w:val="20"/>
                <w:lang w:val="en-US"/>
              </w:rPr>
              <w:t>-</w:t>
            </w:r>
          </w:p>
        </w:tc>
        <w:tc>
          <w:tcPr>
            <w:tcW w:w="1256" w:type="dxa"/>
          </w:tcPr>
          <w:p w14:paraId="4FE9CB94" w14:textId="3CF19FA1" w:rsidR="002D66AD" w:rsidRPr="00924FFB" w:rsidRDefault="002D66AD" w:rsidP="00CF6D8D">
            <w:pPr>
              <w:spacing w:line="276" w:lineRule="auto"/>
              <w:jc w:val="center"/>
              <w:rPr>
                <w:rFonts w:cs="Tahoma"/>
                <w:color w:val="000000"/>
                <w:szCs w:val="20"/>
                <w:lang w:val="en-US"/>
              </w:rPr>
            </w:pPr>
            <w:r w:rsidRPr="00924FFB">
              <w:rPr>
                <w:rFonts w:cs="Tahoma"/>
                <w:color w:val="000000"/>
                <w:szCs w:val="20"/>
                <w:lang w:val="en-US"/>
              </w:rPr>
              <w:t>10%</w:t>
            </w:r>
          </w:p>
        </w:tc>
        <w:tc>
          <w:tcPr>
            <w:tcW w:w="1256" w:type="dxa"/>
          </w:tcPr>
          <w:p w14:paraId="6B8366F2" w14:textId="27DFE963" w:rsidR="002D66AD" w:rsidRPr="00924FFB" w:rsidRDefault="002D66AD" w:rsidP="00CF6D8D">
            <w:pPr>
              <w:spacing w:line="276" w:lineRule="auto"/>
              <w:jc w:val="center"/>
              <w:rPr>
                <w:rFonts w:cs="Tahoma"/>
                <w:color w:val="000000"/>
                <w:szCs w:val="20"/>
                <w:lang w:val="en-US"/>
              </w:rPr>
            </w:pPr>
            <w:r w:rsidRPr="00924FFB">
              <w:rPr>
                <w:rFonts w:cs="Tahoma"/>
                <w:color w:val="000000"/>
                <w:szCs w:val="20"/>
                <w:lang w:val="en-US"/>
              </w:rPr>
              <w:t>40%</w:t>
            </w:r>
          </w:p>
        </w:tc>
      </w:tr>
    </w:tbl>
    <w:p w14:paraId="68898A5E" w14:textId="708E1BDE" w:rsidR="00B62DF6" w:rsidRPr="00924FFB" w:rsidRDefault="00B62DF6" w:rsidP="006500D1">
      <w:pPr>
        <w:rPr>
          <w:rFonts w:cs="Tahoma"/>
        </w:rPr>
      </w:pPr>
    </w:p>
    <w:p w14:paraId="16D00DDC" w14:textId="3D5C844D" w:rsidR="00F15598" w:rsidRPr="00924FFB" w:rsidRDefault="00F15598">
      <w:pPr>
        <w:rPr>
          <w:rFonts w:cs="Tahoma"/>
        </w:rPr>
      </w:pPr>
      <w:r w:rsidRPr="00924FFB">
        <w:rPr>
          <w:rFonts w:cs="Tahoma"/>
        </w:rPr>
        <w:br w:type="page"/>
      </w:r>
    </w:p>
    <w:p w14:paraId="28335270" w14:textId="68948E3A" w:rsidR="00792EED" w:rsidRPr="00924FFB" w:rsidRDefault="004C1EE1" w:rsidP="004C1EE1">
      <w:pPr>
        <w:pStyle w:val="10"/>
        <w:numPr>
          <w:ilvl w:val="0"/>
          <w:numId w:val="0"/>
        </w:numPr>
        <w:ind w:left="397"/>
        <w:rPr>
          <w:rFonts w:cs="Tahoma"/>
        </w:rPr>
      </w:pPr>
      <w:bookmarkStart w:id="111" w:name="_Toc62143971"/>
      <w:r w:rsidRPr="00924FFB">
        <w:rPr>
          <w:rFonts w:cs="Tahoma"/>
          <w:lang w:val="en-US"/>
        </w:rPr>
        <w:lastRenderedPageBreak/>
        <w:t xml:space="preserve">Appendix </w:t>
      </w:r>
      <w:r w:rsidR="00792EED" w:rsidRPr="00924FFB">
        <w:rPr>
          <w:rFonts w:cs="Tahoma"/>
        </w:rPr>
        <w:t>2</w:t>
      </w:r>
      <w:bookmarkEnd w:id="111"/>
    </w:p>
    <w:p w14:paraId="6EEA395F" w14:textId="074B1275" w:rsidR="0036576E" w:rsidRPr="00924FFB" w:rsidRDefault="00CE558D" w:rsidP="00792EED">
      <w:pPr>
        <w:tabs>
          <w:tab w:val="left" w:pos="993"/>
        </w:tabs>
        <w:spacing w:before="240" w:after="240"/>
        <w:ind w:left="992" w:hanging="141"/>
        <w:jc w:val="center"/>
        <w:rPr>
          <w:rFonts w:cs="Tahoma"/>
          <w:b/>
          <w:szCs w:val="20"/>
          <w:lang w:val="en-US"/>
        </w:rPr>
      </w:pPr>
      <w:r w:rsidRPr="00924FFB">
        <w:rPr>
          <w:rFonts w:cs="Tahoma"/>
          <w:b/>
          <w:szCs w:val="20"/>
          <w:lang w:val="en-US"/>
        </w:rPr>
        <w:t>Calc</w:t>
      </w:r>
      <w:r w:rsidR="0036576E" w:rsidRPr="00924FFB">
        <w:rPr>
          <w:rFonts w:cs="Tahoma"/>
          <w:b/>
          <w:szCs w:val="20"/>
          <w:lang w:val="en-US"/>
        </w:rPr>
        <w:t>ul</w:t>
      </w:r>
      <w:r w:rsidRPr="00924FFB">
        <w:rPr>
          <w:rFonts w:cs="Tahoma"/>
          <w:b/>
          <w:szCs w:val="20"/>
          <w:lang w:val="en-US"/>
        </w:rPr>
        <w:t>a</w:t>
      </w:r>
      <w:r w:rsidR="0036576E" w:rsidRPr="00924FFB">
        <w:rPr>
          <w:rFonts w:cs="Tahoma"/>
          <w:b/>
          <w:szCs w:val="20"/>
          <w:lang w:val="en-US"/>
        </w:rPr>
        <w:t xml:space="preserve">tion guide to Bond Sub-Index (BPSI) and Government Bond Sub-Index (BPSIG)  </w:t>
      </w:r>
    </w:p>
    <w:p w14:paraId="7CAF49BF" w14:textId="1A595AC0" w:rsidR="00792EED" w:rsidRPr="00924FFB" w:rsidRDefault="0036576E" w:rsidP="00E7783E">
      <w:pPr>
        <w:pStyle w:val="af4"/>
        <w:numPr>
          <w:ilvl w:val="0"/>
          <w:numId w:val="9"/>
        </w:numPr>
        <w:rPr>
          <w:rFonts w:cs="Tahoma"/>
          <w:b/>
        </w:rPr>
      </w:pPr>
      <w:bookmarkStart w:id="112" w:name="_Toc468200613"/>
      <w:r w:rsidRPr="00924FFB">
        <w:rPr>
          <w:rFonts w:cs="Tahoma"/>
          <w:b/>
          <w:lang w:val="en-US"/>
        </w:rPr>
        <w:t xml:space="preserve">Terms and definitions </w:t>
      </w:r>
    </w:p>
    <w:p w14:paraId="70FB32F1" w14:textId="77777777" w:rsidR="0036576E" w:rsidRPr="00924FFB" w:rsidRDefault="0036576E" w:rsidP="0036576E">
      <w:pPr>
        <w:pStyle w:val="af4"/>
        <w:ind w:left="397"/>
        <w:rPr>
          <w:rFonts w:cs="Tahoma"/>
          <w:b/>
        </w:rPr>
      </w:pPr>
    </w:p>
    <w:p w14:paraId="6BAD1EBE" w14:textId="120950CB" w:rsidR="00792EED" w:rsidRPr="00924FFB" w:rsidRDefault="0036576E" w:rsidP="00E7783E">
      <w:pPr>
        <w:pStyle w:val="11"/>
        <w:numPr>
          <w:ilvl w:val="4"/>
          <w:numId w:val="9"/>
        </w:numPr>
        <w:ind w:left="993"/>
        <w:rPr>
          <w:rFonts w:cs="Tahoma"/>
          <w:lang w:val="en-US"/>
        </w:rPr>
      </w:pPr>
      <w:r w:rsidRPr="00924FFB">
        <w:rPr>
          <w:rFonts w:cs="Tahoma"/>
          <w:u w:val="single"/>
          <w:lang w:val="en-US"/>
        </w:rPr>
        <w:t>Government Bonds</w:t>
      </w:r>
      <w:r w:rsidR="00BB3693" w:rsidRPr="00924FFB">
        <w:rPr>
          <w:rFonts w:cs="Tahoma"/>
          <w:u w:val="single"/>
          <w:lang w:val="en-US"/>
        </w:rPr>
        <w:t xml:space="preserve">, </w:t>
      </w:r>
      <w:r w:rsidRPr="00924FFB">
        <w:rPr>
          <w:rFonts w:cs="Tahoma"/>
          <w:u w:val="single"/>
          <w:lang w:val="en-US"/>
        </w:rPr>
        <w:t>OFZ</w:t>
      </w:r>
      <w:r w:rsidR="00792EED" w:rsidRPr="00924FFB">
        <w:rPr>
          <w:rFonts w:cs="Tahoma"/>
          <w:lang w:val="en-US"/>
        </w:rPr>
        <w:t xml:space="preserve"> – </w:t>
      </w:r>
      <w:r w:rsidRPr="00924FFB">
        <w:rPr>
          <w:rFonts w:cs="Tahoma"/>
          <w:lang w:val="en-US"/>
        </w:rPr>
        <w:t xml:space="preserve">Russian government bonds excluding Eurobonds, admitted to trading on MOEX. </w:t>
      </w:r>
    </w:p>
    <w:p w14:paraId="7659D9AF" w14:textId="7B2EBFC9" w:rsidR="0036576E" w:rsidRPr="00924FFB" w:rsidRDefault="0036576E" w:rsidP="009976F5">
      <w:pPr>
        <w:pStyle w:val="11"/>
        <w:numPr>
          <w:ilvl w:val="4"/>
          <w:numId w:val="9"/>
        </w:numPr>
        <w:ind w:left="993"/>
        <w:rPr>
          <w:rStyle w:val="af7"/>
          <w:rFonts w:ascii="Tahoma" w:hAnsi="Tahoma" w:cs="Tahoma"/>
          <w:lang w:val="en-US"/>
        </w:rPr>
      </w:pPr>
      <w:r w:rsidRPr="00924FFB">
        <w:rPr>
          <w:rStyle w:val="af7"/>
          <w:rFonts w:ascii="Tahoma" w:hAnsi="Tahoma" w:cs="Tahoma"/>
          <w:u w:val="single"/>
          <w:lang w:val="en-US"/>
        </w:rPr>
        <w:t>Maturity Date</w:t>
      </w:r>
      <w:r w:rsidR="009976F5" w:rsidRPr="00924FFB">
        <w:rPr>
          <w:rStyle w:val="af7"/>
          <w:rFonts w:ascii="Tahoma" w:hAnsi="Tahoma" w:cs="Tahoma"/>
          <w:lang w:val="en-US"/>
        </w:rPr>
        <w:t xml:space="preserve"> </w:t>
      </w:r>
      <w:r w:rsidRPr="00924FFB">
        <w:rPr>
          <w:rStyle w:val="af7"/>
          <w:rFonts w:ascii="Tahoma" w:hAnsi="Tahoma" w:cs="Tahoma"/>
          <w:lang w:val="en-US"/>
        </w:rPr>
        <w:t>–</w:t>
      </w:r>
      <w:r w:rsidR="009976F5" w:rsidRPr="00924FFB">
        <w:rPr>
          <w:rStyle w:val="af7"/>
          <w:rFonts w:ascii="Tahoma" w:hAnsi="Tahoma" w:cs="Tahoma"/>
          <w:lang w:val="en-US"/>
        </w:rPr>
        <w:t xml:space="preserve"> </w:t>
      </w:r>
      <w:r w:rsidRPr="00924FFB">
        <w:rPr>
          <w:rStyle w:val="af7"/>
          <w:rFonts w:ascii="Tahoma" w:hAnsi="Tahoma" w:cs="Tahoma"/>
          <w:lang w:val="en-US"/>
        </w:rPr>
        <w:t xml:space="preserve">the maturity or early redemption (a put option) date of the Bond issue if early redemption </w:t>
      </w:r>
      <w:r w:rsidR="00CE558D" w:rsidRPr="00924FFB">
        <w:rPr>
          <w:rStyle w:val="af7"/>
          <w:rFonts w:ascii="Tahoma" w:hAnsi="Tahoma" w:cs="Tahoma"/>
          <w:lang w:val="en-US"/>
        </w:rPr>
        <w:t xml:space="preserve">is provided for in the issue prospectus. </w:t>
      </w:r>
      <w:r w:rsidRPr="00924FFB">
        <w:rPr>
          <w:rStyle w:val="af7"/>
          <w:rFonts w:ascii="Tahoma" w:hAnsi="Tahoma" w:cs="Tahoma"/>
          <w:lang w:val="en-US"/>
        </w:rPr>
        <w:t xml:space="preserve"> </w:t>
      </w:r>
    </w:p>
    <w:p w14:paraId="193EE86C" w14:textId="1ED2D551" w:rsidR="00CE558D" w:rsidRPr="00924FFB" w:rsidRDefault="00CE558D" w:rsidP="00E7783E">
      <w:pPr>
        <w:pStyle w:val="11"/>
        <w:numPr>
          <w:ilvl w:val="4"/>
          <w:numId w:val="9"/>
        </w:numPr>
        <w:ind w:left="993"/>
        <w:rPr>
          <w:rFonts w:cs="Tahoma"/>
          <w:lang w:val="en-US"/>
        </w:rPr>
      </w:pPr>
      <w:r w:rsidRPr="00924FFB">
        <w:rPr>
          <w:rFonts w:cs="Tahoma"/>
          <w:u w:val="single"/>
          <w:lang w:val="en-US"/>
        </w:rPr>
        <w:t>Index Review Date</w:t>
      </w:r>
      <w:r w:rsidR="006D68A5" w:rsidRPr="00924FFB">
        <w:rPr>
          <w:rFonts w:cs="Tahoma"/>
          <w:lang w:val="en-US"/>
        </w:rPr>
        <w:t xml:space="preserve"> – </w:t>
      </w:r>
      <w:r w:rsidRPr="00924FFB">
        <w:rPr>
          <w:rFonts w:cs="Tahoma"/>
          <w:lang w:val="en-US"/>
        </w:rPr>
        <w:t xml:space="preserve">the day as of which statistical data for compiling the Index is calculated. These dates are 15 February, 15 May, 15 August and 15 November. If the date is a non-trading day, the Index Review Date is a trading day preceding the 15th day of the relevant month.     </w:t>
      </w:r>
    </w:p>
    <w:p w14:paraId="102ED853" w14:textId="30A8BC01" w:rsidR="00C70D13" w:rsidRPr="00924FFB" w:rsidRDefault="00CE558D" w:rsidP="00C83308">
      <w:pPr>
        <w:pStyle w:val="11"/>
        <w:numPr>
          <w:ilvl w:val="4"/>
          <w:numId w:val="9"/>
        </w:numPr>
        <w:ind w:left="993"/>
        <w:rPr>
          <w:rFonts w:cs="Tahoma"/>
          <w:lang w:val="en-US"/>
        </w:rPr>
      </w:pPr>
      <w:r w:rsidRPr="00924FFB">
        <w:rPr>
          <w:rFonts w:cs="Tahoma"/>
          <w:u w:val="single"/>
          <w:lang w:val="en-US"/>
        </w:rPr>
        <w:t>Co</w:t>
      </w:r>
      <w:r w:rsidR="009E2799" w:rsidRPr="00924FFB">
        <w:rPr>
          <w:rFonts w:cs="Tahoma"/>
          <w:u w:val="single"/>
          <w:lang w:val="en-US"/>
        </w:rPr>
        <w:t>rporate B</w:t>
      </w:r>
      <w:r w:rsidRPr="00924FFB">
        <w:rPr>
          <w:rFonts w:cs="Tahoma"/>
          <w:u w:val="single"/>
          <w:lang w:val="en-US"/>
        </w:rPr>
        <w:t>onds</w:t>
      </w:r>
      <w:r w:rsidR="00C70D13" w:rsidRPr="00924FFB">
        <w:rPr>
          <w:rFonts w:cs="Tahoma"/>
          <w:lang w:val="en-US"/>
        </w:rPr>
        <w:t xml:space="preserve"> </w:t>
      </w:r>
      <w:r w:rsidRPr="00924FFB">
        <w:rPr>
          <w:rFonts w:cs="Tahoma"/>
          <w:lang w:val="en-US"/>
        </w:rPr>
        <w:t>–</w:t>
      </w:r>
      <w:r w:rsidR="00C70D13" w:rsidRPr="00924FFB">
        <w:rPr>
          <w:rFonts w:cs="Tahoma"/>
          <w:lang w:val="en-US"/>
        </w:rPr>
        <w:t xml:space="preserve"> </w:t>
      </w:r>
      <w:r w:rsidR="009E2799" w:rsidRPr="00924FFB">
        <w:rPr>
          <w:rFonts w:cs="Tahoma"/>
          <w:lang w:val="en-US"/>
        </w:rPr>
        <w:t>bonds issued</w:t>
      </w:r>
      <w:r w:rsidRPr="00924FFB">
        <w:rPr>
          <w:rFonts w:cs="Tahoma"/>
          <w:lang w:val="en-US"/>
        </w:rPr>
        <w:t xml:space="preserve"> by Russian corporate issuers</w:t>
      </w:r>
      <w:r w:rsidR="009E2799" w:rsidRPr="00924FFB">
        <w:rPr>
          <w:rFonts w:cs="Tahoma"/>
          <w:lang w:val="en-US"/>
        </w:rPr>
        <w:t xml:space="preserve">, exclusive of Eurobonds. </w:t>
      </w:r>
    </w:p>
    <w:p w14:paraId="6EA1BE2B" w14:textId="64705F60" w:rsidR="00A161CB" w:rsidRPr="00924FFB" w:rsidRDefault="009E2799" w:rsidP="00C83308">
      <w:pPr>
        <w:pStyle w:val="11"/>
        <w:numPr>
          <w:ilvl w:val="4"/>
          <w:numId w:val="9"/>
        </w:numPr>
        <w:ind w:left="993"/>
        <w:rPr>
          <w:rFonts w:cs="Tahoma"/>
          <w:lang w:val="en-US"/>
        </w:rPr>
      </w:pPr>
      <w:r w:rsidRPr="00924FFB">
        <w:rPr>
          <w:rFonts w:cs="Tahoma"/>
          <w:u w:val="single"/>
          <w:lang w:val="en-US"/>
        </w:rPr>
        <w:t>Municipal Bonds</w:t>
      </w:r>
      <w:r w:rsidRPr="00924FFB">
        <w:rPr>
          <w:rFonts w:cs="Tahoma"/>
          <w:lang w:val="en-US"/>
        </w:rPr>
        <w:t xml:space="preserve"> – bonds of a local government or territory of Russia. </w:t>
      </w:r>
    </w:p>
    <w:p w14:paraId="5DB5BFA8" w14:textId="7DECB22A" w:rsidR="00D90B64" w:rsidRPr="00924FFB" w:rsidRDefault="009E2799" w:rsidP="00E7783E">
      <w:pPr>
        <w:pStyle w:val="11"/>
        <w:numPr>
          <w:ilvl w:val="4"/>
          <w:numId w:val="9"/>
        </w:numPr>
        <w:ind w:left="993"/>
        <w:rPr>
          <w:rFonts w:cs="Tahoma"/>
          <w:lang w:val="en-US"/>
        </w:rPr>
      </w:pPr>
      <w:r w:rsidRPr="00924FFB">
        <w:rPr>
          <w:rFonts w:cs="Tahoma"/>
          <w:u w:val="single"/>
          <w:lang w:val="en-US"/>
        </w:rPr>
        <w:t>Bonds</w:t>
      </w:r>
      <w:r w:rsidR="00D90B64" w:rsidRPr="00924FFB">
        <w:rPr>
          <w:rFonts w:cs="Tahoma"/>
          <w:lang w:val="en-US"/>
        </w:rPr>
        <w:t xml:space="preserve"> </w:t>
      </w:r>
      <w:r w:rsidR="0035642B" w:rsidRPr="00924FFB">
        <w:rPr>
          <w:rFonts w:cs="Tahoma"/>
          <w:lang w:val="en-US"/>
        </w:rPr>
        <w:t>–</w:t>
      </w:r>
      <w:r w:rsidR="00A161CB" w:rsidRPr="00924FFB">
        <w:rPr>
          <w:rFonts w:cs="Tahoma"/>
          <w:lang w:val="en-US"/>
        </w:rPr>
        <w:t xml:space="preserve"> </w:t>
      </w:r>
      <w:r w:rsidRPr="00924FFB">
        <w:rPr>
          <w:rFonts w:cs="Tahoma"/>
          <w:lang w:val="en-US"/>
        </w:rPr>
        <w:t>Corporate Bonds and Municipal Bonds admitted to trading on MOEX.</w:t>
      </w:r>
    </w:p>
    <w:p w14:paraId="16A6AD1B" w14:textId="71A774AF" w:rsidR="00D04D1A" w:rsidRPr="00924FFB" w:rsidRDefault="009E2799" w:rsidP="00D04D1A">
      <w:pPr>
        <w:pStyle w:val="11"/>
        <w:numPr>
          <w:ilvl w:val="4"/>
          <w:numId w:val="9"/>
        </w:numPr>
        <w:ind w:left="993"/>
        <w:rPr>
          <w:rFonts w:cs="Tahoma"/>
          <w:lang w:val="en-US"/>
        </w:rPr>
      </w:pPr>
      <w:r w:rsidRPr="00924FFB">
        <w:rPr>
          <w:rFonts w:cs="Tahoma"/>
          <w:u w:val="single"/>
          <w:lang w:val="en-US"/>
        </w:rPr>
        <w:t xml:space="preserve">Call Option </w:t>
      </w:r>
      <w:r w:rsidR="00D04D1A" w:rsidRPr="00924FFB">
        <w:rPr>
          <w:rFonts w:cs="Tahoma"/>
          <w:lang w:val="en-US"/>
        </w:rPr>
        <w:t xml:space="preserve">– </w:t>
      </w:r>
      <w:r w:rsidRPr="00924FFB">
        <w:rPr>
          <w:rFonts w:cs="Tahoma"/>
          <w:lang w:val="en-US"/>
        </w:rPr>
        <w:t>an option</w:t>
      </w:r>
      <w:r w:rsidR="006716EA" w:rsidRPr="00924FFB">
        <w:rPr>
          <w:rFonts w:cs="Tahoma"/>
          <w:lang w:val="en-US"/>
        </w:rPr>
        <w:t xml:space="preserve"> for early redemption of a Bond</w:t>
      </w:r>
      <w:r w:rsidRPr="00924FFB">
        <w:rPr>
          <w:rFonts w:cs="Tahoma"/>
          <w:lang w:val="en-US"/>
        </w:rPr>
        <w:t xml:space="preserve"> at the initiative of the Bond Issuer. </w:t>
      </w:r>
    </w:p>
    <w:p w14:paraId="73ECA044" w14:textId="16C60D97" w:rsidR="006716EA" w:rsidRPr="00924FFB" w:rsidRDefault="006716EA" w:rsidP="00D04D1A">
      <w:pPr>
        <w:pStyle w:val="11"/>
        <w:numPr>
          <w:ilvl w:val="4"/>
          <w:numId w:val="9"/>
        </w:numPr>
        <w:ind w:left="993"/>
        <w:rPr>
          <w:rFonts w:cs="Tahoma"/>
          <w:lang w:val="en-US"/>
        </w:rPr>
      </w:pPr>
      <w:r w:rsidRPr="00924FFB">
        <w:rPr>
          <w:rFonts w:cs="Tahoma"/>
          <w:u w:val="single"/>
          <w:lang w:val="en-US"/>
        </w:rPr>
        <w:t>Trading Day</w:t>
      </w:r>
      <w:r w:rsidR="00D04D1A" w:rsidRPr="00924FFB">
        <w:rPr>
          <w:rFonts w:cs="Tahoma"/>
          <w:lang w:val="en-US"/>
        </w:rPr>
        <w:t xml:space="preserve"> – </w:t>
      </w:r>
      <w:r w:rsidRPr="00924FFB">
        <w:rPr>
          <w:rFonts w:cs="Tahoma"/>
          <w:lang w:val="en-US"/>
        </w:rPr>
        <w:t>a trading day on which the trading volume of a Bond for the Main Trading Session in the Central Order Book T+ Mode (the “T+ Central Order Book”) is min. RUB 100,000.</w:t>
      </w:r>
    </w:p>
    <w:p w14:paraId="112E5954" w14:textId="77777777" w:rsidR="006716EA" w:rsidRPr="00924FFB" w:rsidRDefault="006716EA" w:rsidP="006716EA">
      <w:pPr>
        <w:ind w:left="360"/>
        <w:outlineLvl w:val="0"/>
        <w:rPr>
          <w:rFonts w:cs="Tahoma"/>
          <w:b/>
          <w:szCs w:val="20"/>
          <w:lang w:val="en-US"/>
        </w:rPr>
      </w:pPr>
    </w:p>
    <w:p w14:paraId="5B015EE8" w14:textId="3E2837CA" w:rsidR="00792EED" w:rsidRPr="00924FFB" w:rsidRDefault="006716EA" w:rsidP="00E7783E">
      <w:pPr>
        <w:numPr>
          <w:ilvl w:val="0"/>
          <w:numId w:val="9"/>
        </w:numPr>
        <w:tabs>
          <w:tab w:val="num" w:pos="360"/>
        </w:tabs>
        <w:ind w:left="360" w:hanging="360"/>
        <w:outlineLvl w:val="0"/>
        <w:rPr>
          <w:rFonts w:cs="Tahoma"/>
          <w:b/>
          <w:szCs w:val="20"/>
        </w:rPr>
      </w:pPr>
      <w:r w:rsidRPr="00924FFB">
        <w:rPr>
          <w:rFonts w:cs="Tahoma"/>
          <w:b/>
          <w:szCs w:val="20"/>
          <w:lang w:val="en-US"/>
        </w:rPr>
        <w:t xml:space="preserve">Calculation method </w:t>
      </w:r>
      <w:bookmarkEnd w:id="112"/>
    </w:p>
    <w:p w14:paraId="3A2593C1" w14:textId="77777777" w:rsidR="006716EA" w:rsidRPr="00924FFB" w:rsidRDefault="006716EA" w:rsidP="006716EA">
      <w:pPr>
        <w:ind w:left="360"/>
        <w:outlineLvl w:val="0"/>
        <w:rPr>
          <w:rFonts w:cs="Tahoma"/>
          <w:b/>
          <w:szCs w:val="20"/>
        </w:rPr>
      </w:pPr>
    </w:p>
    <w:p w14:paraId="5C99F348" w14:textId="018BC70A" w:rsidR="006716EA" w:rsidRPr="00924FFB" w:rsidRDefault="006716EA" w:rsidP="00E7783E">
      <w:pPr>
        <w:numPr>
          <w:ilvl w:val="1"/>
          <w:numId w:val="9"/>
        </w:numPr>
        <w:tabs>
          <w:tab w:val="num" w:pos="972"/>
        </w:tabs>
        <w:ind w:left="972" w:hanging="432"/>
        <w:jc w:val="both"/>
        <w:rPr>
          <w:rFonts w:cs="Tahoma"/>
          <w:szCs w:val="20"/>
          <w:lang w:val="en-US"/>
        </w:rPr>
      </w:pPr>
      <w:bookmarkStart w:id="113" w:name="_Ref323386348"/>
      <w:bookmarkStart w:id="114" w:name="п_2_1"/>
      <w:r w:rsidRPr="00924FFB">
        <w:rPr>
          <w:rFonts w:cs="Tahoma"/>
          <w:szCs w:val="20"/>
          <w:lang w:val="en-US"/>
        </w:rPr>
        <w:t xml:space="preserve">The Bond Sub-Index and Government Bond Sub-Index are calculated every trading day at the close of trading in the T+ Central Order Book based on MOEX’s market data for Bonds and OGZs </w:t>
      </w:r>
    </w:p>
    <w:p w14:paraId="63048383" w14:textId="3B5A8E03" w:rsidR="006716EA" w:rsidRPr="00924FFB" w:rsidRDefault="006716EA" w:rsidP="00E7783E">
      <w:pPr>
        <w:numPr>
          <w:ilvl w:val="1"/>
          <w:numId w:val="9"/>
        </w:numPr>
        <w:tabs>
          <w:tab w:val="num" w:pos="972"/>
        </w:tabs>
        <w:ind w:left="972" w:hanging="432"/>
        <w:jc w:val="both"/>
        <w:rPr>
          <w:rFonts w:cs="Tahoma"/>
          <w:szCs w:val="20"/>
          <w:lang w:val="en-US"/>
        </w:rPr>
      </w:pPr>
      <w:r w:rsidRPr="00924FFB">
        <w:rPr>
          <w:rFonts w:cs="Tahoma"/>
          <w:szCs w:val="20"/>
          <w:lang w:val="en-US"/>
        </w:rPr>
        <w:t xml:space="preserve">The Sub-Indices </w:t>
      </w:r>
      <w:r w:rsidR="00672B44" w:rsidRPr="00924FFB">
        <w:rPr>
          <w:rFonts w:cs="Tahoma"/>
          <w:szCs w:val="20"/>
          <w:lang w:val="en-US"/>
        </w:rPr>
        <w:t>are total return indices, i.e. they reference the pr</w:t>
      </w:r>
      <w:r w:rsidR="00CE6A33" w:rsidRPr="00924FFB">
        <w:rPr>
          <w:rFonts w:cs="Tahoma"/>
          <w:szCs w:val="20"/>
          <w:lang w:val="en-US"/>
        </w:rPr>
        <w:t xml:space="preserve">ice and ACI of the Bonds or OFZ, subject to reinvested coupon payments. </w:t>
      </w:r>
    </w:p>
    <w:bookmarkEnd w:id="113"/>
    <w:p w14:paraId="16B8CF1C" w14:textId="60F16619" w:rsidR="00B60B34" w:rsidRPr="00924FFB" w:rsidRDefault="00CE6A33" w:rsidP="00C83308">
      <w:pPr>
        <w:numPr>
          <w:ilvl w:val="1"/>
          <w:numId w:val="9"/>
        </w:numPr>
        <w:tabs>
          <w:tab w:val="num" w:pos="972"/>
        </w:tabs>
        <w:ind w:left="972" w:hanging="432"/>
        <w:jc w:val="both"/>
        <w:rPr>
          <w:rFonts w:cs="Tahoma"/>
          <w:szCs w:val="20"/>
          <w:lang w:val="en-US"/>
        </w:rPr>
      </w:pPr>
      <w:r w:rsidRPr="00924FFB">
        <w:rPr>
          <w:rFonts w:cs="Tahoma"/>
          <w:szCs w:val="20"/>
          <w:lang w:val="en-US"/>
        </w:rPr>
        <w:t xml:space="preserve">The Bond Sub-Index code is </w:t>
      </w:r>
      <w:r w:rsidR="00B60B34" w:rsidRPr="00924FFB">
        <w:rPr>
          <w:rFonts w:cs="Tahoma"/>
          <w:szCs w:val="20"/>
          <w:lang w:val="en-US"/>
        </w:rPr>
        <w:t xml:space="preserve">BPSI. </w:t>
      </w:r>
      <w:r w:rsidRPr="00924FFB">
        <w:rPr>
          <w:rFonts w:cs="Tahoma"/>
          <w:szCs w:val="20"/>
          <w:lang w:val="en-US"/>
        </w:rPr>
        <w:t xml:space="preserve">The Government Bond Sub-Index code is </w:t>
      </w:r>
      <w:r w:rsidR="00B60B34" w:rsidRPr="00924FFB">
        <w:rPr>
          <w:rFonts w:cs="Tahoma"/>
          <w:szCs w:val="20"/>
          <w:lang w:val="en-US"/>
        </w:rPr>
        <w:t>BPSIG.</w:t>
      </w:r>
    </w:p>
    <w:p w14:paraId="0F3EEF6D" w14:textId="1C5D4C6B" w:rsidR="00CE6A33" w:rsidRPr="00924FFB" w:rsidRDefault="00CE6A33" w:rsidP="00E7783E">
      <w:pPr>
        <w:numPr>
          <w:ilvl w:val="1"/>
          <w:numId w:val="9"/>
        </w:numPr>
        <w:tabs>
          <w:tab w:val="num" w:pos="972"/>
        </w:tabs>
        <w:ind w:left="972" w:hanging="432"/>
        <w:jc w:val="both"/>
        <w:rPr>
          <w:rFonts w:cs="Tahoma"/>
          <w:szCs w:val="20"/>
          <w:lang w:val="en-US"/>
        </w:rPr>
      </w:pPr>
      <w:r w:rsidRPr="00924FFB">
        <w:rPr>
          <w:rFonts w:cs="Tahoma"/>
          <w:szCs w:val="20"/>
          <w:lang w:val="en-US"/>
        </w:rPr>
        <w:t xml:space="preserve">The Bond and Government Bond Sub-Indices are calculated as per the following formula:  </w:t>
      </w:r>
    </w:p>
    <w:p w14:paraId="05EA296D" w14:textId="5AEE416C" w:rsidR="00792EED" w:rsidRPr="00924FFB" w:rsidRDefault="00C83308" w:rsidP="00792EED">
      <w:pPr>
        <w:ind w:left="972"/>
        <w:jc w:val="both"/>
        <w:rPr>
          <w:rFonts w:cs="Tahoma"/>
          <w:sz w:val="24"/>
        </w:rPr>
      </w:pPr>
      <m:oMathPara>
        <m:oMath>
          <m:sSub>
            <m:sSubPr>
              <m:ctrlPr>
                <w:rPr>
                  <w:rFonts w:ascii="Cambria Math" w:hAnsi="Cambria Math" w:cs="Tahoma"/>
                  <w:i/>
                  <w:sz w:val="24"/>
                  <w:lang w:val="en-US"/>
                </w:rPr>
              </m:ctrlPr>
            </m:sSubPr>
            <m:e>
              <m:r>
                <w:rPr>
                  <w:rFonts w:ascii="Cambria Math" w:hAnsi="Cambria Math" w:cs="Tahoma"/>
                  <w:sz w:val="24"/>
                </w:rPr>
                <m:t>Sub_</m:t>
              </m:r>
              <m:r>
                <w:rPr>
                  <w:rFonts w:ascii="Cambria Math" w:hAnsi="Cambria Math" w:cs="Tahoma"/>
                  <w:sz w:val="24"/>
                  <w:lang w:val="en-US"/>
                </w:rPr>
                <m:t>I</m:t>
              </m:r>
            </m:e>
            <m:sub>
              <m:r>
                <w:rPr>
                  <w:rFonts w:ascii="Cambria Math" w:hAnsi="Cambria Math" w:cs="Tahoma"/>
                  <w:sz w:val="24"/>
                  <w:lang w:val="en-US"/>
                </w:rPr>
                <m:t>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rPr>
                <m:t>Sub_</m:t>
              </m:r>
              <m:r>
                <w:rPr>
                  <w:rFonts w:ascii="Cambria Math" w:hAnsi="Cambria Math" w:cs="Tahoma"/>
                  <w:sz w:val="24"/>
                  <w:lang w:val="en-US"/>
                </w:rPr>
                <m:t>I</m:t>
              </m:r>
            </m:e>
            <m:sub>
              <m:r>
                <w:rPr>
                  <w:rFonts w:ascii="Cambria Math" w:hAnsi="Cambria Math" w:cs="Tahoma"/>
                  <w:sz w:val="24"/>
                  <w:lang w:val="en-US"/>
                </w:rPr>
                <m:t>n-1</m:t>
              </m:r>
            </m:sub>
          </m:sSub>
          <m:r>
            <w:rPr>
              <w:rFonts w:ascii="Cambria Math" w:hAnsi="Cambria Math" w:cs="Tahoma"/>
              <w:sz w:val="24"/>
            </w:rPr>
            <m:t xml:space="preserve"> ∙</m:t>
          </m:r>
          <m:f>
            <m:fPr>
              <m:ctrlPr>
                <w:rPr>
                  <w:rFonts w:ascii="Cambria Math" w:hAnsi="Cambria Math" w:cs="Tahoma"/>
                  <w:i/>
                  <w:sz w:val="24"/>
                </w:rPr>
              </m:ctrlPr>
            </m:fPr>
            <m:num>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G</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r>
                    <w:rPr>
                      <w:rFonts w:ascii="Cambria Math" w:hAnsi="Cambria Math" w:cs="Tahoma"/>
                      <w:sz w:val="24"/>
                    </w:rPr>
                    <m:t>,</m:t>
                  </m:r>
                </m:e>
              </m:nary>
            </m:num>
            <m:den>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i,n-1</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i,n-1</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i,n-1</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e>
              </m:nary>
            </m:den>
          </m:f>
        </m:oMath>
      </m:oMathPara>
    </w:p>
    <w:p w14:paraId="0343F139" w14:textId="650D6B9B" w:rsidR="00792EED" w:rsidRPr="00924FFB" w:rsidRDefault="00CE6A33" w:rsidP="00792EED">
      <w:pPr>
        <w:pStyle w:val="af9"/>
        <w:rPr>
          <w:rFonts w:cs="Tahoma"/>
          <w:lang w:val="en-US"/>
        </w:rPr>
      </w:pPr>
      <w:r w:rsidRPr="00924FFB">
        <w:rPr>
          <w:rFonts w:cs="Tahoma"/>
          <w:lang w:val="en-US"/>
        </w:rPr>
        <w:t>where</w:t>
      </w:r>
      <w:r w:rsidR="00792EED" w:rsidRPr="00924FFB">
        <w:rPr>
          <w:rFonts w:cs="Tahoma"/>
          <w:lang w:val="en-US"/>
        </w:rPr>
        <w:t>:</w:t>
      </w:r>
    </w:p>
    <w:p w14:paraId="6089DB24" w14:textId="33A68458" w:rsidR="00792EED" w:rsidRPr="00924FFB" w:rsidRDefault="00600851" w:rsidP="00792EED">
      <w:pPr>
        <w:pStyle w:val="af9"/>
        <w:rPr>
          <w:rFonts w:cs="Tahoma"/>
          <w:lang w:val="en-US"/>
        </w:rPr>
      </w:pPr>
      <w:proofErr w:type="spellStart"/>
      <w:r w:rsidRPr="00924FFB">
        <w:rPr>
          <w:rFonts w:cs="Tahoma"/>
          <w:lang w:val="en-US"/>
        </w:rPr>
        <w:t>Sub_</w:t>
      </w:r>
      <w:r w:rsidR="00792EED" w:rsidRPr="00924FFB">
        <w:rPr>
          <w:rFonts w:cs="Tahoma"/>
          <w:lang w:val="en-US"/>
        </w:rPr>
        <w:t>I</w:t>
      </w:r>
      <w:r w:rsidR="00792EED" w:rsidRPr="00924FFB">
        <w:rPr>
          <w:rFonts w:cs="Tahoma"/>
          <w:vertAlign w:val="subscript"/>
          <w:lang w:val="en-US"/>
        </w:rPr>
        <w:t>n</w:t>
      </w:r>
      <w:proofErr w:type="spellEnd"/>
      <w:r w:rsidR="00792EED" w:rsidRPr="00924FFB">
        <w:rPr>
          <w:rFonts w:cs="Tahoma"/>
          <w:lang w:val="en-US"/>
        </w:rPr>
        <w:t xml:space="preserve"> – </w:t>
      </w:r>
      <w:r w:rsidR="00CE6A33" w:rsidRPr="00924FFB">
        <w:rPr>
          <w:rFonts w:cs="Tahoma"/>
          <w:lang w:val="en-US"/>
        </w:rPr>
        <w:t>the value of the Sub-Index at time</w:t>
      </w:r>
      <w:r w:rsidR="00792EED" w:rsidRPr="00924FFB">
        <w:rPr>
          <w:rFonts w:cs="Tahoma"/>
          <w:lang w:val="en-US"/>
        </w:rPr>
        <w:t xml:space="preserve"> n;</w:t>
      </w:r>
    </w:p>
    <w:p w14:paraId="162FEAEE" w14:textId="2987E4DB" w:rsidR="00CE6A33" w:rsidRPr="00924FFB" w:rsidRDefault="00792EED" w:rsidP="00792EED">
      <w:pPr>
        <w:pStyle w:val="af9"/>
        <w:rPr>
          <w:rFonts w:cs="Tahoma"/>
          <w:lang w:val="en-US"/>
        </w:rPr>
      </w:pPr>
      <w:proofErr w:type="spellStart"/>
      <w:proofErr w:type="gramStart"/>
      <w:r w:rsidRPr="00924FFB">
        <w:rPr>
          <w:rFonts w:cs="Tahoma"/>
          <w:lang w:val="en-US"/>
        </w:rPr>
        <w:t>P</w:t>
      </w:r>
      <w:r w:rsidRPr="00924FFB">
        <w:rPr>
          <w:rFonts w:cs="Tahoma"/>
          <w:vertAlign w:val="subscript"/>
          <w:lang w:val="en-US"/>
        </w:rPr>
        <w:t>i,n</w:t>
      </w:r>
      <w:proofErr w:type="spellEnd"/>
      <w:proofErr w:type="gramEnd"/>
      <w:r w:rsidRPr="00924FFB">
        <w:rPr>
          <w:rFonts w:cs="Tahoma"/>
          <w:lang w:val="en-US"/>
        </w:rPr>
        <w:t xml:space="preserve"> –</w:t>
      </w:r>
      <w:r w:rsidR="00541394" w:rsidRPr="00924FFB">
        <w:rPr>
          <w:rFonts w:cs="Tahoma"/>
          <w:lang w:val="en-US"/>
        </w:rPr>
        <w:t xml:space="preserve"> </w:t>
      </w:r>
      <w:r w:rsidR="00CE6A33" w:rsidRPr="00924FFB">
        <w:rPr>
          <w:rFonts w:cs="Tahoma"/>
          <w:lang w:val="en-US"/>
        </w:rPr>
        <w:t xml:space="preserve">the weighted average price of the Bond or OFZ </w:t>
      </w:r>
      <w:r w:rsidR="00A9666A" w:rsidRPr="00924FFB">
        <w:rPr>
          <w:rFonts w:cs="Tahoma"/>
          <w:lang w:val="en-US"/>
        </w:rPr>
        <w:t xml:space="preserve">of the </w:t>
      </w:r>
      <w:proofErr w:type="spellStart"/>
      <w:r w:rsidR="00A9666A" w:rsidRPr="00924FFB">
        <w:rPr>
          <w:rFonts w:cs="Tahoma"/>
          <w:lang w:val="en-US"/>
        </w:rPr>
        <w:t>i</w:t>
      </w:r>
      <w:r w:rsidR="00A9666A" w:rsidRPr="00924FFB">
        <w:rPr>
          <w:rFonts w:cs="Tahoma"/>
          <w:vertAlign w:val="superscript"/>
          <w:lang w:val="en-US"/>
        </w:rPr>
        <w:t>th</w:t>
      </w:r>
      <w:proofErr w:type="spellEnd"/>
      <w:r w:rsidR="00A9666A" w:rsidRPr="00924FFB">
        <w:rPr>
          <w:rFonts w:cs="Tahoma"/>
          <w:vertAlign w:val="superscript"/>
          <w:lang w:val="en-US"/>
        </w:rPr>
        <w:t xml:space="preserve"> </w:t>
      </w:r>
      <w:r w:rsidR="00A9666A" w:rsidRPr="00924FFB">
        <w:rPr>
          <w:rFonts w:cs="Tahoma"/>
          <w:lang w:val="en-US"/>
        </w:rPr>
        <w:t xml:space="preserve">issue at time n, in percent </w:t>
      </w:r>
      <w:r w:rsidR="00EC42D8" w:rsidRPr="00924FFB">
        <w:rPr>
          <w:rFonts w:cs="Tahoma"/>
          <w:lang w:val="en-US"/>
        </w:rPr>
        <w:t>of the notional amount;</w:t>
      </w:r>
    </w:p>
    <w:p w14:paraId="5D63756E" w14:textId="1FE730DF" w:rsidR="00EC42D8" w:rsidRPr="00924FFB" w:rsidRDefault="00792EED" w:rsidP="00792EED">
      <w:pPr>
        <w:pStyle w:val="af9"/>
        <w:rPr>
          <w:rFonts w:cs="Tahoma"/>
          <w:lang w:val="en-US"/>
        </w:rPr>
      </w:pPr>
      <w:proofErr w:type="spellStart"/>
      <w:proofErr w:type="gramStart"/>
      <w:r w:rsidRPr="00924FFB">
        <w:rPr>
          <w:rFonts w:cs="Tahoma"/>
          <w:lang w:val="en-US"/>
        </w:rPr>
        <w:t>FV</w:t>
      </w:r>
      <w:r w:rsidRPr="00924FFB">
        <w:rPr>
          <w:rFonts w:cs="Tahoma"/>
          <w:vertAlign w:val="subscript"/>
          <w:lang w:val="en-US"/>
        </w:rPr>
        <w:t>i,n</w:t>
      </w:r>
      <w:proofErr w:type="spellEnd"/>
      <w:proofErr w:type="gramEnd"/>
      <w:r w:rsidRPr="00924FFB">
        <w:rPr>
          <w:rFonts w:cs="Tahoma"/>
          <w:lang w:val="en-US"/>
        </w:rPr>
        <w:t xml:space="preserve"> – </w:t>
      </w:r>
      <w:r w:rsidR="00EC42D8" w:rsidRPr="00924FFB">
        <w:rPr>
          <w:rFonts w:cs="Tahoma"/>
          <w:lang w:val="en-US"/>
        </w:rPr>
        <w:t xml:space="preserve">the notional amount of the Bond or OFZ of the </w:t>
      </w:r>
      <w:proofErr w:type="spellStart"/>
      <w:r w:rsidR="00EC42D8" w:rsidRPr="00924FFB">
        <w:rPr>
          <w:rFonts w:cs="Tahoma"/>
          <w:lang w:val="en-US"/>
        </w:rPr>
        <w:t>i</w:t>
      </w:r>
      <w:r w:rsidR="00EC42D8" w:rsidRPr="00924FFB">
        <w:rPr>
          <w:rFonts w:cs="Tahoma"/>
          <w:vertAlign w:val="superscript"/>
          <w:lang w:val="en-US"/>
        </w:rPr>
        <w:t>th</w:t>
      </w:r>
      <w:proofErr w:type="spellEnd"/>
      <w:r w:rsidR="00EC42D8" w:rsidRPr="00924FFB">
        <w:rPr>
          <w:rFonts w:cs="Tahoma"/>
          <w:vertAlign w:val="superscript"/>
          <w:lang w:val="en-US"/>
        </w:rPr>
        <w:t xml:space="preserve"> </w:t>
      </w:r>
      <w:r w:rsidR="00EC42D8" w:rsidRPr="00924FFB">
        <w:rPr>
          <w:rFonts w:cs="Tahoma"/>
          <w:lang w:val="en-US"/>
        </w:rPr>
        <w:t>issue at time n, in RUB;</w:t>
      </w:r>
    </w:p>
    <w:p w14:paraId="4D491F01" w14:textId="1C5F66EB" w:rsidR="00792EED" w:rsidRPr="00924FFB" w:rsidRDefault="00792EED" w:rsidP="00792EED">
      <w:pPr>
        <w:pStyle w:val="af9"/>
        <w:rPr>
          <w:rFonts w:cs="Tahoma"/>
          <w:lang w:val="en-US"/>
        </w:rPr>
      </w:pPr>
      <w:proofErr w:type="spellStart"/>
      <w:proofErr w:type="gramStart"/>
      <w:r w:rsidRPr="00924FFB">
        <w:rPr>
          <w:rFonts w:cs="Tahoma"/>
          <w:lang w:val="en-US"/>
        </w:rPr>
        <w:t>A</w:t>
      </w:r>
      <w:r w:rsidRPr="00924FFB">
        <w:rPr>
          <w:rFonts w:cs="Tahoma"/>
          <w:vertAlign w:val="subscript"/>
          <w:lang w:val="en-US"/>
        </w:rPr>
        <w:t>i,n</w:t>
      </w:r>
      <w:proofErr w:type="spellEnd"/>
      <w:proofErr w:type="gramEnd"/>
      <w:r w:rsidRPr="00924FFB">
        <w:rPr>
          <w:rFonts w:cs="Tahoma"/>
          <w:lang w:val="en-US"/>
        </w:rPr>
        <w:t xml:space="preserve"> – </w:t>
      </w:r>
      <w:r w:rsidR="00EC42D8" w:rsidRPr="00924FFB">
        <w:rPr>
          <w:rFonts w:cs="Tahoma"/>
          <w:lang w:val="en-US"/>
        </w:rPr>
        <w:t xml:space="preserve">accrued coupon income </w:t>
      </w:r>
      <w:r w:rsidR="000B65EB" w:rsidRPr="00924FFB">
        <w:rPr>
          <w:rFonts w:cs="Tahoma"/>
          <w:lang w:val="en-US"/>
        </w:rPr>
        <w:t xml:space="preserve">for the Bond or OFZ of the </w:t>
      </w:r>
      <w:proofErr w:type="spellStart"/>
      <w:r w:rsidR="000B65EB" w:rsidRPr="00924FFB">
        <w:rPr>
          <w:rFonts w:cs="Tahoma"/>
          <w:lang w:val="en-US"/>
        </w:rPr>
        <w:t>i</w:t>
      </w:r>
      <w:r w:rsidR="000B65EB" w:rsidRPr="00924FFB">
        <w:rPr>
          <w:rFonts w:cs="Tahoma"/>
          <w:vertAlign w:val="superscript"/>
          <w:lang w:val="en-US"/>
        </w:rPr>
        <w:t>th</w:t>
      </w:r>
      <w:proofErr w:type="spellEnd"/>
      <w:r w:rsidR="000B65EB" w:rsidRPr="00924FFB">
        <w:rPr>
          <w:rFonts w:cs="Tahoma"/>
          <w:lang w:val="en-US"/>
        </w:rPr>
        <w:t xml:space="preserve"> issue at time n, in RUB</w:t>
      </w:r>
      <w:r w:rsidRPr="00924FFB">
        <w:rPr>
          <w:rFonts w:cs="Tahoma"/>
          <w:lang w:val="en-US"/>
        </w:rPr>
        <w:t>;</w:t>
      </w:r>
    </w:p>
    <w:p w14:paraId="52EA0EE9" w14:textId="313157C0" w:rsidR="000B65EB" w:rsidRPr="00924FFB" w:rsidRDefault="00792EED" w:rsidP="000B65EB">
      <w:pPr>
        <w:pStyle w:val="af9"/>
        <w:rPr>
          <w:rFonts w:cs="Tahoma"/>
          <w:lang w:val="en-US"/>
        </w:rPr>
      </w:pPr>
      <w:proofErr w:type="spellStart"/>
      <w:proofErr w:type="gramStart"/>
      <w:r w:rsidRPr="00924FFB">
        <w:rPr>
          <w:rFonts w:cs="Tahoma"/>
          <w:lang w:val="en-US"/>
        </w:rPr>
        <w:t>G</w:t>
      </w:r>
      <w:r w:rsidRPr="00924FFB">
        <w:rPr>
          <w:rFonts w:cs="Tahoma"/>
          <w:vertAlign w:val="subscript"/>
          <w:lang w:val="en-US"/>
        </w:rPr>
        <w:t>i,n</w:t>
      </w:r>
      <w:proofErr w:type="spellEnd"/>
      <w:proofErr w:type="gramEnd"/>
      <w:r w:rsidR="000B65EB" w:rsidRPr="00924FFB">
        <w:rPr>
          <w:rFonts w:cs="Tahoma"/>
          <w:lang w:val="en-US"/>
        </w:rPr>
        <w:t xml:space="preserve"> – the amount of coupon payment for the Bond or OFZ of the </w:t>
      </w:r>
      <w:proofErr w:type="spellStart"/>
      <w:r w:rsidR="000B65EB" w:rsidRPr="00924FFB">
        <w:rPr>
          <w:rFonts w:cs="Tahoma"/>
          <w:lang w:val="en-US"/>
        </w:rPr>
        <w:t>i</w:t>
      </w:r>
      <w:r w:rsidR="000B65EB" w:rsidRPr="00924FFB">
        <w:rPr>
          <w:rFonts w:cs="Tahoma"/>
          <w:vertAlign w:val="superscript"/>
          <w:lang w:val="en-US"/>
        </w:rPr>
        <w:t>th</w:t>
      </w:r>
      <w:proofErr w:type="spellEnd"/>
      <w:r w:rsidR="000B65EB" w:rsidRPr="00924FFB">
        <w:rPr>
          <w:rFonts w:cs="Tahoma"/>
          <w:lang w:val="en-US"/>
        </w:rPr>
        <w:t xml:space="preserve"> issue </w:t>
      </w:r>
      <w:r w:rsidR="009F45BE" w:rsidRPr="00924FFB">
        <w:rPr>
          <w:rFonts w:cs="Tahoma"/>
          <w:lang w:val="en-US"/>
        </w:rPr>
        <w:t xml:space="preserve">on day </w:t>
      </w:r>
      <w:r w:rsidR="000B65EB" w:rsidRPr="00924FFB">
        <w:rPr>
          <w:rFonts w:cs="Tahoma"/>
          <w:lang w:val="en-US"/>
        </w:rPr>
        <w:t>n, in RUB</w:t>
      </w:r>
      <w:r w:rsidR="009F45BE" w:rsidRPr="00924FFB">
        <w:rPr>
          <w:rFonts w:cs="Tahoma"/>
          <w:lang w:val="en-US"/>
        </w:rPr>
        <w:t>;</w:t>
      </w:r>
    </w:p>
    <w:p w14:paraId="28AF6CD7" w14:textId="3BDBAEAF" w:rsidR="00792EED" w:rsidRPr="00924FFB" w:rsidRDefault="00792EED" w:rsidP="00792EED">
      <w:pPr>
        <w:pStyle w:val="af9"/>
        <w:rPr>
          <w:rFonts w:cs="Tahoma"/>
          <w:lang w:val="en-US"/>
        </w:rPr>
      </w:pPr>
      <w:proofErr w:type="spellStart"/>
      <w:proofErr w:type="gramStart"/>
      <w:r w:rsidRPr="00924FFB">
        <w:rPr>
          <w:rFonts w:cs="Tahoma"/>
          <w:lang w:val="en-US"/>
        </w:rPr>
        <w:t>N</w:t>
      </w:r>
      <w:r w:rsidRPr="00924FFB">
        <w:rPr>
          <w:rFonts w:cs="Tahoma"/>
          <w:vertAlign w:val="subscript"/>
          <w:lang w:val="en-US"/>
        </w:rPr>
        <w:t>i,n</w:t>
      </w:r>
      <w:proofErr w:type="spellEnd"/>
      <w:proofErr w:type="gramEnd"/>
      <w:r w:rsidRPr="00924FFB">
        <w:rPr>
          <w:rFonts w:cs="Tahoma"/>
          <w:lang w:val="en-US"/>
        </w:rPr>
        <w:t xml:space="preserve"> – </w:t>
      </w:r>
      <w:r w:rsidR="009F45BE" w:rsidRPr="00924FFB">
        <w:rPr>
          <w:rFonts w:cs="Tahoma"/>
          <w:lang w:val="en-US"/>
        </w:rPr>
        <w:t xml:space="preserve">the volume of the </w:t>
      </w:r>
      <w:proofErr w:type="spellStart"/>
      <w:r w:rsidR="009F45BE" w:rsidRPr="00924FFB">
        <w:rPr>
          <w:rFonts w:cs="Tahoma"/>
          <w:lang w:val="en-US"/>
        </w:rPr>
        <w:t>i</w:t>
      </w:r>
      <w:r w:rsidR="009F45BE" w:rsidRPr="00924FFB">
        <w:rPr>
          <w:rFonts w:cs="Tahoma"/>
          <w:vertAlign w:val="superscript"/>
          <w:lang w:val="en-US"/>
        </w:rPr>
        <w:t>th</w:t>
      </w:r>
      <w:proofErr w:type="spellEnd"/>
      <w:r w:rsidR="009F45BE" w:rsidRPr="00924FFB">
        <w:rPr>
          <w:rFonts w:cs="Tahoma"/>
          <w:lang w:val="en-US"/>
        </w:rPr>
        <w:t xml:space="preserve"> issue at time n, in units of the security; </w:t>
      </w:r>
    </w:p>
    <w:p w14:paraId="75C94896" w14:textId="70302D70" w:rsidR="009F45BE" w:rsidRPr="00924FFB" w:rsidRDefault="005078F1" w:rsidP="00792EED">
      <w:pPr>
        <w:pStyle w:val="af9"/>
        <w:rPr>
          <w:rFonts w:cs="Tahoma"/>
          <w:lang w:val="en-US"/>
        </w:rPr>
      </w:pPr>
      <w:proofErr w:type="spellStart"/>
      <w:proofErr w:type="gramStart"/>
      <w:r w:rsidRPr="00924FFB">
        <w:rPr>
          <w:rFonts w:cs="Tahoma"/>
          <w:lang w:val="en-US"/>
        </w:rPr>
        <w:t>W</w:t>
      </w:r>
      <w:r w:rsidRPr="00924FFB">
        <w:rPr>
          <w:rFonts w:cs="Tahoma"/>
          <w:vertAlign w:val="subscript"/>
          <w:lang w:val="en-US"/>
        </w:rPr>
        <w:t>i,n</w:t>
      </w:r>
      <w:proofErr w:type="spellEnd"/>
      <w:proofErr w:type="gramEnd"/>
      <w:r w:rsidRPr="00924FFB">
        <w:rPr>
          <w:rFonts w:cs="Tahoma"/>
          <w:lang w:val="en-US"/>
        </w:rPr>
        <w:t xml:space="preserve"> – </w:t>
      </w:r>
      <w:r w:rsidR="009F45BE" w:rsidRPr="00924FFB">
        <w:rPr>
          <w:rFonts w:cs="Tahoma"/>
          <w:lang w:val="en-US"/>
        </w:rPr>
        <w:t xml:space="preserve">the coefficient used to restrict capitalization of the </w:t>
      </w:r>
      <w:proofErr w:type="spellStart"/>
      <w:r w:rsidR="009F45BE" w:rsidRPr="00924FFB">
        <w:rPr>
          <w:rFonts w:cs="Tahoma"/>
          <w:lang w:val="en-US"/>
        </w:rPr>
        <w:t>i</w:t>
      </w:r>
      <w:r w:rsidR="009F45BE" w:rsidRPr="00924FFB">
        <w:rPr>
          <w:rFonts w:cs="Tahoma"/>
          <w:vertAlign w:val="superscript"/>
          <w:lang w:val="en-US"/>
        </w:rPr>
        <w:t>th</w:t>
      </w:r>
      <w:proofErr w:type="spellEnd"/>
      <w:r w:rsidR="009F45BE" w:rsidRPr="00924FFB">
        <w:rPr>
          <w:rFonts w:cs="Tahoma"/>
          <w:lang w:val="en-US"/>
        </w:rPr>
        <w:t xml:space="preserve"> Issuer of the Bond (the Weighting Factor). It is set to 1 unless otherwise </w:t>
      </w:r>
      <w:r w:rsidR="003E420B" w:rsidRPr="00924FFB">
        <w:rPr>
          <w:rFonts w:cs="Tahoma"/>
          <w:lang w:val="en-US"/>
        </w:rPr>
        <w:t xml:space="preserve">set out in para 2.9, Appendix 2. It is set to 1 for all OFZ issues. </w:t>
      </w:r>
      <w:r w:rsidR="009F45BE" w:rsidRPr="00924FFB">
        <w:rPr>
          <w:rFonts w:cs="Tahoma"/>
          <w:lang w:val="en-US"/>
        </w:rPr>
        <w:t xml:space="preserve"> </w:t>
      </w:r>
    </w:p>
    <w:bookmarkEnd w:id="114"/>
    <w:p w14:paraId="1F453207" w14:textId="6CF25D81" w:rsidR="004F52DE" w:rsidRPr="00924FFB" w:rsidRDefault="004F52DE" w:rsidP="004F52DE">
      <w:pPr>
        <w:numPr>
          <w:ilvl w:val="1"/>
          <w:numId w:val="9"/>
        </w:numPr>
        <w:tabs>
          <w:tab w:val="num" w:pos="972"/>
        </w:tabs>
        <w:ind w:left="972" w:hanging="432"/>
        <w:jc w:val="both"/>
        <w:rPr>
          <w:rFonts w:cs="Tahoma"/>
          <w:szCs w:val="20"/>
          <w:lang w:val="en-US"/>
        </w:rPr>
      </w:pPr>
      <w:r w:rsidRPr="00924FFB">
        <w:rPr>
          <w:rFonts w:cs="Tahoma"/>
          <w:szCs w:val="20"/>
          <w:lang w:val="en-US"/>
        </w:rPr>
        <w:t>The starting date of the Sub-</w:t>
      </w:r>
      <w:proofErr w:type="gramStart"/>
      <w:r w:rsidRPr="00924FFB">
        <w:rPr>
          <w:rFonts w:cs="Tahoma"/>
          <w:szCs w:val="20"/>
          <w:lang w:val="en-US"/>
        </w:rPr>
        <w:t>indices</w:t>
      </w:r>
      <w:proofErr w:type="gramEnd"/>
      <w:r w:rsidRPr="00924FFB">
        <w:rPr>
          <w:rFonts w:cs="Tahoma"/>
          <w:szCs w:val="20"/>
          <w:lang w:val="en-US"/>
        </w:rPr>
        <w:t xml:space="preserve"> calculation is December 28, 2007. The starting values of the Sub-indices calculation as of December 28, 2007 equals 1,000 points.  </w:t>
      </w:r>
    </w:p>
    <w:p w14:paraId="034C2291" w14:textId="7A51C2EF" w:rsidR="003E420B" w:rsidRPr="00924FFB" w:rsidRDefault="003E420B" w:rsidP="00E7783E">
      <w:pPr>
        <w:numPr>
          <w:ilvl w:val="1"/>
          <w:numId w:val="9"/>
        </w:numPr>
        <w:tabs>
          <w:tab w:val="num" w:pos="972"/>
        </w:tabs>
        <w:ind w:left="972" w:hanging="432"/>
        <w:jc w:val="both"/>
        <w:rPr>
          <w:rFonts w:cs="Tahoma"/>
          <w:szCs w:val="20"/>
          <w:lang w:val="en-US"/>
        </w:rPr>
      </w:pPr>
      <w:r w:rsidRPr="00924FFB">
        <w:rPr>
          <w:rFonts w:cs="Tahoma"/>
          <w:szCs w:val="20"/>
          <w:lang w:val="en-US"/>
        </w:rPr>
        <w:t xml:space="preserve">If, on the Sub-Index calculation day, the weighted average price was not calculated for the Bond, the price </w:t>
      </w:r>
      <w:r w:rsidR="00430900" w:rsidRPr="00924FFB">
        <w:rPr>
          <w:rFonts w:cs="Tahoma"/>
          <w:szCs w:val="20"/>
          <w:lang w:val="en-US"/>
        </w:rPr>
        <w:t xml:space="preserve">Pi </w:t>
      </w:r>
      <w:r w:rsidRPr="00924FFB">
        <w:rPr>
          <w:rFonts w:cs="Tahoma"/>
          <w:szCs w:val="20"/>
          <w:lang w:val="en-US"/>
        </w:rPr>
        <w:t xml:space="preserve">of the </w:t>
      </w:r>
      <w:proofErr w:type="spellStart"/>
      <w:r w:rsidRPr="00924FFB">
        <w:rPr>
          <w:rFonts w:cs="Tahoma"/>
          <w:szCs w:val="20"/>
          <w:lang w:val="en-US"/>
        </w:rPr>
        <w:t>i</w:t>
      </w:r>
      <w:r w:rsidRPr="00924FFB">
        <w:rPr>
          <w:rFonts w:cs="Tahoma"/>
          <w:szCs w:val="20"/>
          <w:vertAlign w:val="superscript"/>
          <w:lang w:val="en-US"/>
        </w:rPr>
        <w:t>th</w:t>
      </w:r>
      <w:proofErr w:type="spellEnd"/>
      <w:r w:rsidRPr="00924FFB">
        <w:rPr>
          <w:rFonts w:cs="Tahoma"/>
          <w:szCs w:val="20"/>
          <w:lang w:val="en-US"/>
        </w:rPr>
        <w:t xml:space="preserve"> Bond </w:t>
      </w:r>
      <w:r w:rsidR="00430900" w:rsidRPr="00924FFB">
        <w:rPr>
          <w:rFonts w:cs="Tahoma"/>
          <w:szCs w:val="20"/>
          <w:lang w:val="en-US"/>
        </w:rPr>
        <w:t xml:space="preserve">or OFZ on the calculation day for the relevant Sub-Index is set equal to the last available weighted average price Pi of the </w:t>
      </w:r>
      <w:proofErr w:type="spellStart"/>
      <w:r w:rsidR="00430900" w:rsidRPr="00924FFB">
        <w:rPr>
          <w:rFonts w:cs="Tahoma"/>
          <w:szCs w:val="20"/>
          <w:lang w:val="en-US"/>
        </w:rPr>
        <w:t>i</w:t>
      </w:r>
      <w:r w:rsidR="00430900" w:rsidRPr="00924FFB">
        <w:rPr>
          <w:rFonts w:cs="Tahoma"/>
          <w:szCs w:val="20"/>
          <w:vertAlign w:val="superscript"/>
          <w:lang w:val="en-US"/>
        </w:rPr>
        <w:t>th</w:t>
      </w:r>
      <w:proofErr w:type="spellEnd"/>
      <w:r w:rsidR="00430900" w:rsidRPr="00924FFB">
        <w:rPr>
          <w:rFonts w:cs="Tahoma"/>
          <w:szCs w:val="20"/>
          <w:lang w:val="en-US"/>
        </w:rPr>
        <w:t xml:space="preserve"> Bond or OFZ.</w:t>
      </w:r>
      <w:r w:rsidRPr="00924FFB">
        <w:rPr>
          <w:rFonts w:cs="Tahoma"/>
          <w:szCs w:val="20"/>
          <w:lang w:val="en-US"/>
        </w:rPr>
        <w:t xml:space="preserve">  </w:t>
      </w:r>
    </w:p>
    <w:p w14:paraId="2DB038E5" w14:textId="7CBB801A" w:rsidR="00430900" w:rsidRPr="00924FFB" w:rsidRDefault="00430900" w:rsidP="00E7783E">
      <w:pPr>
        <w:numPr>
          <w:ilvl w:val="1"/>
          <w:numId w:val="9"/>
        </w:numPr>
        <w:tabs>
          <w:tab w:val="num" w:pos="972"/>
        </w:tabs>
        <w:ind w:left="972" w:hanging="432"/>
        <w:jc w:val="both"/>
        <w:rPr>
          <w:rFonts w:cs="Tahoma"/>
          <w:lang w:val="en-US"/>
        </w:rPr>
      </w:pPr>
      <w:r w:rsidRPr="00924FFB">
        <w:rPr>
          <w:rFonts w:cs="Tahoma"/>
          <w:lang w:val="en-US"/>
        </w:rPr>
        <w:t>If trading in a Bond or OFZ issue is suspended (terminated), the last available weighted average price of the issue is used to calculate the Sub-Index while the Bond or OFZ is suspended (until trading is resumed or the issue is removed from the Sub-Index).</w:t>
      </w:r>
    </w:p>
    <w:p w14:paraId="402E5863" w14:textId="31A37FEF" w:rsidR="00430900" w:rsidRPr="00924FFB" w:rsidRDefault="00430900" w:rsidP="00E7783E">
      <w:pPr>
        <w:numPr>
          <w:ilvl w:val="1"/>
          <w:numId w:val="9"/>
        </w:numPr>
        <w:tabs>
          <w:tab w:val="num" w:pos="972"/>
        </w:tabs>
        <w:ind w:left="972" w:hanging="432"/>
        <w:jc w:val="both"/>
        <w:rPr>
          <w:rFonts w:cs="Tahoma"/>
          <w:lang w:val="en-US"/>
        </w:rPr>
      </w:pPr>
      <w:r w:rsidRPr="00924FFB">
        <w:rPr>
          <w:rFonts w:cs="Tahoma"/>
          <w:lang w:val="en-US"/>
        </w:rPr>
        <w:t xml:space="preserve">The weight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vertAlign w:val="superscript"/>
          <w:lang w:val="en-US"/>
        </w:rPr>
        <w:t xml:space="preserve"> </w:t>
      </w:r>
      <w:r w:rsidRPr="00924FFB">
        <w:rPr>
          <w:rFonts w:cs="Tahoma"/>
          <w:lang w:val="en-US"/>
        </w:rPr>
        <w:t xml:space="preserve">Bond or OFZ in the Sub-Index is calculated as follows: </w:t>
      </w:r>
    </w:p>
    <w:p w14:paraId="0668F0CE" w14:textId="77777777" w:rsidR="009B20EF" w:rsidRPr="00924FFB" w:rsidRDefault="009B20EF" w:rsidP="009B20EF">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02EABFFE" w14:textId="27AB0BD3" w:rsidR="009B20EF" w:rsidRPr="00924FFB" w:rsidRDefault="00430900" w:rsidP="009B20EF">
      <w:pPr>
        <w:pStyle w:val="af9"/>
        <w:rPr>
          <w:rFonts w:cs="Tahoma"/>
          <w:lang w:val="en-US"/>
        </w:rPr>
      </w:pPr>
      <w:r w:rsidRPr="00924FFB">
        <w:rPr>
          <w:rFonts w:cs="Tahoma"/>
          <w:lang w:val="en-US"/>
        </w:rPr>
        <w:t>where</w:t>
      </w:r>
      <w:r w:rsidR="009B20EF" w:rsidRPr="00924FFB">
        <w:rPr>
          <w:rFonts w:cs="Tahoma"/>
          <w:lang w:val="en-US"/>
        </w:rPr>
        <w:t>:</w:t>
      </w:r>
    </w:p>
    <w:p w14:paraId="02D42CBF" w14:textId="3FFD7567" w:rsidR="009B20EF" w:rsidRPr="00924FFB" w:rsidRDefault="009B20EF" w:rsidP="009B20EF">
      <w:pPr>
        <w:pStyle w:val="af9"/>
        <w:rPr>
          <w:rFonts w:cs="Tahoma"/>
          <w:lang w:val="en-US"/>
        </w:rPr>
      </w:pPr>
      <w:proofErr w:type="spellStart"/>
      <w:r w:rsidRPr="00924FFB">
        <w:rPr>
          <w:rFonts w:cs="Tahoma"/>
          <w:lang w:val="en-US"/>
        </w:rPr>
        <w:lastRenderedPageBreak/>
        <w:t>Wght</w:t>
      </w:r>
      <w:r w:rsidRPr="00924FFB">
        <w:rPr>
          <w:rFonts w:cs="Tahoma"/>
          <w:vertAlign w:val="subscript"/>
          <w:lang w:val="en-US"/>
        </w:rPr>
        <w:t>i</w:t>
      </w:r>
      <w:proofErr w:type="spellEnd"/>
      <w:r w:rsidRPr="00924FFB">
        <w:rPr>
          <w:rFonts w:cs="Tahoma"/>
          <w:lang w:val="en-US"/>
        </w:rPr>
        <w:t xml:space="preserve"> – </w:t>
      </w:r>
      <w:r w:rsidR="00430900" w:rsidRPr="00924FFB">
        <w:rPr>
          <w:rFonts w:cs="Tahoma"/>
          <w:lang w:val="en-US"/>
        </w:rPr>
        <w:t xml:space="preserve">the weight of the </w:t>
      </w:r>
      <w:proofErr w:type="spellStart"/>
      <w:r w:rsidR="00430900" w:rsidRPr="00924FFB">
        <w:rPr>
          <w:rFonts w:cs="Tahoma"/>
          <w:lang w:val="en-US"/>
        </w:rPr>
        <w:t>i</w:t>
      </w:r>
      <w:r w:rsidR="00430900" w:rsidRPr="00924FFB">
        <w:rPr>
          <w:rFonts w:cs="Tahoma"/>
          <w:vertAlign w:val="superscript"/>
          <w:lang w:val="en-US"/>
        </w:rPr>
        <w:t>th</w:t>
      </w:r>
      <w:proofErr w:type="spellEnd"/>
      <w:r w:rsidR="00430900" w:rsidRPr="00924FFB">
        <w:rPr>
          <w:rFonts w:cs="Tahoma"/>
          <w:lang w:val="en-US"/>
        </w:rPr>
        <w:t xml:space="preserve"> bond or OFZ</w:t>
      </w:r>
      <w:r w:rsidRPr="00924FFB">
        <w:rPr>
          <w:rFonts w:cs="Tahoma"/>
          <w:lang w:val="en-US"/>
        </w:rPr>
        <w:t>;</w:t>
      </w:r>
    </w:p>
    <w:p w14:paraId="20C55B15" w14:textId="1F9FE62B" w:rsidR="009B20EF" w:rsidRPr="00924FFB" w:rsidRDefault="009B20EF" w:rsidP="009B20EF">
      <w:pPr>
        <w:pStyle w:val="af9"/>
        <w:rPr>
          <w:rFonts w:cs="Tahoma"/>
          <w:lang w:val="en-US"/>
        </w:rPr>
      </w:pPr>
      <w:proofErr w:type="spellStart"/>
      <w:r w:rsidRPr="00924FFB">
        <w:rPr>
          <w:rFonts w:cs="Tahoma"/>
          <w:lang w:val="en-US"/>
        </w:rPr>
        <w:t>MC</w:t>
      </w:r>
      <w:r w:rsidRPr="00924FFB">
        <w:rPr>
          <w:rFonts w:cs="Tahoma"/>
          <w:vertAlign w:val="subscript"/>
          <w:lang w:val="en-US"/>
        </w:rPr>
        <w:t>i</w:t>
      </w:r>
      <w:proofErr w:type="spellEnd"/>
      <w:r w:rsidRPr="00924FFB">
        <w:rPr>
          <w:rFonts w:cs="Tahoma"/>
          <w:lang w:val="en-US"/>
        </w:rPr>
        <w:t xml:space="preserve"> – </w:t>
      </w:r>
      <w:proofErr w:type="spellStart"/>
      <w:r w:rsidR="00430900" w:rsidRPr="00924FFB">
        <w:rPr>
          <w:rFonts w:cs="Tahoma"/>
          <w:lang w:val="en-US"/>
        </w:rPr>
        <w:t>Capitalisation</w:t>
      </w:r>
      <w:proofErr w:type="spellEnd"/>
      <w:r w:rsidR="00430900" w:rsidRPr="00924FFB">
        <w:rPr>
          <w:rFonts w:cs="Tahoma"/>
          <w:lang w:val="en-US"/>
        </w:rPr>
        <w:t xml:space="preserve"> of the </w:t>
      </w:r>
      <w:proofErr w:type="spellStart"/>
      <w:r w:rsidR="00430900" w:rsidRPr="00924FFB">
        <w:rPr>
          <w:rFonts w:cs="Tahoma"/>
          <w:lang w:val="en-US"/>
        </w:rPr>
        <w:t>i</w:t>
      </w:r>
      <w:r w:rsidR="00430900" w:rsidRPr="00924FFB">
        <w:rPr>
          <w:rFonts w:cs="Tahoma"/>
          <w:vertAlign w:val="superscript"/>
          <w:lang w:val="en-US"/>
        </w:rPr>
        <w:t>th</w:t>
      </w:r>
      <w:proofErr w:type="spellEnd"/>
      <w:r w:rsidR="00430900" w:rsidRPr="00924FFB">
        <w:rPr>
          <w:rFonts w:cs="Tahoma"/>
          <w:vertAlign w:val="superscript"/>
          <w:lang w:val="en-US"/>
        </w:rPr>
        <w:t xml:space="preserve"> </w:t>
      </w:r>
      <w:r w:rsidR="00430900" w:rsidRPr="00924FFB">
        <w:rPr>
          <w:rFonts w:cs="Tahoma"/>
          <w:lang w:val="en-US"/>
        </w:rPr>
        <w:t>Bond or OFZ</w:t>
      </w:r>
      <w:r w:rsidR="004B2DBB" w:rsidRPr="00924FFB">
        <w:rPr>
          <w:rFonts w:cs="Tahoma"/>
          <w:lang w:val="en-US"/>
        </w:rPr>
        <w:t xml:space="preserve"> as per the formula:</w:t>
      </w:r>
    </w:p>
    <w:p w14:paraId="2539FB90" w14:textId="182484F4" w:rsidR="009B20EF" w:rsidRPr="00924FFB" w:rsidRDefault="00C83308" w:rsidP="009B20EF">
      <w:pPr>
        <w:ind w:left="972"/>
        <w:jc w:val="both"/>
        <w:rPr>
          <w:rFonts w:cs="Tahoma"/>
          <w:sz w:val="24"/>
        </w:rPr>
      </w:pPr>
      <m:oMathPara>
        <m:oMath>
          <m:sSub>
            <m:sSubPr>
              <m:ctrlPr>
                <w:rPr>
                  <w:rFonts w:ascii="Cambria Math" w:hAnsi="Cambria Math" w:cs="Tahoma"/>
                  <w:i/>
                  <w:sz w:val="24"/>
                  <w:lang w:val="en-US"/>
                </w:rPr>
              </m:ctrlPr>
            </m:sSubPr>
            <m:e>
              <m:r>
                <w:rPr>
                  <w:rFonts w:ascii="Cambria Math" w:hAnsi="Cambria Math" w:cs="Tahoma"/>
                  <w:sz w:val="24"/>
                  <w:lang w:val="en-US"/>
                </w:rPr>
                <m:t>MC</m:t>
              </m:r>
            </m:e>
            <m:sub>
              <m:r>
                <w:rPr>
                  <w:rFonts w:ascii="Cambria Math" w:hAnsi="Cambria Math" w:cs="Tahoma"/>
                  <w:sz w:val="24"/>
                  <w:lang w:val="en-US"/>
                </w:rPr>
                <m:t>i</m:t>
              </m:r>
            </m:sub>
          </m:sSub>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m:t>
              </m:r>
            </m:sub>
          </m:sSub>
        </m:oMath>
      </m:oMathPara>
    </w:p>
    <w:p w14:paraId="4E43E7E0" w14:textId="5F2A81AD" w:rsidR="009B20EF" w:rsidRPr="00924FFB" w:rsidRDefault="009B20EF" w:rsidP="009B20EF">
      <w:pPr>
        <w:pStyle w:val="af9"/>
        <w:rPr>
          <w:rFonts w:cs="Tahoma"/>
          <w:lang w:val="en-US"/>
        </w:rPr>
      </w:pPr>
      <w:r w:rsidRPr="00924FFB">
        <w:rPr>
          <w:rFonts w:cs="Tahoma"/>
          <w:lang w:val="en-US"/>
        </w:rPr>
        <w:t xml:space="preserve">N – </w:t>
      </w:r>
      <w:r w:rsidR="004B2DBB" w:rsidRPr="00924FFB">
        <w:rPr>
          <w:rFonts w:cs="Tahoma"/>
          <w:lang w:val="en-US"/>
        </w:rPr>
        <w:t>the total number of Bonds or OFZs.</w:t>
      </w:r>
    </w:p>
    <w:p w14:paraId="7CBDAD0D" w14:textId="55BD9AF7" w:rsidR="004B2DBB" w:rsidRPr="00924FFB" w:rsidRDefault="006778C4" w:rsidP="009B20EF">
      <w:pPr>
        <w:pStyle w:val="af4"/>
        <w:ind w:left="1418"/>
        <w:jc w:val="both"/>
        <w:rPr>
          <w:rFonts w:cs="Tahoma"/>
          <w:lang w:val="en-US"/>
        </w:rPr>
      </w:pPr>
      <w:r w:rsidRPr="00924FFB">
        <w:rPr>
          <w:rFonts w:cs="Tahoma"/>
          <w:lang w:val="en-US"/>
        </w:rPr>
        <w:t xml:space="preserve">The weight of an Issuer in the Sub-Index is calculated as the sum of Weights of all Bond Issues of the Issuer.  </w:t>
      </w:r>
    </w:p>
    <w:p w14:paraId="23CD67CE" w14:textId="22E5E7C2" w:rsidR="00C83308" w:rsidRPr="00924FFB" w:rsidRDefault="00C83308" w:rsidP="00C83308">
      <w:pPr>
        <w:numPr>
          <w:ilvl w:val="1"/>
          <w:numId w:val="9"/>
        </w:numPr>
        <w:tabs>
          <w:tab w:val="num" w:pos="972"/>
        </w:tabs>
        <w:ind w:left="972" w:hanging="432"/>
        <w:jc w:val="both"/>
        <w:rPr>
          <w:rFonts w:cs="Tahoma"/>
          <w:lang w:val="en-US"/>
        </w:rPr>
      </w:pPr>
      <w:bookmarkStart w:id="115" w:name="_Ref30773088"/>
      <w:r w:rsidRPr="00924FFB">
        <w:rPr>
          <w:rFonts w:cs="Tahoma"/>
          <w:lang w:val="en-US"/>
        </w:rPr>
        <w:t xml:space="preserve">To diminish the impact of Bonds of certain Issuers on the Bond Sub-Index, Weighting Factor Wi is used which is calculated in such a way that the Weight of the Bonds of each Issuer on the Index </w:t>
      </w:r>
      <w:r w:rsidR="00D47C64" w:rsidRPr="00924FFB">
        <w:rPr>
          <w:rFonts w:cs="Tahoma"/>
          <w:lang w:val="en-US"/>
        </w:rPr>
        <w:t>R</w:t>
      </w:r>
      <w:r w:rsidRPr="00924FFB">
        <w:rPr>
          <w:rFonts w:cs="Tahoma"/>
          <w:lang w:val="en-US"/>
        </w:rPr>
        <w:t xml:space="preserve">eview Date does not exceed 10% (S1=10%), and the </w:t>
      </w:r>
      <w:r w:rsidR="00D47C64" w:rsidRPr="00924FFB">
        <w:rPr>
          <w:rFonts w:cs="Tahoma"/>
          <w:lang w:val="en-US"/>
        </w:rPr>
        <w:t>W</w:t>
      </w:r>
      <w:r w:rsidRPr="00924FFB">
        <w:rPr>
          <w:rFonts w:cs="Tahoma"/>
          <w:lang w:val="en-US"/>
        </w:rPr>
        <w:t xml:space="preserve">eight of Financial Sector Issuers does not exceed 30% in total (S2=30%). </w:t>
      </w:r>
      <w:r w:rsidR="00D47C64" w:rsidRPr="00924FFB">
        <w:rPr>
          <w:rFonts w:cs="Tahoma"/>
          <w:lang w:val="en-US"/>
        </w:rPr>
        <w:t>To</w:t>
      </w:r>
      <w:r w:rsidRPr="00924FFB">
        <w:rPr>
          <w:rFonts w:cs="Tahoma"/>
          <w:lang w:val="en-US"/>
        </w:rPr>
        <w:t xml:space="preserve"> comply with these limits, </w:t>
      </w:r>
      <w:r w:rsidR="00D47C64" w:rsidRPr="00924FFB">
        <w:rPr>
          <w:rFonts w:cs="Tahoma"/>
          <w:lang w:val="en-US"/>
        </w:rPr>
        <w:t>the Issuers Weights are adjusted as follows</w:t>
      </w:r>
      <w:r w:rsidRPr="00924FFB">
        <w:rPr>
          <w:rFonts w:cs="Tahoma"/>
          <w:lang w:val="en-US"/>
        </w:rPr>
        <w:t>:</w:t>
      </w:r>
    </w:p>
    <w:bookmarkEnd w:id="115"/>
    <w:p w14:paraId="779EA0C6" w14:textId="08FD21F1" w:rsidR="00CD447A" w:rsidRPr="00924FFB" w:rsidRDefault="00CD447A" w:rsidP="00CD447A">
      <w:pPr>
        <w:pStyle w:val="af4"/>
        <w:numPr>
          <w:ilvl w:val="4"/>
          <w:numId w:val="11"/>
        </w:numPr>
        <w:ind w:left="1843" w:hanging="403"/>
        <w:jc w:val="both"/>
        <w:rPr>
          <w:rFonts w:cs="Tahoma"/>
          <w:lang w:val="en-US"/>
        </w:rPr>
      </w:pPr>
      <w:r w:rsidRPr="00924FFB">
        <w:rPr>
          <w:rFonts w:cs="Tahoma"/>
          <w:lang w:val="en-US"/>
        </w:rPr>
        <w:t>If the Issuer's Weight or the sum of the Issuers' Weights in the Bond Sub-Index exceeds S1 or S2, the Weight is set equal to this value.</w:t>
      </w:r>
    </w:p>
    <w:p w14:paraId="1B8ACD7C" w14:textId="78BCBEED" w:rsidR="00CD447A" w:rsidRPr="00924FFB" w:rsidRDefault="00CD447A" w:rsidP="00CD447A">
      <w:pPr>
        <w:pStyle w:val="af4"/>
        <w:numPr>
          <w:ilvl w:val="4"/>
          <w:numId w:val="11"/>
        </w:numPr>
        <w:ind w:left="1843" w:hanging="403"/>
        <w:jc w:val="both"/>
        <w:rPr>
          <w:rFonts w:cs="Tahoma"/>
          <w:lang w:val="en-US"/>
        </w:rPr>
      </w:pPr>
      <w:r w:rsidRPr="00924FFB">
        <w:rPr>
          <w:rFonts w:cs="Tahoma"/>
          <w:lang w:val="en-US"/>
        </w:rPr>
        <w:t>The difference between the Weights before and after the adjustment is proportionally distributed among the Issuers whose Weights have not been restricted.</w:t>
      </w:r>
    </w:p>
    <w:p w14:paraId="4D54DA85" w14:textId="5C5EE12C" w:rsidR="00CD447A" w:rsidRPr="00924FFB" w:rsidRDefault="00CD447A" w:rsidP="00CD447A">
      <w:pPr>
        <w:pStyle w:val="af4"/>
        <w:numPr>
          <w:ilvl w:val="4"/>
          <w:numId w:val="11"/>
        </w:numPr>
        <w:ind w:left="1843" w:hanging="403"/>
        <w:jc w:val="both"/>
        <w:rPr>
          <w:rFonts w:cs="Tahoma"/>
          <w:lang w:val="en-US"/>
        </w:rPr>
      </w:pPr>
      <w:r w:rsidRPr="00924FFB">
        <w:rPr>
          <w:rFonts w:cs="Tahoma"/>
          <w:lang w:val="en-US"/>
        </w:rPr>
        <w:t>The above steps are repeated iteratively until there are Issuers with the Weight exceeding S1 and S2.</w:t>
      </w:r>
    </w:p>
    <w:p w14:paraId="396324F2" w14:textId="6FC5755B" w:rsidR="00CD447A" w:rsidRPr="00924FFB" w:rsidRDefault="00DD5F56" w:rsidP="00CD447A">
      <w:pPr>
        <w:numPr>
          <w:ilvl w:val="1"/>
          <w:numId w:val="9"/>
        </w:numPr>
        <w:tabs>
          <w:tab w:val="num" w:pos="972"/>
        </w:tabs>
        <w:ind w:left="972" w:hanging="432"/>
        <w:jc w:val="both"/>
        <w:rPr>
          <w:rFonts w:cs="Tahoma"/>
          <w:szCs w:val="20"/>
          <w:lang w:val="en-US"/>
        </w:rPr>
      </w:pPr>
      <w:r w:rsidRPr="00924FFB">
        <w:rPr>
          <w:rFonts w:cs="Tahoma"/>
          <w:szCs w:val="20"/>
          <w:lang w:val="en-US"/>
        </w:rPr>
        <w:t xml:space="preserve">Weights </w:t>
      </w:r>
      <w:r w:rsidR="00CD447A" w:rsidRPr="00924FFB">
        <w:rPr>
          <w:rFonts w:cs="Tahoma"/>
          <w:szCs w:val="20"/>
          <w:lang w:val="en-US"/>
        </w:rPr>
        <w:t xml:space="preserve">Wi </w:t>
      </w:r>
      <w:r w:rsidRPr="00924FFB">
        <w:rPr>
          <w:rFonts w:cs="Tahoma"/>
          <w:szCs w:val="20"/>
          <w:lang w:val="en-US"/>
        </w:rPr>
        <w:t xml:space="preserve">can range </w:t>
      </w:r>
      <w:r w:rsidR="00CD447A" w:rsidRPr="00924FFB">
        <w:rPr>
          <w:rFonts w:cs="Tahoma"/>
          <w:szCs w:val="20"/>
          <w:lang w:val="en-US"/>
        </w:rPr>
        <w:t xml:space="preserve">from 0 to 1 </w:t>
      </w:r>
      <w:r w:rsidR="00100A9E" w:rsidRPr="00924FFB">
        <w:rPr>
          <w:rFonts w:cs="Tahoma"/>
          <w:szCs w:val="20"/>
          <w:lang w:val="en-US"/>
        </w:rPr>
        <w:t xml:space="preserve">accurate to </w:t>
      </w:r>
      <w:r w:rsidR="00CD447A" w:rsidRPr="00924FFB">
        <w:rPr>
          <w:rFonts w:cs="Tahoma"/>
          <w:szCs w:val="20"/>
          <w:lang w:val="en-US"/>
        </w:rPr>
        <w:t>seven decimal places according to the mathematical rounding rule.</w:t>
      </w:r>
    </w:p>
    <w:p w14:paraId="17533560" w14:textId="7873A2ED" w:rsidR="00CD447A" w:rsidRPr="00924FFB" w:rsidRDefault="00CD447A" w:rsidP="00CD447A">
      <w:pPr>
        <w:numPr>
          <w:ilvl w:val="1"/>
          <w:numId w:val="9"/>
        </w:numPr>
        <w:tabs>
          <w:tab w:val="num" w:pos="972"/>
        </w:tabs>
        <w:ind w:left="972" w:hanging="432"/>
        <w:jc w:val="both"/>
        <w:rPr>
          <w:rFonts w:cs="Tahoma"/>
          <w:szCs w:val="20"/>
          <w:lang w:val="en-US"/>
        </w:rPr>
      </w:pPr>
      <w:r w:rsidRPr="00924FFB">
        <w:rPr>
          <w:rFonts w:cs="Tahoma"/>
          <w:lang w:val="en-US"/>
        </w:rPr>
        <w:t>Calculation</w:t>
      </w:r>
      <w:r w:rsidRPr="00924FFB">
        <w:rPr>
          <w:rFonts w:cs="Tahoma"/>
          <w:szCs w:val="20"/>
          <w:lang w:val="en-US"/>
        </w:rPr>
        <w:t xml:space="preserve"> of </w:t>
      </w:r>
      <w:r w:rsidR="00100A9E" w:rsidRPr="00924FFB">
        <w:rPr>
          <w:rFonts w:cs="Tahoma"/>
          <w:szCs w:val="20"/>
          <w:lang w:val="en-US"/>
        </w:rPr>
        <w:t xml:space="preserve">the </w:t>
      </w:r>
      <w:r w:rsidRPr="00924FFB">
        <w:rPr>
          <w:rFonts w:cs="Tahoma"/>
          <w:szCs w:val="20"/>
          <w:lang w:val="en-US"/>
        </w:rPr>
        <w:t xml:space="preserve">Bond </w:t>
      </w:r>
      <w:r w:rsidR="00100A9E" w:rsidRPr="00924FFB">
        <w:rPr>
          <w:rFonts w:cs="Tahoma"/>
          <w:szCs w:val="20"/>
          <w:lang w:val="en-US"/>
        </w:rPr>
        <w:t xml:space="preserve">Sib-Index </w:t>
      </w:r>
      <w:r w:rsidRPr="00924FFB">
        <w:rPr>
          <w:rFonts w:cs="Tahoma"/>
          <w:szCs w:val="20"/>
          <w:lang w:val="en-US"/>
        </w:rPr>
        <w:t>and OFZ Sub-</w:t>
      </w:r>
      <w:r w:rsidR="00100A9E" w:rsidRPr="00924FFB">
        <w:rPr>
          <w:rFonts w:cs="Tahoma"/>
          <w:szCs w:val="20"/>
          <w:lang w:val="en-US"/>
        </w:rPr>
        <w:t>Index</w:t>
      </w:r>
      <w:r w:rsidRPr="00924FFB">
        <w:rPr>
          <w:rFonts w:cs="Tahoma"/>
          <w:szCs w:val="20"/>
          <w:lang w:val="en-US"/>
        </w:rPr>
        <w:t xml:space="preserve"> shall be performed with the accuracy of up to two decimal places.</w:t>
      </w:r>
    </w:p>
    <w:p w14:paraId="10FCF349" w14:textId="77777777" w:rsidR="00792EED" w:rsidRPr="00924FFB" w:rsidRDefault="00792EED" w:rsidP="00792EED">
      <w:pPr>
        <w:ind w:left="540"/>
        <w:rPr>
          <w:rFonts w:cs="Tahoma"/>
          <w:szCs w:val="20"/>
          <w:lang w:val="en-US"/>
        </w:rPr>
      </w:pPr>
    </w:p>
    <w:p w14:paraId="7B6767BD" w14:textId="5E762AB5" w:rsidR="00100A9E" w:rsidRPr="00924FFB" w:rsidRDefault="00100A9E" w:rsidP="00E7783E">
      <w:pPr>
        <w:numPr>
          <w:ilvl w:val="0"/>
          <w:numId w:val="9"/>
        </w:numPr>
        <w:outlineLvl w:val="0"/>
        <w:rPr>
          <w:rFonts w:cs="Tahoma"/>
          <w:b/>
          <w:szCs w:val="20"/>
          <w:lang w:val="en-US"/>
        </w:rPr>
      </w:pPr>
      <w:bookmarkStart w:id="116" w:name="Р_4"/>
      <w:r w:rsidRPr="00924FFB">
        <w:rPr>
          <w:rFonts w:cs="Tahoma"/>
          <w:b/>
          <w:szCs w:val="20"/>
          <w:lang w:val="en-US"/>
        </w:rPr>
        <w:t>Principles of the Bond Sub-Index and OFZ Sub-Index Construction</w:t>
      </w:r>
    </w:p>
    <w:p w14:paraId="76515990" w14:textId="77777777" w:rsidR="00100A9E" w:rsidRPr="00924FFB" w:rsidRDefault="00100A9E" w:rsidP="00100A9E">
      <w:pPr>
        <w:ind w:left="397"/>
        <w:outlineLvl w:val="0"/>
        <w:rPr>
          <w:rFonts w:cs="Tahoma"/>
          <w:b/>
          <w:szCs w:val="20"/>
          <w:lang w:val="en-US"/>
        </w:rPr>
      </w:pPr>
    </w:p>
    <w:p w14:paraId="358FC2F6" w14:textId="18B0710A" w:rsidR="00100A9E" w:rsidRPr="00924FFB" w:rsidRDefault="00193002" w:rsidP="00100A9E">
      <w:pPr>
        <w:numPr>
          <w:ilvl w:val="1"/>
          <w:numId w:val="9"/>
        </w:numPr>
        <w:tabs>
          <w:tab w:val="left" w:pos="993"/>
        </w:tabs>
        <w:ind w:left="972" w:hanging="432"/>
        <w:jc w:val="both"/>
        <w:rPr>
          <w:rFonts w:cs="Tahoma"/>
          <w:lang w:val="en-US"/>
        </w:rPr>
      </w:pPr>
      <w:bookmarkStart w:id="117" w:name="_Ref181774352"/>
      <w:bookmarkStart w:id="118" w:name="п_4_7"/>
      <w:bookmarkEnd w:id="116"/>
      <w:r w:rsidRPr="00924FFB">
        <w:rPr>
          <w:rFonts w:cs="Tahoma"/>
          <w:lang w:val="en-US"/>
        </w:rPr>
        <w:t xml:space="preserve">The list of </w:t>
      </w:r>
      <w:r w:rsidR="00100A9E" w:rsidRPr="00924FFB">
        <w:rPr>
          <w:rFonts w:cs="Tahoma"/>
          <w:lang w:val="en-US"/>
        </w:rPr>
        <w:t xml:space="preserve">Bond </w:t>
      </w:r>
      <w:r w:rsidRPr="00924FFB">
        <w:rPr>
          <w:rFonts w:cs="Tahoma"/>
          <w:lang w:val="en-US"/>
        </w:rPr>
        <w:t xml:space="preserve">Sub-Index </w:t>
      </w:r>
      <w:r w:rsidR="00100A9E" w:rsidRPr="00924FFB">
        <w:rPr>
          <w:rFonts w:cs="Tahoma"/>
          <w:lang w:val="en-US"/>
        </w:rPr>
        <w:t xml:space="preserve">and OFZ Sub-index </w:t>
      </w:r>
      <w:r w:rsidRPr="00924FFB">
        <w:rPr>
          <w:rFonts w:cs="Tahoma"/>
          <w:lang w:val="en-US"/>
        </w:rPr>
        <w:t>Constituents includes the Issuers names and issue</w:t>
      </w:r>
      <w:r w:rsidR="00100A9E" w:rsidRPr="00924FFB">
        <w:rPr>
          <w:rFonts w:cs="Tahoma"/>
          <w:lang w:val="en-US"/>
        </w:rPr>
        <w:t xml:space="preserve"> code</w:t>
      </w:r>
      <w:r w:rsidRPr="00924FFB">
        <w:rPr>
          <w:rFonts w:cs="Tahoma"/>
          <w:lang w:val="en-US"/>
        </w:rPr>
        <w:t>s</w:t>
      </w:r>
      <w:r w:rsidR="00100A9E" w:rsidRPr="00924FFB">
        <w:rPr>
          <w:rFonts w:cs="Tahoma"/>
          <w:lang w:val="en-US"/>
        </w:rPr>
        <w:t>.</w:t>
      </w:r>
    </w:p>
    <w:p w14:paraId="67371F99" w14:textId="4111E848" w:rsidR="00100A9E" w:rsidRPr="00924FFB" w:rsidRDefault="00100A9E" w:rsidP="00100A9E">
      <w:pPr>
        <w:numPr>
          <w:ilvl w:val="1"/>
          <w:numId w:val="9"/>
        </w:numPr>
        <w:tabs>
          <w:tab w:val="left" w:pos="993"/>
        </w:tabs>
        <w:ind w:left="972" w:hanging="432"/>
        <w:jc w:val="both"/>
        <w:rPr>
          <w:rFonts w:cs="Tahoma"/>
          <w:lang w:val="en-US"/>
        </w:rPr>
      </w:pPr>
      <w:r w:rsidRPr="00924FFB">
        <w:rPr>
          <w:rFonts w:cs="Tahoma"/>
          <w:lang w:val="en-US"/>
        </w:rPr>
        <w:t>The number of Bonds or OFZ</w:t>
      </w:r>
      <w:r w:rsidR="00193002" w:rsidRPr="00924FFB">
        <w:rPr>
          <w:rFonts w:cs="Tahoma"/>
          <w:lang w:val="en-US"/>
        </w:rPr>
        <w:t xml:space="preserve">s in </w:t>
      </w:r>
      <w:r w:rsidRPr="00924FFB">
        <w:rPr>
          <w:rFonts w:cs="Tahoma"/>
          <w:lang w:val="en-US"/>
        </w:rPr>
        <w:t xml:space="preserve">the relevant Sub-index is determined based on the number of these securities </w:t>
      </w:r>
      <w:r w:rsidR="00193002" w:rsidRPr="00924FFB">
        <w:rPr>
          <w:rFonts w:cs="Tahoma"/>
          <w:lang w:val="en-US"/>
        </w:rPr>
        <w:t xml:space="preserve">traded </w:t>
      </w:r>
      <w:r w:rsidRPr="00924FFB">
        <w:rPr>
          <w:rFonts w:cs="Tahoma"/>
          <w:lang w:val="en-US"/>
        </w:rPr>
        <w:t>on the Exchange.</w:t>
      </w:r>
    </w:p>
    <w:p w14:paraId="631F9D15" w14:textId="53D542BF" w:rsidR="00100A9E" w:rsidRPr="00924FFB" w:rsidRDefault="00100A9E" w:rsidP="00100A9E">
      <w:pPr>
        <w:numPr>
          <w:ilvl w:val="1"/>
          <w:numId w:val="9"/>
        </w:numPr>
        <w:tabs>
          <w:tab w:val="left" w:pos="993"/>
        </w:tabs>
        <w:ind w:left="972" w:hanging="432"/>
        <w:jc w:val="both"/>
        <w:rPr>
          <w:rFonts w:cs="Tahoma"/>
          <w:lang w:val="en-US"/>
        </w:rPr>
      </w:pPr>
      <w:r w:rsidRPr="00924FFB">
        <w:rPr>
          <w:rFonts w:cs="Tahoma"/>
          <w:lang w:val="en-US"/>
        </w:rPr>
        <w:t xml:space="preserve">Bonds </w:t>
      </w:r>
      <w:r w:rsidR="00193002" w:rsidRPr="00924FFB">
        <w:rPr>
          <w:rFonts w:cs="Tahoma"/>
          <w:lang w:val="en-US"/>
        </w:rPr>
        <w:t>that meet</w:t>
      </w:r>
      <w:r w:rsidRPr="00924FFB">
        <w:rPr>
          <w:rFonts w:cs="Tahoma"/>
          <w:lang w:val="en-US"/>
        </w:rPr>
        <w:t xml:space="preserve"> the following requirements </w:t>
      </w:r>
      <w:r w:rsidR="00193002" w:rsidRPr="00924FFB">
        <w:rPr>
          <w:rFonts w:cs="Tahoma"/>
          <w:lang w:val="en-US"/>
        </w:rPr>
        <w:t xml:space="preserve">as of the Index Review Date </w:t>
      </w:r>
      <w:r w:rsidRPr="00924FFB">
        <w:rPr>
          <w:rFonts w:cs="Tahoma"/>
          <w:lang w:val="en-US"/>
        </w:rPr>
        <w:t>shall be included in the Bond Sub-index:</w:t>
      </w:r>
    </w:p>
    <w:p w14:paraId="73C5791B" w14:textId="37762E20" w:rsidR="00CC4D1C" w:rsidRPr="00924FFB" w:rsidRDefault="00CC4D1C" w:rsidP="00D04D1A">
      <w:pPr>
        <w:pStyle w:val="af4"/>
        <w:numPr>
          <w:ilvl w:val="4"/>
          <w:numId w:val="11"/>
        </w:numPr>
        <w:ind w:left="1843" w:hanging="403"/>
        <w:jc w:val="both"/>
        <w:rPr>
          <w:rFonts w:cs="Tahoma"/>
          <w:lang w:val="en-US"/>
        </w:rPr>
      </w:pPr>
      <w:bookmarkStart w:id="119" w:name="_Ref30771265"/>
      <w:r w:rsidRPr="00924FFB">
        <w:rPr>
          <w:rFonts w:cs="Tahoma"/>
          <w:lang w:val="en-US"/>
        </w:rPr>
        <w:t>The Issuer of the Bonds fulfilled in full the coupon payment obligations, redemption under the offer, redemption of all issues of Bonds admitted to trading on the Exchange. If the issuer has outstanding obligations on a previous technical default and/or default on an issue of Bonds admitted to trading on the Exchange, the Bonds may be included in the index, provided that the issuer fully discharges its outstanding obligations on the technical default and/or default on all issues of Bonds admitted to trading on the Exchange as well as discloses the corporate action in the manner and within the timeframes set forth by regulations of the Bank of Russia.</w:t>
      </w:r>
    </w:p>
    <w:p w14:paraId="2D74442D" w14:textId="676C58BA" w:rsidR="00CC4D1C" w:rsidRPr="00924FFB" w:rsidRDefault="00CC4D1C" w:rsidP="00791808">
      <w:pPr>
        <w:pStyle w:val="af4"/>
        <w:numPr>
          <w:ilvl w:val="4"/>
          <w:numId w:val="11"/>
        </w:numPr>
        <w:ind w:left="1843" w:hanging="403"/>
        <w:jc w:val="both"/>
        <w:rPr>
          <w:rFonts w:cs="Tahoma"/>
          <w:lang w:val="en-US"/>
        </w:rPr>
      </w:pPr>
      <w:r w:rsidRPr="00924FFB">
        <w:rPr>
          <w:rFonts w:cs="Tahoma"/>
          <w:lang w:val="en-US"/>
        </w:rPr>
        <w:t>The bonds meet the credit rating requirements set by the Bank of Russia for the purposes of pension savings</w:t>
      </w:r>
      <w:r w:rsidR="00791808" w:rsidRPr="00924FFB">
        <w:rPr>
          <w:rFonts w:cs="Tahoma"/>
          <w:lang w:val="en-US"/>
        </w:rPr>
        <w:t xml:space="preserve"> investment</w:t>
      </w:r>
      <w:r w:rsidRPr="00924FFB">
        <w:rPr>
          <w:rFonts w:cs="Tahoma"/>
          <w:lang w:val="en-US"/>
        </w:rPr>
        <w:t>.</w:t>
      </w:r>
    </w:p>
    <w:p w14:paraId="60684DE9" w14:textId="4B6A52D5" w:rsidR="00CC4D1C" w:rsidRPr="00924FFB" w:rsidRDefault="00CC4D1C" w:rsidP="00791808">
      <w:pPr>
        <w:pStyle w:val="af4"/>
        <w:numPr>
          <w:ilvl w:val="4"/>
          <w:numId w:val="11"/>
        </w:numPr>
        <w:ind w:left="1843" w:hanging="403"/>
        <w:jc w:val="both"/>
        <w:rPr>
          <w:rFonts w:cs="Tahoma"/>
        </w:rPr>
      </w:pPr>
      <w:proofErr w:type="spellStart"/>
      <w:r w:rsidRPr="00924FFB">
        <w:rPr>
          <w:rFonts w:cs="Tahoma"/>
        </w:rPr>
        <w:t>The</w:t>
      </w:r>
      <w:proofErr w:type="spellEnd"/>
      <w:r w:rsidRPr="00924FFB">
        <w:rPr>
          <w:rFonts w:cs="Tahoma"/>
        </w:rPr>
        <w:t xml:space="preserve"> </w:t>
      </w:r>
      <w:proofErr w:type="spellStart"/>
      <w:r w:rsidR="00791808" w:rsidRPr="00924FFB">
        <w:rPr>
          <w:rFonts w:cs="Tahoma"/>
        </w:rPr>
        <w:t>nominal</w:t>
      </w:r>
      <w:proofErr w:type="spellEnd"/>
      <w:r w:rsidR="00791808" w:rsidRPr="00924FFB">
        <w:rPr>
          <w:rFonts w:cs="Tahoma"/>
        </w:rPr>
        <w:t xml:space="preserve"> </w:t>
      </w:r>
      <w:proofErr w:type="spellStart"/>
      <w:r w:rsidRPr="00924FFB">
        <w:rPr>
          <w:rFonts w:cs="Tahoma"/>
        </w:rPr>
        <w:t>volume</w:t>
      </w:r>
      <w:proofErr w:type="spellEnd"/>
      <w:r w:rsidRPr="00924FFB">
        <w:rPr>
          <w:rFonts w:cs="Tahoma"/>
        </w:rPr>
        <w:t xml:space="preserve"> </w:t>
      </w:r>
      <w:proofErr w:type="spellStart"/>
      <w:r w:rsidRPr="00924FFB">
        <w:rPr>
          <w:rFonts w:cs="Tahoma"/>
        </w:rPr>
        <w:t>of</w:t>
      </w:r>
      <w:proofErr w:type="spellEnd"/>
      <w:r w:rsidRPr="00924FFB">
        <w:rPr>
          <w:rFonts w:cs="Tahoma"/>
        </w:rPr>
        <w:t xml:space="preserve"> the bond issue is at least RUB 5 billion for corporate bonds and at least RUB 2 billion for municipal bonds.</w:t>
      </w:r>
    </w:p>
    <w:p w14:paraId="4D598CAF" w14:textId="2721AD3F" w:rsidR="00CC4D1C" w:rsidRPr="00924FFB" w:rsidRDefault="00CC4D1C" w:rsidP="00791808">
      <w:pPr>
        <w:pStyle w:val="af4"/>
        <w:numPr>
          <w:ilvl w:val="4"/>
          <w:numId w:val="11"/>
        </w:numPr>
        <w:ind w:left="1843" w:hanging="403"/>
        <w:jc w:val="both"/>
        <w:rPr>
          <w:rFonts w:cs="Tahoma"/>
        </w:rPr>
      </w:pPr>
      <w:r w:rsidRPr="00924FFB">
        <w:rPr>
          <w:rFonts w:cs="Tahoma"/>
        </w:rPr>
        <w:t xml:space="preserve">The number of trading days in </w:t>
      </w:r>
      <w:r w:rsidR="00791808" w:rsidRPr="00924FFB">
        <w:rPr>
          <w:rFonts w:cs="Tahoma"/>
        </w:rPr>
        <w:t>three</w:t>
      </w:r>
      <w:r w:rsidRPr="00924FFB">
        <w:rPr>
          <w:rFonts w:cs="Tahoma"/>
        </w:rPr>
        <w:t xml:space="preserve"> months preceding </w:t>
      </w:r>
      <w:r w:rsidR="00791808" w:rsidRPr="00924FFB">
        <w:rPr>
          <w:rFonts w:cs="Tahoma"/>
        </w:rPr>
        <w:t xml:space="preserve">1 </w:t>
      </w:r>
      <w:r w:rsidRPr="00924FFB">
        <w:rPr>
          <w:rFonts w:cs="Tahoma"/>
        </w:rPr>
        <w:t xml:space="preserve">February, </w:t>
      </w:r>
      <w:r w:rsidR="00791808" w:rsidRPr="00924FFB">
        <w:rPr>
          <w:rFonts w:cs="Tahoma"/>
        </w:rPr>
        <w:t xml:space="preserve">1 </w:t>
      </w:r>
      <w:r w:rsidRPr="00924FFB">
        <w:rPr>
          <w:rFonts w:cs="Tahoma"/>
        </w:rPr>
        <w:t xml:space="preserve">May, </w:t>
      </w:r>
      <w:r w:rsidR="00791808" w:rsidRPr="00924FFB">
        <w:rPr>
          <w:rFonts w:cs="Tahoma"/>
        </w:rPr>
        <w:t xml:space="preserve">1 </w:t>
      </w:r>
      <w:r w:rsidRPr="00924FFB">
        <w:rPr>
          <w:rFonts w:cs="Tahoma"/>
        </w:rPr>
        <w:t xml:space="preserve">August and </w:t>
      </w:r>
      <w:r w:rsidR="00791808" w:rsidRPr="00924FFB">
        <w:rPr>
          <w:rFonts w:cs="Tahoma"/>
        </w:rPr>
        <w:t xml:space="preserve">1 </w:t>
      </w:r>
      <w:r w:rsidRPr="00924FFB">
        <w:rPr>
          <w:rFonts w:cs="Tahoma"/>
        </w:rPr>
        <w:t xml:space="preserve">November </w:t>
      </w:r>
      <w:r w:rsidR="00791808" w:rsidRPr="00924FFB">
        <w:rPr>
          <w:rFonts w:cs="Tahoma"/>
        </w:rPr>
        <w:t xml:space="preserve">on </w:t>
      </w:r>
      <w:r w:rsidRPr="00924FFB">
        <w:rPr>
          <w:rFonts w:cs="Tahoma"/>
        </w:rPr>
        <w:t xml:space="preserve">which </w:t>
      </w:r>
      <w:r w:rsidR="00791808" w:rsidRPr="00924FFB">
        <w:rPr>
          <w:rFonts w:cs="Tahoma"/>
        </w:rPr>
        <w:t xml:space="preserve">trades in </w:t>
      </w:r>
      <w:r w:rsidRPr="00924FFB">
        <w:rPr>
          <w:rFonts w:cs="Tahoma"/>
        </w:rPr>
        <w:t xml:space="preserve">the bond issue </w:t>
      </w:r>
      <w:r w:rsidR="00791808" w:rsidRPr="00924FFB">
        <w:rPr>
          <w:rFonts w:cs="Tahoma"/>
        </w:rPr>
        <w:t>were executed in</w:t>
      </w:r>
      <w:r w:rsidRPr="00924FFB">
        <w:rPr>
          <w:rFonts w:cs="Tahoma"/>
        </w:rPr>
        <w:t xml:space="preserve"> the Main Trading Session in the T+ Main Trading Mode is at least 20 for corporate bonds and at least 10 for municipal bonds.</w:t>
      </w:r>
    </w:p>
    <w:p w14:paraId="556D1672" w14:textId="7E4B05A4" w:rsidR="00791808" w:rsidRPr="00924FFB" w:rsidRDefault="00791808" w:rsidP="00051550">
      <w:pPr>
        <w:pStyle w:val="af4"/>
        <w:numPr>
          <w:ilvl w:val="4"/>
          <w:numId w:val="11"/>
        </w:numPr>
        <w:ind w:left="1843" w:hanging="403"/>
        <w:jc w:val="both"/>
        <w:rPr>
          <w:rFonts w:cs="Tahoma"/>
        </w:rPr>
      </w:pPr>
      <w:r w:rsidRPr="00924FFB">
        <w:rPr>
          <w:rFonts w:cs="Tahoma"/>
          <w:lang w:val="en-US"/>
        </w:rPr>
        <w:t xml:space="preserve">The </w:t>
      </w:r>
      <w:r w:rsidRPr="00924FFB">
        <w:rPr>
          <w:rFonts w:cs="Tahoma"/>
        </w:rPr>
        <w:t>time during which both bids and orders (two-sided quotes) in a bond issue is available is at least 20% - for corporate bonds and at least 10% - for municipal bonds of the total trading hours in the Main Trading Mode T+ over three months preceding 1 February, 1 May, 1 August and 1 November.</w:t>
      </w:r>
    </w:p>
    <w:p w14:paraId="550302AE" w14:textId="18AC5C5E" w:rsidR="00791808" w:rsidRPr="00924FFB" w:rsidRDefault="00051550" w:rsidP="00051550">
      <w:pPr>
        <w:pStyle w:val="af4"/>
        <w:numPr>
          <w:ilvl w:val="4"/>
          <w:numId w:val="11"/>
        </w:numPr>
        <w:ind w:left="1843" w:hanging="403"/>
        <w:jc w:val="both"/>
        <w:rPr>
          <w:rFonts w:cs="Tahoma"/>
        </w:rPr>
      </w:pPr>
      <w:r w:rsidRPr="00924FFB">
        <w:rPr>
          <w:rFonts w:cs="Tahoma"/>
        </w:rPr>
        <w:t>The index includes o</w:t>
      </w:r>
      <w:r w:rsidR="00791808" w:rsidRPr="00924FFB">
        <w:rPr>
          <w:rFonts w:cs="Tahoma"/>
        </w:rPr>
        <w:t xml:space="preserve">nly bonds for which the rates of all coupon payments stipulated in the issue documents </w:t>
      </w:r>
      <w:r w:rsidRPr="00924FFB">
        <w:rPr>
          <w:rFonts w:cs="Tahoma"/>
        </w:rPr>
        <w:t>until</w:t>
      </w:r>
      <w:r w:rsidR="00791808" w:rsidRPr="00924FFB">
        <w:rPr>
          <w:rFonts w:cs="Tahoma"/>
        </w:rPr>
        <w:t xml:space="preserve"> maturity or the nearest early redemption</w:t>
      </w:r>
      <w:r w:rsidRPr="00924FFB">
        <w:rPr>
          <w:rFonts w:cs="Tahoma"/>
        </w:rPr>
        <w:t xml:space="preserve"> (if any) have been set as of the Index Review Date.</w:t>
      </w:r>
    </w:p>
    <w:p w14:paraId="6BD85773" w14:textId="777CD665" w:rsidR="00791808" w:rsidRPr="00924FFB" w:rsidRDefault="00791808" w:rsidP="00051550">
      <w:pPr>
        <w:pStyle w:val="af4"/>
        <w:numPr>
          <w:ilvl w:val="4"/>
          <w:numId w:val="11"/>
        </w:numPr>
        <w:ind w:left="1843" w:hanging="403"/>
        <w:jc w:val="both"/>
        <w:rPr>
          <w:rFonts w:cs="Tahoma"/>
          <w:lang w:val="en-US"/>
        </w:rPr>
      </w:pPr>
      <w:r w:rsidRPr="00924FFB">
        <w:rPr>
          <w:rFonts w:cs="Tahoma"/>
        </w:rPr>
        <w:t>The term to</w:t>
      </w:r>
      <w:r w:rsidRPr="00924FFB">
        <w:rPr>
          <w:rFonts w:cs="Tahoma"/>
          <w:lang w:val="en-US"/>
        </w:rPr>
        <w:t xml:space="preserve"> maturity of the Bonds shall be at least </w:t>
      </w:r>
      <w:r w:rsidR="00051550" w:rsidRPr="00924FFB">
        <w:rPr>
          <w:rFonts w:cs="Tahoma"/>
          <w:lang w:val="en-US"/>
        </w:rPr>
        <w:t>one</w:t>
      </w:r>
      <w:r w:rsidRPr="00924FFB">
        <w:rPr>
          <w:rFonts w:cs="Tahoma"/>
          <w:lang w:val="en-US"/>
        </w:rPr>
        <w:t xml:space="preserve"> year.</w:t>
      </w:r>
    </w:p>
    <w:p w14:paraId="15717D8E" w14:textId="7C225579" w:rsidR="00051550" w:rsidRPr="00924FFB" w:rsidRDefault="00051550" w:rsidP="0055203B">
      <w:pPr>
        <w:pStyle w:val="af4"/>
        <w:numPr>
          <w:ilvl w:val="4"/>
          <w:numId w:val="11"/>
        </w:numPr>
        <w:ind w:left="1843" w:hanging="403"/>
        <w:jc w:val="both"/>
        <w:rPr>
          <w:rFonts w:cs="Tahoma"/>
          <w:lang w:val="en-US"/>
        </w:rPr>
      </w:pPr>
      <w:r w:rsidRPr="00924FFB">
        <w:rPr>
          <w:rFonts w:cs="Tahoma"/>
          <w:lang w:val="en-US"/>
        </w:rPr>
        <w:t xml:space="preserve">The issue terms and conditions do not provide for a call option within one year of the date the </w:t>
      </w:r>
      <w:r w:rsidR="00D547BE" w:rsidRPr="00924FFB">
        <w:rPr>
          <w:rFonts w:cs="Tahoma"/>
          <w:lang w:val="en-US"/>
        </w:rPr>
        <w:t xml:space="preserve">reviewed </w:t>
      </w:r>
      <w:r w:rsidRPr="00924FFB">
        <w:rPr>
          <w:rFonts w:cs="Tahoma"/>
          <w:lang w:val="en-US"/>
        </w:rPr>
        <w:t>index takes effect.</w:t>
      </w:r>
    </w:p>
    <w:p w14:paraId="1F53E08B" w14:textId="2C21B2A3" w:rsidR="001F3A0E" w:rsidRPr="00924FFB" w:rsidRDefault="001F3A0E" w:rsidP="001F3A0E">
      <w:pPr>
        <w:numPr>
          <w:ilvl w:val="2"/>
          <w:numId w:val="12"/>
        </w:numPr>
        <w:tabs>
          <w:tab w:val="num" w:pos="1224"/>
        </w:tabs>
        <w:ind w:left="1224" w:hanging="504"/>
        <w:jc w:val="both"/>
        <w:rPr>
          <w:rFonts w:cs="Tahoma"/>
          <w:lang w:val="en-US"/>
        </w:rPr>
      </w:pPr>
      <w:bookmarkStart w:id="120" w:name="_Ref181774418"/>
      <w:bookmarkEnd w:id="119"/>
      <w:bookmarkEnd w:id="117"/>
      <w:r w:rsidRPr="00924FFB">
        <w:rPr>
          <w:rFonts w:cs="Tahoma"/>
          <w:lang w:val="en-US"/>
        </w:rPr>
        <w:lastRenderedPageBreak/>
        <w:t xml:space="preserve">If the </w:t>
      </w:r>
      <w:r w:rsidRPr="00924FFB">
        <w:rPr>
          <w:rStyle w:val="af7"/>
          <w:rFonts w:ascii="Tahoma" w:hAnsi="Tahoma" w:cs="Tahoma"/>
          <w:lang w:val="en-US"/>
        </w:rPr>
        <w:t>number</w:t>
      </w:r>
      <w:r w:rsidRPr="00924FFB">
        <w:rPr>
          <w:rFonts w:cs="Tahoma"/>
          <w:lang w:val="en-US"/>
        </w:rPr>
        <w:t xml:space="preserve"> of Bond issuers whose Bonds comply with clause 3.3 of the Methodology is less than 10, the Exchange may decide to include Bond issues that do not comply with the requirements stipulated in clause 3.3 of the Methodology in the Bond Sub-Index. </w:t>
      </w:r>
    </w:p>
    <w:p w14:paraId="6FDA08A3" w14:textId="4D7B57D4" w:rsidR="001F3A0E" w:rsidRPr="00924FFB" w:rsidRDefault="001F3A0E" w:rsidP="001F3A0E">
      <w:pPr>
        <w:numPr>
          <w:ilvl w:val="1"/>
          <w:numId w:val="9"/>
        </w:numPr>
        <w:tabs>
          <w:tab w:val="left" w:pos="993"/>
        </w:tabs>
        <w:ind w:left="972" w:hanging="432"/>
        <w:jc w:val="both"/>
        <w:rPr>
          <w:rFonts w:cs="Tahoma"/>
          <w:lang w:val="en-US"/>
        </w:rPr>
      </w:pPr>
      <w:r w:rsidRPr="00924FFB">
        <w:rPr>
          <w:rFonts w:cs="Tahoma"/>
          <w:lang w:val="en-US"/>
        </w:rPr>
        <w:t>The OFZ Sub-Index includes OFZs included in the Government Bond Index RGBI as of the Sub-Index Review Date.</w:t>
      </w:r>
    </w:p>
    <w:p w14:paraId="510D50F0" w14:textId="07099291" w:rsidR="001F3A0E" w:rsidRPr="00924FFB" w:rsidRDefault="001F3A0E" w:rsidP="001F3A0E">
      <w:pPr>
        <w:numPr>
          <w:ilvl w:val="1"/>
          <w:numId w:val="9"/>
        </w:numPr>
        <w:tabs>
          <w:tab w:val="left" w:pos="993"/>
        </w:tabs>
        <w:ind w:left="972" w:hanging="432"/>
        <w:jc w:val="both"/>
        <w:rPr>
          <w:rFonts w:cs="Tahoma"/>
          <w:lang w:val="en-US"/>
        </w:rPr>
      </w:pPr>
      <w:r w:rsidRPr="00924FFB">
        <w:rPr>
          <w:rFonts w:cs="Tahoma"/>
          <w:lang w:val="en-US"/>
        </w:rPr>
        <w:t>The Exchange can decide to include Bonds and OFZs that do not meet the requirements described in clauses 3.3 and 3.4 of the Methodology in the subindex calculation base.</w:t>
      </w:r>
    </w:p>
    <w:p w14:paraId="710A2D02" w14:textId="298F858A" w:rsidR="00F17241" w:rsidRPr="00924FFB" w:rsidRDefault="00F17241" w:rsidP="00792EED">
      <w:pPr>
        <w:tabs>
          <w:tab w:val="left" w:pos="993"/>
        </w:tabs>
        <w:ind w:left="972"/>
        <w:jc w:val="both"/>
        <w:rPr>
          <w:rFonts w:cs="Tahoma"/>
          <w:szCs w:val="20"/>
          <w:lang w:val="en-US"/>
        </w:rPr>
      </w:pPr>
    </w:p>
    <w:p w14:paraId="0202D288" w14:textId="2D18BB9F" w:rsidR="002E17F4" w:rsidRPr="00924FFB" w:rsidRDefault="00DD0F4E" w:rsidP="00DD0F4E">
      <w:pPr>
        <w:numPr>
          <w:ilvl w:val="0"/>
          <w:numId w:val="9"/>
        </w:numPr>
        <w:tabs>
          <w:tab w:val="num" w:pos="360"/>
        </w:tabs>
        <w:ind w:left="360" w:hanging="360"/>
        <w:outlineLvl w:val="0"/>
        <w:rPr>
          <w:rFonts w:cs="Tahoma"/>
          <w:b/>
          <w:szCs w:val="20"/>
        </w:rPr>
      </w:pPr>
      <w:r w:rsidRPr="00924FFB">
        <w:rPr>
          <w:rFonts w:cs="Tahoma"/>
          <w:b/>
          <w:szCs w:val="20"/>
        </w:rPr>
        <w:t>Bond Sub-Index OFZ Sub-Index review procedure</w:t>
      </w:r>
    </w:p>
    <w:p w14:paraId="411F8F6D" w14:textId="77777777" w:rsidR="002E17F4" w:rsidRPr="00924FFB" w:rsidRDefault="002E17F4" w:rsidP="002E17F4">
      <w:pPr>
        <w:outlineLvl w:val="0"/>
        <w:rPr>
          <w:rFonts w:cs="Tahoma"/>
          <w:b/>
          <w:szCs w:val="20"/>
        </w:rPr>
      </w:pPr>
      <w:bookmarkStart w:id="121" w:name="_Toc372540155"/>
      <w:bookmarkStart w:id="122" w:name="_Toc372540156"/>
      <w:bookmarkStart w:id="123" w:name="Р_6"/>
      <w:bookmarkEnd w:id="118"/>
      <w:bookmarkEnd w:id="120"/>
      <w:bookmarkEnd w:id="121"/>
      <w:bookmarkEnd w:id="122"/>
    </w:p>
    <w:bookmarkEnd w:id="123"/>
    <w:p w14:paraId="2C4FCA4A" w14:textId="722AF0E0" w:rsidR="00DD0F4E" w:rsidRPr="00924FFB" w:rsidRDefault="00DD0F4E" w:rsidP="008C5EAC">
      <w:pPr>
        <w:numPr>
          <w:ilvl w:val="1"/>
          <w:numId w:val="9"/>
        </w:numPr>
        <w:tabs>
          <w:tab w:val="left" w:pos="993"/>
        </w:tabs>
        <w:ind w:left="972" w:hanging="432"/>
        <w:jc w:val="both"/>
        <w:rPr>
          <w:rFonts w:cs="Tahoma"/>
          <w:lang w:val="en-US"/>
        </w:rPr>
      </w:pPr>
      <w:r w:rsidRPr="00924FFB">
        <w:rPr>
          <w:rFonts w:cs="Tahoma"/>
          <w:lang w:val="en-US"/>
        </w:rPr>
        <w:t>Bonds and OFZs</w:t>
      </w:r>
      <w:r w:rsidR="00F42334" w:rsidRPr="00924FFB">
        <w:rPr>
          <w:rFonts w:cs="Tahoma"/>
          <w:lang w:val="en-US"/>
        </w:rPr>
        <w:t xml:space="preserve"> are included</w:t>
      </w:r>
      <w:r w:rsidRPr="00924FFB">
        <w:rPr>
          <w:rFonts w:cs="Tahoma"/>
          <w:lang w:val="en-US"/>
        </w:rPr>
        <w:t xml:space="preserve"> </w:t>
      </w:r>
      <w:r w:rsidR="00F42334" w:rsidRPr="00924FFB">
        <w:rPr>
          <w:rFonts w:cs="Tahoma"/>
          <w:lang w:val="en-US"/>
        </w:rPr>
        <w:t xml:space="preserve">to and excluded from </w:t>
      </w:r>
      <w:r w:rsidRPr="00924FFB">
        <w:rPr>
          <w:rFonts w:cs="Tahoma"/>
          <w:lang w:val="en-US"/>
        </w:rPr>
        <w:t xml:space="preserve">the </w:t>
      </w:r>
      <w:r w:rsidR="00F42334" w:rsidRPr="00924FFB">
        <w:rPr>
          <w:rFonts w:cs="Tahoma"/>
          <w:lang w:val="en-US"/>
        </w:rPr>
        <w:t xml:space="preserve">Sub-Indices at the Sub-Index review </w:t>
      </w:r>
      <w:r w:rsidRPr="00924FFB">
        <w:rPr>
          <w:rFonts w:cs="Tahoma"/>
          <w:lang w:val="en-US"/>
        </w:rPr>
        <w:t>by virtue of a decision of the Exchange.</w:t>
      </w:r>
    </w:p>
    <w:p w14:paraId="0C104756" w14:textId="7D9AC697" w:rsidR="00DD0F4E" w:rsidRPr="00924FFB" w:rsidRDefault="00DD0F4E" w:rsidP="008C5EAC">
      <w:pPr>
        <w:numPr>
          <w:ilvl w:val="1"/>
          <w:numId w:val="9"/>
        </w:numPr>
        <w:tabs>
          <w:tab w:val="left" w:pos="993"/>
        </w:tabs>
        <w:ind w:left="972" w:hanging="432"/>
        <w:jc w:val="both"/>
        <w:rPr>
          <w:rFonts w:cs="Tahoma"/>
          <w:lang w:val="en-US"/>
        </w:rPr>
      </w:pPr>
      <w:r w:rsidRPr="00924FFB">
        <w:rPr>
          <w:rFonts w:cs="Tahoma"/>
          <w:lang w:val="en-US"/>
        </w:rPr>
        <w:t xml:space="preserve">A regular </w:t>
      </w:r>
      <w:r w:rsidR="00F42334" w:rsidRPr="00924FFB">
        <w:rPr>
          <w:rFonts w:cs="Tahoma"/>
          <w:lang w:val="en-US"/>
        </w:rPr>
        <w:t>review</w:t>
      </w:r>
      <w:r w:rsidRPr="00924FFB">
        <w:rPr>
          <w:rFonts w:cs="Tahoma"/>
          <w:lang w:val="en-US"/>
        </w:rPr>
        <w:t xml:space="preserve"> of the </w:t>
      </w:r>
      <w:r w:rsidR="00F42334" w:rsidRPr="00924FFB">
        <w:rPr>
          <w:rFonts w:cs="Tahoma"/>
          <w:lang w:val="en-US"/>
        </w:rPr>
        <w:t>Sub-Index</w:t>
      </w:r>
      <w:r w:rsidRPr="00924FFB">
        <w:rPr>
          <w:rFonts w:cs="Tahoma"/>
          <w:lang w:val="en-US"/>
        </w:rPr>
        <w:t xml:space="preserve"> shall be carried out once a quarter</w:t>
      </w:r>
      <w:r w:rsidR="00F42334" w:rsidRPr="00924FFB">
        <w:rPr>
          <w:rFonts w:cs="Tahoma"/>
          <w:lang w:val="en-US"/>
        </w:rPr>
        <w:t xml:space="preserve"> or less frequently,</w:t>
      </w:r>
      <w:r w:rsidRPr="00924FFB">
        <w:rPr>
          <w:rFonts w:cs="Tahoma"/>
          <w:lang w:val="en-US"/>
        </w:rPr>
        <w:t xml:space="preserve"> except for the cases stipulated by this Methodology. </w:t>
      </w:r>
      <w:r w:rsidR="00F42334" w:rsidRPr="00924FFB">
        <w:rPr>
          <w:rFonts w:cs="Tahoma"/>
          <w:lang w:val="en-US"/>
        </w:rPr>
        <w:t xml:space="preserve">The </w:t>
      </w:r>
      <w:r w:rsidR="00E92FD5" w:rsidRPr="00924FFB">
        <w:rPr>
          <w:rFonts w:cs="Tahoma"/>
          <w:lang w:val="en-US"/>
        </w:rPr>
        <w:t xml:space="preserve">reviewed </w:t>
      </w:r>
      <w:r w:rsidR="00F42334" w:rsidRPr="00924FFB">
        <w:rPr>
          <w:rFonts w:cs="Tahoma"/>
          <w:lang w:val="en-US"/>
        </w:rPr>
        <w:t>Sub-Index take</w:t>
      </w:r>
      <w:r w:rsidR="00E92FD5" w:rsidRPr="00924FFB">
        <w:rPr>
          <w:rFonts w:cs="Tahoma"/>
          <w:lang w:val="en-US"/>
        </w:rPr>
        <w:t>s</w:t>
      </w:r>
      <w:r w:rsidR="00F42334" w:rsidRPr="00924FFB">
        <w:rPr>
          <w:rFonts w:cs="Tahoma"/>
          <w:lang w:val="en-US"/>
        </w:rPr>
        <w:t xml:space="preserve"> effect </w:t>
      </w:r>
      <w:r w:rsidRPr="00924FFB">
        <w:rPr>
          <w:rFonts w:cs="Tahoma"/>
          <w:lang w:val="en-US"/>
        </w:rPr>
        <w:t xml:space="preserve">from the beginning of the main trading session of the trading day following the third Thursday of March, June, </w:t>
      </w:r>
      <w:proofErr w:type="gramStart"/>
      <w:r w:rsidRPr="00924FFB">
        <w:rPr>
          <w:rFonts w:cs="Tahoma"/>
          <w:lang w:val="en-US"/>
        </w:rPr>
        <w:t>September</w:t>
      </w:r>
      <w:proofErr w:type="gramEnd"/>
      <w:r w:rsidRPr="00924FFB">
        <w:rPr>
          <w:rFonts w:cs="Tahoma"/>
          <w:lang w:val="en-US"/>
        </w:rPr>
        <w:t xml:space="preserve"> and December. The Exchange</w:t>
      </w:r>
      <w:r w:rsidR="00F42334" w:rsidRPr="00924FFB">
        <w:rPr>
          <w:rFonts w:cs="Tahoma"/>
          <w:lang w:val="en-US"/>
        </w:rPr>
        <w:t xml:space="preserve"> may decide to </w:t>
      </w:r>
      <w:r w:rsidRPr="00924FFB">
        <w:rPr>
          <w:rFonts w:cs="Tahoma"/>
          <w:lang w:val="en-US"/>
        </w:rPr>
        <w:t xml:space="preserve">set other effective dates for </w:t>
      </w:r>
      <w:r w:rsidR="00F42334" w:rsidRPr="00924FFB">
        <w:rPr>
          <w:rFonts w:cs="Tahoma"/>
          <w:lang w:val="en-US"/>
        </w:rPr>
        <w:t xml:space="preserve">the Sub-Index as </w:t>
      </w:r>
      <w:r w:rsidR="008C5EAC" w:rsidRPr="00924FFB">
        <w:rPr>
          <w:rFonts w:cs="Tahoma"/>
          <w:lang w:val="en-US"/>
        </w:rPr>
        <w:t>reviewed</w:t>
      </w:r>
      <w:r w:rsidRPr="00924FFB">
        <w:rPr>
          <w:rFonts w:cs="Tahoma"/>
          <w:lang w:val="en-US"/>
        </w:rPr>
        <w:t>.</w:t>
      </w:r>
    </w:p>
    <w:p w14:paraId="12A7D1FD" w14:textId="07818CC2" w:rsidR="00DD0F4E" w:rsidRPr="00924FFB" w:rsidRDefault="00F42334" w:rsidP="008C5EAC">
      <w:pPr>
        <w:numPr>
          <w:ilvl w:val="1"/>
          <w:numId w:val="9"/>
        </w:numPr>
        <w:tabs>
          <w:tab w:val="left" w:pos="993"/>
        </w:tabs>
        <w:ind w:left="972" w:hanging="432"/>
        <w:jc w:val="both"/>
        <w:rPr>
          <w:rFonts w:cs="Tahoma"/>
          <w:lang w:val="en-US"/>
        </w:rPr>
      </w:pPr>
      <w:r w:rsidRPr="00924FFB">
        <w:rPr>
          <w:rFonts w:cs="Tahoma"/>
          <w:lang w:val="en-US"/>
        </w:rPr>
        <w:t xml:space="preserve">At a regular index review, the Sub-Index is constructed </w:t>
      </w:r>
      <w:r w:rsidR="00DD0F4E" w:rsidRPr="00924FFB">
        <w:rPr>
          <w:rFonts w:cs="Tahoma"/>
          <w:lang w:val="en-US"/>
        </w:rPr>
        <w:t xml:space="preserve">in accordance with </w:t>
      </w:r>
      <w:r w:rsidRPr="00924FFB">
        <w:rPr>
          <w:rFonts w:cs="Tahoma"/>
          <w:lang w:val="en-US"/>
        </w:rPr>
        <w:t>clause</w:t>
      </w:r>
      <w:r w:rsidR="00DD0F4E" w:rsidRPr="00924FFB">
        <w:rPr>
          <w:rFonts w:cs="Tahoma"/>
          <w:lang w:val="en-US"/>
        </w:rPr>
        <w:t xml:space="preserve"> 3 of Appendix 2 </w:t>
      </w:r>
      <w:r w:rsidRPr="00924FFB">
        <w:rPr>
          <w:rFonts w:cs="Tahoma"/>
          <w:lang w:val="en-US"/>
        </w:rPr>
        <w:t>to</w:t>
      </w:r>
      <w:r w:rsidR="00DD0F4E" w:rsidRPr="00924FFB">
        <w:rPr>
          <w:rFonts w:cs="Tahoma"/>
          <w:lang w:val="en-US"/>
        </w:rPr>
        <w:t xml:space="preserve"> this Methodology.</w:t>
      </w:r>
    </w:p>
    <w:p w14:paraId="71E1E77F" w14:textId="45790180" w:rsidR="00F42334" w:rsidRPr="00924FFB" w:rsidRDefault="00F42334" w:rsidP="008C5EAC">
      <w:pPr>
        <w:numPr>
          <w:ilvl w:val="1"/>
          <w:numId w:val="9"/>
        </w:numPr>
        <w:tabs>
          <w:tab w:val="left" w:pos="993"/>
        </w:tabs>
        <w:ind w:left="972" w:hanging="432"/>
        <w:jc w:val="both"/>
        <w:rPr>
          <w:rFonts w:cs="Tahoma"/>
          <w:lang w:val="en-US"/>
        </w:rPr>
      </w:pPr>
      <w:r w:rsidRPr="00924FFB">
        <w:rPr>
          <w:rFonts w:cs="Tahoma"/>
          <w:lang w:val="en-US"/>
        </w:rPr>
        <w:t>Bonds already in the Bond Sub-Index may be excluded from the index not earlier than 1 year after the date of their inclusion in the</w:t>
      </w:r>
      <w:r w:rsidR="00237F9A" w:rsidRPr="00924FFB">
        <w:rPr>
          <w:rFonts w:cs="Tahoma"/>
          <w:lang w:val="en-US"/>
        </w:rPr>
        <w:t xml:space="preserve"> index, e</w:t>
      </w:r>
      <w:r w:rsidRPr="00924FFB">
        <w:rPr>
          <w:rFonts w:cs="Tahoma"/>
          <w:lang w:val="en-US"/>
        </w:rPr>
        <w:t>xcept as provided in clause 4.5.</w:t>
      </w:r>
    </w:p>
    <w:p w14:paraId="10019D9C" w14:textId="1095219F" w:rsidR="00F42334" w:rsidRPr="00924FFB" w:rsidRDefault="00F42334" w:rsidP="008C5EAC">
      <w:pPr>
        <w:numPr>
          <w:ilvl w:val="1"/>
          <w:numId w:val="9"/>
        </w:numPr>
        <w:tabs>
          <w:tab w:val="left" w:pos="993"/>
        </w:tabs>
        <w:ind w:left="972" w:hanging="432"/>
        <w:jc w:val="both"/>
        <w:rPr>
          <w:rFonts w:cs="Tahoma"/>
          <w:lang w:val="en-US"/>
        </w:rPr>
      </w:pPr>
      <w:r w:rsidRPr="00924FFB">
        <w:rPr>
          <w:rFonts w:cs="Tahoma"/>
          <w:lang w:val="en-US"/>
        </w:rPr>
        <w:t>An extraordinary review of the Bond Sub-Index may be carried out if the following events occur:</w:t>
      </w:r>
    </w:p>
    <w:p w14:paraId="40E74736" w14:textId="57F1A64D" w:rsidR="00237F9A" w:rsidRPr="00924FFB" w:rsidRDefault="00237F9A" w:rsidP="00237F9A">
      <w:pPr>
        <w:pStyle w:val="11"/>
        <w:rPr>
          <w:rFonts w:cs="Tahoma"/>
          <w:lang w:val="en-US"/>
        </w:rPr>
      </w:pPr>
      <w:r w:rsidRPr="00924FFB">
        <w:rPr>
          <w:rFonts w:cs="Tahoma"/>
          <w:lang w:val="en-US"/>
        </w:rPr>
        <w:t xml:space="preserve">a Bond issue is </w:t>
      </w:r>
      <w:r w:rsidR="00E92FD5" w:rsidRPr="00924FFB">
        <w:rPr>
          <w:rFonts w:cs="Tahoma"/>
          <w:lang w:val="en-US"/>
        </w:rPr>
        <w:t>delisted from MOEX</w:t>
      </w:r>
      <w:r w:rsidRPr="00924FFB">
        <w:rPr>
          <w:rFonts w:cs="Tahoma"/>
          <w:lang w:val="en-US"/>
        </w:rPr>
        <w:t xml:space="preserve"> (termination of trading of the relevant bond on the Exchange).</w:t>
      </w:r>
    </w:p>
    <w:p w14:paraId="7C542B5E" w14:textId="70A703BE" w:rsidR="00305638" w:rsidRPr="00924FFB" w:rsidRDefault="00237F9A" w:rsidP="00237F9A">
      <w:pPr>
        <w:pStyle w:val="11"/>
        <w:rPr>
          <w:rFonts w:cs="Tahoma"/>
        </w:rPr>
      </w:pPr>
      <w:r w:rsidRPr="00924FFB">
        <w:rPr>
          <w:rFonts w:cs="Tahoma"/>
          <w:lang w:val="en-US"/>
        </w:rPr>
        <w:t xml:space="preserve">In case of non-fulfillment by the bond issuer, included into the Sub-Index, of liabilities on coupon yield payment, redemption by offer, redemption of this issue and/or other </w:t>
      </w:r>
    </w:p>
    <w:p w14:paraId="7006D41D" w14:textId="56F4314F" w:rsidR="00237F9A" w:rsidRPr="00924FFB" w:rsidRDefault="00237F9A" w:rsidP="00237F9A">
      <w:pPr>
        <w:pStyle w:val="11"/>
        <w:rPr>
          <w:rFonts w:cs="Tahoma"/>
          <w:lang w:val="en-US"/>
        </w:rPr>
      </w:pPr>
      <w:r w:rsidRPr="00924FFB">
        <w:rPr>
          <w:rFonts w:cs="Tahoma"/>
          <w:lang w:val="en-US"/>
        </w:rPr>
        <w:t>In case of assignment of a credit rating to the Bond issuer and/or Bond issue included into the Bond Sub-Index, which does not meet the minimum credit rating requirements set by the Bank of Russia for the purposes of pension savings investment.</w:t>
      </w:r>
    </w:p>
    <w:p w14:paraId="2AF58437" w14:textId="4807DC9B" w:rsidR="00237F9A" w:rsidRPr="00924FFB" w:rsidRDefault="00237F9A" w:rsidP="00237F9A">
      <w:pPr>
        <w:pStyle w:val="11"/>
        <w:rPr>
          <w:rFonts w:cs="Tahoma"/>
          <w:lang w:val="en-US"/>
        </w:rPr>
      </w:pPr>
      <w:r w:rsidRPr="00924FFB">
        <w:rPr>
          <w:rFonts w:cs="Tahoma"/>
          <w:lang w:val="en-US"/>
        </w:rPr>
        <w:t>In case of other events not stipulated by this Methodology, the results of which may have a significant impact on the Bond Sub-Index calculation, the Bond Sub-Index and/or parameters of Bond issues included in the Bond Sub-Index may be amended as necessary.</w:t>
      </w:r>
    </w:p>
    <w:p w14:paraId="0C2FED38" w14:textId="0E8134B2" w:rsidR="00237F9A" w:rsidRPr="00924FFB" w:rsidRDefault="00237F9A" w:rsidP="008C5EAC">
      <w:pPr>
        <w:numPr>
          <w:ilvl w:val="1"/>
          <w:numId w:val="9"/>
        </w:numPr>
        <w:tabs>
          <w:tab w:val="left" w:pos="993"/>
        </w:tabs>
        <w:ind w:left="972" w:hanging="432"/>
        <w:jc w:val="both"/>
        <w:rPr>
          <w:rFonts w:cs="Tahoma"/>
          <w:lang w:val="en-US"/>
        </w:rPr>
      </w:pPr>
      <w:r w:rsidRPr="00924FFB">
        <w:rPr>
          <w:rFonts w:cs="Tahoma"/>
          <w:lang w:val="en-US"/>
        </w:rPr>
        <w:t>An extraordinary review of the OFZ Sub-Index may be carried out if the following events occur:</w:t>
      </w:r>
    </w:p>
    <w:p w14:paraId="4CA2399D" w14:textId="77777777" w:rsidR="008C5EAC" w:rsidRPr="00924FFB" w:rsidRDefault="008C5EAC" w:rsidP="008C5EAC">
      <w:pPr>
        <w:pStyle w:val="11"/>
        <w:numPr>
          <w:ilvl w:val="4"/>
          <w:numId w:val="9"/>
        </w:numPr>
        <w:rPr>
          <w:rFonts w:cs="Tahoma"/>
          <w:lang w:val="en-US"/>
        </w:rPr>
      </w:pPr>
      <w:r w:rsidRPr="00924FFB">
        <w:rPr>
          <w:rFonts w:cs="Tahoma"/>
          <w:lang w:val="en-US"/>
        </w:rPr>
        <w:t>Where an OFZ issue is excluded from the list of securities admitted to trading on the Exchange (trading in the relevant OFZ issue is terminated on the Exchange), the Exchange may decide to exclude this OFZ issue from the OFZ Sub-Index.</w:t>
      </w:r>
    </w:p>
    <w:p w14:paraId="068919A0" w14:textId="77777777" w:rsidR="008C5EAC" w:rsidRPr="00924FFB" w:rsidRDefault="008C5EAC" w:rsidP="008C5EAC">
      <w:pPr>
        <w:pStyle w:val="11"/>
        <w:numPr>
          <w:ilvl w:val="4"/>
          <w:numId w:val="9"/>
        </w:numPr>
        <w:rPr>
          <w:rFonts w:cs="Tahoma"/>
          <w:lang w:val="en-US"/>
        </w:rPr>
      </w:pPr>
      <w:r w:rsidRPr="00924FFB">
        <w:rPr>
          <w:rFonts w:cs="Tahoma"/>
          <w:lang w:val="en-US"/>
        </w:rPr>
        <w:t>In case of other events, not stipulated by this Methodology, the results of which can have a significant impact on the calculation of the OFZ Subindex, the OFZ Sub-Index Constituents and/or parameters of OFZ issues included in the OFZ Sub-Index can be changed accordingly.</w:t>
      </w:r>
    </w:p>
    <w:p w14:paraId="54501835" w14:textId="77777777" w:rsidR="00D518A1" w:rsidRPr="00924FFB" w:rsidRDefault="00D518A1" w:rsidP="00D518A1">
      <w:pPr>
        <w:pStyle w:val="a4"/>
        <w:spacing w:after="0"/>
        <w:ind w:left="972"/>
        <w:jc w:val="both"/>
        <w:rPr>
          <w:rFonts w:cs="Tahoma"/>
          <w:lang w:val="en-US"/>
        </w:rPr>
      </w:pPr>
    </w:p>
    <w:p w14:paraId="07B05D0E" w14:textId="3F91E13B" w:rsidR="00BB3693" w:rsidRPr="00924FFB" w:rsidRDefault="00BB3693">
      <w:pPr>
        <w:rPr>
          <w:rFonts w:cs="Tahoma"/>
          <w:szCs w:val="20"/>
          <w:lang w:val="en-US"/>
        </w:rPr>
      </w:pPr>
      <w:r w:rsidRPr="00924FFB">
        <w:rPr>
          <w:rFonts w:cs="Tahoma"/>
          <w:lang w:val="en-US"/>
        </w:rPr>
        <w:br w:type="page"/>
      </w:r>
    </w:p>
    <w:p w14:paraId="214C5138" w14:textId="6C50A401" w:rsidR="009A10E3" w:rsidRPr="00924FFB" w:rsidRDefault="004C1EE1" w:rsidP="004C1EE1">
      <w:pPr>
        <w:pStyle w:val="10"/>
        <w:numPr>
          <w:ilvl w:val="0"/>
          <w:numId w:val="0"/>
        </w:numPr>
        <w:ind w:left="397"/>
        <w:rPr>
          <w:rFonts w:cs="Tahoma"/>
        </w:rPr>
      </w:pPr>
      <w:bookmarkStart w:id="124" w:name="_Toc62143972"/>
      <w:r w:rsidRPr="00924FFB">
        <w:rPr>
          <w:rFonts w:cs="Tahoma"/>
          <w:lang w:val="en-US"/>
        </w:rPr>
        <w:lastRenderedPageBreak/>
        <w:t>Appendix</w:t>
      </w:r>
      <w:r w:rsidR="00F15598" w:rsidRPr="00924FFB">
        <w:rPr>
          <w:rFonts w:cs="Tahoma"/>
        </w:rPr>
        <w:t xml:space="preserve"> </w:t>
      </w:r>
      <w:r w:rsidR="00792EED" w:rsidRPr="00924FFB">
        <w:rPr>
          <w:rFonts w:cs="Tahoma"/>
        </w:rPr>
        <w:t>3</w:t>
      </w:r>
      <w:bookmarkEnd w:id="124"/>
    </w:p>
    <w:p w14:paraId="09EC464E" w14:textId="15C59486" w:rsidR="008C5EAC" w:rsidRPr="00924FFB" w:rsidRDefault="008C5EAC" w:rsidP="008C5EAC">
      <w:pPr>
        <w:tabs>
          <w:tab w:val="left" w:pos="993"/>
        </w:tabs>
        <w:spacing w:before="240" w:after="240"/>
        <w:ind w:left="992" w:hanging="141"/>
        <w:jc w:val="center"/>
        <w:rPr>
          <w:rFonts w:cs="Tahoma"/>
          <w:b/>
          <w:szCs w:val="20"/>
          <w:lang w:val="en-US"/>
        </w:rPr>
      </w:pPr>
      <w:r w:rsidRPr="00924FFB">
        <w:rPr>
          <w:rFonts w:cs="Tahoma"/>
          <w:b/>
          <w:szCs w:val="20"/>
          <w:lang w:val="en-US"/>
        </w:rPr>
        <w:t>Calculation guide to Pension Savings Equity Sub-Index (EPSITR)</w:t>
      </w:r>
    </w:p>
    <w:p w14:paraId="338EDEF1" w14:textId="3AB3A424" w:rsidR="00CF6D8D" w:rsidRPr="00924FFB" w:rsidRDefault="008C5EAC" w:rsidP="00E7783E">
      <w:pPr>
        <w:pStyle w:val="af4"/>
        <w:numPr>
          <w:ilvl w:val="0"/>
          <w:numId w:val="8"/>
        </w:numPr>
        <w:rPr>
          <w:rFonts w:cs="Tahoma"/>
          <w:b/>
        </w:rPr>
      </w:pPr>
      <w:r w:rsidRPr="00924FFB">
        <w:rPr>
          <w:rFonts w:cs="Tahoma"/>
          <w:b/>
          <w:lang w:val="en-US"/>
        </w:rPr>
        <w:t xml:space="preserve">Sub-Index calculation </w:t>
      </w:r>
    </w:p>
    <w:p w14:paraId="18ACD276" w14:textId="77777777" w:rsidR="00280903" w:rsidRPr="00924FFB" w:rsidRDefault="00280903" w:rsidP="00280903">
      <w:pPr>
        <w:pStyle w:val="af4"/>
        <w:ind w:left="360"/>
        <w:rPr>
          <w:rFonts w:cs="Tahoma"/>
          <w:b/>
        </w:rPr>
      </w:pPr>
    </w:p>
    <w:p w14:paraId="6D4ADA73" w14:textId="3912B7CF" w:rsidR="003C77EA" w:rsidRPr="00924FFB" w:rsidRDefault="008C5EAC" w:rsidP="00E7783E">
      <w:pPr>
        <w:pStyle w:val="af4"/>
        <w:numPr>
          <w:ilvl w:val="1"/>
          <w:numId w:val="8"/>
        </w:numPr>
        <w:rPr>
          <w:rFonts w:cs="Tahoma"/>
          <w:b/>
        </w:rPr>
      </w:pPr>
      <w:r w:rsidRPr="00924FFB">
        <w:rPr>
          <w:rFonts w:cs="Tahoma"/>
          <w:b/>
          <w:lang w:val="en-US"/>
        </w:rPr>
        <w:t>Terms and definitions</w:t>
      </w:r>
    </w:p>
    <w:p w14:paraId="1E2249DB" w14:textId="77777777" w:rsidR="00280903" w:rsidRPr="00924FFB" w:rsidRDefault="00280903" w:rsidP="00280903">
      <w:pPr>
        <w:pStyle w:val="af4"/>
        <w:ind w:left="792"/>
        <w:rPr>
          <w:rFonts w:cs="Tahoma"/>
          <w:b/>
        </w:rPr>
      </w:pPr>
    </w:p>
    <w:p w14:paraId="04860824" w14:textId="6B3BDCDE" w:rsidR="008C5EAC" w:rsidRPr="00924FFB" w:rsidRDefault="008C5EAC" w:rsidP="00C73008">
      <w:pPr>
        <w:pStyle w:val="11"/>
        <w:rPr>
          <w:rFonts w:cs="Tahoma"/>
          <w:lang w:val="en-US"/>
        </w:rPr>
      </w:pPr>
      <w:r w:rsidRPr="00924FFB">
        <w:rPr>
          <w:rFonts w:cs="Tahoma"/>
          <w:u w:val="single"/>
          <w:lang w:val="en-US"/>
        </w:rPr>
        <w:t>Stocks</w:t>
      </w:r>
      <w:r w:rsidR="003C77EA" w:rsidRPr="00924FFB">
        <w:rPr>
          <w:rFonts w:cs="Tahoma"/>
          <w:lang w:val="en-US"/>
        </w:rPr>
        <w:t xml:space="preserve"> – </w:t>
      </w:r>
      <w:r w:rsidRPr="00924FFB">
        <w:rPr>
          <w:rFonts w:cs="Tahoma"/>
          <w:lang w:val="en-US"/>
        </w:rPr>
        <w:t xml:space="preserve">shares of Russian issuers admitted to trading on MOEX as well as </w:t>
      </w:r>
      <w:r w:rsidR="00280903" w:rsidRPr="00924FFB">
        <w:rPr>
          <w:rFonts w:cs="Tahoma"/>
          <w:lang w:val="en-US"/>
        </w:rPr>
        <w:t>shares and depository receipts representing shares of foreign issuers operating primarily in Russian Federation. Shares do not refer to shares issued by joint-stock investment funds.</w:t>
      </w:r>
    </w:p>
    <w:p w14:paraId="050D7F03" w14:textId="0D08E2C0" w:rsidR="008C5EAC" w:rsidRPr="00924FFB" w:rsidRDefault="008C5EAC" w:rsidP="008C5EAC">
      <w:pPr>
        <w:pStyle w:val="11"/>
        <w:rPr>
          <w:rFonts w:cs="Tahoma"/>
          <w:lang w:val="en-US"/>
        </w:rPr>
      </w:pPr>
      <w:r w:rsidRPr="00924FFB">
        <w:rPr>
          <w:rFonts w:cs="Tahoma"/>
          <w:u w:val="single"/>
          <w:lang w:val="en-US"/>
        </w:rPr>
        <w:t>Index Review Date</w:t>
      </w:r>
      <w:r w:rsidRPr="00924FFB">
        <w:rPr>
          <w:rFonts w:cs="Tahoma"/>
          <w:lang w:val="en-US"/>
        </w:rPr>
        <w:t xml:space="preserve"> – the day as of which statistical data for compiling the Index is calculated. These dates are 15 February, 15 May, 15 </w:t>
      </w:r>
      <w:proofErr w:type="gramStart"/>
      <w:r w:rsidRPr="00924FFB">
        <w:rPr>
          <w:rFonts w:cs="Tahoma"/>
          <w:lang w:val="en-US"/>
        </w:rPr>
        <w:t>August</w:t>
      </w:r>
      <w:proofErr w:type="gramEnd"/>
      <w:r w:rsidRPr="00924FFB">
        <w:rPr>
          <w:rFonts w:cs="Tahoma"/>
          <w:lang w:val="en-US"/>
        </w:rPr>
        <w:t xml:space="preserve"> and 15 November. If this date is a non-trading day, the Index Review Date is a trading day preceding the 15th day of the relevant month.     </w:t>
      </w:r>
    </w:p>
    <w:p w14:paraId="6B4D8C81" w14:textId="5E1A1A99" w:rsidR="00E156B1" w:rsidRPr="00924FFB" w:rsidRDefault="00280903" w:rsidP="00E156B1">
      <w:pPr>
        <w:pStyle w:val="11"/>
        <w:rPr>
          <w:rStyle w:val="af7"/>
          <w:rFonts w:ascii="Tahoma" w:hAnsi="Tahoma" w:cs="Tahoma"/>
          <w:lang w:val="en-US"/>
        </w:rPr>
      </w:pPr>
      <w:r w:rsidRPr="00924FFB">
        <w:rPr>
          <w:rStyle w:val="af7"/>
          <w:rFonts w:ascii="Tahoma" w:hAnsi="Tahoma" w:cs="Tahoma"/>
          <w:u w:val="single"/>
          <w:lang w:val="en-US"/>
        </w:rPr>
        <w:t>Free</w:t>
      </w:r>
      <w:r w:rsidR="00E156B1" w:rsidRPr="00924FFB">
        <w:rPr>
          <w:rStyle w:val="af7"/>
          <w:rFonts w:ascii="Tahoma" w:hAnsi="Tahoma" w:cs="Tahoma"/>
          <w:u w:val="single"/>
          <w:lang w:val="en-US"/>
        </w:rPr>
        <w:t>-float</w:t>
      </w:r>
      <w:r w:rsidR="00E156B1" w:rsidRPr="00924FFB">
        <w:rPr>
          <w:rStyle w:val="af7"/>
          <w:rFonts w:ascii="Tahoma" w:hAnsi="Tahoma" w:cs="Tahoma"/>
          <w:lang w:val="en-US"/>
        </w:rPr>
        <w:t xml:space="preserve"> – </w:t>
      </w:r>
      <w:r w:rsidRPr="00924FFB">
        <w:rPr>
          <w:rStyle w:val="af7"/>
          <w:rFonts w:ascii="Tahoma" w:hAnsi="Tahoma" w:cs="Tahoma"/>
          <w:lang w:val="en-US"/>
        </w:rPr>
        <w:t>an adjustment coefficient measuring the amount (percentage) of shares or represented shares in free float.</w:t>
      </w:r>
    </w:p>
    <w:p w14:paraId="345337CA" w14:textId="77777777" w:rsidR="00C73008" w:rsidRPr="00924FFB" w:rsidRDefault="00C73008" w:rsidP="003C77EA">
      <w:pPr>
        <w:pStyle w:val="11"/>
        <w:numPr>
          <w:ilvl w:val="0"/>
          <w:numId w:val="0"/>
        </w:numPr>
        <w:ind w:left="1418"/>
        <w:rPr>
          <w:rFonts w:cs="Tahoma"/>
          <w:lang w:val="en-US"/>
        </w:rPr>
      </w:pPr>
    </w:p>
    <w:p w14:paraId="5E6FE278" w14:textId="4FD50908" w:rsidR="00280903" w:rsidRPr="00924FFB" w:rsidRDefault="00280903" w:rsidP="00E7783E">
      <w:pPr>
        <w:pStyle w:val="af4"/>
        <w:numPr>
          <w:ilvl w:val="1"/>
          <w:numId w:val="8"/>
        </w:numPr>
        <w:rPr>
          <w:rFonts w:cs="Tahoma"/>
          <w:b/>
          <w:lang w:val="en-US"/>
        </w:rPr>
      </w:pPr>
      <w:r w:rsidRPr="00924FFB">
        <w:rPr>
          <w:rFonts w:cs="Tahoma"/>
          <w:b/>
          <w:lang w:val="en-US"/>
        </w:rPr>
        <w:t>Equity Sub-Index calculation method</w:t>
      </w:r>
    </w:p>
    <w:p w14:paraId="576D3257" w14:textId="77777777" w:rsidR="00280903" w:rsidRPr="00924FFB" w:rsidRDefault="00280903" w:rsidP="00280903">
      <w:pPr>
        <w:pStyle w:val="af4"/>
        <w:ind w:left="360"/>
        <w:rPr>
          <w:rFonts w:cs="Tahoma"/>
          <w:b/>
          <w:lang w:val="en-US"/>
        </w:rPr>
      </w:pPr>
    </w:p>
    <w:p w14:paraId="4ABDD945" w14:textId="53AD5B99" w:rsidR="00280903" w:rsidRPr="00924FFB" w:rsidRDefault="00280903" w:rsidP="00280903">
      <w:pPr>
        <w:pStyle w:val="af4"/>
        <w:numPr>
          <w:ilvl w:val="2"/>
          <w:numId w:val="8"/>
        </w:numPr>
        <w:jc w:val="both"/>
        <w:rPr>
          <w:rFonts w:cs="Tahoma"/>
          <w:lang w:val="en-US"/>
        </w:rPr>
      </w:pPr>
      <w:r w:rsidRPr="00924FFB">
        <w:rPr>
          <w:rFonts w:cs="Tahoma"/>
          <w:lang w:val="en-US"/>
        </w:rPr>
        <w:t xml:space="preserve">The </w:t>
      </w:r>
      <w:r w:rsidR="004A0E18" w:rsidRPr="00924FFB">
        <w:rPr>
          <w:rFonts w:cs="Tahoma"/>
          <w:lang w:val="en-US"/>
        </w:rPr>
        <w:t xml:space="preserve">Equity Price Sub-Index </w:t>
      </w:r>
      <w:r w:rsidRPr="00924FFB">
        <w:rPr>
          <w:rFonts w:cs="Tahoma"/>
          <w:lang w:val="en-US"/>
        </w:rPr>
        <w:t>is calculated once a day at the end of the main trading session.</w:t>
      </w:r>
    </w:p>
    <w:p w14:paraId="7044FF02" w14:textId="5B92B7AA" w:rsidR="00280903" w:rsidRPr="00924FFB" w:rsidRDefault="004A0E18" w:rsidP="00280903">
      <w:pPr>
        <w:pStyle w:val="af4"/>
        <w:numPr>
          <w:ilvl w:val="2"/>
          <w:numId w:val="8"/>
        </w:numPr>
        <w:jc w:val="both"/>
        <w:rPr>
          <w:rFonts w:cs="Tahoma"/>
          <w:lang w:val="en-US"/>
        </w:rPr>
      </w:pPr>
      <w:r w:rsidRPr="00924FFB">
        <w:rPr>
          <w:rFonts w:cs="Tahoma"/>
          <w:lang w:val="en-US"/>
        </w:rPr>
        <w:t>T</w:t>
      </w:r>
      <w:r w:rsidR="00280903" w:rsidRPr="00924FFB">
        <w:rPr>
          <w:rFonts w:cs="Tahoma"/>
          <w:lang w:val="en-US"/>
        </w:rPr>
        <w:t xml:space="preserve">he </w:t>
      </w:r>
      <w:r w:rsidRPr="00924FFB">
        <w:rPr>
          <w:rFonts w:cs="Tahoma"/>
          <w:lang w:val="en-US"/>
        </w:rPr>
        <w:t xml:space="preserve">Equity Price Sub-Index code is </w:t>
      </w:r>
      <w:r w:rsidR="00280903" w:rsidRPr="00924FFB">
        <w:rPr>
          <w:rFonts w:cs="Tahoma"/>
          <w:lang w:val="en-US"/>
        </w:rPr>
        <w:t>EPSI.</w:t>
      </w:r>
    </w:p>
    <w:p w14:paraId="7B985E91" w14:textId="04C6ED8A" w:rsidR="00280903" w:rsidRPr="00924FFB" w:rsidRDefault="00280903" w:rsidP="00280903">
      <w:pPr>
        <w:pStyle w:val="af4"/>
        <w:numPr>
          <w:ilvl w:val="2"/>
          <w:numId w:val="8"/>
        </w:numPr>
        <w:jc w:val="both"/>
        <w:rPr>
          <w:rFonts w:cs="Tahoma"/>
          <w:lang w:val="en-US"/>
        </w:rPr>
      </w:pPr>
      <w:r w:rsidRPr="00924FFB">
        <w:rPr>
          <w:rFonts w:cs="Tahoma"/>
          <w:lang w:val="en-US"/>
        </w:rPr>
        <w:t xml:space="preserve">The </w:t>
      </w:r>
      <w:r w:rsidR="004A0E18" w:rsidRPr="00924FFB">
        <w:rPr>
          <w:rFonts w:cs="Tahoma"/>
          <w:lang w:val="en-US"/>
        </w:rPr>
        <w:t xml:space="preserve">Equity Price Sub-Index </w:t>
      </w:r>
      <w:r w:rsidRPr="00924FFB">
        <w:rPr>
          <w:rFonts w:cs="Tahoma"/>
          <w:lang w:val="en-US"/>
        </w:rPr>
        <w:t>is calculated as the ratio of the total value (</w:t>
      </w:r>
      <w:proofErr w:type="spellStart"/>
      <w:r w:rsidRPr="00924FFB">
        <w:rPr>
          <w:rFonts w:cs="Tahoma"/>
          <w:lang w:val="en-US"/>
        </w:rPr>
        <w:t>capitalisation</w:t>
      </w:r>
      <w:proofErr w:type="spellEnd"/>
      <w:r w:rsidRPr="00924FFB">
        <w:rPr>
          <w:rFonts w:cs="Tahoma"/>
          <w:lang w:val="en-US"/>
        </w:rPr>
        <w:t xml:space="preserve">) of all Shares as </w:t>
      </w:r>
      <w:proofErr w:type="gramStart"/>
      <w:r w:rsidRPr="00924FFB">
        <w:rPr>
          <w:rFonts w:cs="Tahoma"/>
          <w:lang w:val="en-US"/>
        </w:rPr>
        <w:t>at the moment</w:t>
      </w:r>
      <w:proofErr w:type="gramEnd"/>
      <w:r w:rsidRPr="00924FFB">
        <w:rPr>
          <w:rFonts w:cs="Tahoma"/>
          <w:lang w:val="en-US"/>
        </w:rPr>
        <w:t xml:space="preserve"> of calculation to the value of the Divisor, according to the following formula:</w:t>
      </w:r>
    </w:p>
    <w:p w14:paraId="2E712C51" w14:textId="0258EB6D" w:rsidR="00CF6D8D" w:rsidRPr="00924FFB" w:rsidRDefault="00C83308" w:rsidP="00CF6D8D">
      <w:pPr>
        <w:pStyle w:val="afb"/>
        <w:rPr>
          <w:rFonts w:ascii="Tahoma" w:hAnsi="Tahoma" w:cs="Tahoma"/>
        </w:rPr>
      </w:pPr>
      <m:oMathPara>
        <m:oMath>
          <m:sSub>
            <m:sSubPr>
              <m:ctrlPr>
                <w:rPr>
                  <w:rFonts w:cs="Tahoma"/>
                </w:rPr>
              </m:ctrlPr>
            </m:sSubPr>
            <m:e>
              <m:r>
                <w:rPr>
                  <w:rFonts w:cs="Tahoma"/>
                </w:rPr>
                <m:t>Sub_I</m:t>
              </m:r>
            </m:e>
            <m:sub>
              <m:r>
                <w:rPr>
                  <w:rFonts w:cs="Tahoma"/>
                </w:rPr>
                <m:t>n</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46BDF358" w14:textId="067FFF94" w:rsidR="00CF6D8D" w:rsidRPr="00924FFB" w:rsidRDefault="00FD7DEC" w:rsidP="00CF6D8D">
      <w:pPr>
        <w:pStyle w:val="af9"/>
        <w:rPr>
          <w:rFonts w:cs="Tahoma"/>
        </w:rPr>
      </w:pPr>
      <w:r w:rsidRPr="00924FFB">
        <w:rPr>
          <w:rFonts w:cs="Tahoma"/>
          <w:lang w:val="en-US"/>
        </w:rPr>
        <w:t>where</w:t>
      </w:r>
      <w:r w:rsidR="00CF6D8D" w:rsidRPr="00924FFB">
        <w:rPr>
          <w:rFonts w:cs="Tahoma"/>
        </w:rPr>
        <w:t>:</w:t>
      </w:r>
    </w:p>
    <w:p w14:paraId="002D6199" w14:textId="7D9C0044" w:rsidR="00CF6D8D" w:rsidRPr="00924FFB" w:rsidRDefault="005735CB" w:rsidP="00CF6D8D">
      <w:pPr>
        <w:pStyle w:val="af9"/>
        <w:rPr>
          <w:rFonts w:cs="Tahoma"/>
          <w:lang w:val="en-US"/>
        </w:rPr>
      </w:pPr>
      <w:proofErr w:type="spellStart"/>
      <w:r w:rsidRPr="00924FFB">
        <w:rPr>
          <w:rFonts w:cs="Tahoma"/>
          <w:lang w:val="en-US"/>
        </w:rPr>
        <w:t>Sub_</w:t>
      </w:r>
      <w:r w:rsidR="00826767" w:rsidRPr="00924FFB">
        <w:rPr>
          <w:rFonts w:cs="Tahoma"/>
          <w:lang w:val="en-US"/>
        </w:rPr>
        <w:t>I</w:t>
      </w:r>
      <w:r w:rsidR="00CD760C" w:rsidRPr="00924FFB">
        <w:rPr>
          <w:rFonts w:cs="Tahoma"/>
          <w:vertAlign w:val="subscript"/>
          <w:lang w:val="en-US"/>
        </w:rPr>
        <w:t>n</w:t>
      </w:r>
      <w:proofErr w:type="spellEnd"/>
      <w:r w:rsidR="00CF6D8D" w:rsidRPr="00924FFB">
        <w:rPr>
          <w:rFonts w:cs="Tahoma"/>
          <w:lang w:val="en-US"/>
        </w:rPr>
        <w:t xml:space="preserve"> – </w:t>
      </w:r>
      <w:r w:rsidR="004A0E18" w:rsidRPr="00924FFB">
        <w:rPr>
          <w:rFonts w:cs="Tahoma"/>
          <w:lang w:val="en-US"/>
        </w:rPr>
        <w:t xml:space="preserve">the value of the Equity Price Sub-Index at time </w:t>
      </w:r>
      <w:proofErr w:type="gramStart"/>
      <w:r w:rsidR="004A0E18" w:rsidRPr="00924FFB">
        <w:rPr>
          <w:rFonts w:cs="Tahoma"/>
          <w:lang w:val="en-US"/>
        </w:rPr>
        <w:t>n</w:t>
      </w:r>
      <w:r w:rsidR="00CF6D8D" w:rsidRPr="00924FFB">
        <w:rPr>
          <w:rFonts w:cs="Tahoma"/>
          <w:lang w:val="en-US"/>
        </w:rPr>
        <w:t>;</w:t>
      </w:r>
      <w:proofErr w:type="gramEnd"/>
    </w:p>
    <w:p w14:paraId="6C4960C4" w14:textId="4CE46AE0" w:rsidR="004A0E18" w:rsidRPr="00924FFB" w:rsidRDefault="00CF6D8D" w:rsidP="004A0E18">
      <w:pPr>
        <w:pStyle w:val="af9"/>
        <w:rPr>
          <w:rFonts w:cs="Tahoma"/>
          <w:lang w:val="en-US"/>
        </w:rPr>
      </w:pPr>
      <w:proofErr w:type="spellStart"/>
      <w:r w:rsidRPr="00924FFB">
        <w:rPr>
          <w:rFonts w:cs="Tahoma"/>
          <w:lang w:val="en-US"/>
        </w:rPr>
        <w:t>MC</w:t>
      </w:r>
      <w:r w:rsidRPr="00924FFB">
        <w:rPr>
          <w:rFonts w:cs="Tahoma"/>
          <w:vertAlign w:val="subscript"/>
          <w:lang w:val="en-US"/>
        </w:rPr>
        <w:t>n</w:t>
      </w:r>
      <w:proofErr w:type="spellEnd"/>
      <w:r w:rsidRPr="00924FFB">
        <w:rPr>
          <w:rFonts w:cs="Tahoma"/>
          <w:lang w:val="en-US"/>
        </w:rPr>
        <w:t xml:space="preserve"> –</w:t>
      </w:r>
      <w:r w:rsidR="004A0E18" w:rsidRPr="00924FFB">
        <w:rPr>
          <w:rFonts w:cs="Tahoma"/>
          <w:lang w:val="en-US"/>
        </w:rPr>
        <w:t xml:space="preserve"> </w:t>
      </w:r>
      <w:r w:rsidR="00F94AA9" w:rsidRPr="00924FFB">
        <w:rPr>
          <w:rFonts w:cs="Tahoma"/>
          <w:lang w:val="en-US"/>
        </w:rPr>
        <w:t xml:space="preserve">the </w:t>
      </w:r>
      <w:r w:rsidR="004A0E18" w:rsidRPr="00924FFB">
        <w:rPr>
          <w:rFonts w:cs="Tahoma"/>
          <w:lang w:val="en-US"/>
        </w:rPr>
        <w:t>total value (</w:t>
      </w:r>
      <w:proofErr w:type="spellStart"/>
      <w:r w:rsidR="004A0E18" w:rsidRPr="00924FFB">
        <w:rPr>
          <w:rFonts w:cs="Tahoma"/>
          <w:lang w:val="en-US"/>
        </w:rPr>
        <w:t>capitalisation</w:t>
      </w:r>
      <w:proofErr w:type="spellEnd"/>
      <w:r w:rsidR="004A0E18" w:rsidRPr="00924FFB">
        <w:rPr>
          <w:rFonts w:cs="Tahoma"/>
          <w:lang w:val="en-US"/>
        </w:rPr>
        <w:t xml:space="preserve">) of all </w:t>
      </w:r>
      <w:r w:rsidR="00FD7DEC" w:rsidRPr="00924FFB">
        <w:rPr>
          <w:rFonts w:cs="Tahoma"/>
          <w:lang w:val="en-US"/>
        </w:rPr>
        <w:t>Stocks</w:t>
      </w:r>
      <w:r w:rsidR="004A0E18" w:rsidRPr="00924FFB">
        <w:rPr>
          <w:rFonts w:cs="Tahoma"/>
          <w:lang w:val="en-US"/>
        </w:rPr>
        <w:t xml:space="preserve"> at time n determined in accordance with clause 1.2.5 of Appendix 3 to this </w:t>
      </w:r>
      <w:proofErr w:type="gramStart"/>
      <w:r w:rsidR="004A0E18" w:rsidRPr="00924FFB">
        <w:rPr>
          <w:rFonts w:cs="Tahoma"/>
          <w:lang w:val="en-US"/>
        </w:rPr>
        <w:t>Methodology;</w:t>
      </w:r>
      <w:proofErr w:type="gramEnd"/>
    </w:p>
    <w:p w14:paraId="411F79E9" w14:textId="3F243BD8" w:rsidR="00CF6D8D" w:rsidRPr="00924FFB" w:rsidRDefault="00CF6D8D" w:rsidP="00CF6D8D">
      <w:pPr>
        <w:pStyle w:val="af9"/>
        <w:rPr>
          <w:rFonts w:cs="Tahoma"/>
          <w:lang w:val="en-US"/>
        </w:rPr>
      </w:pPr>
      <w:proofErr w:type="spellStart"/>
      <w:r w:rsidRPr="00924FFB">
        <w:rPr>
          <w:rFonts w:cs="Tahoma"/>
          <w:lang w:val="en-US"/>
        </w:rPr>
        <w:t>D</w:t>
      </w:r>
      <w:r w:rsidRPr="00924FFB">
        <w:rPr>
          <w:rFonts w:cs="Tahoma"/>
          <w:vertAlign w:val="subscript"/>
          <w:lang w:val="en-US"/>
        </w:rPr>
        <w:t>n</w:t>
      </w:r>
      <w:proofErr w:type="spellEnd"/>
      <w:r w:rsidRPr="00924FFB">
        <w:rPr>
          <w:rFonts w:cs="Tahoma"/>
          <w:lang w:val="en-US"/>
        </w:rPr>
        <w:t xml:space="preserve"> – </w:t>
      </w:r>
      <w:r w:rsidR="004A0E18" w:rsidRPr="00924FFB">
        <w:rPr>
          <w:rFonts w:cs="Tahoma"/>
          <w:lang w:val="en-US"/>
        </w:rPr>
        <w:t xml:space="preserve">the Divisor value at time </w:t>
      </w:r>
      <w:proofErr w:type="gramStart"/>
      <w:r w:rsidR="004A0E18" w:rsidRPr="00924FFB">
        <w:rPr>
          <w:rFonts w:cs="Tahoma"/>
          <w:lang w:val="en-US"/>
        </w:rPr>
        <w:t>n</w:t>
      </w:r>
      <w:r w:rsidRPr="00924FFB">
        <w:rPr>
          <w:rFonts w:cs="Tahoma"/>
          <w:lang w:val="en-US"/>
        </w:rPr>
        <w:t>;</w:t>
      </w:r>
      <w:proofErr w:type="gramEnd"/>
    </w:p>
    <w:p w14:paraId="61227648" w14:textId="77777777" w:rsidR="004A0E18" w:rsidRPr="00924FFB" w:rsidRDefault="004A0E18" w:rsidP="004A0E18">
      <w:pPr>
        <w:pStyle w:val="af9"/>
        <w:rPr>
          <w:rFonts w:cs="Tahoma"/>
          <w:lang w:val="en-US"/>
        </w:rPr>
      </w:pPr>
    </w:p>
    <w:p w14:paraId="20A943B6" w14:textId="71E50304" w:rsidR="004A0E18" w:rsidRPr="00924FFB" w:rsidRDefault="004A0E18" w:rsidP="004A0E18">
      <w:pPr>
        <w:pStyle w:val="af9"/>
        <w:rPr>
          <w:rFonts w:cs="Tahoma"/>
          <w:lang w:val="en-US"/>
        </w:rPr>
      </w:pPr>
      <w:r w:rsidRPr="00924FFB">
        <w:rPr>
          <w:rFonts w:cs="Tahoma"/>
          <w:lang w:val="en-US"/>
        </w:rPr>
        <w:t>The Divisor is the value of the total value (</w:t>
      </w:r>
      <w:proofErr w:type="spellStart"/>
      <w:r w:rsidRPr="00924FFB">
        <w:rPr>
          <w:rFonts w:cs="Tahoma"/>
          <w:lang w:val="en-US"/>
        </w:rPr>
        <w:t>capitalisation</w:t>
      </w:r>
      <w:proofErr w:type="spellEnd"/>
      <w:r w:rsidRPr="00924FFB">
        <w:rPr>
          <w:rFonts w:cs="Tahoma"/>
          <w:lang w:val="en-US"/>
        </w:rPr>
        <w:t xml:space="preserve">) of all the Shares as of the first calculation day adjusted for the changes in the Constituents and the initial value of the Equity Price Sub-Index. </w:t>
      </w:r>
    </w:p>
    <w:p w14:paraId="79B1A304" w14:textId="77777777" w:rsidR="00FD7DEC" w:rsidRPr="00924FFB" w:rsidRDefault="00FD7DEC" w:rsidP="004A0E18">
      <w:pPr>
        <w:pStyle w:val="af9"/>
        <w:rPr>
          <w:rFonts w:cs="Tahoma"/>
          <w:lang w:val="en-US"/>
        </w:rPr>
      </w:pPr>
    </w:p>
    <w:p w14:paraId="70186480" w14:textId="124D4514" w:rsidR="004A0E18" w:rsidRPr="00924FFB" w:rsidRDefault="004A0E18" w:rsidP="004A0E18">
      <w:pPr>
        <w:pStyle w:val="af9"/>
        <w:rPr>
          <w:rFonts w:cs="Tahoma"/>
          <w:lang w:val="en-US"/>
        </w:rPr>
      </w:pPr>
      <w:r w:rsidRPr="00924FFB">
        <w:rPr>
          <w:rFonts w:cs="Tahoma"/>
          <w:lang w:val="en-US"/>
        </w:rPr>
        <w:t>On the first day of calculation of the Equity Price Sub-index, the Divisor is calculated as follows:</w:t>
      </w:r>
    </w:p>
    <w:p w14:paraId="391AEA85" w14:textId="2B25C7D5" w:rsidR="00CF6D8D" w:rsidRPr="00924FFB" w:rsidRDefault="00C83308" w:rsidP="00CF6D8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Sub_I</m:t>
                  </m:r>
                </m:e>
                <m:sub>
                  <m:r>
                    <w:rPr>
                      <w:rFonts w:cs="Tahoma"/>
                    </w:rPr>
                    <m:t>1</m:t>
                  </m:r>
                </m:sub>
              </m:sSub>
            </m:den>
          </m:f>
          <m:r>
            <w:rPr>
              <w:rFonts w:cs="Tahoma"/>
            </w:rPr>
            <m:t xml:space="preserve"> ,</m:t>
          </m:r>
        </m:oMath>
      </m:oMathPara>
    </w:p>
    <w:p w14:paraId="58A3BEC4" w14:textId="4AB269ED" w:rsidR="00CF6D8D" w:rsidRPr="00924FFB" w:rsidRDefault="004A0E18" w:rsidP="00CF6D8D">
      <w:pPr>
        <w:pStyle w:val="af9"/>
        <w:rPr>
          <w:rFonts w:cs="Tahoma"/>
          <w:lang w:val="en-US"/>
        </w:rPr>
      </w:pPr>
      <w:r w:rsidRPr="00924FFB">
        <w:rPr>
          <w:rFonts w:cs="Tahoma"/>
          <w:lang w:val="en-US"/>
        </w:rPr>
        <w:t>where</w:t>
      </w:r>
      <w:r w:rsidR="00CF6D8D" w:rsidRPr="00924FFB">
        <w:rPr>
          <w:rFonts w:cs="Tahoma"/>
          <w:lang w:val="en-US"/>
        </w:rPr>
        <w:t>:</w:t>
      </w:r>
    </w:p>
    <w:p w14:paraId="3702C579" w14:textId="5E57FCED" w:rsidR="00F94AA9" w:rsidRPr="00924FFB" w:rsidRDefault="00CF6D8D" w:rsidP="00F94AA9">
      <w:pPr>
        <w:pStyle w:val="af9"/>
        <w:rPr>
          <w:rFonts w:cs="Tahoma"/>
          <w:lang w:val="en-US"/>
        </w:rPr>
      </w:pPr>
      <w:r w:rsidRPr="00924FFB">
        <w:rPr>
          <w:rFonts w:cs="Tahoma"/>
          <w:lang w:val="en-US"/>
        </w:rPr>
        <w:t>MC</w:t>
      </w:r>
      <w:r w:rsidRPr="00924FFB">
        <w:rPr>
          <w:rFonts w:cs="Tahoma"/>
          <w:vertAlign w:val="subscript"/>
          <w:lang w:val="en-US"/>
        </w:rPr>
        <w:t>1</w:t>
      </w:r>
      <w:r w:rsidRPr="00924FFB">
        <w:rPr>
          <w:rFonts w:cs="Tahoma"/>
          <w:lang w:val="en-US"/>
        </w:rPr>
        <w:t xml:space="preserve"> – </w:t>
      </w:r>
      <w:r w:rsidR="00F94AA9" w:rsidRPr="00924FFB">
        <w:rPr>
          <w:rFonts w:cs="Tahoma"/>
          <w:lang w:val="en-US"/>
        </w:rPr>
        <w:t>the total value (</w:t>
      </w:r>
      <w:proofErr w:type="spellStart"/>
      <w:r w:rsidR="00F94AA9" w:rsidRPr="00924FFB">
        <w:rPr>
          <w:rFonts w:cs="Tahoma"/>
          <w:lang w:val="en-US"/>
        </w:rPr>
        <w:t>capitalisation</w:t>
      </w:r>
      <w:proofErr w:type="spellEnd"/>
      <w:r w:rsidR="00F94AA9" w:rsidRPr="00924FFB">
        <w:rPr>
          <w:rFonts w:cs="Tahoma"/>
          <w:lang w:val="en-US"/>
        </w:rPr>
        <w:t xml:space="preserve">) of all </w:t>
      </w:r>
      <w:r w:rsidR="00FD7DEC" w:rsidRPr="00924FFB">
        <w:rPr>
          <w:rFonts w:cs="Tahoma"/>
          <w:lang w:val="en-US"/>
        </w:rPr>
        <w:t>Stocks</w:t>
      </w:r>
      <w:r w:rsidR="00F94AA9" w:rsidRPr="00924FFB">
        <w:rPr>
          <w:rFonts w:cs="Tahoma"/>
          <w:lang w:val="en-US"/>
        </w:rPr>
        <w:t xml:space="preserve"> on the date of the first Equity Price Sub-Index </w:t>
      </w:r>
      <w:proofErr w:type="gramStart"/>
      <w:r w:rsidR="00F94AA9" w:rsidRPr="00924FFB">
        <w:rPr>
          <w:rFonts w:cs="Tahoma"/>
          <w:lang w:val="en-US"/>
        </w:rPr>
        <w:t>calculation;</w:t>
      </w:r>
      <w:proofErr w:type="gramEnd"/>
    </w:p>
    <w:p w14:paraId="6D109268" w14:textId="6D894A12" w:rsidR="00F94AA9" w:rsidRPr="00924FFB" w:rsidRDefault="00CF6D8D" w:rsidP="00F94AA9">
      <w:pPr>
        <w:pStyle w:val="af9"/>
        <w:rPr>
          <w:rFonts w:cs="Tahoma"/>
          <w:lang w:val="en-US"/>
        </w:rPr>
      </w:pPr>
      <w:r w:rsidRPr="00924FFB">
        <w:rPr>
          <w:rFonts w:cs="Tahoma"/>
          <w:lang w:val="en-US"/>
        </w:rPr>
        <w:t>I</w:t>
      </w:r>
      <w:r w:rsidRPr="00924FFB">
        <w:rPr>
          <w:rFonts w:cs="Tahoma"/>
          <w:vertAlign w:val="subscript"/>
          <w:lang w:val="en-US"/>
        </w:rPr>
        <w:t>1</w:t>
      </w:r>
      <w:r w:rsidRPr="00924FFB">
        <w:rPr>
          <w:rFonts w:cs="Tahoma"/>
          <w:lang w:val="en-US"/>
        </w:rPr>
        <w:t xml:space="preserve"> – </w:t>
      </w:r>
      <w:r w:rsidR="00F94AA9" w:rsidRPr="00924FFB">
        <w:rPr>
          <w:rFonts w:cs="Tahoma"/>
          <w:lang w:val="en-US"/>
        </w:rPr>
        <w:t>the value of the Equity Price Sub-index on the date of the first calculation.</w:t>
      </w:r>
    </w:p>
    <w:p w14:paraId="7CB6EEE5" w14:textId="46EB8D79" w:rsidR="00CF6D8D" w:rsidRPr="00924FFB" w:rsidRDefault="00CF6D8D" w:rsidP="00CF6D8D">
      <w:pPr>
        <w:pStyle w:val="af9"/>
        <w:rPr>
          <w:rFonts w:cs="Tahoma"/>
        </w:rPr>
      </w:pPr>
    </w:p>
    <w:p w14:paraId="3595992D" w14:textId="77777777" w:rsidR="00F94AA9" w:rsidRPr="00924FFB" w:rsidRDefault="00F94AA9" w:rsidP="00F94AA9">
      <w:pPr>
        <w:pStyle w:val="af9"/>
        <w:rPr>
          <w:rFonts w:cs="Tahoma"/>
          <w:lang w:val="en-US"/>
        </w:rPr>
      </w:pPr>
      <w:r w:rsidRPr="00924FFB">
        <w:rPr>
          <w:rFonts w:cs="Tahoma"/>
          <w:lang w:val="en-US"/>
        </w:rPr>
        <w:t xml:space="preserve">On subsequent days, the Divisor remains unchanged </w:t>
      </w:r>
      <w:r w:rsidR="00CF6D8D" w:rsidRPr="00924FFB">
        <w:rPr>
          <w:rFonts w:cs="Tahoma"/>
          <w:lang w:val="en-US"/>
        </w:rPr>
        <w:t>(</w:t>
      </w:r>
      <w:proofErr w:type="spellStart"/>
      <w:r w:rsidR="00CF6D8D" w:rsidRPr="00924FFB">
        <w:rPr>
          <w:rFonts w:cs="Tahoma"/>
          <w:lang w:val="en-US"/>
        </w:rPr>
        <w:t>D</w:t>
      </w:r>
      <w:r w:rsidR="00CF6D8D" w:rsidRPr="00924FFB">
        <w:rPr>
          <w:rFonts w:cs="Tahoma"/>
          <w:vertAlign w:val="subscript"/>
          <w:lang w:val="en-US"/>
        </w:rPr>
        <w:t>n</w:t>
      </w:r>
      <w:proofErr w:type="spellEnd"/>
      <w:r w:rsidR="00CF6D8D" w:rsidRPr="00924FFB">
        <w:rPr>
          <w:rFonts w:cs="Tahoma"/>
          <w:lang w:val="en-US"/>
        </w:rPr>
        <w:t>=D</w:t>
      </w:r>
      <w:r w:rsidR="00CF6D8D" w:rsidRPr="00924FFB">
        <w:rPr>
          <w:rFonts w:cs="Tahoma"/>
          <w:vertAlign w:val="subscript"/>
          <w:lang w:val="en-US"/>
        </w:rPr>
        <w:t>n-1</w:t>
      </w:r>
      <w:r w:rsidR="00CF6D8D" w:rsidRPr="00924FFB">
        <w:rPr>
          <w:rFonts w:cs="Tahoma"/>
          <w:lang w:val="en-US"/>
        </w:rPr>
        <w:t xml:space="preserve">), </w:t>
      </w:r>
      <w:r w:rsidRPr="00924FFB">
        <w:rPr>
          <w:rFonts w:cs="Tahoma"/>
          <w:lang w:val="en-US"/>
        </w:rPr>
        <w:t>except for the cases described in clause 1.7 of Appendix 3 to this Methodology.</w:t>
      </w:r>
    </w:p>
    <w:p w14:paraId="04F07682" w14:textId="2FD444B6" w:rsidR="00F94AA9" w:rsidRPr="00924FFB" w:rsidRDefault="00F94AA9" w:rsidP="00F94AA9">
      <w:pPr>
        <w:pStyle w:val="af4"/>
        <w:numPr>
          <w:ilvl w:val="2"/>
          <w:numId w:val="8"/>
        </w:numPr>
        <w:jc w:val="both"/>
        <w:rPr>
          <w:rFonts w:cs="Tahoma"/>
          <w:lang w:val="en-US"/>
        </w:rPr>
      </w:pPr>
      <w:r w:rsidRPr="00924FFB">
        <w:rPr>
          <w:rFonts w:cs="Tahoma"/>
          <w:lang w:val="en-US"/>
        </w:rPr>
        <w:t>The following values as of 28 December 2007 (the date of the first calculation of the Equity Price Sub-Index) shall be used for the calculation of the sub-index:</w:t>
      </w:r>
    </w:p>
    <w:p w14:paraId="17FF1BB1" w14:textId="77777777" w:rsidR="00F94AA9" w:rsidRPr="00924FFB" w:rsidRDefault="00F94AA9" w:rsidP="00F94AA9">
      <w:pPr>
        <w:spacing w:after="12"/>
        <w:ind w:left="1560"/>
        <w:jc w:val="both"/>
        <w:rPr>
          <w:rFonts w:cs="Tahoma"/>
        </w:rPr>
      </w:pPr>
      <w:r w:rsidRPr="00924FFB">
        <w:rPr>
          <w:rFonts w:cs="Tahoma"/>
          <w:lang w:val="en-US"/>
        </w:rPr>
        <w:t xml:space="preserve">1) </w:t>
      </w:r>
      <w:r w:rsidRPr="00924FFB">
        <w:rPr>
          <w:rFonts w:cs="Tahoma"/>
        </w:rPr>
        <w:t>the value of the Equity Price Sub-Index (EPSI</w:t>
      </w:r>
      <w:r w:rsidRPr="00924FFB">
        <w:rPr>
          <w:rFonts w:cs="Tahoma"/>
          <w:vertAlign w:val="subscript"/>
        </w:rPr>
        <w:t>1</w:t>
      </w:r>
      <w:r w:rsidRPr="00924FFB">
        <w:rPr>
          <w:rFonts w:cs="Tahoma"/>
        </w:rPr>
        <w:t xml:space="preserve">) = </w:t>
      </w:r>
      <w:proofErr w:type="gramStart"/>
      <w:r w:rsidRPr="00924FFB">
        <w:rPr>
          <w:rFonts w:cs="Tahoma"/>
        </w:rPr>
        <w:t>1,000;</w:t>
      </w:r>
      <w:proofErr w:type="gramEnd"/>
    </w:p>
    <w:p w14:paraId="30D60D33" w14:textId="3E937C98" w:rsidR="00F94AA9" w:rsidRPr="00924FFB" w:rsidRDefault="00F94AA9" w:rsidP="00F94AA9">
      <w:pPr>
        <w:spacing w:after="12"/>
        <w:ind w:left="1560"/>
        <w:jc w:val="both"/>
        <w:rPr>
          <w:rFonts w:cs="Tahoma"/>
          <w:lang w:val="en-US"/>
        </w:rPr>
      </w:pPr>
      <w:r w:rsidRPr="00924FFB">
        <w:rPr>
          <w:rFonts w:cs="Tahoma"/>
          <w:lang w:val="en-US"/>
        </w:rPr>
        <w:t>2) Total value of all the Shares (MC</w:t>
      </w:r>
      <w:r w:rsidRPr="00924FFB">
        <w:rPr>
          <w:rFonts w:cs="Tahoma"/>
          <w:vertAlign w:val="subscript"/>
          <w:lang w:val="en-US"/>
        </w:rPr>
        <w:t>1</w:t>
      </w:r>
      <w:r w:rsidRPr="00924FFB">
        <w:rPr>
          <w:rFonts w:cs="Tahoma"/>
          <w:lang w:val="en-US"/>
        </w:rPr>
        <w:t xml:space="preserve">) = RUB </w:t>
      </w:r>
      <w:proofErr w:type="gramStart"/>
      <w:r w:rsidRPr="00924FFB">
        <w:rPr>
          <w:rFonts w:cs="Tahoma"/>
          <w:lang w:val="en-US"/>
        </w:rPr>
        <w:t>224,485,636,170.28;</w:t>
      </w:r>
      <w:proofErr w:type="gramEnd"/>
      <w:r w:rsidRPr="00924FFB">
        <w:rPr>
          <w:rFonts w:cs="Tahoma"/>
          <w:lang w:val="en-US"/>
        </w:rPr>
        <w:t xml:space="preserve"> </w:t>
      </w:r>
    </w:p>
    <w:p w14:paraId="1EC52456" w14:textId="2EC7C651" w:rsidR="00F94AA9" w:rsidRPr="00924FFB" w:rsidRDefault="00F94AA9" w:rsidP="00F94AA9">
      <w:pPr>
        <w:spacing w:after="12"/>
        <w:ind w:left="1560"/>
        <w:jc w:val="both"/>
        <w:rPr>
          <w:rFonts w:cs="Tahoma"/>
          <w:lang w:val="en-US"/>
        </w:rPr>
      </w:pPr>
      <w:r w:rsidRPr="00924FFB">
        <w:rPr>
          <w:rFonts w:cs="Tahoma"/>
          <w:lang w:val="en-US"/>
        </w:rPr>
        <w:t>3) the value of the Divisor (D</w:t>
      </w:r>
      <w:r w:rsidRPr="00924FFB">
        <w:rPr>
          <w:rFonts w:cs="Tahoma"/>
          <w:vertAlign w:val="subscript"/>
          <w:lang w:val="en-US"/>
        </w:rPr>
        <w:t>1</w:t>
      </w:r>
      <w:r w:rsidRPr="00924FFB">
        <w:rPr>
          <w:rFonts w:cs="Tahoma"/>
          <w:lang w:val="en-US"/>
        </w:rPr>
        <w:t>) = 224,485,636,1703.</w:t>
      </w:r>
    </w:p>
    <w:p w14:paraId="410FE0A0" w14:textId="77777777" w:rsidR="00FD7DEC" w:rsidRPr="00924FFB" w:rsidRDefault="00FD7DEC" w:rsidP="00F94AA9">
      <w:pPr>
        <w:spacing w:after="12"/>
        <w:ind w:left="1560"/>
        <w:jc w:val="both"/>
        <w:rPr>
          <w:rFonts w:cs="Tahoma"/>
          <w:lang w:val="en-US"/>
        </w:rPr>
      </w:pPr>
    </w:p>
    <w:p w14:paraId="5224EB4B" w14:textId="4F8A74F6" w:rsidR="00F94AA9" w:rsidRPr="00924FFB" w:rsidRDefault="00F94AA9" w:rsidP="00F94AA9">
      <w:pPr>
        <w:pStyle w:val="af4"/>
        <w:numPr>
          <w:ilvl w:val="2"/>
          <w:numId w:val="8"/>
        </w:numPr>
        <w:jc w:val="both"/>
        <w:rPr>
          <w:rFonts w:cs="Tahoma"/>
          <w:lang w:val="en-US"/>
        </w:rPr>
      </w:pPr>
      <w:r w:rsidRPr="00924FFB">
        <w:rPr>
          <w:rFonts w:cs="Tahoma"/>
          <w:lang w:val="en-US"/>
        </w:rPr>
        <w:t>The aggregate value of all the Shares at time n shall be calculated according to the formula:</w:t>
      </w:r>
    </w:p>
    <w:p w14:paraId="3A882EAD" w14:textId="77777777" w:rsidR="00CF6D8D" w:rsidRPr="00924FFB" w:rsidRDefault="00CF6D8D" w:rsidP="00CF6D8D">
      <w:pPr>
        <w:pStyle w:val="afb"/>
        <w:rPr>
          <w:rFonts w:ascii="Tahoma" w:hAnsi="Tahoma" w:cs="Tahoma"/>
        </w:rPr>
      </w:pPr>
      <m:oMathPara>
        <m:oMath>
          <m:r>
            <w:rPr>
              <w:rFonts w:cs="Tahoma"/>
            </w:rPr>
            <w:lastRenderedPageBreak/>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15736E61" w14:textId="57DBE5FA" w:rsidR="00CF6D8D" w:rsidRPr="00924FFB" w:rsidRDefault="00F94AA9" w:rsidP="00CF6D8D">
      <w:pPr>
        <w:pStyle w:val="af9"/>
        <w:rPr>
          <w:rFonts w:cs="Tahoma"/>
          <w:lang w:val="en-US"/>
        </w:rPr>
      </w:pPr>
      <w:r w:rsidRPr="00924FFB">
        <w:rPr>
          <w:rFonts w:cs="Tahoma"/>
          <w:lang w:val="en-US"/>
        </w:rPr>
        <w:t>Where</w:t>
      </w:r>
      <w:r w:rsidR="00CF6D8D" w:rsidRPr="00924FFB">
        <w:rPr>
          <w:rFonts w:cs="Tahoma"/>
          <w:lang w:val="en-US"/>
        </w:rPr>
        <w:t>:</w:t>
      </w:r>
    </w:p>
    <w:p w14:paraId="085E3650" w14:textId="06FA5F92" w:rsidR="00CF6D8D" w:rsidRPr="00924FFB" w:rsidDel="00B80F84" w:rsidRDefault="00CF6D8D" w:rsidP="00CF6D8D">
      <w:pPr>
        <w:pStyle w:val="af9"/>
        <w:rPr>
          <w:rFonts w:cs="Tahoma"/>
          <w:lang w:val="en-US"/>
        </w:rPr>
      </w:pPr>
      <w:r w:rsidRPr="00924FFB" w:rsidDel="00B80F84">
        <w:rPr>
          <w:rFonts w:cs="Tahoma"/>
          <w:lang w:val="en-US"/>
        </w:rPr>
        <w:t xml:space="preserve">N – </w:t>
      </w:r>
      <w:r w:rsidR="00F94AA9" w:rsidRPr="00924FFB">
        <w:rPr>
          <w:rFonts w:cs="Tahoma"/>
          <w:lang w:val="en-US"/>
        </w:rPr>
        <w:t xml:space="preserve">the total amount of </w:t>
      </w:r>
      <w:proofErr w:type="gramStart"/>
      <w:r w:rsidR="00F94AA9" w:rsidRPr="00924FFB">
        <w:rPr>
          <w:rFonts w:cs="Tahoma"/>
          <w:lang w:val="en-US"/>
        </w:rPr>
        <w:t>Stocks</w:t>
      </w:r>
      <w:r w:rsidRPr="00924FFB" w:rsidDel="00B80F84">
        <w:rPr>
          <w:rFonts w:cs="Tahoma"/>
          <w:lang w:val="en-US"/>
        </w:rPr>
        <w:t>;</w:t>
      </w:r>
      <w:proofErr w:type="gramEnd"/>
    </w:p>
    <w:p w14:paraId="215661F2" w14:textId="7160F543" w:rsidR="00CF6D8D" w:rsidRPr="00924FFB" w:rsidRDefault="00CF6D8D" w:rsidP="00CF6D8D">
      <w:pPr>
        <w:pStyle w:val="af9"/>
        <w:rPr>
          <w:rFonts w:cs="Tahoma"/>
          <w:lang w:val="en-US"/>
        </w:rPr>
      </w:pPr>
      <w:proofErr w:type="spellStart"/>
      <w:r w:rsidRPr="00924FFB">
        <w:rPr>
          <w:rFonts w:cs="Tahoma"/>
          <w:lang w:val="en-US"/>
        </w:rPr>
        <w:t>MC</w:t>
      </w:r>
      <w:r w:rsidRPr="00924FFB">
        <w:rPr>
          <w:rFonts w:cs="Tahoma"/>
          <w:vertAlign w:val="subscript"/>
          <w:lang w:val="en-US"/>
        </w:rPr>
        <w:t>i</w:t>
      </w:r>
      <w:proofErr w:type="spellEnd"/>
      <w:r w:rsidRPr="00924FFB">
        <w:rPr>
          <w:rFonts w:cs="Tahoma"/>
          <w:lang w:val="en-US"/>
        </w:rPr>
        <w:t xml:space="preserve"> – </w:t>
      </w:r>
      <w:r w:rsidR="00FD7DEC" w:rsidRPr="00924FFB">
        <w:rPr>
          <w:rFonts w:cs="Tahoma"/>
          <w:lang w:val="en-US"/>
        </w:rPr>
        <w:t xml:space="preserve">the </w:t>
      </w:r>
      <w:proofErr w:type="spellStart"/>
      <w:r w:rsidR="00FD7DEC" w:rsidRPr="00924FFB">
        <w:rPr>
          <w:rFonts w:cs="Tahoma"/>
          <w:lang w:val="en-US"/>
        </w:rPr>
        <w:t>i</w:t>
      </w:r>
      <w:r w:rsidR="00FD7DEC" w:rsidRPr="00924FFB">
        <w:rPr>
          <w:rFonts w:cs="Tahoma"/>
          <w:vertAlign w:val="superscript"/>
          <w:lang w:val="en-US"/>
        </w:rPr>
        <w:t>th</w:t>
      </w:r>
      <w:proofErr w:type="spellEnd"/>
      <w:r w:rsidR="00FD7DEC" w:rsidRPr="00924FFB">
        <w:rPr>
          <w:rFonts w:cs="Tahoma"/>
          <w:lang w:val="en-US"/>
        </w:rPr>
        <w:t xml:space="preserve"> stock cap</w:t>
      </w:r>
      <w:r w:rsidRPr="00924FFB">
        <w:rPr>
          <w:rFonts w:cs="Tahoma"/>
          <w:lang w:val="en-US"/>
        </w:rPr>
        <w:t>.</w:t>
      </w:r>
    </w:p>
    <w:p w14:paraId="09F85450" w14:textId="5D3D561D" w:rsidR="00CF6D8D" w:rsidRPr="00924FFB" w:rsidRDefault="00FD7DEC" w:rsidP="00E7783E">
      <w:pPr>
        <w:pStyle w:val="af4"/>
        <w:numPr>
          <w:ilvl w:val="2"/>
          <w:numId w:val="8"/>
        </w:numPr>
        <w:ind w:left="1418" w:hanging="698"/>
        <w:jc w:val="both"/>
        <w:rPr>
          <w:rFonts w:cs="Tahoma"/>
          <w:lang w:val="en-US"/>
        </w:rPr>
      </w:pPr>
      <w:r w:rsidRPr="00924FFB">
        <w:rPr>
          <w:rFonts w:cs="Tahoma"/>
          <w:lang w:val="en-US"/>
        </w:rPr>
        <w:t xml:space="preserve">The value (cap)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is calculated as follows</w:t>
      </w:r>
      <w:r w:rsidR="00CF6D8D" w:rsidRPr="00924FFB">
        <w:rPr>
          <w:rFonts w:cs="Tahoma"/>
          <w:lang w:val="en-US"/>
        </w:rPr>
        <w:t>:</w:t>
      </w:r>
    </w:p>
    <w:p w14:paraId="16C73AE9" w14:textId="77777777" w:rsidR="00CF6D8D" w:rsidRPr="00924FFB" w:rsidRDefault="00CF6D8D" w:rsidP="00CF6D8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i</m:t>
              </m:r>
            </m:sub>
          </m:sSub>
          <m:r>
            <w:rPr>
              <w:rFonts w:cs="Tahoma"/>
            </w:rPr>
            <m:t>=</m:t>
          </m:r>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r>
            <w:rPr>
              <w:rFonts w:cs="Tahoma"/>
            </w:rPr>
            <m:t xml:space="preserve"> ,</m:t>
          </m:r>
        </m:oMath>
      </m:oMathPara>
    </w:p>
    <w:p w14:paraId="742BB8CF" w14:textId="06040F1A" w:rsidR="00CF6D8D" w:rsidRPr="00924FFB" w:rsidRDefault="00FD7DEC" w:rsidP="00CF6D8D">
      <w:pPr>
        <w:pStyle w:val="af9"/>
        <w:rPr>
          <w:rFonts w:cs="Tahoma"/>
          <w:lang w:val="en-US"/>
        </w:rPr>
      </w:pPr>
      <w:r w:rsidRPr="00924FFB">
        <w:rPr>
          <w:rFonts w:cs="Tahoma"/>
          <w:lang w:val="en-US"/>
        </w:rPr>
        <w:t>where</w:t>
      </w:r>
      <w:r w:rsidR="00CF6D8D" w:rsidRPr="00924FFB">
        <w:rPr>
          <w:rFonts w:cs="Tahoma"/>
          <w:lang w:val="en-US"/>
        </w:rPr>
        <w:t>:</w:t>
      </w:r>
    </w:p>
    <w:p w14:paraId="4C5DD7EE" w14:textId="63ADBEAC" w:rsidR="00CF6D8D" w:rsidRPr="00924FFB" w:rsidRDefault="00CF6D8D" w:rsidP="00CF6D8D">
      <w:pPr>
        <w:pStyle w:val="af9"/>
        <w:rPr>
          <w:rFonts w:cs="Tahoma"/>
          <w:lang w:val="en-US"/>
        </w:rPr>
      </w:pPr>
      <w:r w:rsidRPr="00924FFB">
        <w:rPr>
          <w:rFonts w:cs="Tahoma"/>
          <w:lang w:val="en-US"/>
        </w:rPr>
        <w:t>P</w:t>
      </w:r>
      <w:r w:rsidRPr="00924FFB">
        <w:rPr>
          <w:rFonts w:cs="Tahoma"/>
          <w:vertAlign w:val="subscript"/>
          <w:lang w:val="en-US"/>
        </w:rPr>
        <w:t>i</w:t>
      </w:r>
      <w:r w:rsidRPr="00924FFB">
        <w:rPr>
          <w:rFonts w:cs="Tahoma"/>
          <w:lang w:val="en-US"/>
        </w:rPr>
        <w:t xml:space="preserve"> – </w:t>
      </w:r>
      <w:r w:rsidR="004D2481" w:rsidRPr="00924FFB">
        <w:rPr>
          <w:rFonts w:cs="Tahoma"/>
          <w:lang w:val="en-US"/>
        </w:rPr>
        <w:t xml:space="preserve">the price of the </w:t>
      </w:r>
      <w:proofErr w:type="spellStart"/>
      <w:r w:rsidR="004D2481" w:rsidRPr="00924FFB">
        <w:rPr>
          <w:rFonts w:cs="Tahoma"/>
          <w:lang w:val="en-US"/>
        </w:rPr>
        <w:t>i</w:t>
      </w:r>
      <w:r w:rsidR="004D2481" w:rsidRPr="00924FFB">
        <w:rPr>
          <w:rFonts w:cs="Tahoma"/>
          <w:vertAlign w:val="superscript"/>
          <w:lang w:val="en-US"/>
        </w:rPr>
        <w:t>th</w:t>
      </w:r>
      <w:proofErr w:type="spellEnd"/>
      <w:r w:rsidR="004D2481" w:rsidRPr="00924FFB">
        <w:rPr>
          <w:rFonts w:cs="Tahoma"/>
          <w:lang w:val="en-US"/>
        </w:rPr>
        <w:t xml:space="preserve"> Stock in </w:t>
      </w:r>
      <w:proofErr w:type="gramStart"/>
      <w:r w:rsidR="004D2481" w:rsidRPr="00924FFB">
        <w:rPr>
          <w:rFonts w:cs="Tahoma"/>
          <w:lang w:val="en-US"/>
        </w:rPr>
        <w:t>RUB</w:t>
      </w:r>
      <w:r w:rsidRPr="00924FFB">
        <w:rPr>
          <w:rFonts w:cs="Tahoma"/>
          <w:lang w:val="en-US"/>
        </w:rPr>
        <w:t>;</w:t>
      </w:r>
      <w:proofErr w:type="gramEnd"/>
    </w:p>
    <w:p w14:paraId="4731B3AE" w14:textId="1FAD418E" w:rsidR="00CF6D8D" w:rsidRPr="00924FFB" w:rsidRDefault="00CF6D8D" w:rsidP="00CF6D8D">
      <w:pPr>
        <w:pStyle w:val="af9"/>
        <w:rPr>
          <w:rFonts w:cs="Tahoma"/>
          <w:lang w:val="en-US"/>
        </w:rPr>
      </w:pPr>
      <w:r w:rsidRPr="00924FFB">
        <w:rPr>
          <w:rFonts w:cs="Tahoma"/>
          <w:lang w:val="en-US"/>
        </w:rPr>
        <w:t>Q</w:t>
      </w:r>
      <w:r w:rsidRPr="00924FFB">
        <w:rPr>
          <w:rFonts w:cs="Tahoma"/>
          <w:vertAlign w:val="subscript"/>
          <w:lang w:val="en-US"/>
        </w:rPr>
        <w:t>i</w:t>
      </w:r>
      <w:r w:rsidRPr="00924FFB">
        <w:rPr>
          <w:rFonts w:cs="Tahoma"/>
          <w:lang w:val="en-US"/>
        </w:rPr>
        <w:t xml:space="preserve"> – </w:t>
      </w:r>
      <w:r w:rsidR="004D2481" w:rsidRPr="00924FFB">
        <w:rPr>
          <w:rFonts w:cs="Tahoma"/>
          <w:lang w:val="en-US"/>
        </w:rPr>
        <w:t xml:space="preserve">the total amount of the </w:t>
      </w:r>
      <w:proofErr w:type="spellStart"/>
      <w:r w:rsidR="004D2481" w:rsidRPr="00924FFB">
        <w:rPr>
          <w:rFonts w:cs="Tahoma"/>
          <w:lang w:val="en-US"/>
        </w:rPr>
        <w:t>i</w:t>
      </w:r>
      <w:r w:rsidR="004D2481" w:rsidRPr="00924FFB">
        <w:rPr>
          <w:rFonts w:cs="Tahoma"/>
          <w:vertAlign w:val="superscript"/>
          <w:lang w:val="en-US"/>
        </w:rPr>
        <w:t>th</w:t>
      </w:r>
      <w:proofErr w:type="spellEnd"/>
      <w:r w:rsidR="004D2481" w:rsidRPr="00924FFB">
        <w:rPr>
          <w:rFonts w:cs="Tahoma"/>
          <w:lang w:val="en-US"/>
        </w:rPr>
        <w:t xml:space="preserve"> Stocks of one category (type) of an </w:t>
      </w:r>
      <w:proofErr w:type="gramStart"/>
      <w:r w:rsidR="004D2481" w:rsidRPr="00924FFB">
        <w:rPr>
          <w:rFonts w:cs="Tahoma"/>
          <w:lang w:val="en-US"/>
        </w:rPr>
        <w:t>Issuer</w:t>
      </w:r>
      <w:r w:rsidRPr="00924FFB">
        <w:rPr>
          <w:rFonts w:cs="Tahoma"/>
          <w:lang w:val="en-US"/>
        </w:rPr>
        <w:t>;</w:t>
      </w:r>
      <w:proofErr w:type="gramEnd"/>
    </w:p>
    <w:p w14:paraId="58C6FB77" w14:textId="6492FEB8" w:rsidR="00CF6D8D" w:rsidRPr="00924FFB" w:rsidRDefault="00CF6D8D" w:rsidP="00CF6D8D">
      <w:pPr>
        <w:pStyle w:val="af9"/>
        <w:rPr>
          <w:rFonts w:cs="Tahoma"/>
          <w:lang w:val="en-US"/>
        </w:rPr>
      </w:pPr>
      <w:proofErr w:type="spellStart"/>
      <w:r w:rsidRPr="00924FFB">
        <w:rPr>
          <w:rFonts w:cs="Tahoma"/>
          <w:lang w:val="en-US"/>
        </w:rPr>
        <w:t>FF</w:t>
      </w:r>
      <w:r w:rsidRPr="00924FFB">
        <w:rPr>
          <w:rFonts w:cs="Tahoma"/>
          <w:vertAlign w:val="subscript"/>
          <w:lang w:val="en-US"/>
        </w:rPr>
        <w:t>i</w:t>
      </w:r>
      <w:proofErr w:type="spellEnd"/>
      <w:r w:rsidRPr="00924FFB">
        <w:rPr>
          <w:rFonts w:cs="Tahoma"/>
          <w:b/>
          <w:vertAlign w:val="subscript"/>
          <w:lang w:val="en-US"/>
        </w:rPr>
        <w:t xml:space="preserve"> </w:t>
      </w:r>
      <w:r w:rsidRPr="00924FFB">
        <w:rPr>
          <w:rFonts w:cs="Tahoma"/>
          <w:lang w:val="en-US"/>
        </w:rPr>
        <w:t xml:space="preserve">– </w:t>
      </w:r>
      <w:r w:rsidR="004D2481" w:rsidRPr="00924FFB">
        <w:rPr>
          <w:rFonts w:cs="Tahoma"/>
          <w:lang w:val="en-US"/>
        </w:rPr>
        <w:t xml:space="preserve">the free-float of the </w:t>
      </w:r>
      <w:proofErr w:type="spellStart"/>
      <w:r w:rsidR="004D2481" w:rsidRPr="00924FFB">
        <w:rPr>
          <w:rFonts w:cs="Tahoma"/>
          <w:lang w:val="en-US"/>
        </w:rPr>
        <w:t>i</w:t>
      </w:r>
      <w:r w:rsidR="004D2481" w:rsidRPr="00924FFB">
        <w:rPr>
          <w:rFonts w:cs="Tahoma"/>
          <w:vertAlign w:val="superscript"/>
          <w:lang w:val="en-US"/>
        </w:rPr>
        <w:t>th</w:t>
      </w:r>
      <w:proofErr w:type="spellEnd"/>
      <w:r w:rsidR="004D2481" w:rsidRPr="00924FFB">
        <w:rPr>
          <w:rFonts w:cs="Tahoma"/>
          <w:lang w:val="en-US"/>
        </w:rPr>
        <w:t xml:space="preserve"> </w:t>
      </w:r>
      <w:proofErr w:type="gramStart"/>
      <w:r w:rsidR="004D2481" w:rsidRPr="00924FFB">
        <w:rPr>
          <w:rFonts w:cs="Tahoma"/>
          <w:lang w:val="en-US"/>
        </w:rPr>
        <w:t>Stock</w:t>
      </w:r>
      <w:r w:rsidRPr="00924FFB">
        <w:rPr>
          <w:rFonts w:cs="Tahoma"/>
          <w:lang w:val="en-US"/>
        </w:rPr>
        <w:t>;</w:t>
      </w:r>
      <w:proofErr w:type="gramEnd"/>
    </w:p>
    <w:p w14:paraId="47033CE8" w14:textId="77777777" w:rsidR="004D2481" w:rsidRPr="00924FFB" w:rsidRDefault="00CF6D8D" w:rsidP="004D2481">
      <w:pPr>
        <w:pStyle w:val="af9"/>
        <w:rPr>
          <w:rFonts w:cs="Tahoma"/>
        </w:rPr>
      </w:pPr>
      <w:r w:rsidRPr="00924FFB">
        <w:rPr>
          <w:rFonts w:cs="Tahoma"/>
          <w:iCs/>
          <w:lang w:val="en-US"/>
        </w:rPr>
        <w:t>W</w:t>
      </w:r>
      <w:r w:rsidRPr="00924FFB">
        <w:rPr>
          <w:rFonts w:cs="Tahoma"/>
          <w:iCs/>
          <w:vertAlign w:val="subscript"/>
          <w:lang w:val="en-US"/>
        </w:rPr>
        <w:t>i</w:t>
      </w:r>
      <w:r w:rsidRPr="00924FFB">
        <w:rPr>
          <w:rFonts w:cs="Tahoma"/>
          <w:lang w:val="en-US"/>
        </w:rPr>
        <w:t xml:space="preserve"> – </w:t>
      </w:r>
      <w:r w:rsidR="004D2481" w:rsidRPr="00924FFB">
        <w:rPr>
          <w:rFonts w:cs="Tahoma"/>
          <w:lang w:val="en-US"/>
        </w:rPr>
        <w:t xml:space="preserve">the coefficient restricting the share of the </w:t>
      </w:r>
      <w:proofErr w:type="spellStart"/>
      <w:r w:rsidR="004D2481" w:rsidRPr="00924FFB">
        <w:rPr>
          <w:rFonts w:cs="Tahoma"/>
          <w:lang w:val="en-US"/>
        </w:rPr>
        <w:t>i</w:t>
      </w:r>
      <w:r w:rsidR="004D2481" w:rsidRPr="00924FFB">
        <w:rPr>
          <w:rFonts w:cs="Tahoma"/>
          <w:vertAlign w:val="superscript"/>
          <w:lang w:val="en-US"/>
        </w:rPr>
        <w:t>th</w:t>
      </w:r>
      <w:proofErr w:type="spellEnd"/>
      <w:r w:rsidR="004D2481" w:rsidRPr="00924FFB">
        <w:rPr>
          <w:rFonts w:cs="Tahoma"/>
          <w:lang w:val="en-US"/>
        </w:rPr>
        <w:t xml:space="preserve"> Stock cap (the Weighting Factor), which is set to 1 unless otherwise set out in clause 1.6, Appendix 3 to the Methodology. </w:t>
      </w:r>
    </w:p>
    <w:p w14:paraId="782BDBF6" w14:textId="0E314AC2" w:rsidR="004D2481" w:rsidRPr="00924FFB" w:rsidRDefault="004D2481" w:rsidP="004D2481">
      <w:pPr>
        <w:pStyle w:val="af9"/>
        <w:rPr>
          <w:rFonts w:cs="Tahoma"/>
        </w:rPr>
      </w:pPr>
    </w:p>
    <w:p w14:paraId="140DBB70" w14:textId="6DDC6BAF" w:rsidR="001C7277" w:rsidRPr="00924FFB" w:rsidRDefault="001C7277" w:rsidP="004D2481">
      <w:pPr>
        <w:pStyle w:val="af9"/>
        <w:rPr>
          <w:rFonts w:cs="Tahoma"/>
        </w:rPr>
      </w:pPr>
    </w:p>
    <w:p w14:paraId="3C1C1B06" w14:textId="2050A69E" w:rsidR="001C7277" w:rsidRPr="00924FFB" w:rsidRDefault="001C7277" w:rsidP="000942E0">
      <w:pPr>
        <w:pStyle w:val="af4"/>
        <w:numPr>
          <w:ilvl w:val="2"/>
          <w:numId w:val="8"/>
        </w:numPr>
        <w:ind w:left="1418" w:hanging="698"/>
        <w:jc w:val="both"/>
        <w:rPr>
          <w:rFonts w:cs="Tahoma"/>
          <w:lang w:val="en-US"/>
        </w:rPr>
      </w:pPr>
      <w:r w:rsidRPr="00924FFB">
        <w:rPr>
          <w:rFonts w:cs="Tahoma"/>
          <w:lang w:val="en-US"/>
        </w:rPr>
        <w:t xml:space="preserve">The capitalization of an issue is calculated as the sum of caps of </w:t>
      </w:r>
      <w:r w:rsidR="000942E0">
        <w:rPr>
          <w:rFonts w:cs="Tahoma"/>
          <w:lang w:val="en-US"/>
        </w:rPr>
        <w:t xml:space="preserve">the issuer’s </w:t>
      </w:r>
      <w:r w:rsidRPr="00924FFB">
        <w:rPr>
          <w:rFonts w:cs="Tahoma"/>
          <w:lang w:val="en-US"/>
        </w:rPr>
        <w:t xml:space="preserve">Stocks of all categories. </w:t>
      </w:r>
    </w:p>
    <w:p w14:paraId="09F42BEE" w14:textId="526F49D5" w:rsidR="00CF6D8D" w:rsidRPr="00924FFB" w:rsidRDefault="00CF6D8D" w:rsidP="00E7783E">
      <w:pPr>
        <w:pStyle w:val="af4"/>
        <w:numPr>
          <w:ilvl w:val="2"/>
          <w:numId w:val="8"/>
        </w:numPr>
        <w:ind w:left="1418" w:hanging="698"/>
        <w:jc w:val="both"/>
        <w:rPr>
          <w:rFonts w:cs="Tahoma"/>
          <w:lang w:val="en-US"/>
        </w:rPr>
      </w:pPr>
      <w:proofErr w:type="spellStart"/>
      <w:r w:rsidRPr="00924FFB">
        <w:rPr>
          <w:rFonts w:cs="Tahoma"/>
          <w:lang w:val="en-US"/>
        </w:rPr>
        <w:t>MCi</w:t>
      </w:r>
      <w:proofErr w:type="spellEnd"/>
      <w:r w:rsidR="001C7277" w:rsidRPr="00924FFB">
        <w:rPr>
          <w:rFonts w:cs="Tahoma"/>
          <w:lang w:val="en-US"/>
        </w:rPr>
        <w:t xml:space="preserve"> is calculated to four decimal places.</w:t>
      </w:r>
    </w:p>
    <w:p w14:paraId="00D062C5" w14:textId="4A4D977B" w:rsidR="001C7277" w:rsidRPr="00924FFB" w:rsidRDefault="001C7277" w:rsidP="00ED13E2">
      <w:pPr>
        <w:pStyle w:val="af4"/>
        <w:numPr>
          <w:ilvl w:val="2"/>
          <w:numId w:val="8"/>
        </w:numPr>
        <w:jc w:val="both"/>
        <w:rPr>
          <w:rFonts w:cs="Tahoma"/>
          <w:lang w:val="en-US"/>
        </w:rPr>
      </w:pPr>
      <w:r w:rsidRPr="00924FFB">
        <w:rPr>
          <w:rFonts w:cs="Tahoma"/>
          <w:lang w:val="en-US"/>
        </w:rPr>
        <w:t xml:space="preserve">The Equity Price Sub-Index is expressed in points to two decimal places. </w:t>
      </w:r>
    </w:p>
    <w:p w14:paraId="562750C7" w14:textId="5BF39B89" w:rsidR="00CF6D8D" w:rsidRPr="00924FFB" w:rsidRDefault="00CF6D8D" w:rsidP="00CF6D8D">
      <w:pPr>
        <w:pStyle w:val="30"/>
        <w:numPr>
          <w:ilvl w:val="0"/>
          <w:numId w:val="0"/>
        </w:numPr>
        <w:ind w:left="1077"/>
        <w:rPr>
          <w:rFonts w:cs="Tahoma"/>
          <w:lang w:val="en-US"/>
        </w:rPr>
      </w:pPr>
    </w:p>
    <w:p w14:paraId="6191E8FD" w14:textId="76590846" w:rsidR="001C7277" w:rsidRPr="00924FFB" w:rsidRDefault="00CC7459" w:rsidP="0077409D">
      <w:pPr>
        <w:pStyle w:val="af4"/>
        <w:numPr>
          <w:ilvl w:val="1"/>
          <w:numId w:val="8"/>
        </w:numPr>
        <w:rPr>
          <w:rFonts w:cs="Tahoma"/>
          <w:b/>
          <w:lang w:val="en-US"/>
        </w:rPr>
      </w:pPr>
      <w:r w:rsidRPr="00924FFB">
        <w:rPr>
          <w:rFonts w:cs="Tahoma"/>
          <w:b/>
          <w:lang w:val="en-US"/>
        </w:rPr>
        <w:t xml:space="preserve">Equity Total Return Sub-Index </w:t>
      </w:r>
      <w:r w:rsidR="001C7277" w:rsidRPr="00924FFB">
        <w:rPr>
          <w:rFonts w:cs="Tahoma"/>
          <w:b/>
          <w:lang w:val="en-US"/>
        </w:rPr>
        <w:t xml:space="preserve">calculation method </w:t>
      </w:r>
    </w:p>
    <w:p w14:paraId="263B0F0C" w14:textId="77777777" w:rsidR="001C7277" w:rsidRPr="00924FFB" w:rsidRDefault="001C7277" w:rsidP="001C7277">
      <w:pPr>
        <w:pStyle w:val="af4"/>
        <w:ind w:left="792"/>
        <w:rPr>
          <w:rFonts w:cs="Tahoma"/>
          <w:b/>
          <w:lang w:val="en-US"/>
        </w:rPr>
      </w:pPr>
    </w:p>
    <w:p w14:paraId="16A3449E" w14:textId="0E9A8323" w:rsidR="001C7277" w:rsidRPr="00924FFB" w:rsidRDefault="001C7277" w:rsidP="001C7277">
      <w:pPr>
        <w:pStyle w:val="af4"/>
        <w:numPr>
          <w:ilvl w:val="2"/>
          <w:numId w:val="8"/>
        </w:numPr>
        <w:ind w:left="1418" w:hanging="698"/>
        <w:jc w:val="both"/>
        <w:rPr>
          <w:rFonts w:cs="Tahoma"/>
          <w:lang w:val="en-US"/>
        </w:rPr>
      </w:pPr>
      <w:r w:rsidRPr="00924FFB">
        <w:rPr>
          <w:rFonts w:cs="Tahoma"/>
          <w:lang w:val="en-US"/>
        </w:rPr>
        <w:t xml:space="preserve">The </w:t>
      </w:r>
      <w:r w:rsidR="00CC7459" w:rsidRPr="00924FFB">
        <w:rPr>
          <w:rFonts w:cs="Tahoma"/>
          <w:lang w:val="en-US"/>
        </w:rPr>
        <w:t xml:space="preserve">Equity Total Return Sub-Index </w:t>
      </w:r>
      <w:r w:rsidRPr="00924FFB">
        <w:rPr>
          <w:rFonts w:cs="Tahoma"/>
          <w:lang w:val="en-US"/>
        </w:rPr>
        <w:t xml:space="preserve">shall be calculated using the Constituents, </w:t>
      </w:r>
      <w:proofErr w:type="gramStart"/>
      <w:r w:rsidRPr="00924FFB">
        <w:rPr>
          <w:rFonts w:cs="Tahoma"/>
          <w:lang w:val="en-US"/>
        </w:rPr>
        <w:t>values</w:t>
      </w:r>
      <w:proofErr w:type="gramEnd"/>
      <w:r w:rsidRPr="00924FFB">
        <w:rPr>
          <w:rFonts w:cs="Tahoma"/>
          <w:lang w:val="en-US"/>
        </w:rPr>
        <w:t xml:space="preserve"> and parameters of the Equity Price Sub-index, taking into account dividend payments on the Stocks included in the Equity Price Sub-Index.</w:t>
      </w:r>
    </w:p>
    <w:p w14:paraId="4BD8BEE9" w14:textId="6064DBCB" w:rsidR="001C7277" w:rsidRPr="00924FFB" w:rsidRDefault="001C7277" w:rsidP="001C7277">
      <w:pPr>
        <w:pStyle w:val="af4"/>
        <w:numPr>
          <w:ilvl w:val="2"/>
          <w:numId w:val="8"/>
        </w:numPr>
        <w:ind w:left="1418" w:hanging="698"/>
        <w:jc w:val="both"/>
        <w:rPr>
          <w:rFonts w:cs="Tahoma"/>
          <w:lang w:val="en-US"/>
        </w:rPr>
      </w:pPr>
      <w:r w:rsidRPr="00924FFB">
        <w:rPr>
          <w:rFonts w:cs="Tahoma"/>
          <w:lang w:val="en-US"/>
        </w:rPr>
        <w:t xml:space="preserve">Dividends </w:t>
      </w:r>
      <w:r w:rsidR="00E517AD" w:rsidRPr="00924FFB">
        <w:rPr>
          <w:rFonts w:cs="Tahoma"/>
          <w:lang w:val="en-US"/>
        </w:rPr>
        <w:t xml:space="preserve">are included in calculation </w:t>
      </w:r>
      <w:r w:rsidRPr="00924FFB">
        <w:rPr>
          <w:rFonts w:cs="Tahoma"/>
          <w:lang w:val="en-US"/>
        </w:rPr>
        <w:t xml:space="preserve">of the </w:t>
      </w:r>
      <w:r w:rsidR="00CC7459" w:rsidRPr="00924FFB">
        <w:rPr>
          <w:rFonts w:cs="Tahoma"/>
          <w:lang w:val="en-US"/>
        </w:rPr>
        <w:t xml:space="preserve">Equity Total Return Sub-Index </w:t>
      </w:r>
      <w:r w:rsidRPr="00924FFB">
        <w:rPr>
          <w:rFonts w:cs="Tahoma"/>
          <w:lang w:val="en-US"/>
        </w:rPr>
        <w:t xml:space="preserve">on the trading day preceding the date on which the persons entitled to receive dividends are determined in accordance with the law (the "Record Date"). If the Record Date is not a trading day, dividends will be counted two trading days </w:t>
      </w:r>
      <w:r w:rsidR="00E517AD" w:rsidRPr="00924FFB">
        <w:rPr>
          <w:rFonts w:cs="Tahoma"/>
          <w:lang w:val="en-US"/>
        </w:rPr>
        <w:t>before</w:t>
      </w:r>
      <w:r w:rsidRPr="00924FFB">
        <w:rPr>
          <w:rFonts w:cs="Tahoma"/>
          <w:lang w:val="en-US"/>
        </w:rPr>
        <w:t xml:space="preserve"> the Record Date.</w:t>
      </w:r>
    </w:p>
    <w:p w14:paraId="2D934B60" w14:textId="2C11C37C" w:rsidR="00E517AD" w:rsidRPr="00924FFB" w:rsidRDefault="00E517AD" w:rsidP="00BA76A4">
      <w:pPr>
        <w:pStyle w:val="af4"/>
        <w:numPr>
          <w:ilvl w:val="2"/>
          <w:numId w:val="8"/>
        </w:numPr>
        <w:ind w:left="1418" w:hanging="698"/>
        <w:jc w:val="both"/>
        <w:rPr>
          <w:rFonts w:cs="Tahoma"/>
          <w:lang w:val="en-US"/>
        </w:rPr>
      </w:pPr>
      <w:r w:rsidRPr="00924FFB">
        <w:rPr>
          <w:rFonts w:cs="Tahoma"/>
          <w:lang w:val="en-US"/>
        </w:rPr>
        <w:t xml:space="preserve">If the Exchange becomes aware of the decision made by the Issuer regarding the dividend payment after the date dividends must have been accounted in accordance with clause 1.3.2, dividend shall be included </w:t>
      </w:r>
      <w:r w:rsidR="00BA76A4" w:rsidRPr="00924FFB">
        <w:rPr>
          <w:rFonts w:cs="Tahoma"/>
          <w:lang w:val="en-US"/>
        </w:rPr>
        <w:t xml:space="preserve">in the index </w:t>
      </w:r>
      <w:r w:rsidRPr="00924FFB">
        <w:rPr>
          <w:rFonts w:cs="Tahoma"/>
          <w:lang w:val="en-US"/>
        </w:rPr>
        <w:t>on the date the Exchange receives the said information.</w:t>
      </w:r>
    </w:p>
    <w:p w14:paraId="06BF804A" w14:textId="49F8BA39" w:rsidR="00E517AD" w:rsidRPr="00924FFB" w:rsidRDefault="00E517AD" w:rsidP="00BA76A4">
      <w:pPr>
        <w:pStyle w:val="af4"/>
        <w:numPr>
          <w:ilvl w:val="2"/>
          <w:numId w:val="8"/>
        </w:numPr>
        <w:ind w:left="1418" w:hanging="698"/>
        <w:jc w:val="both"/>
        <w:rPr>
          <w:rFonts w:cs="Tahoma"/>
          <w:lang w:val="en-US"/>
        </w:rPr>
      </w:pPr>
      <w:r w:rsidRPr="00924FFB">
        <w:rPr>
          <w:rFonts w:cs="Tahoma"/>
          <w:lang w:val="en-US"/>
        </w:rPr>
        <w:t xml:space="preserve">Information agencies authorised to disclose information and Issuers </w:t>
      </w:r>
      <w:r w:rsidR="00BA76A4" w:rsidRPr="00924FFB">
        <w:rPr>
          <w:rFonts w:cs="Tahoma"/>
          <w:lang w:val="en-US"/>
        </w:rPr>
        <w:t>are</w:t>
      </w:r>
      <w:r w:rsidRPr="00924FFB">
        <w:rPr>
          <w:rFonts w:cs="Tahoma"/>
          <w:lang w:val="en-US"/>
        </w:rPr>
        <w:t xml:space="preserve"> sources of </w:t>
      </w:r>
      <w:r w:rsidR="00BA76A4" w:rsidRPr="00924FFB">
        <w:rPr>
          <w:rFonts w:cs="Tahoma"/>
          <w:lang w:val="en-US"/>
        </w:rPr>
        <w:t xml:space="preserve">information </w:t>
      </w:r>
      <w:r w:rsidRPr="00924FFB">
        <w:rPr>
          <w:rFonts w:cs="Tahoma"/>
          <w:lang w:val="en-US"/>
        </w:rPr>
        <w:t xml:space="preserve">on </w:t>
      </w:r>
      <w:r w:rsidR="00BA76A4" w:rsidRPr="00924FFB">
        <w:rPr>
          <w:rFonts w:cs="Tahoma"/>
          <w:lang w:val="en-US"/>
        </w:rPr>
        <w:t xml:space="preserve">dividend </w:t>
      </w:r>
      <w:r w:rsidRPr="00924FFB">
        <w:rPr>
          <w:rFonts w:cs="Tahoma"/>
          <w:lang w:val="en-US"/>
        </w:rPr>
        <w:t>payment</w:t>
      </w:r>
      <w:r w:rsidR="00BA76A4" w:rsidRPr="00924FFB">
        <w:rPr>
          <w:rFonts w:cs="Tahoma"/>
          <w:lang w:val="en-US"/>
        </w:rPr>
        <w:t>s</w:t>
      </w:r>
      <w:r w:rsidRPr="00924FFB">
        <w:rPr>
          <w:rFonts w:cs="Tahoma"/>
          <w:lang w:val="en-US"/>
        </w:rPr>
        <w:t>.</w:t>
      </w:r>
    </w:p>
    <w:p w14:paraId="23FCB86C" w14:textId="0CA5AF17" w:rsidR="00E517AD" w:rsidRPr="00924FFB" w:rsidRDefault="00E517AD" w:rsidP="00BA76A4">
      <w:pPr>
        <w:pStyle w:val="af4"/>
        <w:numPr>
          <w:ilvl w:val="2"/>
          <w:numId w:val="8"/>
        </w:numPr>
        <w:ind w:left="1418" w:hanging="698"/>
        <w:jc w:val="both"/>
        <w:rPr>
          <w:rFonts w:cs="Tahoma"/>
          <w:lang w:val="en-US"/>
        </w:rPr>
      </w:pPr>
      <w:r w:rsidRPr="00924FFB">
        <w:rPr>
          <w:rFonts w:cs="Tahoma"/>
          <w:lang w:val="en-US"/>
        </w:rPr>
        <w:t xml:space="preserve">The total return index </w:t>
      </w:r>
      <w:r w:rsidR="00BA76A4" w:rsidRPr="00924FFB">
        <w:rPr>
          <w:rFonts w:cs="Tahoma"/>
          <w:lang w:val="en-US"/>
        </w:rPr>
        <w:t>does not include taxes on dividend income.</w:t>
      </w:r>
    </w:p>
    <w:p w14:paraId="0D2207A9" w14:textId="0E850802" w:rsidR="00BA76A4" w:rsidRPr="00924FFB" w:rsidRDefault="00BA76A4" w:rsidP="00BA76A4">
      <w:pPr>
        <w:pStyle w:val="af4"/>
        <w:numPr>
          <w:ilvl w:val="2"/>
          <w:numId w:val="8"/>
        </w:numPr>
        <w:ind w:left="1418" w:hanging="698"/>
        <w:jc w:val="both"/>
        <w:rPr>
          <w:rFonts w:cs="Tahoma"/>
          <w:lang w:val="en-US"/>
        </w:rPr>
      </w:pPr>
      <w:r w:rsidRPr="00924FFB">
        <w:rPr>
          <w:rFonts w:cs="Tahoma"/>
          <w:lang w:val="en-US"/>
        </w:rPr>
        <w:t xml:space="preserve">The date of the first calculation of the </w:t>
      </w:r>
      <w:r w:rsidR="00CC7459" w:rsidRPr="00924FFB">
        <w:rPr>
          <w:rFonts w:cs="Tahoma"/>
          <w:lang w:val="en-US"/>
        </w:rPr>
        <w:t xml:space="preserve">Equity Total Return Sub-Index </w:t>
      </w:r>
      <w:r w:rsidRPr="00924FFB">
        <w:rPr>
          <w:rFonts w:cs="Tahoma"/>
          <w:lang w:val="en-US"/>
        </w:rPr>
        <w:t xml:space="preserve">is the trading day preceding the effective date of this Methodology, the value of the </w:t>
      </w:r>
      <w:r w:rsidR="00CC7459" w:rsidRPr="00924FFB">
        <w:rPr>
          <w:rFonts w:cs="Tahoma"/>
          <w:lang w:val="en-US"/>
        </w:rPr>
        <w:t xml:space="preserve">Equity Total Return Sub-Index </w:t>
      </w:r>
      <w:r w:rsidRPr="00924FFB">
        <w:rPr>
          <w:rFonts w:cs="Tahoma"/>
          <w:lang w:val="en-US"/>
        </w:rPr>
        <w:t>on the first calculation day equals the value of the share price Sub-Index on this trading day.</w:t>
      </w:r>
    </w:p>
    <w:p w14:paraId="6D8CA460" w14:textId="730BFA58" w:rsidR="00BA76A4" w:rsidRPr="00924FFB" w:rsidRDefault="00BA76A4" w:rsidP="00BA76A4">
      <w:pPr>
        <w:pStyle w:val="af4"/>
        <w:numPr>
          <w:ilvl w:val="2"/>
          <w:numId w:val="8"/>
        </w:numPr>
        <w:ind w:left="1418" w:hanging="698"/>
        <w:jc w:val="both"/>
        <w:rPr>
          <w:rFonts w:cs="Tahoma"/>
          <w:lang w:val="en-US"/>
        </w:rPr>
      </w:pPr>
      <w:r w:rsidRPr="00924FFB">
        <w:rPr>
          <w:rFonts w:cs="Tahoma"/>
          <w:lang w:val="en-US"/>
        </w:rPr>
        <w:t xml:space="preserve">The code of the </w:t>
      </w:r>
      <w:r w:rsidR="00CC7459" w:rsidRPr="00924FFB">
        <w:rPr>
          <w:rFonts w:cs="Tahoma"/>
          <w:lang w:val="en-US"/>
        </w:rPr>
        <w:t xml:space="preserve">Equity Total Return Sub-Index </w:t>
      </w:r>
      <w:r w:rsidRPr="00924FFB">
        <w:rPr>
          <w:rFonts w:cs="Tahoma"/>
          <w:lang w:val="en-US"/>
        </w:rPr>
        <w:t>is EPSITR.</w:t>
      </w:r>
    </w:p>
    <w:p w14:paraId="478AE9BD" w14:textId="05D324A3" w:rsidR="00BA76A4" w:rsidRPr="00924FFB" w:rsidRDefault="00BA76A4" w:rsidP="00BA76A4">
      <w:pPr>
        <w:pStyle w:val="af4"/>
        <w:numPr>
          <w:ilvl w:val="2"/>
          <w:numId w:val="8"/>
        </w:numPr>
        <w:ind w:left="1418" w:hanging="698"/>
        <w:jc w:val="both"/>
        <w:rPr>
          <w:rFonts w:cs="Tahoma"/>
          <w:lang w:val="en-US"/>
        </w:rPr>
      </w:pPr>
      <w:r w:rsidRPr="00924FFB">
        <w:rPr>
          <w:rFonts w:cs="Tahoma"/>
          <w:lang w:val="en-US"/>
        </w:rPr>
        <w:t xml:space="preserve">The values of the </w:t>
      </w:r>
      <w:r w:rsidR="00CC7459" w:rsidRPr="00924FFB">
        <w:rPr>
          <w:rFonts w:cs="Tahoma"/>
          <w:lang w:val="en-US"/>
        </w:rPr>
        <w:t xml:space="preserve">Equity Total Return Sub-Index </w:t>
      </w:r>
      <w:r w:rsidRPr="00924FFB">
        <w:rPr>
          <w:rFonts w:cs="Tahoma"/>
          <w:lang w:val="en-US"/>
        </w:rPr>
        <w:t>are expressed in points and are calculated to two decimal places.</w:t>
      </w:r>
    </w:p>
    <w:p w14:paraId="3ADF5D7C" w14:textId="4CEFC2C1" w:rsidR="007D0BD0" w:rsidRPr="00924FFB" w:rsidRDefault="00BA76A4" w:rsidP="00BA76A4">
      <w:pPr>
        <w:pStyle w:val="af4"/>
        <w:numPr>
          <w:ilvl w:val="2"/>
          <w:numId w:val="8"/>
        </w:numPr>
        <w:ind w:left="1418" w:hanging="698"/>
        <w:jc w:val="both"/>
        <w:rPr>
          <w:rFonts w:cs="Tahoma"/>
          <w:lang w:val="en-US"/>
        </w:rPr>
      </w:pPr>
      <w:r w:rsidRPr="00924FFB">
        <w:rPr>
          <w:rFonts w:cs="Tahoma"/>
          <w:lang w:val="en-US"/>
        </w:rPr>
        <w:t xml:space="preserve">The </w:t>
      </w:r>
      <w:proofErr w:type="gramStart"/>
      <w:r w:rsidRPr="00924FFB">
        <w:rPr>
          <w:rFonts w:cs="Tahoma"/>
          <w:lang w:val="en-US"/>
        </w:rPr>
        <w:t>amount</w:t>
      </w:r>
      <w:proofErr w:type="gramEnd"/>
      <w:r w:rsidRPr="00924FFB">
        <w:rPr>
          <w:rFonts w:cs="Tahoma"/>
          <w:lang w:val="en-US"/>
        </w:rPr>
        <w:t xml:space="preserve"> of dividends taken into account to calculate the </w:t>
      </w:r>
      <w:r w:rsidR="00CC7459" w:rsidRPr="00924FFB">
        <w:rPr>
          <w:rFonts w:cs="Tahoma"/>
          <w:lang w:val="en-US"/>
        </w:rPr>
        <w:t xml:space="preserve">Equity Total Return Sub-Index </w:t>
      </w:r>
      <w:r w:rsidRPr="00924FFB">
        <w:rPr>
          <w:rFonts w:cs="Tahoma"/>
          <w:lang w:val="en-US"/>
        </w:rPr>
        <w:t>shall be determined according to the formula:</w:t>
      </w:r>
    </w:p>
    <w:p w14:paraId="24EE0604" w14:textId="77777777" w:rsidR="007D0BD0" w:rsidRPr="00924FFB" w:rsidRDefault="007D0BD0" w:rsidP="007D0BD0">
      <w:pPr>
        <w:pStyle w:val="af4"/>
        <w:ind w:left="1418"/>
        <w:jc w:val="both"/>
        <w:rPr>
          <w:rFonts w:cs="Tahoma"/>
          <w:lang w:val="en-US"/>
        </w:rPr>
      </w:pPr>
    </w:p>
    <w:p w14:paraId="734A9160" w14:textId="26123E55" w:rsidR="0077409D" w:rsidRPr="00924FFB" w:rsidRDefault="00C83308" w:rsidP="007D0BD0">
      <w:pPr>
        <w:pStyle w:val="af4"/>
        <w:ind w:left="1418"/>
        <w:jc w:val="both"/>
        <w:rPr>
          <w:rFonts w:cs="Tahoma"/>
          <w:lang w:val="en-US"/>
        </w:rPr>
      </w:pPr>
      <m:oMathPara>
        <m:oMath>
          <m:sSub>
            <m:sSubPr>
              <m:ctrlPr>
                <w:rPr>
                  <w:rFonts w:ascii="Cambria Math" w:hAnsi="Cambria Math" w:cs="Tahoma"/>
                </w:rPr>
              </m:ctrlPr>
            </m:sSubPr>
            <m:e>
              <m:r>
                <w:rPr>
                  <w:rFonts w:ascii="Cambria Math" w:hAnsi="Cambria Math" w:cs="Tahoma"/>
                </w:rPr>
                <m:t>TD</m:t>
              </m:r>
            </m:e>
            <m:sub>
              <m:r>
                <w:rPr>
                  <w:rFonts w:ascii="Cambria Math" w:hAnsi="Cambria Math" w:cs="Tahoma"/>
                </w:rPr>
                <m:t>n</m:t>
              </m:r>
            </m:sub>
          </m:sSub>
          <m:r>
            <m:rPr>
              <m:sty m:val="p"/>
            </m:rPr>
            <w:rPr>
              <w:rFonts w:ascii="Cambria Math" w:hAnsi="Cambria Math" w:cs="Tahoma"/>
              <w:lang w:val="en-US"/>
            </w:rPr>
            <m:t>=</m:t>
          </m:r>
          <m:nary>
            <m:naryPr>
              <m:chr m:val="∑"/>
              <m:limLoc m:val="undOvr"/>
              <m:ctrlPr>
                <w:rPr>
                  <w:rFonts w:ascii="Cambria Math" w:hAnsi="Cambria Math" w:cs="Tahoma"/>
                </w:rPr>
              </m:ctrlPr>
            </m:naryPr>
            <m:sub>
              <m:r>
                <w:rPr>
                  <w:rFonts w:ascii="Cambria Math" w:hAnsi="Cambria Math" w:cs="Tahoma"/>
                </w:rPr>
                <m:t>i</m:t>
              </m:r>
              <m:r>
                <m:rPr>
                  <m:sty m:val="p"/>
                </m:rPr>
                <w:rPr>
                  <w:rFonts w:ascii="Cambria Math" w:hAnsi="Cambria Math" w:cs="Tahoma"/>
                  <w:lang w:val="en-US"/>
                </w:rPr>
                <m:t>=1</m:t>
              </m:r>
            </m:sub>
            <m:sup>
              <m:r>
                <w:rPr>
                  <w:rFonts w:ascii="Cambria Math" w:hAnsi="Cambria Math" w:cs="Tahoma"/>
                </w:rPr>
                <m:t>N</m:t>
              </m:r>
            </m:sup>
            <m:e>
              <m:sSub>
                <m:sSubPr>
                  <m:ctrlPr>
                    <w:rPr>
                      <w:rFonts w:ascii="Cambria Math" w:hAnsi="Cambria Math" w:cs="Tahoma"/>
                    </w:rPr>
                  </m:ctrlPr>
                </m:sSubPr>
                <m:e>
                  <m:r>
                    <w:rPr>
                      <w:rFonts w:ascii="Cambria Math" w:hAnsi="Cambria Math" w:cs="Tahoma"/>
                    </w:rPr>
                    <m:t>Div</m:t>
                  </m:r>
                </m:e>
                <m:sub>
                  <m:r>
                    <w:rPr>
                      <w:rFonts w:ascii="Cambria Math" w:hAnsi="Cambria Math" w:cs="Tahoma"/>
                    </w:rPr>
                    <m:t>in</m:t>
                  </m:r>
                </m:sub>
              </m:sSub>
              <m:r>
                <m:rPr>
                  <m:sty m:val="p"/>
                </m:rPr>
                <w:rPr>
                  <w:rFonts w:ascii="Cambria Math" w:hAnsi="Cambria Math" w:cs="Tahoma"/>
                  <w:lang w:val="en-US"/>
                </w:rPr>
                <m:t>∙</m:t>
              </m:r>
              <m:sSub>
                <m:sSubPr>
                  <m:ctrlPr>
                    <w:rPr>
                      <w:rFonts w:ascii="Cambria Math" w:hAnsi="Cambria Math" w:cs="Tahoma"/>
                    </w:rPr>
                  </m:ctrlPr>
                </m:sSubPr>
                <m:e>
                  <m:r>
                    <w:rPr>
                      <w:rFonts w:ascii="Cambria Math" w:hAnsi="Cambria Math" w:cs="Tahoma"/>
                    </w:rPr>
                    <m:t>Q</m:t>
                  </m:r>
                </m:e>
                <m:sub>
                  <m:r>
                    <w:rPr>
                      <w:rFonts w:ascii="Cambria Math" w:hAnsi="Cambria Math" w:cs="Tahoma"/>
                    </w:rPr>
                    <m:t>in</m:t>
                  </m:r>
                </m:sub>
              </m:sSub>
              <m:r>
                <m:rPr>
                  <m:sty m:val="p"/>
                </m:rPr>
                <w:rPr>
                  <w:rFonts w:ascii="Cambria Math" w:hAnsi="Cambria Math" w:cs="Tahoma"/>
                  <w:lang w:val="en-US"/>
                </w:rPr>
                <m:t>∙</m:t>
              </m:r>
              <m:r>
                <w:rPr>
                  <w:rFonts w:ascii="Cambria Math" w:hAnsi="Cambria Math" w:cs="Tahoma"/>
                </w:rPr>
                <m:t>F</m:t>
              </m:r>
              <m:sSub>
                <m:sSubPr>
                  <m:ctrlPr>
                    <w:rPr>
                      <w:rFonts w:ascii="Cambria Math" w:hAnsi="Cambria Math" w:cs="Tahoma"/>
                    </w:rPr>
                  </m:ctrlPr>
                </m:sSubPr>
                <m:e>
                  <m:r>
                    <w:rPr>
                      <w:rFonts w:ascii="Cambria Math" w:hAnsi="Cambria Math" w:cs="Tahoma"/>
                    </w:rPr>
                    <m:t>F</m:t>
                  </m:r>
                </m:e>
                <m:sub>
                  <m:r>
                    <w:rPr>
                      <w:rFonts w:ascii="Cambria Math" w:hAnsi="Cambria Math" w:cs="Tahoma"/>
                    </w:rPr>
                    <m:t>in</m:t>
                  </m:r>
                </m:sub>
              </m:sSub>
              <m:r>
                <m:rPr>
                  <m:sty m:val="p"/>
                </m:rPr>
                <w:rPr>
                  <w:rFonts w:ascii="Cambria Math" w:hAnsi="Cambria Math" w:cs="Tahoma"/>
                  <w:lang w:val="en-US"/>
                </w:rPr>
                <m:t>∙</m:t>
              </m:r>
              <m:sSub>
                <m:sSubPr>
                  <m:ctrlPr>
                    <w:rPr>
                      <w:rFonts w:ascii="Cambria Math" w:hAnsi="Cambria Math" w:cs="Tahoma"/>
                    </w:rPr>
                  </m:ctrlPr>
                </m:sSubPr>
                <m:e>
                  <m:r>
                    <w:rPr>
                      <w:rFonts w:ascii="Cambria Math" w:hAnsi="Cambria Math" w:cs="Tahoma"/>
                    </w:rPr>
                    <m:t>W</m:t>
                  </m:r>
                </m:e>
                <m:sub>
                  <m:r>
                    <w:rPr>
                      <w:rFonts w:ascii="Cambria Math" w:hAnsi="Cambria Math" w:cs="Tahoma"/>
                    </w:rPr>
                    <m:t>in</m:t>
                  </m:r>
                </m:sub>
              </m:sSub>
            </m:e>
          </m:nary>
          <m:r>
            <m:rPr>
              <m:sty m:val="p"/>
            </m:rPr>
            <w:rPr>
              <w:rFonts w:ascii="Cambria Math" w:hAnsi="Cambria Math" w:cs="Tahoma"/>
              <w:lang w:val="en-US"/>
            </w:rPr>
            <m:t xml:space="preserve"> , </m:t>
          </m:r>
        </m:oMath>
      </m:oMathPara>
    </w:p>
    <w:p w14:paraId="0EB7F2EF" w14:textId="6C536129" w:rsidR="0077409D" w:rsidRPr="00924FFB" w:rsidRDefault="007D0BD0" w:rsidP="0077409D">
      <w:pPr>
        <w:pStyle w:val="af9"/>
        <w:ind w:left="1134"/>
        <w:rPr>
          <w:rFonts w:cs="Tahoma"/>
          <w:lang w:val="en-US"/>
        </w:rPr>
      </w:pPr>
      <w:r w:rsidRPr="00924FFB">
        <w:rPr>
          <w:rFonts w:cs="Tahoma"/>
          <w:lang w:val="en-US"/>
        </w:rPr>
        <w:t>where</w:t>
      </w:r>
      <w:r w:rsidR="0077409D" w:rsidRPr="00924FFB">
        <w:rPr>
          <w:rFonts w:cs="Tahoma"/>
          <w:lang w:val="en-US"/>
        </w:rPr>
        <w:t>:</w:t>
      </w:r>
    </w:p>
    <w:p w14:paraId="5E77D85E" w14:textId="77777777" w:rsidR="007D0BD0" w:rsidRPr="00924FFB" w:rsidRDefault="007D0BD0" w:rsidP="007D0BD0">
      <w:pPr>
        <w:pStyle w:val="af9"/>
        <w:ind w:left="1134"/>
        <w:rPr>
          <w:rFonts w:cs="Tahoma"/>
          <w:lang w:val="en-US"/>
        </w:rPr>
      </w:pPr>
      <w:proofErr w:type="spellStart"/>
      <w:r w:rsidRPr="00924FFB">
        <w:rPr>
          <w:rFonts w:cs="Tahoma"/>
          <w:lang w:val="en-US"/>
        </w:rPr>
        <w:t>TD</w:t>
      </w:r>
      <w:r w:rsidRPr="00924FFB">
        <w:rPr>
          <w:rFonts w:cs="Tahoma"/>
          <w:vertAlign w:val="subscript"/>
          <w:lang w:val="en-US"/>
        </w:rPr>
        <w:t>n</w:t>
      </w:r>
      <w:proofErr w:type="spellEnd"/>
      <w:r w:rsidRPr="00924FFB">
        <w:rPr>
          <w:rFonts w:cs="Tahoma"/>
          <w:lang w:val="en-US"/>
        </w:rPr>
        <w:t xml:space="preserve"> - total dividends on Stocks in the Equity Price Sub-Index, accounted for on day </w:t>
      </w:r>
      <w:proofErr w:type="gramStart"/>
      <w:r w:rsidRPr="00924FFB">
        <w:rPr>
          <w:rFonts w:cs="Tahoma"/>
          <w:lang w:val="en-US"/>
        </w:rPr>
        <w:t>n;</w:t>
      </w:r>
      <w:proofErr w:type="gramEnd"/>
    </w:p>
    <w:p w14:paraId="36B467B0" w14:textId="77777777" w:rsidR="007D0BD0" w:rsidRPr="00924FFB" w:rsidRDefault="007D0BD0" w:rsidP="007D0BD0">
      <w:pPr>
        <w:pStyle w:val="af9"/>
        <w:ind w:left="1134"/>
        <w:rPr>
          <w:rFonts w:cs="Tahoma"/>
          <w:lang w:val="en-US"/>
        </w:rPr>
      </w:pPr>
      <w:r w:rsidRPr="00924FFB">
        <w:rPr>
          <w:rFonts w:cs="Tahoma"/>
          <w:lang w:val="en-US"/>
        </w:rPr>
        <w:t xml:space="preserve">N - the number of Stocks in the Equity Price Sub-index </w:t>
      </w:r>
      <w:proofErr w:type="gramStart"/>
      <w:r w:rsidRPr="00924FFB">
        <w:rPr>
          <w:rFonts w:cs="Tahoma"/>
          <w:lang w:val="en-US"/>
        </w:rPr>
        <w:t>Base;</w:t>
      </w:r>
      <w:proofErr w:type="gramEnd"/>
    </w:p>
    <w:p w14:paraId="41FAA719" w14:textId="637D0095" w:rsidR="007D0BD0" w:rsidRPr="00924FFB" w:rsidRDefault="007D0BD0" w:rsidP="007D0BD0">
      <w:pPr>
        <w:pStyle w:val="af9"/>
        <w:ind w:left="1134"/>
        <w:rPr>
          <w:rFonts w:cs="Tahoma"/>
          <w:lang w:val="en-US"/>
        </w:rPr>
      </w:pPr>
      <w:proofErr w:type="spellStart"/>
      <w:r w:rsidRPr="00924FFB">
        <w:rPr>
          <w:rFonts w:cs="Tahoma"/>
          <w:lang w:val="en-US"/>
        </w:rPr>
        <w:t>Div</w:t>
      </w:r>
      <w:r w:rsidRPr="00924FFB">
        <w:rPr>
          <w:rFonts w:cs="Tahoma"/>
          <w:vertAlign w:val="subscript"/>
          <w:lang w:val="en-US"/>
        </w:rPr>
        <w:t>in</w:t>
      </w:r>
      <w:proofErr w:type="spellEnd"/>
      <w:r w:rsidRPr="00924FFB">
        <w:rPr>
          <w:rFonts w:cs="Tahoma"/>
          <w:lang w:val="en-US"/>
        </w:rPr>
        <w:t xml:space="preserve"> - the </w:t>
      </w:r>
      <w:proofErr w:type="gramStart"/>
      <w:r w:rsidRPr="00924FFB">
        <w:rPr>
          <w:rFonts w:cs="Tahoma"/>
          <w:lang w:val="en-US"/>
        </w:rPr>
        <w:t>amount</w:t>
      </w:r>
      <w:proofErr w:type="gramEnd"/>
      <w:r w:rsidRPr="00924FFB">
        <w:rPr>
          <w:rFonts w:cs="Tahoma"/>
          <w:lang w:val="en-US"/>
        </w:rPr>
        <w:t xml:space="preserve"> of dividends on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in RUB;</w:t>
      </w:r>
    </w:p>
    <w:p w14:paraId="47E953F5" w14:textId="2FF165D8" w:rsidR="007D0BD0" w:rsidRPr="00924FFB" w:rsidRDefault="007D0BD0" w:rsidP="007D0BD0">
      <w:pPr>
        <w:pStyle w:val="af9"/>
        <w:ind w:left="1134"/>
        <w:rPr>
          <w:rFonts w:cs="Tahoma"/>
          <w:lang w:val="en-US"/>
        </w:rPr>
      </w:pPr>
      <w:r w:rsidRPr="00924FFB">
        <w:rPr>
          <w:rFonts w:cs="Tahoma"/>
          <w:lang w:val="en-US"/>
        </w:rPr>
        <w:t>Q</w:t>
      </w:r>
      <w:r w:rsidRPr="00924FFB">
        <w:rPr>
          <w:rFonts w:cs="Tahoma"/>
          <w:vertAlign w:val="subscript"/>
          <w:lang w:val="en-US"/>
        </w:rPr>
        <w:t>in</w:t>
      </w:r>
      <w:r w:rsidRPr="00924FFB">
        <w:rPr>
          <w:rFonts w:cs="Tahoma"/>
          <w:lang w:val="en-US"/>
        </w:rPr>
        <w:t xml:space="preserve"> - the total number of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Stocks of one category (type) of one Issuer in the Equity Price Sub-Index on day </w:t>
      </w:r>
      <w:proofErr w:type="gramStart"/>
      <w:r w:rsidRPr="00924FFB">
        <w:rPr>
          <w:rFonts w:cs="Tahoma"/>
          <w:lang w:val="en-US"/>
        </w:rPr>
        <w:t>n;</w:t>
      </w:r>
      <w:proofErr w:type="gramEnd"/>
    </w:p>
    <w:p w14:paraId="5D46AABB" w14:textId="5ADCCBA3" w:rsidR="007D0BD0" w:rsidRPr="00924FFB" w:rsidRDefault="007D0BD0" w:rsidP="007D0BD0">
      <w:pPr>
        <w:pStyle w:val="af9"/>
        <w:ind w:left="1134"/>
        <w:rPr>
          <w:rFonts w:cs="Tahoma"/>
          <w:lang w:val="en-US"/>
        </w:rPr>
      </w:pPr>
      <w:proofErr w:type="spellStart"/>
      <w:r w:rsidRPr="00924FFB">
        <w:rPr>
          <w:rFonts w:cs="Tahoma"/>
          <w:lang w:val="en-US"/>
        </w:rPr>
        <w:lastRenderedPageBreak/>
        <w:t>FF</w:t>
      </w:r>
      <w:r w:rsidRPr="00924FFB">
        <w:rPr>
          <w:rFonts w:cs="Tahoma"/>
          <w:vertAlign w:val="subscript"/>
          <w:lang w:val="en-US"/>
        </w:rPr>
        <w:t>in</w:t>
      </w:r>
      <w:proofErr w:type="spellEnd"/>
      <w:r w:rsidRPr="00924FFB">
        <w:rPr>
          <w:rFonts w:cs="Tahoma"/>
          <w:lang w:val="en-US"/>
        </w:rPr>
        <w:t xml:space="preserve"> - the free-float coefficient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in the Equity Price Sub-index on day </w:t>
      </w:r>
      <w:proofErr w:type="gramStart"/>
      <w:r w:rsidRPr="00924FFB">
        <w:rPr>
          <w:rFonts w:cs="Tahoma"/>
          <w:lang w:val="en-US"/>
        </w:rPr>
        <w:t>n;</w:t>
      </w:r>
      <w:proofErr w:type="gramEnd"/>
    </w:p>
    <w:p w14:paraId="60872E74" w14:textId="7B10A1C5" w:rsidR="007D0BD0" w:rsidRPr="00924FFB" w:rsidRDefault="007D0BD0" w:rsidP="007D0BD0">
      <w:pPr>
        <w:pStyle w:val="af9"/>
        <w:ind w:left="1134"/>
        <w:rPr>
          <w:rFonts w:cs="Tahoma"/>
          <w:lang w:val="en-US"/>
        </w:rPr>
      </w:pPr>
      <w:r w:rsidRPr="00924FFB">
        <w:rPr>
          <w:rFonts w:cs="Tahoma"/>
          <w:lang w:val="en-US"/>
        </w:rPr>
        <w:t>W</w:t>
      </w:r>
      <w:r w:rsidRPr="00924FFB">
        <w:rPr>
          <w:rFonts w:cs="Tahoma"/>
          <w:vertAlign w:val="subscript"/>
          <w:lang w:val="en-US"/>
        </w:rPr>
        <w:t>in</w:t>
      </w:r>
      <w:r w:rsidRPr="00924FFB">
        <w:rPr>
          <w:rFonts w:cs="Tahoma"/>
          <w:lang w:val="en-US"/>
        </w:rPr>
        <w:t xml:space="preserve"> - the weighting factor applied to the Equity Price Sub-index on day n.</w:t>
      </w:r>
    </w:p>
    <w:p w14:paraId="01576846" w14:textId="5551A298" w:rsidR="0077409D" w:rsidRPr="00924FFB" w:rsidRDefault="007D0BD0" w:rsidP="000942E0">
      <w:pPr>
        <w:pStyle w:val="af4"/>
        <w:numPr>
          <w:ilvl w:val="2"/>
          <w:numId w:val="8"/>
        </w:numPr>
        <w:ind w:left="1418" w:hanging="698"/>
        <w:jc w:val="both"/>
        <w:rPr>
          <w:rFonts w:cs="Tahoma"/>
          <w:lang w:val="en-US"/>
        </w:rPr>
      </w:pPr>
      <w:r w:rsidRPr="00924FFB">
        <w:rPr>
          <w:rFonts w:cs="Tahoma"/>
          <w:lang w:val="en-US"/>
        </w:rPr>
        <w:t xml:space="preserve">Dividend expressed in the </w:t>
      </w:r>
      <w:r w:rsidR="00CC7459" w:rsidRPr="00924FFB">
        <w:rPr>
          <w:rFonts w:cs="Tahoma"/>
          <w:lang w:val="en-US"/>
        </w:rPr>
        <w:t xml:space="preserve">Equity Total Return Sub-Index </w:t>
      </w:r>
      <w:r w:rsidRPr="00924FFB">
        <w:rPr>
          <w:rFonts w:cs="Tahoma"/>
          <w:lang w:val="en-US"/>
        </w:rPr>
        <w:t>points</w:t>
      </w:r>
      <w:r w:rsidR="0077409D" w:rsidRPr="00924FFB">
        <w:rPr>
          <w:rFonts w:cs="Tahoma"/>
          <w:lang w:val="en-US"/>
        </w:rPr>
        <w:t>:</w:t>
      </w:r>
    </w:p>
    <w:p w14:paraId="1147EB92" w14:textId="77777777" w:rsidR="0077409D" w:rsidRPr="00924FFB" w:rsidRDefault="00C83308" w:rsidP="0077409D">
      <w:pPr>
        <w:pStyle w:val="afb"/>
        <w:rPr>
          <w:rFonts w:ascii="Tahoma" w:hAnsi="Tahoma" w:cs="Tahoma"/>
        </w:rPr>
      </w:pPr>
      <m:oMathPara>
        <m:oMath>
          <m:sSub>
            <m:sSubPr>
              <m:ctrlPr>
                <w:rPr>
                  <w:rFonts w:cs="Tahoma"/>
                </w:rPr>
              </m:ctrlPr>
            </m:sSubPr>
            <m:e>
              <m:r>
                <w:rPr>
                  <w:rFonts w:cs="Tahoma"/>
                </w:rPr>
                <m:t>ID</m:t>
              </m:r>
            </m:e>
            <m:sub>
              <m:r>
                <w:rPr>
                  <w:rFonts w:cs="Tahoma"/>
                </w:rPr>
                <m:t>n</m:t>
              </m:r>
            </m:sub>
          </m:sSub>
          <m:r>
            <w:rPr>
              <w:rFonts w:cs="Tahoma"/>
            </w:rPr>
            <m:t>=</m:t>
          </m:r>
          <m:f>
            <m:fPr>
              <m:ctrlPr>
                <w:rPr>
                  <w:rFonts w:cs="Tahoma"/>
                </w:rPr>
              </m:ctrlPr>
            </m:fPr>
            <m:num>
              <m:r>
                <w:rPr>
                  <w:rFonts w:cs="Tahoma"/>
                </w:rPr>
                <m:t>T</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0F2504FA" w14:textId="196C3C34" w:rsidR="0077409D" w:rsidRPr="00924FFB" w:rsidRDefault="007D0BD0" w:rsidP="0077409D">
      <w:pPr>
        <w:pStyle w:val="af9"/>
        <w:rPr>
          <w:rFonts w:cs="Tahoma"/>
        </w:rPr>
      </w:pPr>
      <w:r w:rsidRPr="00924FFB">
        <w:rPr>
          <w:rFonts w:cs="Tahoma"/>
          <w:lang w:val="en-US"/>
        </w:rPr>
        <w:t>where</w:t>
      </w:r>
      <w:r w:rsidR="0077409D" w:rsidRPr="00924FFB">
        <w:rPr>
          <w:rFonts w:cs="Tahoma"/>
        </w:rPr>
        <w:t>:</w:t>
      </w:r>
    </w:p>
    <w:p w14:paraId="1A3CADFF" w14:textId="73F8FEED" w:rsidR="0077409D" w:rsidRPr="00924FFB" w:rsidRDefault="0077409D" w:rsidP="0077409D">
      <w:pPr>
        <w:pStyle w:val="af9"/>
        <w:rPr>
          <w:rFonts w:cs="Tahoma"/>
          <w:lang w:val="en-US"/>
        </w:rPr>
      </w:pPr>
      <w:proofErr w:type="spellStart"/>
      <w:r w:rsidRPr="00924FFB">
        <w:rPr>
          <w:rFonts w:cs="Tahoma"/>
          <w:lang w:val="en-US"/>
        </w:rPr>
        <w:t>D</w:t>
      </w:r>
      <w:r w:rsidRPr="00924FFB">
        <w:rPr>
          <w:rFonts w:cs="Tahoma"/>
          <w:vertAlign w:val="subscript"/>
          <w:lang w:val="en-US"/>
        </w:rPr>
        <w:t>n</w:t>
      </w:r>
      <w:proofErr w:type="spellEnd"/>
      <w:r w:rsidRPr="00924FFB">
        <w:rPr>
          <w:rFonts w:cs="Tahoma"/>
          <w:lang w:val="en-US"/>
        </w:rPr>
        <w:t xml:space="preserve"> – </w:t>
      </w:r>
      <w:r w:rsidR="007D0BD0" w:rsidRPr="00924FFB">
        <w:rPr>
          <w:rFonts w:cs="Tahoma"/>
          <w:lang w:val="en-US"/>
        </w:rPr>
        <w:t>the value of the Divisor applied to the Equity Price Sub-Index at time n</w:t>
      </w:r>
      <w:r w:rsidRPr="00924FFB">
        <w:rPr>
          <w:rFonts w:cs="Tahoma"/>
          <w:lang w:val="en-US"/>
        </w:rPr>
        <w:t>.</w:t>
      </w:r>
    </w:p>
    <w:p w14:paraId="24EBD030" w14:textId="5F3CA0AE" w:rsidR="0077409D" w:rsidRPr="00924FFB" w:rsidRDefault="007D0BD0" w:rsidP="000942E0">
      <w:pPr>
        <w:pStyle w:val="af4"/>
        <w:numPr>
          <w:ilvl w:val="2"/>
          <w:numId w:val="8"/>
        </w:numPr>
        <w:ind w:left="1418" w:hanging="698"/>
        <w:jc w:val="both"/>
        <w:rPr>
          <w:rFonts w:cs="Tahoma"/>
          <w:lang w:val="en-US"/>
        </w:rPr>
      </w:pPr>
      <w:r w:rsidRPr="00924FFB">
        <w:rPr>
          <w:rFonts w:cs="Tahoma"/>
          <w:lang w:val="en-US"/>
        </w:rPr>
        <w:t>The reinvested dividend return is calculated as follows</w:t>
      </w:r>
      <w:r w:rsidR="0077409D" w:rsidRPr="00924FFB">
        <w:rPr>
          <w:rFonts w:cs="Tahoma"/>
          <w:lang w:val="en-US"/>
        </w:rPr>
        <w:t xml:space="preserve">: </w:t>
      </w:r>
    </w:p>
    <w:p w14:paraId="059E9AA5" w14:textId="77777777" w:rsidR="0077409D" w:rsidRPr="00924FFB" w:rsidRDefault="0077409D" w:rsidP="0077409D">
      <w:pPr>
        <w:pStyle w:val="afb"/>
        <w:rPr>
          <w:rFonts w:ascii="Tahoma" w:hAnsi="Tahoma" w:cs="Tahoma"/>
        </w:rPr>
      </w:pPr>
      <m:oMathPara>
        <m:oMath>
          <m:r>
            <w:rPr>
              <w:rFonts w:cs="Tahoma"/>
            </w:rPr>
            <m:t>T</m:t>
          </m:r>
          <m:sSub>
            <m:sSubPr>
              <m:ctrlPr>
                <w:rPr>
                  <w:rFonts w:cs="Tahoma"/>
                </w:rPr>
              </m:ctrlPr>
            </m:sSubPr>
            <m:e>
              <m:r>
                <w:rPr>
                  <w:rFonts w:cs="Tahoma"/>
                </w:rPr>
                <m:t>R</m:t>
              </m:r>
            </m:e>
            <m:sub>
              <m:r>
                <w:rPr>
                  <w:rFonts w:cs="Tahoma"/>
                </w:rPr>
                <m:t>n</m:t>
              </m:r>
            </m:sub>
          </m:sSub>
          <m:r>
            <w:rPr>
              <w:rFonts w:cs="Tahoma"/>
            </w:rPr>
            <m:t>=</m:t>
          </m:r>
          <m:f>
            <m:fPr>
              <m:ctrlPr>
                <w:rPr>
                  <w:rFonts w:cs="Tahoma"/>
                </w:rPr>
              </m:ctrlPr>
            </m:fPr>
            <m:num>
              <m:sSub>
                <m:sSubPr>
                  <m:ctrlPr>
                    <w:rPr>
                      <w:rFonts w:cs="Tahoma"/>
                    </w:rPr>
                  </m:ctrlPr>
                </m:sSubPr>
                <m:e>
                  <m:r>
                    <w:rPr>
                      <w:rFonts w:cs="Tahoma"/>
                    </w:rPr>
                    <m:t>I</m:t>
                  </m:r>
                </m:e>
                <m:sub>
                  <m:r>
                    <w:rPr>
                      <w:rFonts w:cs="Tahoma"/>
                    </w:rPr>
                    <m:t>n</m:t>
                  </m:r>
                </m:sub>
              </m:sSub>
              <m:r>
                <w:rPr>
                  <w:rFonts w:cs="Tahoma"/>
                </w:rPr>
                <m:t>+I</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I</m:t>
                  </m:r>
                </m:e>
                <m:sub>
                  <m:r>
                    <w:rPr>
                      <w:rFonts w:cs="Tahoma"/>
                    </w:rPr>
                    <m:t>n-1</m:t>
                  </m:r>
                </m:sub>
              </m:sSub>
            </m:den>
          </m:f>
          <m:r>
            <w:rPr>
              <w:rFonts w:cs="Tahoma"/>
            </w:rPr>
            <m:t xml:space="preserve"> ,</m:t>
          </m:r>
        </m:oMath>
      </m:oMathPara>
    </w:p>
    <w:p w14:paraId="309F5591" w14:textId="38217E61" w:rsidR="0077409D" w:rsidRPr="00924FFB" w:rsidRDefault="007D0BD0" w:rsidP="0077409D">
      <w:pPr>
        <w:pStyle w:val="af9"/>
        <w:keepNext/>
        <w:rPr>
          <w:rFonts w:cs="Tahoma"/>
        </w:rPr>
      </w:pPr>
      <w:r w:rsidRPr="00924FFB">
        <w:rPr>
          <w:rFonts w:cs="Tahoma"/>
          <w:lang w:val="en-US"/>
        </w:rPr>
        <w:t>where</w:t>
      </w:r>
      <w:r w:rsidR="0077409D" w:rsidRPr="00924FFB">
        <w:rPr>
          <w:rFonts w:cs="Tahoma"/>
        </w:rPr>
        <w:t>:</w:t>
      </w:r>
    </w:p>
    <w:p w14:paraId="6BA25E8C" w14:textId="1D9411A0" w:rsidR="0077409D" w:rsidRPr="00924FFB" w:rsidRDefault="0077409D" w:rsidP="0077409D">
      <w:pPr>
        <w:pStyle w:val="af9"/>
        <w:rPr>
          <w:rFonts w:cs="Tahoma"/>
          <w:lang w:val="en-US"/>
        </w:rPr>
      </w:pPr>
      <w:r w:rsidRPr="00924FFB">
        <w:rPr>
          <w:rFonts w:cs="Tahoma"/>
          <w:lang w:val="en-US"/>
        </w:rPr>
        <w:t>I</w:t>
      </w:r>
      <w:r w:rsidRPr="00924FFB">
        <w:rPr>
          <w:rFonts w:cs="Tahoma"/>
          <w:vertAlign w:val="subscript"/>
          <w:lang w:val="en-US"/>
        </w:rPr>
        <w:t>n</w:t>
      </w:r>
      <w:r w:rsidRPr="00924FFB">
        <w:rPr>
          <w:rFonts w:cs="Tahoma"/>
          <w:lang w:val="en-US"/>
        </w:rPr>
        <w:t xml:space="preserve"> – </w:t>
      </w:r>
      <w:r w:rsidR="007D0BD0" w:rsidRPr="00924FFB">
        <w:rPr>
          <w:rFonts w:cs="Tahoma"/>
          <w:lang w:val="en-US"/>
        </w:rPr>
        <w:t xml:space="preserve">the value of the Price Sub-Index on day </w:t>
      </w:r>
      <w:proofErr w:type="gramStart"/>
      <w:r w:rsidRPr="00924FFB">
        <w:rPr>
          <w:rFonts w:cs="Tahoma"/>
          <w:lang w:val="en-US"/>
        </w:rPr>
        <w:t>n;</w:t>
      </w:r>
      <w:proofErr w:type="gramEnd"/>
    </w:p>
    <w:p w14:paraId="4F121243" w14:textId="2D7FFBE3" w:rsidR="0077409D" w:rsidRPr="00924FFB" w:rsidRDefault="0077409D" w:rsidP="0077409D">
      <w:pPr>
        <w:pStyle w:val="af9"/>
        <w:rPr>
          <w:rFonts w:cs="Tahoma"/>
          <w:lang w:val="en-US"/>
        </w:rPr>
      </w:pPr>
      <w:r w:rsidRPr="00924FFB">
        <w:rPr>
          <w:rFonts w:cs="Tahoma"/>
          <w:lang w:val="en-US"/>
        </w:rPr>
        <w:t>I</w:t>
      </w:r>
      <w:r w:rsidRPr="00924FFB">
        <w:rPr>
          <w:rFonts w:cs="Tahoma"/>
          <w:vertAlign w:val="subscript"/>
          <w:lang w:val="en-US"/>
        </w:rPr>
        <w:t>n-1</w:t>
      </w:r>
      <w:r w:rsidRPr="00924FFB">
        <w:rPr>
          <w:rFonts w:cs="Tahoma"/>
          <w:lang w:val="en-US"/>
        </w:rPr>
        <w:t xml:space="preserve"> – </w:t>
      </w:r>
      <w:r w:rsidR="007D0BD0" w:rsidRPr="00924FFB">
        <w:rPr>
          <w:rFonts w:cs="Tahoma"/>
          <w:lang w:val="en-US"/>
        </w:rPr>
        <w:t xml:space="preserve">the value of the Price Sub-Index on day </w:t>
      </w:r>
      <w:r w:rsidRPr="00924FFB">
        <w:rPr>
          <w:rFonts w:cs="Tahoma"/>
          <w:lang w:val="en-US"/>
        </w:rPr>
        <w:t>n-1.</w:t>
      </w:r>
    </w:p>
    <w:p w14:paraId="03537E11" w14:textId="3F72BE0A" w:rsidR="0077409D" w:rsidRPr="00924FFB" w:rsidRDefault="007D0BD0" w:rsidP="000942E0">
      <w:pPr>
        <w:pStyle w:val="af4"/>
        <w:numPr>
          <w:ilvl w:val="2"/>
          <w:numId w:val="8"/>
        </w:numPr>
        <w:ind w:left="1418" w:hanging="698"/>
        <w:jc w:val="both"/>
        <w:rPr>
          <w:rFonts w:cs="Tahoma"/>
          <w:lang w:val="en-US"/>
        </w:rPr>
      </w:pPr>
      <w:r w:rsidRPr="00924FFB">
        <w:rPr>
          <w:rFonts w:cs="Tahoma"/>
          <w:lang w:val="en-US"/>
        </w:rPr>
        <w:t>The Total Return Equity Index is determined as follows</w:t>
      </w:r>
      <w:r w:rsidR="0077409D" w:rsidRPr="00924FFB">
        <w:rPr>
          <w:rFonts w:cs="Tahoma"/>
          <w:lang w:val="en-US"/>
        </w:rPr>
        <w:t xml:space="preserve">: </w:t>
      </w:r>
    </w:p>
    <w:p w14:paraId="351810F7" w14:textId="77777777" w:rsidR="0077409D" w:rsidRPr="00924FFB" w:rsidRDefault="00C83308" w:rsidP="0077409D">
      <w:pPr>
        <w:pStyle w:val="afb"/>
        <w:rPr>
          <w:rFonts w:ascii="Tahoma" w:hAnsi="Tahoma" w:cs="Tahoma"/>
        </w:rPr>
      </w:pPr>
      <m:oMathPara>
        <m:oMath>
          <m:sSub>
            <m:sSubPr>
              <m:ctrlPr>
                <w:rPr>
                  <w:rFonts w:cs="Tahoma"/>
                </w:rPr>
              </m:ctrlPr>
            </m:sSubPr>
            <m:e>
              <m:r>
                <w:rPr>
                  <w:rFonts w:cs="Tahoma"/>
                </w:rPr>
                <m:t>ITR</m:t>
              </m:r>
            </m:e>
            <m:sub>
              <m:r>
                <w:rPr>
                  <w:rFonts w:cs="Tahoma"/>
                </w:rPr>
                <m:t>n</m:t>
              </m:r>
            </m:sub>
          </m:sSub>
          <m:r>
            <w:rPr>
              <w:rFonts w:cs="Tahoma"/>
            </w:rPr>
            <m:t>=IT</m:t>
          </m:r>
          <m:sSub>
            <m:sSubPr>
              <m:ctrlPr>
                <w:rPr>
                  <w:rFonts w:cs="Tahoma"/>
                </w:rPr>
              </m:ctrlPr>
            </m:sSubPr>
            <m:e>
              <m:r>
                <w:rPr>
                  <w:rFonts w:cs="Tahoma"/>
                </w:rPr>
                <m:t>R</m:t>
              </m:r>
            </m:e>
            <m:sub>
              <m:r>
                <w:rPr>
                  <w:rFonts w:cs="Tahoma"/>
                </w:rPr>
                <m:t>n-1</m:t>
              </m:r>
            </m:sub>
          </m:sSub>
          <m:r>
            <w:rPr>
              <w:rFonts w:cs="Tahoma"/>
            </w:rPr>
            <m:t xml:space="preserve"> ∙T</m:t>
          </m:r>
          <m:sSub>
            <m:sSubPr>
              <m:ctrlPr>
                <w:rPr>
                  <w:rFonts w:cs="Tahoma"/>
                </w:rPr>
              </m:ctrlPr>
            </m:sSubPr>
            <m:e>
              <m:r>
                <w:rPr>
                  <w:rFonts w:cs="Tahoma"/>
                </w:rPr>
                <m:t>R</m:t>
              </m:r>
            </m:e>
            <m:sub>
              <m:r>
                <w:rPr>
                  <w:rFonts w:cs="Tahoma"/>
                </w:rPr>
                <m:t>n</m:t>
              </m:r>
            </m:sub>
          </m:sSub>
          <m:r>
            <w:rPr>
              <w:rFonts w:cs="Tahoma"/>
            </w:rPr>
            <m:t xml:space="preserve"> .</m:t>
          </m:r>
        </m:oMath>
      </m:oMathPara>
    </w:p>
    <w:p w14:paraId="3DB64955" w14:textId="77777777" w:rsidR="0077409D" w:rsidRPr="00924FFB" w:rsidRDefault="0077409D" w:rsidP="00CF6D8D">
      <w:pPr>
        <w:pStyle w:val="30"/>
        <w:numPr>
          <w:ilvl w:val="0"/>
          <w:numId w:val="0"/>
        </w:numPr>
        <w:ind w:left="1077"/>
        <w:rPr>
          <w:rFonts w:cs="Tahoma"/>
        </w:rPr>
      </w:pPr>
    </w:p>
    <w:p w14:paraId="54EEDE77" w14:textId="67D25E7F" w:rsidR="00CF6D8D" w:rsidRPr="00924FFB" w:rsidRDefault="00ED13E2" w:rsidP="00E7783E">
      <w:pPr>
        <w:pStyle w:val="af4"/>
        <w:numPr>
          <w:ilvl w:val="1"/>
          <w:numId w:val="8"/>
        </w:numPr>
        <w:rPr>
          <w:rFonts w:cs="Tahoma"/>
          <w:b/>
        </w:rPr>
      </w:pPr>
      <w:bookmarkStart w:id="125" w:name="_Toc424122352"/>
      <w:bookmarkStart w:id="126" w:name="_Toc438206727"/>
      <w:bookmarkStart w:id="127" w:name="_Toc438206763"/>
      <w:bookmarkStart w:id="128" w:name="_Toc438206983"/>
      <w:bookmarkStart w:id="129" w:name="_Toc433902899"/>
      <w:bookmarkStart w:id="130" w:name="_Toc463443756"/>
      <w:bookmarkStart w:id="131" w:name="_Toc488065469"/>
      <w:r w:rsidRPr="00924FFB">
        <w:rPr>
          <w:rFonts w:cs="Tahoma"/>
          <w:b/>
          <w:lang w:val="en-US"/>
        </w:rPr>
        <w:t xml:space="preserve">Stock price calculation </w:t>
      </w:r>
      <w:bookmarkEnd w:id="125"/>
      <w:bookmarkEnd w:id="126"/>
      <w:bookmarkEnd w:id="127"/>
      <w:bookmarkEnd w:id="128"/>
      <w:bookmarkEnd w:id="129"/>
      <w:bookmarkEnd w:id="130"/>
      <w:bookmarkEnd w:id="131"/>
    </w:p>
    <w:p w14:paraId="103EA581" w14:textId="77777777" w:rsidR="007D0BD0" w:rsidRPr="00924FFB" w:rsidRDefault="007D0BD0" w:rsidP="007D0BD0">
      <w:pPr>
        <w:pStyle w:val="af4"/>
        <w:ind w:left="792"/>
        <w:rPr>
          <w:rFonts w:cs="Tahoma"/>
          <w:b/>
        </w:rPr>
      </w:pPr>
    </w:p>
    <w:p w14:paraId="36EA9F13" w14:textId="4F93F627" w:rsidR="00205BB7" w:rsidRPr="00924FFB" w:rsidRDefault="00205BB7" w:rsidP="00205BB7">
      <w:pPr>
        <w:pStyle w:val="af4"/>
        <w:numPr>
          <w:ilvl w:val="2"/>
          <w:numId w:val="8"/>
        </w:numPr>
        <w:ind w:left="1418" w:hanging="698"/>
        <w:jc w:val="both"/>
        <w:rPr>
          <w:rFonts w:cs="Tahoma"/>
          <w:lang w:val="en-US"/>
        </w:rPr>
      </w:pPr>
      <w:bookmarkStart w:id="132" w:name="_Ref324854569"/>
      <w:bookmarkStart w:id="133" w:name="_Ref338150177"/>
      <w:bookmarkStart w:id="134" w:name="п_3_5"/>
      <w:r w:rsidRPr="00924FFB">
        <w:rPr>
          <w:rFonts w:cs="Tahoma"/>
          <w:lang w:val="en-US"/>
        </w:rPr>
        <w:t xml:space="preserve">The closing price (Pi)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w:t>
      </w:r>
      <w:r w:rsidRPr="00924FFB">
        <w:rPr>
          <w:rFonts w:cs="Tahoma"/>
          <w:lang w:val="en-US"/>
        </w:rPr>
        <w:t>determined in</w:t>
      </w:r>
      <w:r w:rsidRPr="00924FFB">
        <w:rPr>
          <w:rFonts w:cs="Tahoma"/>
          <w:lang w:val="en-US"/>
        </w:rPr>
        <w:t xml:space="preserve"> accordance with the Moscow Exchange Trading Rules for the Equity &amp; Bond and Deposit Market is used as the price of this Stock.</w:t>
      </w:r>
    </w:p>
    <w:p w14:paraId="61E5797C" w14:textId="5474A74B" w:rsidR="00205BB7" w:rsidRPr="00924FFB" w:rsidRDefault="00205BB7" w:rsidP="00205BB7">
      <w:pPr>
        <w:pStyle w:val="af4"/>
        <w:numPr>
          <w:ilvl w:val="2"/>
          <w:numId w:val="8"/>
        </w:numPr>
        <w:ind w:left="1418" w:hanging="698"/>
        <w:jc w:val="both"/>
        <w:rPr>
          <w:rFonts w:cs="Tahoma"/>
          <w:lang w:val="en-US"/>
        </w:rPr>
      </w:pPr>
      <w:r w:rsidRPr="00924FFB">
        <w:rPr>
          <w:rFonts w:cs="Tahoma"/>
          <w:lang w:val="en-US"/>
        </w:rPr>
        <w:t xml:space="preserve">The price (Pi)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is determined with the accuracy of the tick set for this Stock in the Moscow Exchange Trading Rules for the Equity &amp; Bond and Deposit Market.</w:t>
      </w:r>
    </w:p>
    <w:p w14:paraId="2C4F3457" w14:textId="498FD813" w:rsidR="00205BB7" w:rsidRPr="00924FFB" w:rsidRDefault="00205BB7" w:rsidP="00205BB7">
      <w:pPr>
        <w:pStyle w:val="af4"/>
        <w:numPr>
          <w:ilvl w:val="2"/>
          <w:numId w:val="8"/>
        </w:numPr>
        <w:ind w:left="1418" w:hanging="698"/>
        <w:jc w:val="both"/>
        <w:rPr>
          <w:rFonts w:cs="Tahoma"/>
          <w:lang w:val="en-US"/>
        </w:rPr>
      </w:pPr>
      <w:r w:rsidRPr="00924FFB">
        <w:rPr>
          <w:rFonts w:cs="Tahoma"/>
          <w:lang w:val="en-US"/>
        </w:rPr>
        <w:t xml:space="preserve">The procedure for determining the price (Pi)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stipulated in clauses 1.4.1 - 1.4.1 of the Methodology is not applicable in the case stipulated in clause 2.3.2 of this </w:t>
      </w:r>
      <w:r w:rsidRPr="00924FFB">
        <w:rPr>
          <w:rFonts w:cs="Tahoma"/>
          <w:lang w:val="en-US"/>
        </w:rPr>
        <w:t>Appendix</w:t>
      </w:r>
      <w:r w:rsidRPr="00924FFB">
        <w:rPr>
          <w:rFonts w:cs="Tahoma"/>
          <w:lang w:val="en-US"/>
        </w:rPr>
        <w:t xml:space="preserve"> to the Methodology.</w:t>
      </w:r>
    </w:p>
    <w:bookmarkEnd w:id="132"/>
    <w:bookmarkEnd w:id="133"/>
    <w:bookmarkEnd w:id="134"/>
    <w:p w14:paraId="1EADEDED" w14:textId="77777777" w:rsidR="00CF6D8D" w:rsidRPr="00924FFB" w:rsidRDefault="00CF6D8D" w:rsidP="00A04D5A">
      <w:pPr>
        <w:pStyle w:val="a4"/>
        <w:spacing w:after="0"/>
        <w:ind w:hanging="142"/>
        <w:jc w:val="both"/>
        <w:rPr>
          <w:rFonts w:cs="Tahoma"/>
          <w:lang w:val="en-US"/>
        </w:rPr>
      </w:pPr>
    </w:p>
    <w:p w14:paraId="118D524D" w14:textId="050E2AFF" w:rsidR="00CF6D8D" w:rsidRPr="00924FFB" w:rsidRDefault="00205BB7" w:rsidP="00E7783E">
      <w:pPr>
        <w:pStyle w:val="af4"/>
        <w:numPr>
          <w:ilvl w:val="1"/>
          <w:numId w:val="8"/>
        </w:numPr>
        <w:rPr>
          <w:rFonts w:cs="Tahoma"/>
          <w:b/>
          <w:lang w:val="en-US"/>
        </w:rPr>
      </w:pPr>
      <w:bookmarkStart w:id="135" w:name="_Ref423443808"/>
      <w:bookmarkStart w:id="136" w:name="_Toc424122353"/>
      <w:bookmarkStart w:id="137" w:name="_Toc438206728"/>
      <w:bookmarkStart w:id="138" w:name="_Toc438206764"/>
      <w:bookmarkStart w:id="139" w:name="_Toc438206984"/>
      <w:bookmarkStart w:id="140" w:name="_Toc433902900"/>
      <w:bookmarkStart w:id="141" w:name="_Toc463443757"/>
      <w:bookmarkStart w:id="142" w:name="_Toc488065470"/>
      <w:r w:rsidRPr="00924FFB">
        <w:rPr>
          <w:rFonts w:cs="Tahoma"/>
          <w:b/>
          <w:lang w:val="en-US"/>
        </w:rPr>
        <w:t xml:space="preserve">Calculation of number of stocks and free float </w:t>
      </w:r>
      <w:bookmarkEnd w:id="135"/>
      <w:bookmarkEnd w:id="136"/>
      <w:bookmarkEnd w:id="137"/>
      <w:bookmarkEnd w:id="138"/>
      <w:bookmarkEnd w:id="139"/>
      <w:bookmarkEnd w:id="140"/>
      <w:bookmarkEnd w:id="141"/>
      <w:bookmarkEnd w:id="142"/>
    </w:p>
    <w:p w14:paraId="5EC8E2AE" w14:textId="77777777" w:rsidR="00205BB7" w:rsidRPr="00924FFB" w:rsidRDefault="00205BB7" w:rsidP="00205BB7">
      <w:pPr>
        <w:pStyle w:val="af4"/>
        <w:ind w:left="792"/>
        <w:rPr>
          <w:rFonts w:cs="Tahoma"/>
          <w:b/>
          <w:lang w:val="en-US"/>
        </w:rPr>
      </w:pPr>
    </w:p>
    <w:p w14:paraId="7F50187F" w14:textId="2DD45DB1" w:rsidR="00205BB7" w:rsidRPr="00924FFB" w:rsidRDefault="00205BB7" w:rsidP="00F47E0B">
      <w:pPr>
        <w:pStyle w:val="af4"/>
        <w:numPr>
          <w:ilvl w:val="2"/>
          <w:numId w:val="8"/>
        </w:numPr>
        <w:ind w:left="1418" w:hanging="698"/>
        <w:jc w:val="both"/>
        <w:rPr>
          <w:rFonts w:cs="Tahoma"/>
        </w:rPr>
      </w:pPr>
      <w:proofErr w:type="gramStart"/>
      <w:r w:rsidRPr="00924FFB">
        <w:rPr>
          <w:rFonts w:cs="Tahoma"/>
          <w:lang w:val="en-US"/>
        </w:rPr>
        <w:t>For the purpose of</w:t>
      </w:r>
      <w:proofErr w:type="gramEnd"/>
      <w:r w:rsidRPr="00924FFB">
        <w:rPr>
          <w:rFonts w:cs="Tahoma"/>
          <w:lang w:val="en-US"/>
        </w:rPr>
        <w:t xml:space="preserve"> this Methodology, the total number of Stocks (Qi) shall be determined as the total number of the </w:t>
      </w:r>
      <w:proofErr w:type="spellStart"/>
      <w:r w:rsidRPr="00924FFB">
        <w:rPr>
          <w:rFonts w:cs="Tahoma"/>
          <w:lang w:val="en-US"/>
        </w:rPr>
        <w:t>ith</w:t>
      </w:r>
      <w:proofErr w:type="spellEnd"/>
      <w:r w:rsidRPr="00924FFB">
        <w:rPr>
          <w:rFonts w:cs="Tahoma"/>
          <w:lang w:val="en-US"/>
        </w:rPr>
        <w:t xml:space="preserve"> shares of the primary issue minus the redeemed (cancelled) shares, unless otherwise decided. </w:t>
      </w:r>
      <w:proofErr w:type="spellStart"/>
      <w:r w:rsidRPr="00924FFB">
        <w:rPr>
          <w:rFonts w:cs="Tahoma"/>
        </w:rPr>
        <w:t>For</w:t>
      </w:r>
      <w:proofErr w:type="spellEnd"/>
      <w:r w:rsidRPr="00924FFB">
        <w:rPr>
          <w:rFonts w:cs="Tahoma"/>
        </w:rPr>
        <w:t xml:space="preserve"> </w:t>
      </w:r>
      <w:proofErr w:type="spellStart"/>
      <w:r w:rsidRPr="00924FFB">
        <w:rPr>
          <w:rFonts w:cs="Tahoma"/>
        </w:rPr>
        <w:t>depositary</w:t>
      </w:r>
      <w:proofErr w:type="spellEnd"/>
      <w:r w:rsidRPr="00924FFB">
        <w:rPr>
          <w:rFonts w:cs="Tahoma"/>
        </w:rPr>
        <w:t xml:space="preserve"> </w:t>
      </w:r>
      <w:proofErr w:type="spellStart"/>
      <w:r w:rsidRPr="00924FFB">
        <w:rPr>
          <w:rFonts w:cs="Tahoma"/>
        </w:rPr>
        <w:t>receipts</w:t>
      </w:r>
      <w:proofErr w:type="spellEnd"/>
      <w:r w:rsidRPr="00924FFB">
        <w:rPr>
          <w:rFonts w:cs="Tahoma"/>
        </w:rPr>
        <w:t xml:space="preserve"> </w:t>
      </w:r>
      <w:proofErr w:type="spellStart"/>
      <w:r w:rsidRPr="00924FFB">
        <w:rPr>
          <w:rFonts w:cs="Tahoma"/>
        </w:rPr>
        <w:t>representing</w:t>
      </w:r>
      <w:proofErr w:type="spellEnd"/>
      <w:r w:rsidRPr="00924FFB">
        <w:rPr>
          <w:rFonts w:cs="Tahoma"/>
        </w:rPr>
        <w:t xml:space="preserve"> shares, the total number of </w:t>
      </w:r>
      <w:proofErr w:type="spellStart"/>
      <w:r w:rsidRPr="00924FFB">
        <w:rPr>
          <w:rFonts w:cs="Tahoma"/>
        </w:rPr>
        <w:t>i</w:t>
      </w:r>
      <w:r w:rsidRPr="00924FFB">
        <w:rPr>
          <w:rFonts w:cs="Tahoma"/>
          <w:vertAlign w:val="superscript"/>
        </w:rPr>
        <w:t>th</w:t>
      </w:r>
      <w:proofErr w:type="spellEnd"/>
      <w:r w:rsidRPr="00924FFB">
        <w:rPr>
          <w:rFonts w:cs="Tahoma"/>
        </w:rPr>
        <w:t xml:space="preserve"> Stocks represented (Qi) shall be determined as the total number of represented shares divided by the number of represented shares the title to which is certified by one depositary receipt of this issue.</w:t>
      </w:r>
    </w:p>
    <w:p w14:paraId="3EC8AAE9" w14:textId="7E63C4C1" w:rsidR="00205BB7" w:rsidRPr="00924FFB" w:rsidRDefault="00205BB7" w:rsidP="00F47E0B">
      <w:pPr>
        <w:pStyle w:val="af4"/>
        <w:numPr>
          <w:ilvl w:val="2"/>
          <w:numId w:val="8"/>
        </w:numPr>
        <w:ind w:left="1418" w:hanging="698"/>
        <w:jc w:val="both"/>
        <w:rPr>
          <w:rFonts w:cs="Tahoma"/>
        </w:rPr>
      </w:pPr>
      <w:r w:rsidRPr="00924FFB">
        <w:rPr>
          <w:rFonts w:cs="Tahoma"/>
        </w:rPr>
        <w:t xml:space="preserve">The total number of the </w:t>
      </w:r>
      <w:proofErr w:type="spellStart"/>
      <w:r w:rsidRPr="00924FFB">
        <w:rPr>
          <w:rFonts w:cs="Tahoma"/>
        </w:rPr>
        <w:t>i</w:t>
      </w:r>
      <w:r w:rsidRPr="00924FFB">
        <w:rPr>
          <w:rFonts w:cs="Tahoma"/>
          <w:vertAlign w:val="superscript"/>
        </w:rPr>
        <w:t>th</w:t>
      </w:r>
      <w:proofErr w:type="spellEnd"/>
      <w:r w:rsidRPr="00924FFB">
        <w:rPr>
          <w:rFonts w:cs="Tahoma"/>
        </w:rPr>
        <w:t xml:space="preserve"> Stocks (Qi) shall be calculated based on the results of the trading day preceding the day the Index as </w:t>
      </w:r>
      <w:r w:rsidR="00F47E0B" w:rsidRPr="00924FFB">
        <w:rPr>
          <w:rFonts w:cs="Tahoma"/>
        </w:rPr>
        <w:t>reviewed</w:t>
      </w:r>
      <w:r w:rsidRPr="00924FFB">
        <w:rPr>
          <w:rFonts w:cs="Tahoma"/>
        </w:rPr>
        <w:t xml:space="preserve"> is announced.</w:t>
      </w:r>
    </w:p>
    <w:p w14:paraId="1042AF39" w14:textId="1CD2DDE2" w:rsidR="00205BB7" w:rsidRPr="00924FFB" w:rsidRDefault="00205BB7" w:rsidP="00F47E0B">
      <w:pPr>
        <w:pStyle w:val="af4"/>
        <w:numPr>
          <w:ilvl w:val="2"/>
          <w:numId w:val="8"/>
        </w:numPr>
        <w:ind w:left="1418" w:hanging="698"/>
        <w:jc w:val="both"/>
        <w:rPr>
          <w:rFonts w:cs="Tahoma"/>
          <w:lang w:val="en-US"/>
        </w:rPr>
      </w:pPr>
      <w:r w:rsidRPr="00924FFB">
        <w:rPr>
          <w:rFonts w:cs="Tahoma"/>
        </w:rPr>
        <w:t xml:space="preserve">The free float factors are set, </w:t>
      </w:r>
      <w:r w:rsidR="00F47E0B" w:rsidRPr="00924FFB">
        <w:rPr>
          <w:rFonts w:cs="Tahoma"/>
        </w:rPr>
        <w:t>reviewed</w:t>
      </w:r>
      <w:r w:rsidRPr="00924FFB">
        <w:rPr>
          <w:rFonts w:cs="Tahoma"/>
        </w:rPr>
        <w:t xml:space="preserve"> and announced pursuant to the </w:t>
      </w:r>
      <w:proofErr w:type="spellStart"/>
      <w:r w:rsidRPr="00924FFB">
        <w:rPr>
          <w:rFonts w:cs="Tahoma"/>
        </w:rPr>
        <w:t>Free</w:t>
      </w:r>
      <w:proofErr w:type="spellEnd"/>
      <w:r w:rsidRPr="00924FFB">
        <w:rPr>
          <w:rFonts w:cs="Tahoma"/>
        </w:rPr>
        <w:t xml:space="preserve"> </w:t>
      </w:r>
      <w:proofErr w:type="spellStart"/>
      <w:r w:rsidRPr="00924FFB">
        <w:rPr>
          <w:rFonts w:cs="Tahoma"/>
        </w:rPr>
        <w:t>Float</w:t>
      </w:r>
      <w:proofErr w:type="spellEnd"/>
      <w:r w:rsidRPr="00924FFB">
        <w:rPr>
          <w:rFonts w:cs="Tahoma"/>
        </w:rPr>
        <w:t xml:space="preserve"> </w:t>
      </w:r>
      <w:proofErr w:type="spellStart"/>
      <w:r w:rsidRPr="00924FFB">
        <w:rPr>
          <w:rFonts w:cs="Tahoma"/>
        </w:rPr>
        <w:t>Calculation</w:t>
      </w:r>
      <w:proofErr w:type="spellEnd"/>
      <w:r w:rsidRPr="00924FFB">
        <w:rPr>
          <w:rFonts w:cs="Tahoma"/>
        </w:rPr>
        <w:t xml:space="preserve"> </w:t>
      </w:r>
      <w:proofErr w:type="spellStart"/>
      <w:r w:rsidR="00F47E0B" w:rsidRPr="00924FFB">
        <w:rPr>
          <w:rFonts w:cs="Tahoma"/>
        </w:rPr>
        <w:t>Methodology</w:t>
      </w:r>
      <w:proofErr w:type="spellEnd"/>
      <w:r w:rsidR="00F47E0B" w:rsidRPr="00924FFB">
        <w:rPr>
          <w:rFonts w:cs="Tahoma"/>
        </w:rPr>
        <w:t xml:space="preserve"> </w:t>
      </w:r>
      <w:proofErr w:type="spellStart"/>
      <w:r w:rsidR="00F47E0B" w:rsidRPr="00924FFB">
        <w:rPr>
          <w:rFonts w:cs="Tahoma"/>
        </w:rPr>
        <w:t>approved</w:t>
      </w:r>
      <w:proofErr w:type="spellEnd"/>
      <w:r w:rsidRPr="00924FFB">
        <w:rPr>
          <w:rFonts w:cs="Tahoma"/>
          <w:lang w:val="en-US"/>
        </w:rPr>
        <w:t xml:space="preserve"> by the Exchange.</w:t>
      </w:r>
    </w:p>
    <w:p w14:paraId="6B9EFE21" w14:textId="77777777" w:rsidR="008E6BCA" w:rsidRPr="00924FFB" w:rsidRDefault="008E6BCA" w:rsidP="00CF6D8D">
      <w:pPr>
        <w:pStyle w:val="30"/>
        <w:numPr>
          <w:ilvl w:val="0"/>
          <w:numId w:val="0"/>
        </w:numPr>
        <w:rPr>
          <w:rFonts w:cs="Tahoma"/>
          <w:lang w:val="en-US"/>
        </w:rPr>
      </w:pPr>
    </w:p>
    <w:p w14:paraId="1B28D971" w14:textId="39800286" w:rsidR="00F47E0B" w:rsidRPr="00924FFB" w:rsidRDefault="00F47E0B" w:rsidP="00E7783E">
      <w:pPr>
        <w:pStyle w:val="af4"/>
        <w:numPr>
          <w:ilvl w:val="1"/>
          <w:numId w:val="8"/>
        </w:numPr>
        <w:rPr>
          <w:rFonts w:cs="Tahoma"/>
          <w:b/>
        </w:rPr>
      </w:pPr>
      <w:r w:rsidRPr="00924FFB">
        <w:rPr>
          <w:rFonts w:cs="Tahoma"/>
          <w:b/>
          <w:lang w:val="en-US"/>
        </w:rPr>
        <w:t>Calculation of Weights</w:t>
      </w:r>
    </w:p>
    <w:p w14:paraId="7EEDA4EB" w14:textId="77777777" w:rsidR="00F47E0B" w:rsidRPr="00924FFB" w:rsidRDefault="00F47E0B" w:rsidP="00F47E0B">
      <w:pPr>
        <w:pStyle w:val="af4"/>
        <w:ind w:left="792"/>
        <w:rPr>
          <w:rFonts w:cs="Tahoma"/>
          <w:b/>
        </w:rPr>
      </w:pPr>
    </w:p>
    <w:p w14:paraId="6D32291D" w14:textId="73819362" w:rsidR="00CF6D8D" w:rsidRPr="00924FFB" w:rsidRDefault="00F47E0B" w:rsidP="00E7783E">
      <w:pPr>
        <w:pStyle w:val="af4"/>
        <w:numPr>
          <w:ilvl w:val="2"/>
          <w:numId w:val="8"/>
        </w:numPr>
        <w:ind w:left="1418" w:hanging="698"/>
        <w:jc w:val="both"/>
        <w:rPr>
          <w:rFonts w:cs="Tahoma"/>
          <w:lang w:val="en-US"/>
        </w:rPr>
      </w:pPr>
      <w:r w:rsidRPr="00924FFB">
        <w:rPr>
          <w:rFonts w:cs="Tahoma"/>
          <w:lang w:val="en-US"/>
        </w:rPr>
        <w:t xml:space="preserve">The weight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in the Equity Price Sub-Index is calculated as follows:</w:t>
      </w:r>
    </w:p>
    <w:p w14:paraId="386035F2" w14:textId="77777777" w:rsidR="00CF6D8D" w:rsidRPr="00924FFB" w:rsidRDefault="00CF6D8D" w:rsidP="00CF6D8D">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5E025ADB" w14:textId="0D9ACAF7" w:rsidR="00CF6D8D" w:rsidRPr="00924FFB" w:rsidRDefault="00F47E0B" w:rsidP="00CF6D8D">
      <w:pPr>
        <w:pStyle w:val="af9"/>
        <w:rPr>
          <w:rFonts w:cs="Tahoma"/>
          <w:lang w:val="en-US"/>
        </w:rPr>
      </w:pPr>
      <w:r w:rsidRPr="00924FFB">
        <w:rPr>
          <w:rFonts w:cs="Tahoma"/>
          <w:lang w:val="en-US"/>
        </w:rPr>
        <w:t>where</w:t>
      </w:r>
      <w:r w:rsidR="00CF6D8D" w:rsidRPr="00924FFB">
        <w:rPr>
          <w:rFonts w:cs="Tahoma"/>
          <w:lang w:val="en-US"/>
        </w:rPr>
        <w:t>:</w:t>
      </w:r>
    </w:p>
    <w:p w14:paraId="1B646A83" w14:textId="0A1771F4" w:rsidR="00CF6D8D" w:rsidRPr="00924FFB" w:rsidRDefault="00CF6D8D" w:rsidP="00CF6D8D">
      <w:pPr>
        <w:pStyle w:val="af9"/>
        <w:rPr>
          <w:rFonts w:cs="Tahoma"/>
          <w:lang w:val="en-US"/>
        </w:rPr>
      </w:pPr>
      <w:proofErr w:type="spellStart"/>
      <w:r w:rsidRPr="00924FFB">
        <w:rPr>
          <w:rFonts w:cs="Tahoma"/>
          <w:lang w:val="en-US"/>
        </w:rPr>
        <w:t>Wght</w:t>
      </w:r>
      <w:r w:rsidRPr="00924FFB">
        <w:rPr>
          <w:rFonts w:cs="Tahoma"/>
          <w:vertAlign w:val="subscript"/>
          <w:lang w:val="en-US"/>
        </w:rPr>
        <w:t>i</w:t>
      </w:r>
      <w:proofErr w:type="spellEnd"/>
      <w:r w:rsidRPr="00924FFB">
        <w:rPr>
          <w:rFonts w:cs="Tahoma"/>
          <w:lang w:val="en-US"/>
        </w:rPr>
        <w:t xml:space="preserve"> – </w:t>
      </w:r>
      <w:r w:rsidR="00F47E0B" w:rsidRPr="00924FFB">
        <w:rPr>
          <w:rFonts w:cs="Tahoma"/>
          <w:lang w:val="en-US"/>
        </w:rPr>
        <w:t xml:space="preserve">the Weight of the </w:t>
      </w:r>
      <w:proofErr w:type="spellStart"/>
      <w:r w:rsidR="00F47E0B" w:rsidRPr="00924FFB">
        <w:rPr>
          <w:rFonts w:cs="Tahoma"/>
          <w:lang w:val="en-US"/>
        </w:rPr>
        <w:t>i</w:t>
      </w:r>
      <w:r w:rsidR="00F47E0B" w:rsidRPr="00924FFB">
        <w:rPr>
          <w:rFonts w:cs="Tahoma"/>
          <w:vertAlign w:val="superscript"/>
          <w:lang w:val="en-US"/>
        </w:rPr>
        <w:t>th</w:t>
      </w:r>
      <w:proofErr w:type="spellEnd"/>
      <w:r w:rsidR="00F47E0B" w:rsidRPr="00924FFB">
        <w:rPr>
          <w:rFonts w:cs="Tahoma"/>
          <w:lang w:val="en-US"/>
        </w:rPr>
        <w:t xml:space="preserve"> </w:t>
      </w:r>
      <w:proofErr w:type="gramStart"/>
      <w:r w:rsidR="00F47E0B" w:rsidRPr="00924FFB">
        <w:rPr>
          <w:rFonts w:cs="Tahoma"/>
          <w:lang w:val="en-US"/>
        </w:rPr>
        <w:t>Stock</w:t>
      </w:r>
      <w:r w:rsidRPr="00924FFB">
        <w:rPr>
          <w:rFonts w:cs="Tahoma"/>
          <w:lang w:val="en-US"/>
        </w:rPr>
        <w:t>;</w:t>
      </w:r>
      <w:proofErr w:type="gramEnd"/>
    </w:p>
    <w:p w14:paraId="7656ED17" w14:textId="290E3B6F" w:rsidR="00CF6D8D" w:rsidRPr="00924FFB" w:rsidRDefault="00CF6D8D" w:rsidP="00CF6D8D">
      <w:pPr>
        <w:pStyle w:val="af9"/>
        <w:rPr>
          <w:rFonts w:cs="Tahoma"/>
          <w:lang w:val="en-US"/>
        </w:rPr>
      </w:pPr>
      <w:proofErr w:type="spellStart"/>
      <w:r w:rsidRPr="00924FFB">
        <w:rPr>
          <w:rFonts w:cs="Tahoma"/>
          <w:lang w:val="en-US"/>
        </w:rPr>
        <w:t>MC</w:t>
      </w:r>
      <w:r w:rsidRPr="00924FFB">
        <w:rPr>
          <w:rFonts w:cs="Tahoma"/>
          <w:vertAlign w:val="subscript"/>
          <w:lang w:val="en-US"/>
        </w:rPr>
        <w:t>i</w:t>
      </w:r>
      <w:proofErr w:type="spellEnd"/>
      <w:r w:rsidRPr="00924FFB">
        <w:rPr>
          <w:rFonts w:cs="Tahoma"/>
          <w:lang w:val="en-US"/>
        </w:rPr>
        <w:t xml:space="preserve"> – </w:t>
      </w:r>
      <w:r w:rsidR="00F47E0B" w:rsidRPr="00924FFB">
        <w:rPr>
          <w:rFonts w:cs="Tahoma"/>
          <w:lang w:val="en-US"/>
        </w:rPr>
        <w:t xml:space="preserve">the cap of the </w:t>
      </w:r>
      <w:proofErr w:type="spellStart"/>
      <w:r w:rsidR="00F47E0B" w:rsidRPr="00924FFB">
        <w:rPr>
          <w:rFonts w:cs="Tahoma"/>
          <w:lang w:val="en-US"/>
        </w:rPr>
        <w:t>i</w:t>
      </w:r>
      <w:r w:rsidR="00F47E0B" w:rsidRPr="00924FFB">
        <w:rPr>
          <w:rFonts w:cs="Tahoma"/>
          <w:vertAlign w:val="superscript"/>
          <w:lang w:val="en-US"/>
        </w:rPr>
        <w:t>th</w:t>
      </w:r>
      <w:proofErr w:type="spellEnd"/>
      <w:r w:rsidR="00F47E0B" w:rsidRPr="00924FFB">
        <w:rPr>
          <w:rFonts w:cs="Tahoma"/>
          <w:lang w:val="en-US"/>
        </w:rPr>
        <w:t xml:space="preserve"> </w:t>
      </w:r>
      <w:proofErr w:type="gramStart"/>
      <w:r w:rsidR="00F47E0B" w:rsidRPr="00924FFB">
        <w:rPr>
          <w:rFonts w:cs="Tahoma"/>
          <w:lang w:val="en-US"/>
        </w:rPr>
        <w:t>Stock</w:t>
      </w:r>
      <w:r w:rsidRPr="00924FFB">
        <w:rPr>
          <w:rFonts w:cs="Tahoma"/>
          <w:lang w:val="en-US"/>
        </w:rPr>
        <w:t>;</w:t>
      </w:r>
      <w:proofErr w:type="gramEnd"/>
    </w:p>
    <w:p w14:paraId="7FD292D2" w14:textId="74E92924" w:rsidR="00CF6D8D" w:rsidRPr="00924FFB" w:rsidRDefault="00CF6D8D" w:rsidP="00CF6D8D">
      <w:pPr>
        <w:pStyle w:val="af9"/>
        <w:rPr>
          <w:rFonts w:cs="Tahoma"/>
          <w:lang w:val="en-US"/>
        </w:rPr>
      </w:pPr>
      <w:r w:rsidRPr="00924FFB">
        <w:rPr>
          <w:rFonts w:cs="Tahoma"/>
          <w:lang w:val="en-US"/>
        </w:rPr>
        <w:t xml:space="preserve">N – </w:t>
      </w:r>
      <w:r w:rsidR="00F47E0B" w:rsidRPr="00924FFB">
        <w:rPr>
          <w:rFonts w:cs="Tahoma"/>
          <w:lang w:val="en-US"/>
        </w:rPr>
        <w:t>the total number of Stocks.</w:t>
      </w:r>
    </w:p>
    <w:p w14:paraId="0ECF31BC" w14:textId="77777777" w:rsidR="00F47E0B" w:rsidRPr="00924FFB" w:rsidRDefault="00F47E0B" w:rsidP="000D2F85">
      <w:pPr>
        <w:pStyle w:val="af4"/>
        <w:numPr>
          <w:ilvl w:val="2"/>
          <w:numId w:val="8"/>
        </w:numPr>
        <w:ind w:left="1418" w:hanging="698"/>
        <w:jc w:val="both"/>
        <w:rPr>
          <w:rFonts w:cs="Tahoma"/>
          <w:lang w:val="en-US"/>
        </w:rPr>
      </w:pPr>
      <w:r w:rsidRPr="00924FFB">
        <w:rPr>
          <w:rFonts w:cs="Tahoma"/>
          <w:lang w:val="en-US"/>
        </w:rPr>
        <w:lastRenderedPageBreak/>
        <w:t>The Weight of the Stocks of an Issuer is calculated as the sum of the Weights of the Stocks of all categories of this Issuer.</w:t>
      </w:r>
    </w:p>
    <w:p w14:paraId="78E60DC1" w14:textId="47705C0B" w:rsidR="00F47E0B" w:rsidRPr="00924FFB" w:rsidRDefault="00F47E0B" w:rsidP="000D2F85">
      <w:pPr>
        <w:pStyle w:val="af4"/>
        <w:numPr>
          <w:ilvl w:val="2"/>
          <w:numId w:val="8"/>
        </w:numPr>
        <w:ind w:left="1418" w:hanging="698"/>
        <w:jc w:val="both"/>
        <w:rPr>
          <w:rFonts w:cs="Tahoma"/>
          <w:lang w:val="en-US"/>
        </w:rPr>
      </w:pPr>
      <w:r w:rsidRPr="00924FFB">
        <w:rPr>
          <w:rFonts w:cs="Tahoma"/>
          <w:lang w:val="en-US"/>
        </w:rPr>
        <w:t>In order to reduce the impact of the Stocks of certain Issuer on the value of the Equity Price Sub-Index and the Total Return equity Sub-Index, the weighting coefficient Wi is used, which is calculated so that the Weight of the Stocks of each Issuer does not exceed 10% (S=10%) as of the Index Review Date.</w:t>
      </w:r>
    </w:p>
    <w:p w14:paraId="03734D41" w14:textId="689F4EB6" w:rsidR="000D2F85" w:rsidRPr="00924FFB" w:rsidRDefault="000D2F85" w:rsidP="00E7783E">
      <w:pPr>
        <w:pStyle w:val="af4"/>
        <w:numPr>
          <w:ilvl w:val="2"/>
          <w:numId w:val="8"/>
        </w:numPr>
        <w:ind w:left="1418" w:hanging="698"/>
        <w:jc w:val="both"/>
        <w:rPr>
          <w:rFonts w:cs="Tahoma"/>
          <w:lang w:val="en-US"/>
        </w:rPr>
      </w:pPr>
      <w:proofErr w:type="gramStart"/>
      <w:r w:rsidRPr="00924FFB">
        <w:rPr>
          <w:rFonts w:cs="Tahoma"/>
          <w:lang w:val="en-US"/>
        </w:rPr>
        <w:t>In order to</w:t>
      </w:r>
      <w:proofErr w:type="gramEnd"/>
      <w:r w:rsidRPr="00924FFB">
        <w:rPr>
          <w:rFonts w:cs="Tahoma"/>
          <w:lang w:val="en-US"/>
        </w:rPr>
        <w:t xml:space="preserve"> comply with</w:t>
      </w:r>
      <w:r w:rsidRPr="00924FFB">
        <w:rPr>
          <w:rFonts w:cs="Tahoma"/>
          <w:lang w:val="en-US"/>
        </w:rPr>
        <w:t xml:space="preserve"> </w:t>
      </w:r>
      <w:r w:rsidRPr="00924FFB">
        <w:rPr>
          <w:rFonts w:cs="Tahoma"/>
          <w:lang w:val="en-US"/>
        </w:rPr>
        <w:t xml:space="preserve">clause 1.6.3 of </w:t>
      </w:r>
      <w:r w:rsidRPr="00924FFB">
        <w:rPr>
          <w:rFonts w:cs="Tahoma"/>
          <w:lang w:val="en-US"/>
        </w:rPr>
        <w:t>Appendix</w:t>
      </w:r>
      <w:r w:rsidRPr="00924FFB">
        <w:rPr>
          <w:rFonts w:cs="Tahoma"/>
          <w:lang w:val="en-US"/>
        </w:rPr>
        <w:t xml:space="preserve"> 3 </w:t>
      </w:r>
      <w:r w:rsidRPr="00924FFB">
        <w:rPr>
          <w:rFonts w:cs="Tahoma"/>
          <w:lang w:val="en-US"/>
        </w:rPr>
        <w:t>to</w:t>
      </w:r>
      <w:r w:rsidRPr="00924FFB">
        <w:rPr>
          <w:rFonts w:cs="Tahoma"/>
          <w:lang w:val="en-US"/>
        </w:rPr>
        <w:t xml:space="preserve"> </w:t>
      </w:r>
      <w:r w:rsidRPr="00924FFB">
        <w:rPr>
          <w:rFonts w:cs="Tahoma"/>
          <w:lang w:val="en-US"/>
        </w:rPr>
        <w:t>the</w:t>
      </w:r>
      <w:r w:rsidRPr="00924FFB">
        <w:rPr>
          <w:rFonts w:cs="Tahoma"/>
          <w:lang w:val="en-US"/>
        </w:rPr>
        <w:t xml:space="preserve"> Methodology, </w:t>
      </w:r>
      <w:r w:rsidRPr="00924FFB">
        <w:rPr>
          <w:rFonts w:cs="Tahoma"/>
          <w:lang w:val="en-US"/>
        </w:rPr>
        <w:t>the Weights are adjusted as follows</w:t>
      </w:r>
      <w:r w:rsidRPr="00924FFB">
        <w:rPr>
          <w:rFonts w:cs="Tahoma"/>
          <w:lang w:val="en-US"/>
        </w:rPr>
        <w:t>:</w:t>
      </w:r>
    </w:p>
    <w:p w14:paraId="77CB5135" w14:textId="262BDD76" w:rsidR="00B11759" w:rsidRPr="00924FFB" w:rsidRDefault="00B11759" w:rsidP="00E7783E">
      <w:pPr>
        <w:pStyle w:val="af4"/>
        <w:numPr>
          <w:ilvl w:val="4"/>
          <w:numId w:val="11"/>
        </w:numPr>
        <w:ind w:left="1843" w:hanging="403"/>
        <w:jc w:val="both"/>
        <w:rPr>
          <w:rFonts w:cs="Tahoma"/>
          <w:lang w:val="en-US"/>
        </w:rPr>
      </w:pPr>
      <w:r w:rsidRPr="00924FFB">
        <w:rPr>
          <w:rFonts w:cs="Tahoma"/>
          <w:lang w:val="en-US"/>
        </w:rPr>
        <w:t>If the Issuer's Weight in the Equity Sub-Index exceeds the value set forth in clause 1.6.3 of Appendix 3 to the Methodology, the Issuer's Weight is set equal to this value.</w:t>
      </w:r>
    </w:p>
    <w:p w14:paraId="19CF55F0" w14:textId="77777777" w:rsidR="00B11759" w:rsidRPr="00924FFB" w:rsidRDefault="00B11759" w:rsidP="00B11759">
      <w:pPr>
        <w:pStyle w:val="af4"/>
        <w:numPr>
          <w:ilvl w:val="4"/>
          <w:numId w:val="11"/>
        </w:numPr>
        <w:ind w:left="1843" w:hanging="403"/>
        <w:jc w:val="both"/>
        <w:rPr>
          <w:rFonts w:cs="Tahoma"/>
          <w:lang w:val="en-US"/>
        </w:rPr>
      </w:pPr>
      <w:r w:rsidRPr="00924FFB">
        <w:rPr>
          <w:rFonts w:cs="Tahoma"/>
          <w:lang w:val="en-US"/>
        </w:rPr>
        <w:t>The difference between the Weights before and after the adjustment is proportionally distributed among the Issuers whose Weights have not been restricted.</w:t>
      </w:r>
    </w:p>
    <w:p w14:paraId="502796C1" w14:textId="2863E909" w:rsidR="00B11759" w:rsidRPr="00924FFB" w:rsidRDefault="00B11759" w:rsidP="00E7783E">
      <w:pPr>
        <w:pStyle w:val="af4"/>
        <w:numPr>
          <w:ilvl w:val="4"/>
          <w:numId w:val="11"/>
        </w:numPr>
        <w:ind w:left="1843" w:hanging="403"/>
        <w:jc w:val="both"/>
        <w:rPr>
          <w:rFonts w:cs="Tahoma"/>
          <w:lang w:val="en-US"/>
        </w:rPr>
      </w:pPr>
      <w:r w:rsidRPr="00924FFB">
        <w:rPr>
          <w:rFonts w:cs="Tahoma"/>
          <w:lang w:val="en-US"/>
        </w:rPr>
        <w:t>The above actions are repeated iteratively until Issuers</w:t>
      </w:r>
      <w:r w:rsidRPr="00924FFB">
        <w:rPr>
          <w:rFonts w:cs="Tahoma"/>
          <w:lang w:val="en-US"/>
        </w:rPr>
        <w:t xml:space="preserve"> are available</w:t>
      </w:r>
      <w:r w:rsidRPr="00924FFB">
        <w:rPr>
          <w:rFonts w:cs="Tahoma"/>
          <w:lang w:val="en-US"/>
        </w:rPr>
        <w:t xml:space="preserve"> whose Weight exceed</w:t>
      </w:r>
      <w:r w:rsidRPr="00924FFB">
        <w:rPr>
          <w:rFonts w:cs="Tahoma"/>
          <w:lang w:val="en-US"/>
        </w:rPr>
        <w:t>s</w:t>
      </w:r>
      <w:r w:rsidRPr="00924FFB">
        <w:rPr>
          <w:rFonts w:cs="Tahoma"/>
          <w:lang w:val="en-US"/>
        </w:rPr>
        <w:t xml:space="preserve"> the value set out in clause 1.6.3 of </w:t>
      </w:r>
      <w:r w:rsidRPr="00924FFB">
        <w:rPr>
          <w:rFonts w:cs="Tahoma"/>
          <w:lang w:val="en-US"/>
        </w:rPr>
        <w:t xml:space="preserve">this </w:t>
      </w:r>
      <w:r w:rsidRPr="00924FFB">
        <w:rPr>
          <w:rFonts w:cs="Tahoma"/>
          <w:lang w:val="en-US"/>
        </w:rPr>
        <w:t>Appendix 3.</w:t>
      </w:r>
    </w:p>
    <w:p w14:paraId="20730C8A" w14:textId="77777777" w:rsidR="00B11759" w:rsidRPr="00924FFB" w:rsidRDefault="00B11759" w:rsidP="00B11759">
      <w:pPr>
        <w:pStyle w:val="af4"/>
        <w:numPr>
          <w:ilvl w:val="2"/>
          <w:numId w:val="8"/>
        </w:numPr>
        <w:ind w:left="1418" w:hanging="698"/>
        <w:jc w:val="both"/>
        <w:rPr>
          <w:rFonts w:cs="Tahoma"/>
          <w:szCs w:val="20"/>
          <w:lang w:val="en-US"/>
        </w:rPr>
      </w:pPr>
      <w:r w:rsidRPr="00924FFB">
        <w:rPr>
          <w:rFonts w:cs="Tahoma"/>
          <w:lang w:val="en-US"/>
        </w:rPr>
        <w:t>Weights</w:t>
      </w:r>
      <w:r w:rsidRPr="00924FFB">
        <w:rPr>
          <w:rFonts w:cs="Tahoma"/>
          <w:szCs w:val="20"/>
          <w:lang w:val="en-US"/>
        </w:rPr>
        <w:t xml:space="preserve"> Wi can range from 0 to 1 accurate to seven decimal places according to the mathematical rounding rule.</w:t>
      </w:r>
    </w:p>
    <w:p w14:paraId="07D6FC71" w14:textId="77777777" w:rsidR="00CF6D8D" w:rsidRPr="00924FFB" w:rsidRDefault="00CF6D8D" w:rsidP="00CF6D8D">
      <w:pPr>
        <w:pStyle w:val="a4"/>
        <w:spacing w:after="0"/>
        <w:jc w:val="both"/>
        <w:rPr>
          <w:rFonts w:cs="Tahoma"/>
          <w:lang w:val="en-US"/>
        </w:rPr>
      </w:pPr>
    </w:p>
    <w:p w14:paraId="5D9F23A9" w14:textId="11DDAA1F" w:rsidR="00CF6D8D" w:rsidRPr="00924FFB" w:rsidRDefault="00B11759" w:rsidP="00E7783E">
      <w:pPr>
        <w:pStyle w:val="af4"/>
        <w:numPr>
          <w:ilvl w:val="1"/>
          <w:numId w:val="8"/>
        </w:numPr>
        <w:rPr>
          <w:rFonts w:cs="Tahoma"/>
          <w:b/>
        </w:rPr>
      </w:pPr>
      <w:bookmarkStart w:id="143" w:name="_Ref482878774"/>
      <w:bookmarkStart w:id="144" w:name="_Toc488065473"/>
      <w:r w:rsidRPr="00924FFB">
        <w:rPr>
          <w:rFonts w:cs="Tahoma"/>
          <w:b/>
          <w:lang w:val="en-US"/>
        </w:rPr>
        <w:t xml:space="preserve">Calculation of Divisor </w:t>
      </w:r>
      <w:bookmarkEnd w:id="143"/>
      <w:bookmarkEnd w:id="144"/>
      <w:r w:rsidR="00CF6D8D" w:rsidRPr="00924FFB">
        <w:rPr>
          <w:rFonts w:cs="Tahoma"/>
          <w:b/>
        </w:rPr>
        <w:t xml:space="preserve"> </w:t>
      </w:r>
    </w:p>
    <w:p w14:paraId="52DA1976" w14:textId="33464CA2" w:rsidR="00B11759" w:rsidRPr="00924FFB" w:rsidRDefault="00B11759" w:rsidP="00B11759">
      <w:pPr>
        <w:pStyle w:val="af4"/>
        <w:numPr>
          <w:ilvl w:val="2"/>
          <w:numId w:val="8"/>
        </w:numPr>
        <w:ind w:left="1418" w:hanging="698"/>
        <w:jc w:val="both"/>
        <w:rPr>
          <w:rFonts w:cs="Tahoma"/>
          <w:lang w:val="en-US"/>
        </w:rPr>
      </w:pPr>
      <w:r w:rsidRPr="00924FFB">
        <w:rPr>
          <w:rFonts w:cs="Tahoma"/>
          <w:lang w:val="en-US"/>
        </w:rPr>
        <w:t xml:space="preserve">Divisor </w:t>
      </w:r>
      <w:proofErr w:type="spellStart"/>
      <w:r w:rsidRPr="00924FFB">
        <w:rPr>
          <w:rFonts w:cs="Tahoma"/>
          <w:lang w:val="en-US"/>
        </w:rPr>
        <w:t>D</w:t>
      </w:r>
      <w:r w:rsidRPr="00924FFB">
        <w:rPr>
          <w:rFonts w:cs="Tahoma"/>
          <w:vertAlign w:val="subscript"/>
          <w:lang w:val="en-US"/>
        </w:rPr>
        <w:t>n</w:t>
      </w:r>
      <w:proofErr w:type="spellEnd"/>
      <w:r w:rsidRPr="00924FFB">
        <w:rPr>
          <w:rFonts w:cs="Tahoma"/>
          <w:lang w:val="en-US"/>
        </w:rPr>
        <w:t xml:space="preserve"> is calculated in case of changes in the </w:t>
      </w:r>
      <w:r w:rsidRPr="00924FFB">
        <w:rPr>
          <w:rFonts w:cs="Tahoma"/>
          <w:lang w:val="en-US"/>
        </w:rPr>
        <w:t>Constituents</w:t>
      </w:r>
      <w:r w:rsidRPr="00924FFB">
        <w:rPr>
          <w:rFonts w:cs="Tahoma"/>
          <w:lang w:val="en-US"/>
        </w:rPr>
        <w:t>, Free-Float Coefficients, Weighting Factors Wi and/or upon occurrence of corporate events as stipulated in the Methodology.</w:t>
      </w:r>
    </w:p>
    <w:p w14:paraId="7D027170" w14:textId="56CDE13A" w:rsidR="00B11759" w:rsidRPr="00924FFB" w:rsidRDefault="00B11759" w:rsidP="00B11759">
      <w:pPr>
        <w:pStyle w:val="af4"/>
        <w:numPr>
          <w:ilvl w:val="2"/>
          <w:numId w:val="8"/>
        </w:numPr>
        <w:ind w:left="1418" w:hanging="698"/>
        <w:jc w:val="both"/>
        <w:rPr>
          <w:rFonts w:cs="Tahoma"/>
          <w:lang w:val="en-US"/>
        </w:rPr>
      </w:pPr>
      <w:r w:rsidRPr="00924FFB">
        <w:rPr>
          <w:rFonts w:cs="Tahoma"/>
          <w:lang w:val="en-US"/>
        </w:rPr>
        <w:t xml:space="preserve">Divisor </w:t>
      </w:r>
      <w:proofErr w:type="spellStart"/>
      <w:r w:rsidRPr="00924FFB">
        <w:rPr>
          <w:rFonts w:cs="Tahoma"/>
          <w:lang w:val="en-US"/>
        </w:rPr>
        <w:t>D</w:t>
      </w:r>
      <w:r w:rsidRPr="00924FFB">
        <w:rPr>
          <w:rFonts w:cs="Tahoma"/>
          <w:vertAlign w:val="subscript"/>
          <w:lang w:val="en-US"/>
        </w:rPr>
        <w:t>n</w:t>
      </w:r>
      <w:proofErr w:type="spellEnd"/>
      <w:r w:rsidRPr="00924FFB">
        <w:rPr>
          <w:rFonts w:cs="Tahoma"/>
          <w:lang w:val="en-US"/>
        </w:rPr>
        <w:t xml:space="preserve"> is calculated according to the following formula:</w:t>
      </w:r>
    </w:p>
    <w:p w14:paraId="55AE2ED6" w14:textId="77777777" w:rsidR="00CF6D8D" w:rsidRPr="00924FFB" w:rsidRDefault="00C83308" w:rsidP="00CF6D8D">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16479F69" w14:textId="2FC82339" w:rsidR="00CF6D8D" w:rsidRPr="00924FFB" w:rsidRDefault="00555078" w:rsidP="00CF6D8D">
      <w:pPr>
        <w:pStyle w:val="af9"/>
        <w:rPr>
          <w:rFonts w:cs="Tahoma"/>
          <w:lang w:val="en-US"/>
        </w:rPr>
      </w:pPr>
      <w:r w:rsidRPr="00924FFB">
        <w:rPr>
          <w:rFonts w:cs="Tahoma"/>
          <w:lang w:val="en-US"/>
        </w:rPr>
        <w:t>where</w:t>
      </w:r>
      <w:r w:rsidR="00CF6D8D" w:rsidRPr="00924FFB">
        <w:rPr>
          <w:rFonts w:cs="Tahoma"/>
          <w:lang w:val="en-US"/>
        </w:rPr>
        <w:t>:</w:t>
      </w:r>
    </w:p>
    <w:p w14:paraId="54BB468D" w14:textId="1FFCC52E" w:rsidR="00CF6D8D" w:rsidRPr="00924FFB" w:rsidRDefault="00CF6D8D" w:rsidP="00CF6D8D">
      <w:pPr>
        <w:pStyle w:val="af9"/>
        <w:rPr>
          <w:rFonts w:cs="Tahoma"/>
          <w:lang w:val="en-US"/>
        </w:rPr>
      </w:pPr>
      <w:r w:rsidRPr="00924FFB">
        <w:rPr>
          <w:rFonts w:cs="Tahoma"/>
          <w:lang w:val="en-US"/>
        </w:rPr>
        <w:t>D</w:t>
      </w:r>
      <w:r w:rsidRPr="00924FFB">
        <w:rPr>
          <w:rFonts w:cs="Tahoma"/>
          <w:vertAlign w:val="subscript"/>
          <w:lang w:val="en-US"/>
        </w:rPr>
        <w:t>n+1</w:t>
      </w:r>
      <w:r w:rsidRPr="00924FFB">
        <w:rPr>
          <w:rFonts w:cs="Tahoma"/>
          <w:lang w:val="en-US"/>
        </w:rPr>
        <w:t xml:space="preserve"> – </w:t>
      </w:r>
      <w:r w:rsidR="00555078" w:rsidRPr="00924FFB">
        <w:rPr>
          <w:rFonts w:cs="Tahoma"/>
          <w:lang w:val="en-US"/>
        </w:rPr>
        <w:t>new value of Divisor</w:t>
      </w:r>
      <w:r w:rsidRPr="00924FFB">
        <w:rPr>
          <w:rFonts w:cs="Tahoma"/>
          <w:lang w:val="en-US"/>
        </w:rPr>
        <w:t xml:space="preserve"> </w:t>
      </w:r>
      <w:proofErr w:type="gramStart"/>
      <w:r w:rsidRPr="00924FFB">
        <w:rPr>
          <w:rFonts w:cs="Tahoma"/>
          <w:lang w:val="en-US"/>
        </w:rPr>
        <w:t>D;</w:t>
      </w:r>
      <w:proofErr w:type="gramEnd"/>
    </w:p>
    <w:p w14:paraId="2F8E6D09" w14:textId="105B13B7" w:rsidR="00CF6D8D" w:rsidRPr="00924FFB" w:rsidRDefault="00CF6D8D" w:rsidP="00CF6D8D">
      <w:pPr>
        <w:pStyle w:val="af9"/>
        <w:rPr>
          <w:rFonts w:cs="Tahoma"/>
          <w:lang w:val="en-US"/>
        </w:rPr>
      </w:pPr>
      <w:proofErr w:type="spellStart"/>
      <w:r w:rsidRPr="00924FFB">
        <w:rPr>
          <w:rFonts w:cs="Tahoma"/>
          <w:lang w:val="en-US"/>
        </w:rPr>
        <w:t>D</w:t>
      </w:r>
      <w:r w:rsidRPr="00924FFB">
        <w:rPr>
          <w:rFonts w:cs="Tahoma"/>
          <w:vertAlign w:val="subscript"/>
          <w:lang w:val="en-US"/>
        </w:rPr>
        <w:t>n</w:t>
      </w:r>
      <w:proofErr w:type="spellEnd"/>
      <w:r w:rsidRPr="00924FFB">
        <w:rPr>
          <w:rFonts w:cs="Tahoma"/>
          <w:lang w:val="en-US"/>
        </w:rPr>
        <w:t xml:space="preserve"> – </w:t>
      </w:r>
      <w:r w:rsidR="00555078" w:rsidRPr="00924FFB">
        <w:rPr>
          <w:rFonts w:cs="Tahoma"/>
          <w:lang w:val="en-US"/>
        </w:rPr>
        <w:t xml:space="preserve">current value of Divisor </w:t>
      </w:r>
      <w:proofErr w:type="gramStart"/>
      <w:r w:rsidRPr="00924FFB">
        <w:rPr>
          <w:rFonts w:cs="Tahoma"/>
          <w:lang w:val="en-US"/>
        </w:rPr>
        <w:t>D;</w:t>
      </w:r>
      <w:proofErr w:type="gramEnd"/>
    </w:p>
    <w:p w14:paraId="430ABF1A" w14:textId="6169579A" w:rsidR="00555078" w:rsidRPr="00924FFB" w:rsidRDefault="00CF6D8D" w:rsidP="00CF6D8D">
      <w:pPr>
        <w:pStyle w:val="af9"/>
        <w:rPr>
          <w:rFonts w:cs="Tahoma"/>
          <w:lang w:val="en-US"/>
        </w:rPr>
      </w:pPr>
      <w:proofErr w:type="spellStart"/>
      <w:r w:rsidRPr="00924FFB">
        <w:rPr>
          <w:rFonts w:cs="Tahoma"/>
          <w:lang w:val="en-US"/>
        </w:rPr>
        <w:t>MC</w:t>
      </w:r>
      <w:r w:rsidRPr="00924FFB">
        <w:rPr>
          <w:rFonts w:cs="Tahoma"/>
          <w:vertAlign w:val="subscript"/>
          <w:lang w:val="en-US"/>
        </w:rPr>
        <w:t>n</w:t>
      </w:r>
      <w:proofErr w:type="spellEnd"/>
      <w:r w:rsidRPr="00924FFB">
        <w:rPr>
          <w:rFonts w:cs="Tahoma"/>
          <w:lang w:val="en-US"/>
        </w:rPr>
        <w:t xml:space="preserve"> – </w:t>
      </w:r>
      <w:r w:rsidR="00555078" w:rsidRPr="00924FFB">
        <w:rPr>
          <w:rFonts w:cs="Tahoma"/>
          <w:lang w:val="en-US"/>
        </w:rPr>
        <w:t xml:space="preserve">the total value of all Stocks before circumstances giving rise to recalculation of Divisor </w:t>
      </w:r>
      <w:proofErr w:type="gramStart"/>
      <w:r w:rsidR="00555078" w:rsidRPr="00924FFB">
        <w:rPr>
          <w:rFonts w:cs="Tahoma"/>
          <w:lang w:val="en-US"/>
        </w:rPr>
        <w:t>occur;</w:t>
      </w:r>
      <w:proofErr w:type="gramEnd"/>
    </w:p>
    <w:p w14:paraId="53534AD0" w14:textId="174E2526" w:rsidR="00555078" w:rsidRPr="00924FFB" w:rsidRDefault="00CF6D8D" w:rsidP="00555078">
      <w:pPr>
        <w:pStyle w:val="af9"/>
        <w:rPr>
          <w:rFonts w:cs="Tahoma"/>
          <w:lang w:val="en-US"/>
        </w:rPr>
      </w:pPr>
      <w:proofErr w:type="spellStart"/>
      <w:r w:rsidRPr="00924FFB">
        <w:rPr>
          <w:rFonts w:cs="Tahoma"/>
          <w:lang w:val="en-US"/>
        </w:rPr>
        <w:t>MC</w:t>
      </w:r>
      <w:r w:rsidRPr="00924FFB">
        <w:rPr>
          <w:rFonts w:cs="Tahoma"/>
          <w:vertAlign w:val="subscript"/>
          <w:lang w:val="en-US"/>
        </w:rPr>
        <w:t>n</w:t>
      </w:r>
      <w:proofErr w:type="spellEnd"/>
      <w:r w:rsidRPr="00924FFB">
        <w:rPr>
          <w:rFonts w:cs="Tahoma"/>
          <w:vertAlign w:val="superscript"/>
          <w:lang w:val="en-US"/>
        </w:rPr>
        <w:t>'</w:t>
      </w:r>
      <w:r w:rsidRPr="00924FFB">
        <w:rPr>
          <w:rFonts w:cs="Tahoma"/>
          <w:lang w:val="en-US"/>
        </w:rPr>
        <w:t xml:space="preserve"> – </w:t>
      </w:r>
      <w:r w:rsidR="00555078" w:rsidRPr="00924FFB">
        <w:rPr>
          <w:rFonts w:cs="Tahoma"/>
          <w:lang w:val="en-US"/>
        </w:rPr>
        <w:t xml:space="preserve">the total value of all Stocks after </w:t>
      </w:r>
      <w:r w:rsidR="00555078" w:rsidRPr="00924FFB">
        <w:rPr>
          <w:rFonts w:cs="Tahoma"/>
          <w:lang w:val="en-US"/>
        </w:rPr>
        <w:t>circumstances giving rise to recalculation of Divisor occur</w:t>
      </w:r>
      <w:r w:rsidR="00555078" w:rsidRPr="00924FFB">
        <w:rPr>
          <w:rFonts w:cs="Tahoma"/>
          <w:lang w:val="en-US"/>
        </w:rPr>
        <w:t>.</w:t>
      </w:r>
    </w:p>
    <w:p w14:paraId="0D0663AA" w14:textId="69A95A2B" w:rsidR="00CF6D8D" w:rsidRPr="00924FFB" w:rsidRDefault="00555078" w:rsidP="00BA3844">
      <w:pPr>
        <w:pStyle w:val="af4"/>
        <w:numPr>
          <w:ilvl w:val="2"/>
          <w:numId w:val="8"/>
        </w:numPr>
        <w:ind w:left="1418" w:hanging="698"/>
        <w:jc w:val="both"/>
        <w:rPr>
          <w:rFonts w:cs="Tahoma"/>
          <w:lang w:val="en-US"/>
        </w:rPr>
      </w:pPr>
      <w:r w:rsidRPr="00924FFB">
        <w:rPr>
          <w:rFonts w:cs="Tahoma"/>
          <w:lang w:val="en-US"/>
        </w:rPr>
        <w:t xml:space="preserve">Divisor </w:t>
      </w:r>
      <w:proofErr w:type="spellStart"/>
      <w:r w:rsidR="00CF6D8D" w:rsidRPr="00924FFB">
        <w:rPr>
          <w:rFonts w:cs="Tahoma"/>
          <w:lang w:val="en-US"/>
        </w:rPr>
        <w:t>D</w:t>
      </w:r>
      <w:r w:rsidR="00CF6D8D" w:rsidRPr="00924FFB">
        <w:rPr>
          <w:rFonts w:cs="Tahoma"/>
          <w:vertAlign w:val="subscript"/>
          <w:lang w:val="en-US"/>
        </w:rPr>
        <w:t>n</w:t>
      </w:r>
      <w:proofErr w:type="spellEnd"/>
      <w:r w:rsidR="00CF6D8D" w:rsidRPr="00924FFB">
        <w:rPr>
          <w:rFonts w:cs="Tahoma"/>
          <w:lang w:val="en-US"/>
        </w:rPr>
        <w:t xml:space="preserve"> </w:t>
      </w:r>
      <w:r w:rsidRPr="00924FFB">
        <w:rPr>
          <w:rFonts w:cs="Tahoma"/>
          <w:lang w:val="en-US"/>
        </w:rPr>
        <w:t>is calculated accurate to four decimal places according to the mathematical rounding rules.</w:t>
      </w:r>
    </w:p>
    <w:p w14:paraId="492A1B51" w14:textId="77777777" w:rsidR="00CF6D8D" w:rsidRPr="00924FFB" w:rsidRDefault="00CF6D8D" w:rsidP="00805EBF">
      <w:pPr>
        <w:pStyle w:val="af4"/>
        <w:ind w:left="1418"/>
        <w:jc w:val="both"/>
        <w:rPr>
          <w:rFonts w:cs="Tahoma"/>
          <w:lang w:val="en-US"/>
        </w:rPr>
      </w:pPr>
    </w:p>
    <w:p w14:paraId="6F66D2DB" w14:textId="5F30B6D4" w:rsidR="00CF6D8D" w:rsidRPr="00924FFB" w:rsidRDefault="00555078" w:rsidP="00034779">
      <w:pPr>
        <w:pStyle w:val="af4"/>
        <w:numPr>
          <w:ilvl w:val="0"/>
          <w:numId w:val="8"/>
        </w:numPr>
        <w:rPr>
          <w:rFonts w:cs="Tahoma"/>
          <w:b/>
          <w:lang w:val="en-US"/>
        </w:rPr>
      </w:pPr>
      <w:bookmarkStart w:id="145" w:name="_Toc438206729"/>
      <w:bookmarkStart w:id="146" w:name="_Toc438206765"/>
      <w:bookmarkStart w:id="147" w:name="_Toc438206985"/>
      <w:bookmarkStart w:id="148" w:name="_Toc433902901"/>
      <w:bookmarkStart w:id="149" w:name="_Ref487540760"/>
      <w:bookmarkStart w:id="150" w:name="_Toc463443759"/>
      <w:bookmarkStart w:id="151" w:name="_Toc488065474"/>
      <w:r w:rsidRPr="00924FFB">
        <w:rPr>
          <w:rFonts w:cs="Tahoma"/>
          <w:b/>
          <w:lang w:val="en-US"/>
        </w:rPr>
        <w:t>Equity Price Sub-Index construction and review</w:t>
      </w:r>
      <w:bookmarkEnd w:id="145"/>
      <w:bookmarkEnd w:id="146"/>
      <w:bookmarkEnd w:id="147"/>
      <w:bookmarkEnd w:id="148"/>
      <w:bookmarkEnd w:id="149"/>
      <w:bookmarkEnd w:id="150"/>
      <w:bookmarkEnd w:id="151"/>
    </w:p>
    <w:p w14:paraId="6AE2CC10" w14:textId="77777777" w:rsidR="00555078" w:rsidRPr="00924FFB" w:rsidRDefault="00555078" w:rsidP="00555078">
      <w:pPr>
        <w:pStyle w:val="af4"/>
        <w:ind w:left="360"/>
        <w:rPr>
          <w:rFonts w:cs="Tahoma"/>
          <w:b/>
          <w:lang w:val="en-US"/>
        </w:rPr>
      </w:pPr>
    </w:p>
    <w:p w14:paraId="56B412FE" w14:textId="06F43E3E" w:rsidR="00CF6D8D" w:rsidRPr="00924FFB" w:rsidRDefault="00555078" w:rsidP="00E7783E">
      <w:pPr>
        <w:pStyle w:val="af4"/>
        <w:numPr>
          <w:ilvl w:val="1"/>
          <w:numId w:val="8"/>
        </w:numPr>
        <w:rPr>
          <w:rFonts w:cs="Tahoma"/>
          <w:b/>
          <w:lang w:val="en-US"/>
        </w:rPr>
      </w:pPr>
      <w:bookmarkStart w:id="152" w:name="_Ref423512999"/>
      <w:bookmarkStart w:id="153" w:name="_Ref423518818"/>
      <w:bookmarkStart w:id="154" w:name="_Toc424122355"/>
      <w:bookmarkStart w:id="155" w:name="_Toc438206730"/>
      <w:bookmarkStart w:id="156" w:name="_Toc438206766"/>
      <w:bookmarkStart w:id="157" w:name="_Toc438206986"/>
      <w:bookmarkStart w:id="158" w:name="_Toc433902902"/>
      <w:bookmarkStart w:id="159" w:name="_Toc463443760"/>
      <w:bookmarkStart w:id="160" w:name="_Toc488065475"/>
      <w:r w:rsidRPr="00924FFB">
        <w:rPr>
          <w:rFonts w:cs="Tahoma"/>
          <w:b/>
          <w:lang w:val="en-US"/>
        </w:rPr>
        <w:t xml:space="preserve">Principles of the Sub-Index construction </w:t>
      </w:r>
      <w:bookmarkEnd w:id="152"/>
      <w:bookmarkEnd w:id="153"/>
      <w:bookmarkEnd w:id="154"/>
      <w:bookmarkEnd w:id="155"/>
      <w:bookmarkEnd w:id="156"/>
      <w:bookmarkEnd w:id="157"/>
      <w:bookmarkEnd w:id="158"/>
      <w:bookmarkEnd w:id="159"/>
      <w:bookmarkEnd w:id="160"/>
    </w:p>
    <w:p w14:paraId="63047A2F" w14:textId="77777777" w:rsidR="00CC7459" w:rsidRPr="00924FFB" w:rsidRDefault="00CC7459" w:rsidP="00CC7459">
      <w:pPr>
        <w:pStyle w:val="af4"/>
        <w:ind w:left="792"/>
        <w:rPr>
          <w:rFonts w:cs="Tahoma"/>
          <w:b/>
          <w:lang w:val="en-US"/>
        </w:rPr>
      </w:pPr>
    </w:p>
    <w:p w14:paraId="6E186EC3" w14:textId="77777777" w:rsidR="00CC7459" w:rsidRPr="00924FFB" w:rsidRDefault="00CC7459" w:rsidP="00CC7459">
      <w:pPr>
        <w:pStyle w:val="af4"/>
        <w:numPr>
          <w:ilvl w:val="2"/>
          <w:numId w:val="8"/>
        </w:numPr>
        <w:ind w:left="1418" w:hanging="698"/>
        <w:jc w:val="both"/>
        <w:rPr>
          <w:rFonts w:cs="Tahoma"/>
          <w:lang w:val="en-US"/>
        </w:rPr>
      </w:pPr>
      <w:r w:rsidRPr="00924FFB">
        <w:rPr>
          <w:rFonts w:cs="Tahoma"/>
          <w:lang w:val="en-US"/>
        </w:rPr>
        <w:t>The list of index Constituents shall contain the names of Issuers, as well as the category (type) of securities (for shares), the names of Issuers of represented securities (for depositary receipts).</w:t>
      </w:r>
    </w:p>
    <w:p w14:paraId="3A5E192A" w14:textId="65FA28ED" w:rsidR="00CC7459" w:rsidRPr="00924FFB" w:rsidRDefault="00CC7459" w:rsidP="00CC7459">
      <w:pPr>
        <w:pStyle w:val="af4"/>
        <w:numPr>
          <w:ilvl w:val="2"/>
          <w:numId w:val="8"/>
        </w:numPr>
        <w:ind w:left="1418" w:hanging="698"/>
        <w:jc w:val="both"/>
        <w:rPr>
          <w:rFonts w:cs="Tahoma"/>
          <w:lang w:val="en-US"/>
        </w:rPr>
      </w:pPr>
      <w:r w:rsidRPr="00924FFB">
        <w:rPr>
          <w:rFonts w:cs="Tahoma"/>
          <w:lang w:val="en-US"/>
        </w:rPr>
        <w:t>The Equity Price Sub-index is composed of Stocks from the MOEX Russia Index which is constructed in accordance with the Moscow Exchange Index Calculation Methodology.</w:t>
      </w:r>
    </w:p>
    <w:p w14:paraId="1CF9299A" w14:textId="092C01E8" w:rsidR="00CC7459" w:rsidRPr="00924FFB" w:rsidRDefault="00CC7459" w:rsidP="00CC7459">
      <w:pPr>
        <w:pStyle w:val="af4"/>
        <w:numPr>
          <w:ilvl w:val="2"/>
          <w:numId w:val="8"/>
        </w:numPr>
        <w:ind w:left="1418" w:hanging="698"/>
        <w:jc w:val="both"/>
        <w:rPr>
          <w:rFonts w:cs="Tahoma"/>
          <w:lang w:val="en-US" w:eastAsia="en-US"/>
        </w:rPr>
      </w:pPr>
      <w:r w:rsidRPr="00924FFB">
        <w:rPr>
          <w:rFonts w:cs="Tahoma"/>
          <w:lang w:val="en-US"/>
        </w:rPr>
        <w:t xml:space="preserve">The Constituents of the </w:t>
      </w:r>
      <w:r w:rsidRPr="00924FFB">
        <w:rPr>
          <w:rFonts w:cs="Tahoma"/>
          <w:lang w:val="en-US"/>
        </w:rPr>
        <w:t xml:space="preserve">Equity Total Return Sub-Index </w:t>
      </w:r>
      <w:r w:rsidRPr="00924FFB">
        <w:rPr>
          <w:rFonts w:cs="Tahoma"/>
          <w:lang w:val="en-US"/>
        </w:rPr>
        <w:t xml:space="preserve">are </w:t>
      </w:r>
      <w:proofErr w:type="gramStart"/>
      <w:r w:rsidRPr="00924FFB">
        <w:rPr>
          <w:rFonts w:cs="Tahoma"/>
          <w:lang w:val="en-US"/>
        </w:rPr>
        <w:t>similar to</w:t>
      </w:r>
      <w:proofErr w:type="gramEnd"/>
      <w:r w:rsidRPr="00924FFB">
        <w:rPr>
          <w:rFonts w:cs="Tahoma"/>
          <w:lang w:val="en-US"/>
        </w:rPr>
        <w:t xml:space="preserve"> the Equity Price Sub-index</w:t>
      </w:r>
      <w:r w:rsidRPr="00924FFB">
        <w:rPr>
          <w:rFonts w:cs="Tahoma"/>
          <w:lang w:val="en-US" w:eastAsia="en-US"/>
        </w:rPr>
        <w:t>.</w:t>
      </w:r>
    </w:p>
    <w:p w14:paraId="71F79E10" w14:textId="77777777" w:rsidR="00962DB5" w:rsidRPr="00924FFB" w:rsidRDefault="00962DB5" w:rsidP="00962DB5">
      <w:pPr>
        <w:pStyle w:val="11"/>
        <w:numPr>
          <w:ilvl w:val="0"/>
          <w:numId w:val="0"/>
        </w:numPr>
        <w:ind w:left="1701"/>
        <w:rPr>
          <w:rFonts w:cs="Tahoma"/>
          <w:lang w:val="en-US"/>
        </w:rPr>
      </w:pPr>
    </w:p>
    <w:p w14:paraId="64CEAF9F" w14:textId="17298CBF" w:rsidR="00CC7459" w:rsidRPr="00924FFB" w:rsidRDefault="00CC7459" w:rsidP="00E7783E">
      <w:pPr>
        <w:pStyle w:val="af4"/>
        <w:numPr>
          <w:ilvl w:val="1"/>
          <w:numId w:val="8"/>
        </w:numPr>
        <w:rPr>
          <w:rFonts w:cs="Tahoma"/>
          <w:b/>
        </w:rPr>
      </w:pPr>
      <w:r w:rsidRPr="00924FFB">
        <w:rPr>
          <w:rFonts w:cs="Tahoma"/>
          <w:b/>
          <w:lang w:val="en-US"/>
        </w:rPr>
        <w:t>Index review</w:t>
      </w:r>
    </w:p>
    <w:p w14:paraId="300942CB" w14:textId="77777777" w:rsidR="00CC7459" w:rsidRPr="00924FFB" w:rsidRDefault="00CC7459" w:rsidP="00CC7459">
      <w:pPr>
        <w:pStyle w:val="af4"/>
        <w:ind w:left="792"/>
        <w:rPr>
          <w:rFonts w:cs="Tahoma"/>
          <w:b/>
        </w:rPr>
      </w:pPr>
    </w:p>
    <w:p w14:paraId="017524D0" w14:textId="576812F9" w:rsidR="00E92FD5" w:rsidRPr="00924FFB" w:rsidRDefault="00E92FD5" w:rsidP="00E92FD5">
      <w:pPr>
        <w:pStyle w:val="af4"/>
        <w:numPr>
          <w:ilvl w:val="2"/>
          <w:numId w:val="8"/>
        </w:numPr>
        <w:ind w:left="1418" w:hanging="698"/>
        <w:jc w:val="both"/>
        <w:rPr>
          <w:rFonts w:cs="Tahoma"/>
          <w:lang w:val="en-US"/>
        </w:rPr>
      </w:pPr>
      <w:bookmarkStart w:id="161" w:name="_Ref422320984"/>
      <w:r w:rsidRPr="00924FFB">
        <w:rPr>
          <w:rFonts w:cs="Tahoma"/>
          <w:lang w:val="en-US"/>
        </w:rPr>
        <w:t>Stocks</w:t>
      </w:r>
      <w:r w:rsidRPr="00924FFB">
        <w:rPr>
          <w:rFonts w:cs="Tahoma"/>
          <w:lang w:val="en-US"/>
        </w:rPr>
        <w:t xml:space="preserve"> are included to and excluded from the </w:t>
      </w:r>
      <w:r w:rsidRPr="00924FFB">
        <w:rPr>
          <w:rFonts w:cs="Tahoma"/>
          <w:lang w:val="en-US"/>
        </w:rPr>
        <w:t xml:space="preserve">Equity Price </w:t>
      </w:r>
      <w:r w:rsidRPr="00924FFB">
        <w:rPr>
          <w:rFonts w:cs="Tahoma"/>
          <w:lang w:val="en-US"/>
        </w:rPr>
        <w:t>Sub-Ind</w:t>
      </w:r>
      <w:r w:rsidRPr="00924FFB">
        <w:rPr>
          <w:rFonts w:cs="Tahoma"/>
          <w:lang w:val="en-US"/>
        </w:rPr>
        <w:t xml:space="preserve">ex </w:t>
      </w:r>
      <w:r w:rsidRPr="00924FFB">
        <w:rPr>
          <w:rFonts w:cs="Tahoma"/>
          <w:lang w:val="en-US"/>
        </w:rPr>
        <w:t>at the Sub-Index review by virtue of a decision of the Exchange.</w:t>
      </w:r>
    </w:p>
    <w:p w14:paraId="0611FA29" w14:textId="5292321D" w:rsidR="00E92FD5" w:rsidRPr="00924FFB" w:rsidRDefault="00E92FD5" w:rsidP="00E92FD5">
      <w:pPr>
        <w:pStyle w:val="af4"/>
        <w:numPr>
          <w:ilvl w:val="2"/>
          <w:numId w:val="8"/>
        </w:numPr>
        <w:ind w:left="1418" w:hanging="698"/>
        <w:jc w:val="both"/>
        <w:rPr>
          <w:rFonts w:cs="Tahoma"/>
          <w:lang w:val="en-US"/>
        </w:rPr>
      </w:pPr>
      <w:r w:rsidRPr="00924FFB">
        <w:rPr>
          <w:rFonts w:cs="Tahoma"/>
          <w:lang w:val="en-US"/>
        </w:rPr>
        <w:t xml:space="preserve">A </w:t>
      </w:r>
      <w:r w:rsidRPr="00924FFB">
        <w:rPr>
          <w:rFonts w:cs="Tahoma"/>
        </w:rPr>
        <w:t>regular</w:t>
      </w:r>
      <w:r w:rsidRPr="00924FFB">
        <w:rPr>
          <w:rFonts w:cs="Tahoma"/>
          <w:lang w:val="en-US"/>
        </w:rPr>
        <w:t xml:space="preserve"> review of the Sub-Index shall be carried out once a quarter or less frequently, except for the cases stipulated by this Methodology. The </w:t>
      </w:r>
      <w:r w:rsidRPr="00924FFB">
        <w:rPr>
          <w:rFonts w:cs="Tahoma"/>
          <w:lang w:val="en-US"/>
        </w:rPr>
        <w:t xml:space="preserve">reviewed </w:t>
      </w:r>
      <w:r w:rsidRPr="00924FFB">
        <w:rPr>
          <w:rFonts w:cs="Tahoma"/>
          <w:lang w:val="en-US"/>
        </w:rPr>
        <w:t>Sub-Index take</w:t>
      </w:r>
      <w:r w:rsidRPr="00924FFB">
        <w:rPr>
          <w:rFonts w:cs="Tahoma"/>
          <w:lang w:val="en-US"/>
        </w:rPr>
        <w:t>s</w:t>
      </w:r>
      <w:r w:rsidRPr="00924FFB">
        <w:rPr>
          <w:rFonts w:cs="Tahoma"/>
          <w:lang w:val="en-US"/>
        </w:rPr>
        <w:t xml:space="preserve"> effect from the beginning of the main trading session of the trading day following the third Thursday of March, June, </w:t>
      </w:r>
      <w:proofErr w:type="gramStart"/>
      <w:r w:rsidRPr="00924FFB">
        <w:rPr>
          <w:rFonts w:cs="Tahoma"/>
          <w:lang w:val="en-US"/>
        </w:rPr>
        <w:t>September</w:t>
      </w:r>
      <w:proofErr w:type="gramEnd"/>
      <w:r w:rsidRPr="00924FFB">
        <w:rPr>
          <w:rFonts w:cs="Tahoma"/>
          <w:lang w:val="en-US"/>
        </w:rPr>
        <w:t xml:space="preserve"> and December. The Exchange may decide to set other effective dates for the Sub-Index as reviewed.</w:t>
      </w:r>
    </w:p>
    <w:p w14:paraId="3202BBFA" w14:textId="77777777" w:rsidR="00E92FD5" w:rsidRPr="00924FFB" w:rsidRDefault="00E92FD5" w:rsidP="00E92FD5">
      <w:pPr>
        <w:pStyle w:val="af4"/>
        <w:numPr>
          <w:ilvl w:val="2"/>
          <w:numId w:val="8"/>
        </w:numPr>
        <w:ind w:left="1418" w:hanging="698"/>
        <w:jc w:val="both"/>
        <w:rPr>
          <w:rFonts w:cs="Tahoma"/>
          <w:lang w:val="en-US"/>
        </w:rPr>
      </w:pPr>
      <w:r w:rsidRPr="00924FFB">
        <w:rPr>
          <w:rFonts w:cs="Tahoma"/>
          <w:lang w:val="en-US"/>
        </w:rPr>
        <w:t xml:space="preserve">At a </w:t>
      </w:r>
      <w:r w:rsidRPr="00924FFB">
        <w:rPr>
          <w:rFonts w:cs="Tahoma"/>
        </w:rPr>
        <w:t>regular</w:t>
      </w:r>
      <w:r w:rsidRPr="00924FFB">
        <w:rPr>
          <w:rFonts w:cs="Tahoma"/>
          <w:lang w:val="en-US"/>
        </w:rPr>
        <w:t xml:space="preserve"> index review, the Sub-Index is constructed in accordance with clause 2.1 of Appendix 3 to the Methodology.</w:t>
      </w:r>
    </w:p>
    <w:bookmarkEnd w:id="161"/>
    <w:p w14:paraId="56323FB9" w14:textId="5898B72C" w:rsidR="00E92FD5" w:rsidRPr="00924FFB" w:rsidRDefault="00E92FD5" w:rsidP="00E92FD5">
      <w:pPr>
        <w:pStyle w:val="af4"/>
        <w:numPr>
          <w:ilvl w:val="2"/>
          <w:numId w:val="8"/>
        </w:numPr>
        <w:ind w:left="1418" w:hanging="698"/>
        <w:jc w:val="both"/>
        <w:rPr>
          <w:rFonts w:cs="Tahoma"/>
          <w:lang w:val="en-US"/>
        </w:rPr>
      </w:pPr>
      <w:r w:rsidRPr="00924FFB">
        <w:rPr>
          <w:rFonts w:cs="Tahoma"/>
          <w:lang w:val="en-US"/>
        </w:rPr>
        <w:lastRenderedPageBreak/>
        <w:t>An extraordinary review of the Sub-Index may be carried out if the following events occur:</w:t>
      </w:r>
    </w:p>
    <w:p w14:paraId="60C390B8" w14:textId="3A9F9411" w:rsidR="00E92FD5" w:rsidRPr="00924FFB" w:rsidRDefault="009F756F" w:rsidP="00E92FD5">
      <w:pPr>
        <w:pStyle w:val="11"/>
        <w:rPr>
          <w:rFonts w:cs="Tahoma"/>
          <w:lang w:val="en-US"/>
        </w:rPr>
      </w:pPr>
      <w:r w:rsidRPr="00924FFB">
        <w:rPr>
          <w:rFonts w:cs="Tahoma"/>
          <w:lang w:val="en-US"/>
        </w:rPr>
        <w:t>A</w:t>
      </w:r>
      <w:r w:rsidR="00E92FD5" w:rsidRPr="00924FFB">
        <w:rPr>
          <w:rFonts w:cs="Tahoma"/>
          <w:lang w:val="en-US"/>
        </w:rPr>
        <w:t xml:space="preserve"> </w:t>
      </w:r>
      <w:r w:rsidR="00E92FD5" w:rsidRPr="00924FFB">
        <w:rPr>
          <w:rFonts w:cs="Tahoma"/>
          <w:lang w:val="en-US"/>
        </w:rPr>
        <w:t>Stock</w:t>
      </w:r>
      <w:r w:rsidR="00E92FD5" w:rsidRPr="00924FFB">
        <w:rPr>
          <w:rFonts w:cs="Tahoma"/>
          <w:lang w:val="en-US"/>
        </w:rPr>
        <w:t xml:space="preserve"> is </w:t>
      </w:r>
      <w:r w:rsidR="00E92FD5" w:rsidRPr="00924FFB">
        <w:rPr>
          <w:rFonts w:cs="Tahoma"/>
          <w:lang w:val="en-US"/>
        </w:rPr>
        <w:t>delisted</w:t>
      </w:r>
      <w:r w:rsidR="00E92FD5" w:rsidRPr="00924FFB">
        <w:rPr>
          <w:rFonts w:cs="Tahoma"/>
          <w:lang w:val="en-US"/>
        </w:rPr>
        <w:t xml:space="preserve"> </w:t>
      </w:r>
      <w:r w:rsidR="00E92FD5" w:rsidRPr="00924FFB">
        <w:rPr>
          <w:rFonts w:cs="Tahoma"/>
          <w:lang w:val="en-US"/>
        </w:rPr>
        <w:t xml:space="preserve">from </w:t>
      </w:r>
      <w:proofErr w:type="gramStart"/>
      <w:r w:rsidR="00E92FD5" w:rsidRPr="00924FFB">
        <w:rPr>
          <w:rFonts w:cs="Tahoma"/>
          <w:lang w:val="en-US"/>
        </w:rPr>
        <w:t>MOEX;</w:t>
      </w:r>
      <w:proofErr w:type="gramEnd"/>
      <w:r w:rsidR="00E92FD5" w:rsidRPr="00924FFB">
        <w:rPr>
          <w:rFonts w:cs="Tahoma"/>
          <w:lang w:val="en-US"/>
        </w:rPr>
        <w:t xml:space="preserve"> </w:t>
      </w:r>
    </w:p>
    <w:p w14:paraId="05B266E0" w14:textId="7C670C7A" w:rsidR="009F756F" w:rsidRPr="00924FFB" w:rsidRDefault="009F756F" w:rsidP="009F756F">
      <w:pPr>
        <w:pStyle w:val="11"/>
        <w:rPr>
          <w:rFonts w:cs="Tahoma"/>
          <w:lang w:val="en-US"/>
        </w:rPr>
      </w:pPr>
      <w:r w:rsidRPr="00924FFB">
        <w:rPr>
          <w:rFonts w:cs="Tahoma"/>
          <w:lang w:val="en-US"/>
        </w:rPr>
        <w:t>T</w:t>
      </w:r>
      <w:r w:rsidRPr="00924FFB">
        <w:rPr>
          <w:rFonts w:cs="Tahoma"/>
          <w:lang w:val="en-US"/>
        </w:rPr>
        <w:t>rading in a Stock is restricted in the section/trading mode used in the calculation of the Equity Price Sub-Index or Equity Total Return Sub-</w:t>
      </w:r>
      <w:proofErr w:type="gramStart"/>
      <w:r w:rsidRPr="00924FFB">
        <w:rPr>
          <w:rFonts w:cs="Tahoma"/>
          <w:lang w:val="en-US"/>
        </w:rPr>
        <w:t>Index;</w:t>
      </w:r>
      <w:proofErr w:type="gramEnd"/>
    </w:p>
    <w:p w14:paraId="28215121" w14:textId="579C2755" w:rsidR="009F756F" w:rsidRPr="00924FFB" w:rsidRDefault="003C4CEE" w:rsidP="009F756F">
      <w:pPr>
        <w:pStyle w:val="11"/>
        <w:rPr>
          <w:rFonts w:cs="Tahoma"/>
          <w:lang w:val="en-US"/>
        </w:rPr>
      </w:pPr>
      <w:r w:rsidRPr="00924FFB">
        <w:rPr>
          <w:rFonts w:cs="Tahoma"/>
          <w:lang w:val="en-US"/>
        </w:rPr>
        <w:t xml:space="preserve">An </w:t>
      </w:r>
      <w:r w:rsidR="009F756F" w:rsidRPr="00924FFB">
        <w:rPr>
          <w:rFonts w:cs="Tahoma"/>
          <w:lang w:val="en-US"/>
        </w:rPr>
        <w:t xml:space="preserve">Issuer has been </w:t>
      </w:r>
      <w:proofErr w:type="spellStart"/>
      <w:r w:rsidR="009F756F" w:rsidRPr="00924FFB">
        <w:rPr>
          <w:rFonts w:cs="Tahoma"/>
          <w:lang w:val="en-US"/>
        </w:rPr>
        <w:t>reorganised</w:t>
      </w:r>
      <w:proofErr w:type="spellEnd"/>
      <w:r w:rsidR="009F756F" w:rsidRPr="00924FFB">
        <w:rPr>
          <w:rFonts w:cs="Tahoma"/>
          <w:lang w:val="en-US"/>
        </w:rPr>
        <w:t xml:space="preserve"> or </w:t>
      </w:r>
      <w:r w:rsidR="009F756F" w:rsidRPr="00924FFB">
        <w:rPr>
          <w:rFonts w:cs="Tahoma"/>
          <w:lang w:val="en-US"/>
        </w:rPr>
        <w:t>wound</w:t>
      </w:r>
      <w:r w:rsidR="009F756F" w:rsidRPr="00924FFB">
        <w:rPr>
          <w:rFonts w:cs="Tahoma"/>
          <w:lang w:val="en-US"/>
        </w:rPr>
        <w:t xml:space="preserve"> up, </w:t>
      </w:r>
      <w:r w:rsidRPr="00924FFB">
        <w:rPr>
          <w:rFonts w:cs="Tahoma"/>
          <w:lang w:val="en-US"/>
        </w:rPr>
        <w:t>the</w:t>
      </w:r>
      <w:r w:rsidR="009F756F" w:rsidRPr="00924FFB">
        <w:rPr>
          <w:rFonts w:cs="Tahoma"/>
          <w:lang w:val="en-US"/>
        </w:rPr>
        <w:t xml:space="preserve"> further security issue has been placed, a security has been cancelled (</w:t>
      </w:r>
      <w:r w:rsidR="009F756F" w:rsidRPr="00924FFB">
        <w:rPr>
          <w:rFonts w:cs="Tahoma"/>
          <w:lang w:val="en-US"/>
        </w:rPr>
        <w:t>redeemed) also</w:t>
      </w:r>
      <w:r w:rsidR="009F756F" w:rsidRPr="00924FFB">
        <w:rPr>
          <w:rFonts w:cs="Tahoma"/>
          <w:lang w:val="en-US"/>
        </w:rPr>
        <w:t xml:space="preserve"> as a result of its conversion</w:t>
      </w:r>
      <w:r w:rsidRPr="00924FFB">
        <w:rPr>
          <w:rFonts w:cs="Tahoma"/>
          <w:lang w:val="en-US"/>
        </w:rPr>
        <w:t xml:space="preserve"> or</w:t>
      </w:r>
      <w:r w:rsidR="009F756F" w:rsidRPr="00924FFB">
        <w:rPr>
          <w:rFonts w:cs="Tahoma"/>
          <w:lang w:val="en-US"/>
        </w:rPr>
        <w:t xml:space="preserve"> the redemption or buyback (purchase) of the security by the </w:t>
      </w:r>
      <w:proofErr w:type="gramStart"/>
      <w:r w:rsidR="009F756F" w:rsidRPr="00924FFB">
        <w:rPr>
          <w:rFonts w:cs="Tahoma"/>
          <w:lang w:val="en-US"/>
        </w:rPr>
        <w:t>Issuer;</w:t>
      </w:r>
      <w:proofErr w:type="gramEnd"/>
    </w:p>
    <w:p w14:paraId="4BA62B8C" w14:textId="20A1ED06" w:rsidR="00E92FD5" w:rsidRPr="00924FFB" w:rsidRDefault="009F756F" w:rsidP="009F756F">
      <w:pPr>
        <w:pStyle w:val="11"/>
        <w:rPr>
          <w:rFonts w:cs="Tahoma"/>
          <w:lang w:val="en-US"/>
        </w:rPr>
      </w:pPr>
      <w:r w:rsidRPr="00924FFB">
        <w:rPr>
          <w:rFonts w:cs="Tahoma"/>
          <w:lang w:val="en-US"/>
        </w:rPr>
        <w:t>I</w:t>
      </w:r>
      <w:r w:rsidRPr="00924FFB">
        <w:rPr>
          <w:rFonts w:cs="Tahoma"/>
          <w:lang w:val="en-US"/>
        </w:rPr>
        <w:t>n other cases which may have a significant impact on the calculation of the Equity Price Sub-Index and/or the Equity Total Return Sub-Index.</w:t>
      </w:r>
    </w:p>
    <w:p w14:paraId="45508249" w14:textId="77777777" w:rsidR="00CF6D8D" w:rsidRPr="00924FFB" w:rsidRDefault="00CF6D8D" w:rsidP="00012E12">
      <w:pPr>
        <w:pStyle w:val="af4"/>
        <w:ind w:left="1418"/>
        <w:jc w:val="both"/>
        <w:rPr>
          <w:rFonts w:cs="Tahoma"/>
          <w:lang w:val="en-US"/>
        </w:rPr>
      </w:pPr>
    </w:p>
    <w:p w14:paraId="3CA31751" w14:textId="6CF4E406" w:rsidR="00CF6D8D" w:rsidRPr="00924FFB" w:rsidRDefault="003C4CEE" w:rsidP="00E7783E">
      <w:pPr>
        <w:pStyle w:val="af4"/>
        <w:numPr>
          <w:ilvl w:val="1"/>
          <w:numId w:val="8"/>
        </w:numPr>
        <w:rPr>
          <w:rFonts w:cs="Tahoma"/>
          <w:b/>
        </w:rPr>
      </w:pPr>
      <w:bookmarkStart w:id="162" w:name="_Ref423520053"/>
      <w:bookmarkStart w:id="163" w:name="_Toc424122375"/>
      <w:bookmarkStart w:id="164" w:name="_Toc438206741"/>
      <w:bookmarkStart w:id="165" w:name="_Toc438206777"/>
      <w:bookmarkStart w:id="166" w:name="_Toc438206997"/>
      <w:bookmarkStart w:id="167" w:name="_Toc433902913"/>
      <w:bookmarkStart w:id="168" w:name="_Toc463443771"/>
      <w:bookmarkStart w:id="169" w:name="_Toc488065484"/>
      <w:bookmarkStart w:id="170" w:name="_Ref335748680"/>
      <w:r w:rsidRPr="00924FFB">
        <w:rPr>
          <w:rFonts w:cs="Tahoma"/>
          <w:b/>
          <w:lang w:val="en-US"/>
        </w:rPr>
        <w:t>Treatment of corporate events</w:t>
      </w:r>
      <w:bookmarkEnd w:id="162"/>
      <w:bookmarkEnd w:id="163"/>
      <w:bookmarkEnd w:id="164"/>
      <w:bookmarkEnd w:id="165"/>
      <w:bookmarkEnd w:id="166"/>
      <w:bookmarkEnd w:id="167"/>
      <w:bookmarkEnd w:id="168"/>
      <w:bookmarkEnd w:id="169"/>
    </w:p>
    <w:p w14:paraId="64CCC062" w14:textId="77777777" w:rsidR="003C4CEE" w:rsidRPr="00924FFB" w:rsidRDefault="003C4CEE" w:rsidP="003C4CEE">
      <w:pPr>
        <w:pStyle w:val="af4"/>
        <w:ind w:left="792"/>
        <w:rPr>
          <w:rFonts w:cs="Tahoma"/>
          <w:b/>
        </w:rPr>
      </w:pPr>
    </w:p>
    <w:p w14:paraId="53D3BCA3" w14:textId="3652373D" w:rsidR="003C4CEE" w:rsidRPr="00924FFB" w:rsidRDefault="003C4CEE" w:rsidP="003C4CEE">
      <w:pPr>
        <w:pStyle w:val="af4"/>
        <w:numPr>
          <w:ilvl w:val="2"/>
          <w:numId w:val="8"/>
        </w:numPr>
        <w:ind w:left="1418" w:hanging="698"/>
        <w:jc w:val="both"/>
        <w:rPr>
          <w:rFonts w:cs="Tahoma"/>
          <w:lang w:val="en-US"/>
        </w:rPr>
      </w:pPr>
      <w:r w:rsidRPr="00924FFB">
        <w:rPr>
          <w:rFonts w:cs="Tahoma"/>
          <w:lang w:val="en-US"/>
        </w:rPr>
        <w:t xml:space="preserve">If trading in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w:t>
      </w:r>
      <w:r w:rsidRPr="00924FFB">
        <w:rPr>
          <w:rFonts w:cs="Tahoma"/>
          <w:lang w:val="en-US"/>
        </w:rPr>
        <w:t xml:space="preserve">has been </w:t>
      </w:r>
      <w:r w:rsidRPr="00924FFB">
        <w:rPr>
          <w:rFonts w:cs="Tahoma"/>
          <w:lang w:val="en-US"/>
        </w:rPr>
        <w:t xml:space="preserve">suspended for more than one trading day, the price measured in Indices shall remain equal to the last price that had been calculated before the suspension. </w:t>
      </w:r>
    </w:p>
    <w:p w14:paraId="07B7F1E2" w14:textId="77777777" w:rsidR="003C4CEE" w:rsidRPr="00924FFB" w:rsidRDefault="003C4CEE" w:rsidP="003C4CEE">
      <w:pPr>
        <w:pStyle w:val="af4"/>
        <w:numPr>
          <w:ilvl w:val="2"/>
          <w:numId w:val="8"/>
        </w:numPr>
        <w:ind w:left="1418" w:hanging="698"/>
        <w:jc w:val="both"/>
        <w:rPr>
          <w:rFonts w:cs="Tahoma"/>
          <w:lang w:val="en-US"/>
        </w:rPr>
      </w:pPr>
      <w:r w:rsidRPr="00924FFB">
        <w:rPr>
          <w:rFonts w:cs="Tahoma"/>
          <w:lang w:val="en-US"/>
        </w:rPr>
        <w:t xml:space="preserve">In case of a split or reverse split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Stocks on the day the resulting stocks issue, which the mentioned Stock was converted into due to their consolidation or split, is admitted to trading the Exchange recalculates the total number of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Stocks (Q</w:t>
      </w:r>
      <w:r w:rsidRPr="00924FFB">
        <w:rPr>
          <w:rFonts w:cs="Tahoma"/>
          <w:vertAlign w:val="subscript"/>
          <w:lang w:val="en-US"/>
        </w:rPr>
        <w:t>i</w:t>
      </w:r>
      <w:r w:rsidRPr="00924FFB">
        <w:rPr>
          <w:rFonts w:cs="Tahoma"/>
          <w:lang w:val="en-US"/>
        </w:rPr>
        <w:t xml:space="preserve">) and the price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(P</w:t>
      </w:r>
      <w:r w:rsidRPr="00924FFB">
        <w:rPr>
          <w:rFonts w:cs="Tahoma"/>
          <w:vertAlign w:val="subscript"/>
          <w:lang w:val="en-US"/>
        </w:rPr>
        <w:t>i</w:t>
      </w:r>
      <w:r w:rsidRPr="00924FFB">
        <w:rPr>
          <w:rFonts w:cs="Tahoma"/>
          <w:lang w:val="en-US"/>
        </w:rPr>
        <w:t xml:space="preserve">), that was computed by the results of trading on the day preceding the day specified. During the recalculation the total number of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Stocks (Q</w:t>
      </w:r>
      <w:r w:rsidRPr="00924FFB">
        <w:rPr>
          <w:rFonts w:cs="Tahoma"/>
          <w:vertAlign w:val="subscript"/>
          <w:lang w:val="en-US"/>
        </w:rPr>
        <w:t>i</w:t>
      </w:r>
      <w:r w:rsidRPr="00924FFB">
        <w:rPr>
          <w:rFonts w:cs="Tahoma"/>
          <w:lang w:val="en-US"/>
        </w:rPr>
        <w:t xml:space="preserve">) is multiplied by the split ratio or divided by the reverse split ratio, and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Stock’s price (P</w:t>
      </w:r>
      <w:r w:rsidRPr="00924FFB">
        <w:rPr>
          <w:rFonts w:cs="Tahoma"/>
          <w:vertAlign w:val="subscript"/>
          <w:lang w:val="en-US"/>
        </w:rPr>
        <w:t>i</w:t>
      </w:r>
      <w:r w:rsidRPr="00924FFB">
        <w:rPr>
          <w:rFonts w:cs="Tahoma"/>
          <w:lang w:val="en-US"/>
        </w:rPr>
        <w:t>) is divided by the split ratio or multiplied by the reverse split ratio.</w:t>
      </w:r>
    </w:p>
    <w:bookmarkEnd w:id="170"/>
    <w:p w14:paraId="4294DD0D" w14:textId="4DAB6FFB" w:rsidR="00242122" w:rsidRPr="00924FFB" w:rsidRDefault="003C4CEE" w:rsidP="001857E3">
      <w:pPr>
        <w:pStyle w:val="af4"/>
        <w:numPr>
          <w:ilvl w:val="2"/>
          <w:numId w:val="8"/>
        </w:numPr>
        <w:ind w:left="1418" w:hanging="698"/>
        <w:jc w:val="both"/>
        <w:rPr>
          <w:rFonts w:cs="Tahoma"/>
          <w:lang w:val="en-US"/>
        </w:rPr>
      </w:pPr>
      <w:r w:rsidRPr="00924FFB">
        <w:rPr>
          <w:rFonts w:cs="Tahoma"/>
          <w:lang w:val="en-US"/>
        </w:rPr>
        <w:t xml:space="preserve">Upon the reorganization of </w:t>
      </w:r>
      <w:r w:rsidRPr="00924FFB">
        <w:rPr>
          <w:rFonts w:cs="Tahoma"/>
          <w:lang w:val="en-US"/>
        </w:rPr>
        <w:t xml:space="preserve">a joint stock company, the price of </w:t>
      </w:r>
      <w:r w:rsidRPr="00924FFB">
        <w:rPr>
          <w:rFonts w:cs="Tahoma"/>
          <w:lang w:val="en-US"/>
        </w:rPr>
        <w:t>the company’s stock</w:t>
      </w:r>
      <w:r w:rsidRPr="00924FFB">
        <w:rPr>
          <w:rFonts w:cs="Tahoma"/>
          <w:lang w:val="en-US"/>
        </w:rPr>
        <w:t xml:space="preserve"> is </w:t>
      </w:r>
      <w:r w:rsidRPr="00924FFB">
        <w:rPr>
          <w:rFonts w:cs="Tahoma"/>
          <w:lang w:val="en-US"/>
        </w:rPr>
        <w:t>set to be the closing price of the previous day</w:t>
      </w:r>
      <w:r w:rsidRPr="00924FFB">
        <w:rPr>
          <w:rFonts w:cs="Tahoma"/>
          <w:lang w:val="en-US"/>
        </w:rPr>
        <w:t xml:space="preserve">. Depending on the results of the </w:t>
      </w:r>
      <w:proofErr w:type="spellStart"/>
      <w:r w:rsidRPr="00924FFB">
        <w:rPr>
          <w:rFonts w:cs="Tahoma"/>
          <w:lang w:val="en-US"/>
        </w:rPr>
        <w:t>reorganisation</w:t>
      </w:r>
      <w:proofErr w:type="spellEnd"/>
      <w:r w:rsidRPr="00924FFB">
        <w:rPr>
          <w:rFonts w:cs="Tahoma"/>
          <w:lang w:val="en-US"/>
        </w:rPr>
        <w:t xml:space="preserve">, </w:t>
      </w:r>
      <w:r w:rsidRPr="00924FFB">
        <w:rPr>
          <w:rFonts w:cs="Tahoma"/>
          <w:lang w:val="en-US"/>
        </w:rPr>
        <w:t xml:space="preserve">the price and/or other parameters of the stock </w:t>
      </w:r>
      <w:r w:rsidRPr="00924FFB">
        <w:rPr>
          <w:rFonts w:cs="Tahoma"/>
          <w:lang w:val="en-US"/>
        </w:rPr>
        <w:t>can be then adjusted</w:t>
      </w:r>
      <w:r w:rsidR="001857E3" w:rsidRPr="00924FFB">
        <w:rPr>
          <w:rFonts w:cs="Tahoma"/>
          <w:lang w:val="en-US"/>
        </w:rPr>
        <w:t xml:space="preserve">. The day the parameters are fixed as well as terms on which the parameters </w:t>
      </w:r>
      <w:proofErr w:type="gramStart"/>
      <w:r w:rsidR="001857E3" w:rsidRPr="00924FFB">
        <w:rPr>
          <w:rFonts w:cs="Tahoma"/>
          <w:lang w:val="en-US"/>
        </w:rPr>
        <w:t>are allowed to</w:t>
      </w:r>
      <w:proofErr w:type="gramEnd"/>
      <w:r w:rsidR="001857E3" w:rsidRPr="00924FFB">
        <w:rPr>
          <w:rFonts w:cs="Tahoma"/>
          <w:lang w:val="en-US"/>
        </w:rPr>
        <w:t xml:space="preserve"> be changed again are based on expert opinion.</w:t>
      </w:r>
    </w:p>
    <w:sectPr w:rsidR="00242122" w:rsidRPr="00924FFB" w:rsidSect="007867D6">
      <w:footerReference w:type="even" r:id="rId13"/>
      <w:footerReference w:type="default" r:id="rId14"/>
      <w:footerReference w:type="first" r:id="rId15"/>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F1B91" w14:textId="77777777" w:rsidR="00ED13E2" w:rsidRDefault="00ED13E2">
      <w:r>
        <w:separator/>
      </w:r>
    </w:p>
    <w:p w14:paraId="66115DAB" w14:textId="77777777" w:rsidR="00ED13E2" w:rsidRDefault="00ED13E2"/>
    <w:p w14:paraId="43435AB6" w14:textId="77777777" w:rsidR="00ED13E2" w:rsidRDefault="00ED13E2" w:rsidP="00AF15EE">
      <w:pPr>
        <w:numPr>
          <w:ilvl w:val="2"/>
          <w:numId w:val="1"/>
        </w:numPr>
      </w:pPr>
    </w:p>
  </w:endnote>
  <w:endnote w:type="continuationSeparator" w:id="0">
    <w:p w14:paraId="1ECEDD5D" w14:textId="77777777" w:rsidR="00ED13E2" w:rsidRDefault="00ED13E2">
      <w:r>
        <w:continuationSeparator/>
      </w:r>
    </w:p>
    <w:p w14:paraId="010F0AB0" w14:textId="77777777" w:rsidR="00ED13E2" w:rsidRDefault="00ED13E2"/>
    <w:p w14:paraId="3919A382" w14:textId="77777777" w:rsidR="00ED13E2" w:rsidRDefault="00ED13E2" w:rsidP="00AF15EE">
      <w:pPr>
        <w:numPr>
          <w:ilvl w:val="2"/>
          <w:numId w:val="1"/>
        </w:numPr>
      </w:pPr>
    </w:p>
  </w:endnote>
  <w:endnote w:type="continuationNotice" w:id="1">
    <w:p w14:paraId="1E4C6EB3" w14:textId="77777777" w:rsidR="00ED13E2" w:rsidRDefault="00ED13E2"/>
    <w:p w14:paraId="753F826B" w14:textId="77777777" w:rsidR="00ED13E2" w:rsidRDefault="00ED13E2"/>
    <w:p w14:paraId="207B4852" w14:textId="77777777" w:rsidR="00ED13E2" w:rsidRDefault="00ED13E2"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10EBF" w14:textId="77777777" w:rsidR="00ED13E2" w:rsidRDefault="00ED13E2"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ED13E2" w:rsidRDefault="00ED13E2"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4D826" w14:textId="5DDB46CA" w:rsidR="00ED13E2" w:rsidRPr="006D19CD" w:rsidRDefault="00ED13E2"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2D95139B" w14:textId="77777777" w:rsidR="00ED13E2" w:rsidRDefault="00ED13E2"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92BD5" w14:textId="77777777" w:rsidR="00ED13E2" w:rsidRDefault="00ED13E2"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ED13E2" w:rsidRDefault="00ED13E2"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D7A35" w14:textId="4745128D" w:rsidR="00ED13E2" w:rsidRPr="006D19CD" w:rsidRDefault="00ED13E2"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Pr>
        <w:rStyle w:val="ab"/>
        <w:rFonts w:ascii="Arial" w:hAnsi="Arial" w:cs="Arial"/>
        <w:noProof/>
        <w:szCs w:val="20"/>
      </w:rPr>
      <w:t>17</w:t>
    </w:r>
    <w:r w:rsidRPr="006D19CD">
      <w:rPr>
        <w:rStyle w:val="ab"/>
        <w:rFonts w:ascii="Arial" w:hAnsi="Arial" w:cs="Arial"/>
        <w:szCs w:val="20"/>
      </w:rPr>
      <w:fldChar w:fldCharType="end"/>
    </w:r>
  </w:p>
  <w:p w14:paraId="60C61560" w14:textId="77777777" w:rsidR="00ED13E2" w:rsidRDefault="00ED13E2"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F81FA" w14:textId="32A224AF" w:rsidR="00ED13E2" w:rsidRPr="00B21DBA" w:rsidRDefault="00ED13E2"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Pr>
        <w:rStyle w:val="ab"/>
        <w:rFonts w:ascii="Arial" w:hAnsi="Arial" w:cs="Arial"/>
        <w:noProof/>
        <w:szCs w:val="20"/>
      </w:rPr>
      <w:t>2</w:t>
    </w:r>
    <w:r w:rsidRPr="00B21DBA">
      <w:rPr>
        <w:rStyle w:val="ab"/>
        <w:rFonts w:ascii="Arial" w:hAnsi="Arial" w:cs="Arial"/>
        <w:szCs w:val="20"/>
      </w:rPr>
      <w:fldChar w:fldCharType="end"/>
    </w:r>
  </w:p>
  <w:p w14:paraId="47DA482F" w14:textId="77777777" w:rsidR="00ED13E2" w:rsidRDefault="00ED13E2"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E51C3" w14:textId="77777777" w:rsidR="00ED13E2" w:rsidRDefault="00ED13E2">
      <w:r>
        <w:separator/>
      </w:r>
    </w:p>
    <w:p w14:paraId="6CB39F39" w14:textId="77777777" w:rsidR="00ED13E2" w:rsidRDefault="00ED13E2"/>
    <w:p w14:paraId="41F03170" w14:textId="77777777" w:rsidR="00ED13E2" w:rsidRDefault="00ED13E2" w:rsidP="00AF15EE">
      <w:pPr>
        <w:numPr>
          <w:ilvl w:val="2"/>
          <w:numId w:val="1"/>
        </w:numPr>
      </w:pPr>
    </w:p>
  </w:footnote>
  <w:footnote w:type="continuationSeparator" w:id="0">
    <w:p w14:paraId="025B6F3D" w14:textId="77777777" w:rsidR="00ED13E2" w:rsidRDefault="00ED13E2">
      <w:r>
        <w:continuationSeparator/>
      </w:r>
    </w:p>
    <w:p w14:paraId="08C725FE" w14:textId="77777777" w:rsidR="00ED13E2" w:rsidRDefault="00ED13E2"/>
    <w:p w14:paraId="5B0948E8" w14:textId="77777777" w:rsidR="00ED13E2" w:rsidRDefault="00ED13E2" w:rsidP="00AF15EE">
      <w:pPr>
        <w:numPr>
          <w:ilvl w:val="2"/>
          <w:numId w:val="1"/>
        </w:numPr>
      </w:pPr>
    </w:p>
  </w:footnote>
  <w:footnote w:type="continuationNotice" w:id="1">
    <w:p w14:paraId="1AB01880" w14:textId="77777777" w:rsidR="00ED13E2" w:rsidRDefault="00ED13E2"/>
    <w:p w14:paraId="70A8A523" w14:textId="77777777" w:rsidR="00ED13E2" w:rsidRDefault="00ED13E2"/>
    <w:p w14:paraId="10D42A3A" w14:textId="77777777" w:rsidR="00ED13E2" w:rsidRDefault="00ED13E2"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B347E"/>
    <w:multiLevelType w:val="multilevel"/>
    <w:tmpl w:val="F4F60DB4"/>
    <w:lvl w:ilvl="0">
      <w:start w:val="1"/>
      <w:numFmt w:val="decimal"/>
      <w:lvlText w:val="%1."/>
      <w:lvlJc w:val="left"/>
      <w:pPr>
        <w:tabs>
          <w:tab w:val="num" w:pos="0"/>
        </w:tabs>
        <w:ind w:left="0" w:firstLine="0"/>
      </w:pPr>
      <w:rPr>
        <w:rFonts w:ascii="Arial" w:hAnsi="Arial" w:hint="default"/>
        <w:b/>
        <w:i w:val="0"/>
        <w:sz w:val="24"/>
        <w:szCs w:val="24"/>
      </w:rPr>
    </w:lvl>
    <w:lvl w:ilvl="1">
      <w:start w:val="1"/>
      <w:numFmt w:val="decimal"/>
      <w:lvlText w:val="%1.%2."/>
      <w:lvlJc w:val="left"/>
      <w:pPr>
        <w:tabs>
          <w:tab w:val="num" w:pos="1142"/>
        </w:tabs>
        <w:ind w:left="1142" w:hanging="432"/>
      </w:pPr>
      <w:rPr>
        <w:rFonts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217B14E4"/>
    <w:multiLevelType w:val="multilevel"/>
    <w:tmpl w:val="AA7E339C"/>
    <w:numStyleLink w:val="3"/>
  </w:abstractNum>
  <w:abstractNum w:abstractNumId="5"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6"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7" w15:restartNumberingAfterBreak="0">
    <w:nsid w:val="540C289A"/>
    <w:multiLevelType w:val="multilevel"/>
    <w:tmpl w:val="AA7E339C"/>
    <w:numStyleLink w:val="3"/>
  </w:abstractNum>
  <w:abstractNum w:abstractNumId="8" w15:restartNumberingAfterBreak="0">
    <w:nsid w:val="5A6634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925BD8"/>
    <w:multiLevelType w:val="hybridMultilevel"/>
    <w:tmpl w:val="76201A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7"/>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5"/>
  </w:num>
  <w:num w:numId="3">
    <w:abstractNumId w:val="3"/>
  </w:num>
  <w:num w:numId="4">
    <w:abstractNumId w:val="1"/>
  </w:num>
  <w:num w:numId="5">
    <w:abstractNumId w:val="10"/>
  </w:num>
  <w:num w:numId="6">
    <w:abstractNumId w:val="6"/>
  </w:num>
  <w:num w:numId="7">
    <w:abstractNumId w:val="4"/>
  </w:num>
  <w:num w:numId="8">
    <w:abstractNumId w:val="8"/>
  </w:num>
  <w:num w:numId="9">
    <w:abstractNumId w:val="7"/>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lang w:val="en-US"/>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0">
    <w:abstractNumId w:val="9"/>
  </w:num>
  <w:num w:numId="11">
    <w:abstractNumId w:val="2"/>
  </w:num>
  <w:num w:numId="12">
    <w:abstractNumId w:val="7"/>
    <w:lvlOverride w:ilvl="2">
      <w:lvl w:ilvl="2">
        <w:start w:val="1"/>
        <w:numFmt w:val="decimal"/>
        <w:lvlText w:val="%1.%2.%3."/>
        <w:lvlJc w:val="left"/>
        <w:pPr>
          <w:ind w:left="3628" w:hanging="793"/>
        </w:pPr>
        <w:rPr>
          <w:rFonts w:ascii="Tahoma" w:hAnsi="Tahoma" w:hint="default"/>
          <w:b/>
          <w:sz w:val="20"/>
          <w:szCs w:val="24"/>
        </w:rPr>
      </w:lvl>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1EAE"/>
    <w:rsid w:val="00002656"/>
    <w:rsid w:val="00002D56"/>
    <w:rsid w:val="0000383E"/>
    <w:rsid w:val="00003F00"/>
    <w:rsid w:val="00004338"/>
    <w:rsid w:val="000052C9"/>
    <w:rsid w:val="000057B1"/>
    <w:rsid w:val="00005C3D"/>
    <w:rsid w:val="000068BE"/>
    <w:rsid w:val="00006A72"/>
    <w:rsid w:val="00006E2C"/>
    <w:rsid w:val="000100A0"/>
    <w:rsid w:val="000100E5"/>
    <w:rsid w:val="0001012F"/>
    <w:rsid w:val="00010ACF"/>
    <w:rsid w:val="00010E7F"/>
    <w:rsid w:val="0001151C"/>
    <w:rsid w:val="00012255"/>
    <w:rsid w:val="00012E12"/>
    <w:rsid w:val="00013416"/>
    <w:rsid w:val="00013591"/>
    <w:rsid w:val="00013643"/>
    <w:rsid w:val="00014370"/>
    <w:rsid w:val="00014845"/>
    <w:rsid w:val="00014E31"/>
    <w:rsid w:val="0001534B"/>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898"/>
    <w:rsid w:val="000219EE"/>
    <w:rsid w:val="00021C8C"/>
    <w:rsid w:val="00022191"/>
    <w:rsid w:val="00022588"/>
    <w:rsid w:val="00022670"/>
    <w:rsid w:val="00022F3B"/>
    <w:rsid w:val="000231AC"/>
    <w:rsid w:val="00023392"/>
    <w:rsid w:val="000240F9"/>
    <w:rsid w:val="00024CB3"/>
    <w:rsid w:val="00025299"/>
    <w:rsid w:val="00025FC5"/>
    <w:rsid w:val="00026638"/>
    <w:rsid w:val="000266F8"/>
    <w:rsid w:val="00026913"/>
    <w:rsid w:val="00026E60"/>
    <w:rsid w:val="00027A8F"/>
    <w:rsid w:val="000303EA"/>
    <w:rsid w:val="0003044C"/>
    <w:rsid w:val="00031091"/>
    <w:rsid w:val="000310D1"/>
    <w:rsid w:val="00031AA3"/>
    <w:rsid w:val="00031AEC"/>
    <w:rsid w:val="00031D62"/>
    <w:rsid w:val="00032240"/>
    <w:rsid w:val="00032842"/>
    <w:rsid w:val="00032AAC"/>
    <w:rsid w:val="00032CAE"/>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DBD"/>
    <w:rsid w:val="00041783"/>
    <w:rsid w:val="00041BAD"/>
    <w:rsid w:val="0004241E"/>
    <w:rsid w:val="000424CB"/>
    <w:rsid w:val="000426EF"/>
    <w:rsid w:val="00042BAB"/>
    <w:rsid w:val="00042CA2"/>
    <w:rsid w:val="000436DE"/>
    <w:rsid w:val="0004480F"/>
    <w:rsid w:val="00044C15"/>
    <w:rsid w:val="00044EB9"/>
    <w:rsid w:val="00045603"/>
    <w:rsid w:val="00045D5E"/>
    <w:rsid w:val="00046036"/>
    <w:rsid w:val="00047157"/>
    <w:rsid w:val="000476B3"/>
    <w:rsid w:val="00047C94"/>
    <w:rsid w:val="00047EAF"/>
    <w:rsid w:val="00050071"/>
    <w:rsid w:val="000501B8"/>
    <w:rsid w:val="000503C8"/>
    <w:rsid w:val="000504C8"/>
    <w:rsid w:val="00050707"/>
    <w:rsid w:val="000509C7"/>
    <w:rsid w:val="0005136E"/>
    <w:rsid w:val="00051550"/>
    <w:rsid w:val="00051DBF"/>
    <w:rsid w:val="00051F6A"/>
    <w:rsid w:val="000525F7"/>
    <w:rsid w:val="00052C04"/>
    <w:rsid w:val="00053C47"/>
    <w:rsid w:val="00053E5F"/>
    <w:rsid w:val="00053FFB"/>
    <w:rsid w:val="0005407A"/>
    <w:rsid w:val="000548FC"/>
    <w:rsid w:val="0005502D"/>
    <w:rsid w:val="000551A3"/>
    <w:rsid w:val="00056219"/>
    <w:rsid w:val="000564B6"/>
    <w:rsid w:val="000567D3"/>
    <w:rsid w:val="00056A65"/>
    <w:rsid w:val="00056B38"/>
    <w:rsid w:val="00056F15"/>
    <w:rsid w:val="00060117"/>
    <w:rsid w:val="00060B07"/>
    <w:rsid w:val="00060CA6"/>
    <w:rsid w:val="00061BC0"/>
    <w:rsid w:val="00061CDC"/>
    <w:rsid w:val="00061D41"/>
    <w:rsid w:val="00062315"/>
    <w:rsid w:val="000626A7"/>
    <w:rsid w:val="00062FF5"/>
    <w:rsid w:val="00063939"/>
    <w:rsid w:val="000647C9"/>
    <w:rsid w:val="000649D0"/>
    <w:rsid w:val="00064D01"/>
    <w:rsid w:val="0006501B"/>
    <w:rsid w:val="00065192"/>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4E0"/>
    <w:rsid w:val="00073E13"/>
    <w:rsid w:val="00075293"/>
    <w:rsid w:val="00075ACB"/>
    <w:rsid w:val="00076644"/>
    <w:rsid w:val="00076956"/>
    <w:rsid w:val="00076C1D"/>
    <w:rsid w:val="00076D09"/>
    <w:rsid w:val="000779DD"/>
    <w:rsid w:val="000801B5"/>
    <w:rsid w:val="00080249"/>
    <w:rsid w:val="00080CBE"/>
    <w:rsid w:val="00080DAB"/>
    <w:rsid w:val="00080FD4"/>
    <w:rsid w:val="00081644"/>
    <w:rsid w:val="00081747"/>
    <w:rsid w:val="00081E1F"/>
    <w:rsid w:val="00082414"/>
    <w:rsid w:val="0008280D"/>
    <w:rsid w:val="000828B5"/>
    <w:rsid w:val="00082DB5"/>
    <w:rsid w:val="00083576"/>
    <w:rsid w:val="00083708"/>
    <w:rsid w:val="0008386E"/>
    <w:rsid w:val="00084F5E"/>
    <w:rsid w:val="00084FE6"/>
    <w:rsid w:val="00085DDB"/>
    <w:rsid w:val="00085E56"/>
    <w:rsid w:val="00085FB5"/>
    <w:rsid w:val="00086165"/>
    <w:rsid w:val="000861D6"/>
    <w:rsid w:val="00086286"/>
    <w:rsid w:val="00086554"/>
    <w:rsid w:val="00086564"/>
    <w:rsid w:val="00086B7B"/>
    <w:rsid w:val="00086BDD"/>
    <w:rsid w:val="00087757"/>
    <w:rsid w:val="00087A16"/>
    <w:rsid w:val="000902D5"/>
    <w:rsid w:val="00090308"/>
    <w:rsid w:val="000906E4"/>
    <w:rsid w:val="00091191"/>
    <w:rsid w:val="000913A3"/>
    <w:rsid w:val="000917F2"/>
    <w:rsid w:val="00091813"/>
    <w:rsid w:val="000925DD"/>
    <w:rsid w:val="00092AAF"/>
    <w:rsid w:val="00092D8B"/>
    <w:rsid w:val="000931B5"/>
    <w:rsid w:val="000931D7"/>
    <w:rsid w:val="0009352D"/>
    <w:rsid w:val="0009365E"/>
    <w:rsid w:val="00093AB8"/>
    <w:rsid w:val="00093D87"/>
    <w:rsid w:val="00094086"/>
    <w:rsid w:val="000942E0"/>
    <w:rsid w:val="00094427"/>
    <w:rsid w:val="000953B8"/>
    <w:rsid w:val="000956B4"/>
    <w:rsid w:val="000963A8"/>
    <w:rsid w:val="00096A43"/>
    <w:rsid w:val="00096B71"/>
    <w:rsid w:val="00096D4A"/>
    <w:rsid w:val="00097DAB"/>
    <w:rsid w:val="00097E08"/>
    <w:rsid w:val="00097ED3"/>
    <w:rsid w:val="00097F55"/>
    <w:rsid w:val="000A011A"/>
    <w:rsid w:val="000A04C9"/>
    <w:rsid w:val="000A0B1A"/>
    <w:rsid w:val="000A0F47"/>
    <w:rsid w:val="000A0FAE"/>
    <w:rsid w:val="000A1345"/>
    <w:rsid w:val="000A1533"/>
    <w:rsid w:val="000A1E99"/>
    <w:rsid w:val="000A2AE6"/>
    <w:rsid w:val="000A2E7A"/>
    <w:rsid w:val="000A37C8"/>
    <w:rsid w:val="000A3DD9"/>
    <w:rsid w:val="000A3E40"/>
    <w:rsid w:val="000A40DC"/>
    <w:rsid w:val="000A4185"/>
    <w:rsid w:val="000A430C"/>
    <w:rsid w:val="000A4ACC"/>
    <w:rsid w:val="000A4E4D"/>
    <w:rsid w:val="000A5364"/>
    <w:rsid w:val="000A5803"/>
    <w:rsid w:val="000A5A11"/>
    <w:rsid w:val="000A5A16"/>
    <w:rsid w:val="000A5AAA"/>
    <w:rsid w:val="000A6293"/>
    <w:rsid w:val="000A6C67"/>
    <w:rsid w:val="000A7EE3"/>
    <w:rsid w:val="000B00A4"/>
    <w:rsid w:val="000B02C1"/>
    <w:rsid w:val="000B11D5"/>
    <w:rsid w:val="000B1512"/>
    <w:rsid w:val="000B1E75"/>
    <w:rsid w:val="000B1FF5"/>
    <w:rsid w:val="000B2C65"/>
    <w:rsid w:val="000B4506"/>
    <w:rsid w:val="000B4D6B"/>
    <w:rsid w:val="000B5305"/>
    <w:rsid w:val="000B5B7B"/>
    <w:rsid w:val="000B5E97"/>
    <w:rsid w:val="000B624A"/>
    <w:rsid w:val="000B65EB"/>
    <w:rsid w:val="000B65FE"/>
    <w:rsid w:val="000B665E"/>
    <w:rsid w:val="000B6C13"/>
    <w:rsid w:val="000B6C22"/>
    <w:rsid w:val="000B6EA2"/>
    <w:rsid w:val="000B718E"/>
    <w:rsid w:val="000B73A1"/>
    <w:rsid w:val="000B7444"/>
    <w:rsid w:val="000B751D"/>
    <w:rsid w:val="000B75AE"/>
    <w:rsid w:val="000B7805"/>
    <w:rsid w:val="000C0484"/>
    <w:rsid w:val="000C0600"/>
    <w:rsid w:val="000C173A"/>
    <w:rsid w:val="000C1757"/>
    <w:rsid w:val="000C1BCB"/>
    <w:rsid w:val="000C1C63"/>
    <w:rsid w:val="000C249A"/>
    <w:rsid w:val="000C2CDE"/>
    <w:rsid w:val="000C2E10"/>
    <w:rsid w:val="000C357E"/>
    <w:rsid w:val="000C36B0"/>
    <w:rsid w:val="000C373D"/>
    <w:rsid w:val="000C378F"/>
    <w:rsid w:val="000C5519"/>
    <w:rsid w:val="000C6325"/>
    <w:rsid w:val="000C6339"/>
    <w:rsid w:val="000C68F9"/>
    <w:rsid w:val="000C6B26"/>
    <w:rsid w:val="000C726B"/>
    <w:rsid w:val="000C7A80"/>
    <w:rsid w:val="000C7E51"/>
    <w:rsid w:val="000C7F6A"/>
    <w:rsid w:val="000D032C"/>
    <w:rsid w:val="000D1663"/>
    <w:rsid w:val="000D1A82"/>
    <w:rsid w:val="000D22D0"/>
    <w:rsid w:val="000D2F85"/>
    <w:rsid w:val="000D323E"/>
    <w:rsid w:val="000D4911"/>
    <w:rsid w:val="000D4A27"/>
    <w:rsid w:val="000D5344"/>
    <w:rsid w:val="000D5393"/>
    <w:rsid w:val="000D634E"/>
    <w:rsid w:val="000D6519"/>
    <w:rsid w:val="000D6EBA"/>
    <w:rsid w:val="000D775B"/>
    <w:rsid w:val="000D77A7"/>
    <w:rsid w:val="000D7A1F"/>
    <w:rsid w:val="000D7CEF"/>
    <w:rsid w:val="000E07BD"/>
    <w:rsid w:val="000E0D81"/>
    <w:rsid w:val="000E0ECB"/>
    <w:rsid w:val="000E115A"/>
    <w:rsid w:val="000E12E7"/>
    <w:rsid w:val="000E14E3"/>
    <w:rsid w:val="000E179D"/>
    <w:rsid w:val="000E1CFA"/>
    <w:rsid w:val="000E1D27"/>
    <w:rsid w:val="000E1F4C"/>
    <w:rsid w:val="000E2543"/>
    <w:rsid w:val="000E2701"/>
    <w:rsid w:val="000E2749"/>
    <w:rsid w:val="000E2D69"/>
    <w:rsid w:val="000E2EED"/>
    <w:rsid w:val="000E38EB"/>
    <w:rsid w:val="000E3FB7"/>
    <w:rsid w:val="000E47DD"/>
    <w:rsid w:val="000E48CF"/>
    <w:rsid w:val="000E4CD8"/>
    <w:rsid w:val="000E50D7"/>
    <w:rsid w:val="000E5342"/>
    <w:rsid w:val="000E5383"/>
    <w:rsid w:val="000E5463"/>
    <w:rsid w:val="000E5682"/>
    <w:rsid w:val="000E63A5"/>
    <w:rsid w:val="000E647D"/>
    <w:rsid w:val="000E660C"/>
    <w:rsid w:val="000E6CAA"/>
    <w:rsid w:val="000E74E0"/>
    <w:rsid w:val="000E7816"/>
    <w:rsid w:val="000E7B03"/>
    <w:rsid w:val="000F0106"/>
    <w:rsid w:val="000F06A3"/>
    <w:rsid w:val="000F1127"/>
    <w:rsid w:val="000F12E3"/>
    <w:rsid w:val="000F13C1"/>
    <w:rsid w:val="000F14F3"/>
    <w:rsid w:val="000F24C4"/>
    <w:rsid w:val="000F28A8"/>
    <w:rsid w:val="000F2B92"/>
    <w:rsid w:val="000F32D3"/>
    <w:rsid w:val="000F36F9"/>
    <w:rsid w:val="000F37B6"/>
    <w:rsid w:val="000F3B2B"/>
    <w:rsid w:val="000F467C"/>
    <w:rsid w:val="000F4CD4"/>
    <w:rsid w:val="000F54E2"/>
    <w:rsid w:val="000F5C30"/>
    <w:rsid w:val="000F5F99"/>
    <w:rsid w:val="000F61D1"/>
    <w:rsid w:val="000F64BE"/>
    <w:rsid w:val="000F7EB2"/>
    <w:rsid w:val="000F7FE1"/>
    <w:rsid w:val="0010094A"/>
    <w:rsid w:val="00100A9E"/>
    <w:rsid w:val="00100BF6"/>
    <w:rsid w:val="0010132C"/>
    <w:rsid w:val="00101C6B"/>
    <w:rsid w:val="0010201F"/>
    <w:rsid w:val="001020D6"/>
    <w:rsid w:val="0010277F"/>
    <w:rsid w:val="00103726"/>
    <w:rsid w:val="001037DA"/>
    <w:rsid w:val="00103B76"/>
    <w:rsid w:val="00103D61"/>
    <w:rsid w:val="00103E59"/>
    <w:rsid w:val="00104E49"/>
    <w:rsid w:val="00105CF2"/>
    <w:rsid w:val="00106C26"/>
    <w:rsid w:val="00106E61"/>
    <w:rsid w:val="00107277"/>
    <w:rsid w:val="001104E8"/>
    <w:rsid w:val="00110585"/>
    <w:rsid w:val="00110F5E"/>
    <w:rsid w:val="00110FC6"/>
    <w:rsid w:val="00110FD1"/>
    <w:rsid w:val="0011179C"/>
    <w:rsid w:val="0011219F"/>
    <w:rsid w:val="0011263A"/>
    <w:rsid w:val="00112A72"/>
    <w:rsid w:val="00112ECE"/>
    <w:rsid w:val="00113288"/>
    <w:rsid w:val="0011386E"/>
    <w:rsid w:val="0011394E"/>
    <w:rsid w:val="00113FD3"/>
    <w:rsid w:val="001152A9"/>
    <w:rsid w:val="00115892"/>
    <w:rsid w:val="00115BB1"/>
    <w:rsid w:val="00116538"/>
    <w:rsid w:val="00116B11"/>
    <w:rsid w:val="001173DD"/>
    <w:rsid w:val="00117889"/>
    <w:rsid w:val="00117E1B"/>
    <w:rsid w:val="00117F67"/>
    <w:rsid w:val="001204A6"/>
    <w:rsid w:val="0012282C"/>
    <w:rsid w:val="001229D2"/>
    <w:rsid w:val="00122C72"/>
    <w:rsid w:val="00122E3F"/>
    <w:rsid w:val="0012338F"/>
    <w:rsid w:val="00123628"/>
    <w:rsid w:val="001236D6"/>
    <w:rsid w:val="001241CB"/>
    <w:rsid w:val="0012429E"/>
    <w:rsid w:val="00124330"/>
    <w:rsid w:val="00124668"/>
    <w:rsid w:val="00124788"/>
    <w:rsid w:val="0012485D"/>
    <w:rsid w:val="00124A91"/>
    <w:rsid w:val="001258DF"/>
    <w:rsid w:val="00125E61"/>
    <w:rsid w:val="0012650A"/>
    <w:rsid w:val="0012651F"/>
    <w:rsid w:val="00126D95"/>
    <w:rsid w:val="00127280"/>
    <w:rsid w:val="001276A9"/>
    <w:rsid w:val="001277FF"/>
    <w:rsid w:val="00127C49"/>
    <w:rsid w:val="00130079"/>
    <w:rsid w:val="00130910"/>
    <w:rsid w:val="00130BB6"/>
    <w:rsid w:val="00130FDE"/>
    <w:rsid w:val="00131179"/>
    <w:rsid w:val="0013140C"/>
    <w:rsid w:val="001318F7"/>
    <w:rsid w:val="00131CE4"/>
    <w:rsid w:val="00132035"/>
    <w:rsid w:val="0013255D"/>
    <w:rsid w:val="00132B59"/>
    <w:rsid w:val="00132C98"/>
    <w:rsid w:val="00132E3D"/>
    <w:rsid w:val="001339F7"/>
    <w:rsid w:val="00133D5D"/>
    <w:rsid w:val="00133E4F"/>
    <w:rsid w:val="0013455D"/>
    <w:rsid w:val="001345E4"/>
    <w:rsid w:val="0013499C"/>
    <w:rsid w:val="00135FEE"/>
    <w:rsid w:val="0013608E"/>
    <w:rsid w:val="00136B43"/>
    <w:rsid w:val="00137771"/>
    <w:rsid w:val="00137FBD"/>
    <w:rsid w:val="00140855"/>
    <w:rsid w:val="00140998"/>
    <w:rsid w:val="0014120D"/>
    <w:rsid w:val="00141AB6"/>
    <w:rsid w:val="00141CDA"/>
    <w:rsid w:val="001420C9"/>
    <w:rsid w:val="001424EB"/>
    <w:rsid w:val="001427EA"/>
    <w:rsid w:val="00142F36"/>
    <w:rsid w:val="00143312"/>
    <w:rsid w:val="0014348D"/>
    <w:rsid w:val="00143B90"/>
    <w:rsid w:val="00144549"/>
    <w:rsid w:val="001456C5"/>
    <w:rsid w:val="00146268"/>
    <w:rsid w:val="001467B6"/>
    <w:rsid w:val="00147470"/>
    <w:rsid w:val="0014798E"/>
    <w:rsid w:val="00147B9B"/>
    <w:rsid w:val="00147F06"/>
    <w:rsid w:val="0015039C"/>
    <w:rsid w:val="00150CE2"/>
    <w:rsid w:val="00151CEB"/>
    <w:rsid w:val="00152E26"/>
    <w:rsid w:val="00152FE9"/>
    <w:rsid w:val="001532B1"/>
    <w:rsid w:val="001532EC"/>
    <w:rsid w:val="00153377"/>
    <w:rsid w:val="00153981"/>
    <w:rsid w:val="00154120"/>
    <w:rsid w:val="00154165"/>
    <w:rsid w:val="00154263"/>
    <w:rsid w:val="00154853"/>
    <w:rsid w:val="00154C58"/>
    <w:rsid w:val="00155376"/>
    <w:rsid w:val="00155417"/>
    <w:rsid w:val="00155749"/>
    <w:rsid w:val="001557B7"/>
    <w:rsid w:val="001558B8"/>
    <w:rsid w:val="00155E15"/>
    <w:rsid w:val="00155EB6"/>
    <w:rsid w:val="00155EFA"/>
    <w:rsid w:val="0015748C"/>
    <w:rsid w:val="00160781"/>
    <w:rsid w:val="001607B0"/>
    <w:rsid w:val="00160DDA"/>
    <w:rsid w:val="00160E01"/>
    <w:rsid w:val="001616A6"/>
    <w:rsid w:val="00161F15"/>
    <w:rsid w:val="0016266D"/>
    <w:rsid w:val="0016273B"/>
    <w:rsid w:val="00162BD6"/>
    <w:rsid w:val="001635A3"/>
    <w:rsid w:val="00164358"/>
    <w:rsid w:val="00164AA9"/>
    <w:rsid w:val="00164C7E"/>
    <w:rsid w:val="00164E3A"/>
    <w:rsid w:val="00165044"/>
    <w:rsid w:val="0016508E"/>
    <w:rsid w:val="001659CF"/>
    <w:rsid w:val="00165EB7"/>
    <w:rsid w:val="0016601B"/>
    <w:rsid w:val="00166B4C"/>
    <w:rsid w:val="0016738B"/>
    <w:rsid w:val="001675DA"/>
    <w:rsid w:val="0016782C"/>
    <w:rsid w:val="0016797C"/>
    <w:rsid w:val="00167A8D"/>
    <w:rsid w:val="00167BA3"/>
    <w:rsid w:val="00170190"/>
    <w:rsid w:val="00170FD2"/>
    <w:rsid w:val="001723F2"/>
    <w:rsid w:val="001724EC"/>
    <w:rsid w:val="00172E7E"/>
    <w:rsid w:val="00172F22"/>
    <w:rsid w:val="0017428E"/>
    <w:rsid w:val="00174B8F"/>
    <w:rsid w:val="00174D14"/>
    <w:rsid w:val="00174E9F"/>
    <w:rsid w:val="001752E2"/>
    <w:rsid w:val="00175E40"/>
    <w:rsid w:val="00175FB5"/>
    <w:rsid w:val="001763AC"/>
    <w:rsid w:val="00176DC2"/>
    <w:rsid w:val="00177817"/>
    <w:rsid w:val="00177AEB"/>
    <w:rsid w:val="001811B5"/>
    <w:rsid w:val="001812DF"/>
    <w:rsid w:val="00182166"/>
    <w:rsid w:val="0018309C"/>
    <w:rsid w:val="00183A9D"/>
    <w:rsid w:val="001843B5"/>
    <w:rsid w:val="001844A9"/>
    <w:rsid w:val="0018455C"/>
    <w:rsid w:val="0018458C"/>
    <w:rsid w:val="00185247"/>
    <w:rsid w:val="001857E3"/>
    <w:rsid w:val="00185A65"/>
    <w:rsid w:val="00185FC1"/>
    <w:rsid w:val="001867C9"/>
    <w:rsid w:val="001869A1"/>
    <w:rsid w:val="00187104"/>
    <w:rsid w:val="00187B02"/>
    <w:rsid w:val="00187D5C"/>
    <w:rsid w:val="001903C8"/>
    <w:rsid w:val="0019064B"/>
    <w:rsid w:val="00191187"/>
    <w:rsid w:val="00192811"/>
    <w:rsid w:val="00192E76"/>
    <w:rsid w:val="00193002"/>
    <w:rsid w:val="00193B76"/>
    <w:rsid w:val="00194D13"/>
    <w:rsid w:val="00195886"/>
    <w:rsid w:val="00195963"/>
    <w:rsid w:val="00195BF6"/>
    <w:rsid w:val="00195C26"/>
    <w:rsid w:val="00196314"/>
    <w:rsid w:val="00196316"/>
    <w:rsid w:val="00196342"/>
    <w:rsid w:val="00196D37"/>
    <w:rsid w:val="00197390"/>
    <w:rsid w:val="001A0451"/>
    <w:rsid w:val="001A1388"/>
    <w:rsid w:val="001A178E"/>
    <w:rsid w:val="001A1823"/>
    <w:rsid w:val="001A1D4C"/>
    <w:rsid w:val="001A20B3"/>
    <w:rsid w:val="001A29C3"/>
    <w:rsid w:val="001A2CF0"/>
    <w:rsid w:val="001A30B4"/>
    <w:rsid w:val="001A32A1"/>
    <w:rsid w:val="001A3514"/>
    <w:rsid w:val="001A39A0"/>
    <w:rsid w:val="001A6606"/>
    <w:rsid w:val="001A668D"/>
    <w:rsid w:val="001A6712"/>
    <w:rsid w:val="001A6E35"/>
    <w:rsid w:val="001A7987"/>
    <w:rsid w:val="001A7AD7"/>
    <w:rsid w:val="001B031E"/>
    <w:rsid w:val="001B07D8"/>
    <w:rsid w:val="001B0EC5"/>
    <w:rsid w:val="001B0F73"/>
    <w:rsid w:val="001B17E2"/>
    <w:rsid w:val="001B2381"/>
    <w:rsid w:val="001B33BC"/>
    <w:rsid w:val="001B366D"/>
    <w:rsid w:val="001B3EB2"/>
    <w:rsid w:val="001B4068"/>
    <w:rsid w:val="001B4583"/>
    <w:rsid w:val="001B486B"/>
    <w:rsid w:val="001B4EAC"/>
    <w:rsid w:val="001B4FAA"/>
    <w:rsid w:val="001B5531"/>
    <w:rsid w:val="001B5883"/>
    <w:rsid w:val="001B6254"/>
    <w:rsid w:val="001B6275"/>
    <w:rsid w:val="001B630E"/>
    <w:rsid w:val="001B67FE"/>
    <w:rsid w:val="001B7A7D"/>
    <w:rsid w:val="001C008A"/>
    <w:rsid w:val="001C0143"/>
    <w:rsid w:val="001C0E5A"/>
    <w:rsid w:val="001C17A5"/>
    <w:rsid w:val="001C1E3E"/>
    <w:rsid w:val="001C26E8"/>
    <w:rsid w:val="001C281E"/>
    <w:rsid w:val="001C38BF"/>
    <w:rsid w:val="001C3B67"/>
    <w:rsid w:val="001C3FA9"/>
    <w:rsid w:val="001C4800"/>
    <w:rsid w:val="001C4A61"/>
    <w:rsid w:val="001C4E07"/>
    <w:rsid w:val="001C4FC7"/>
    <w:rsid w:val="001C5169"/>
    <w:rsid w:val="001C5B9F"/>
    <w:rsid w:val="001C63BF"/>
    <w:rsid w:val="001C652B"/>
    <w:rsid w:val="001C6EDB"/>
    <w:rsid w:val="001C7277"/>
    <w:rsid w:val="001C7496"/>
    <w:rsid w:val="001C79D2"/>
    <w:rsid w:val="001D0B14"/>
    <w:rsid w:val="001D0CCD"/>
    <w:rsid w:val="001D119D"/>
    <w:rsid w:val="001D1391"/>
    <w:rsid w:val="001D1641"/>
    <w:rsid w:val="001D1782"/>
    <w:rsid w:val="001D1A32"/>
    <w:rsid w:val="001D1B99"/>
    <w:rsid w:val="001D2032"/>
    <w:rsid w:val="001D2121"/>
    <w:rsid w:val="001D2D05"/>
    <w:rsid w:val="001D3A1F"/>
    <w:rsid w:val="001D4037"/>
    <w:rsid w:val="001D40E7"/>
    <w:rsid w:val="001D4692"/>
    <w:rsid w:val="001D487A"/>
    <w:rsid w:val="001D4F69"/>
    <w:rsid w:val="001D514A"/>
    <w:rsid w:val="001D57A7"/>
    <w:rsid w:val="001D5DE3"/>
    <w:rsid w:val="001D683D"/>
    <w:rsid w:val="001D69CE"/>
    <w:rsid w:val="001D6E0A"/>
    <w:rsid w:val="001D6E2F"/>
    <w:rsid w:val="001D7120"/>
    <w:rsid w:val="001E0165"/>
    <w:rsid w:val="001E072C"/>
    <w:rsid w:val="001E0929"/>
    <w:rsid w:val="001E0C66"/>
    <w:rsid w:val="001E0D8B"/>
    <w:rsid w:val="001E12D4"/>
    <w:rsid w:val="001E1B06"/>
    <w:rsid w:val="001E1EFF"/>
    <w:rsid w:val="001E1FF3"/>
    <w:rsid w:val="001E280A"/>
    <w:rsid w:val="001E2A1C"/>
    <w:rsid w:val="001E3103"/>
    <w:rsid w:val="001E328D"/>
    <w:rsid w:val="001E374A"/>
    <w:rsid w:val="001E3DE2"/>
    <w:rsid w:val="001E454F"/>
    <w:rsid w:val="001E496A"/>
    <w:rsid w:val="001E49DE"/>
    <w:rsid w:val="001E4BB5"/>
    <w:rsid w:val="001E4E66"/>
    <w:rsid w:val="001E505D"/>
    <w:rsid w:val="001E5BF5"/>
    <w:rsid w:val="001E5E0D"/>
    <w:rsid w:val="001E6BFE"/>
    <w:rsid w:val="001E7594"/>
    <w:rsid w:val="001E76A6"/>
    <w:rsid w:val="001E7AB5"/>
    <w:rsid w:val="001F02B2"/>
    <w:rsid w:val="001F0784"/>
    <w:rsid w:val="001F0800"/>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3A0E"/>
    <w:rsid w:val="001F4224"/>
    <w:rsid w:val="001F57D1"/>
    <w:rsid w:val="001F6712"/>
    <w:rsid w:val="001F7F0B"/>
    <w:rsid w:val="001F7F3C"/>
    <w:rsid w:val="00200696"/>
    <w:rsid w:val="002008D3"/>
    <w:rsid w:val="0020092B"/>
    <w:rsid w:val="002009DB"/>
    <w:rsid w:val="00200A17"/>
    <w:rsid w:val="002013CD"/>
    <w:rsid w:val="00201F2C"/>
    <w:rsid w:val="00202202"/>
    <w:rsid w:val="002027E3"/>
    <w:rsid w:val="00202804"/>
    <w:rsid w:val="00202A7C"/>
    <w:rsid w:val="0020328C"/>
    <w:rsid w:val="00203334"/>
    <w:rsid w:val="00204C78"/>
    <w:rsid w:val="00204C7C"/>
    <w:rsid w:val="00204D50"/>
    <w:rsid w:val="002054BB"/>
    <w:rsid w:val="00205BB7"/>
    <w:rsid w:val="00205F41"/>
    <w:rsid w:val="002075C6"/>
    <w:rsid w:val="00207D2B"/>
    <w:rsid w:val="0021004D"/>
    <w:rsid w:val="002102F1"/>
    <w:rsid w:val="0021070D"/>
    <w:rsid w:val="00210B1B"/>
    <w:rsid w:val="002111AE"/>
    <w:rsid w:val="0021125A"/>
    <w:rsid w:val="0021166E"/>
    <w:rsid w:val="002116C9"/>
    <w:rsid w:val="00211794"/>
    <w:rsid w:val="00211905"/>
    <w:rsid w:val="00212925"/>
    <w:rsid w:val="0021315D"/>
    <w:rsid w:val="00213637"/>
    <w:rsid w:val="00213AE1"/>
    <w:rsid w:val="00213E49"/>
    <w:rsid w:val="00214BD8"/>
    <w:rsid w:val="00214E94"/>
    <w:rsid w:val="00215009"/>
    <w:rsid w:val="002154C7"/>
    <w:rsid w:val="00216396"/>
    <w:rsid w:val="0021697A"/>
    <w:rsid w:val="00220B91"/>
    <w:rsid w:val="00220F0C"/>
    <w:rsid w:val="00221585"/>
    <w:rsid w:val="00222452"/>
    <w:rsid w:val="00222570"/>
    <w:rsid w:val="00222C01"/>
    <w:rsid w:val="00223229"/>
    <w:rsid w:val="00223F33"/>
    <w:rsid w:val="0022418D"/>
    <w:rsid w:val="0022485B"/>
    <w:rsid w:val="00224921"/>
    <w:rsid w:val="00224EE8"/>
    <w:rsid w:val="00224FFA"/>
    <w:rsid w:val="00225D4F"/>
    <w:rsid w:val="002261DF"/>
    <w:rsid w:val="0022661C"/>
    <w:rsid w:val="00227241"/>
    <w:rsid w:val="00227DFF"/>
    <w:rsid w:val="00227EC4"/>
    <w:rsid w:val="002306D8"/>
    <w:rsid w:val="002309C4"/>
    <w:rsid w:val="002309F2"/>
    <w:rsid w:val="00231232"/>
    <w:rsid w:val="002322C9"/>
    <w:rsid w:val="00232740"/>
    <w:rsid w:val="002332C7"/>
    <w:rsid w:val="00233B83"/>
    <w:rsid w:val="00234510"/>
    <w:rsid w:val="002349E7"/>
    <w:rsid w:val="00234BE9"/>
    <w:rsid w:val="0023549E"/>
    <w:rsid w:val="00235668"/>
    <w:rsid w:val="00235802"/>
    <w:rsid w:val="00235925"/>
    <w:rsid w:val="002362F3"/>
    <w:rsid w:val="00236F92"/>
    <w:rsid w:val="0023759B"/>
    <w:rsid w:val="0023783D"/>
    <w:rsid w:val="00237E75"/>
    <w:rsid w:val="00237F9A"/>
    <w:rsid w:val="00240022"/>
    <w:rsid w:val="0024042C"/>
    <w:rsid w:val="00242122"/>
    <w:rsid w:val="00242AEE"/>
    <w:rsid w:val="00242B24"/>
    <w:rsid w:val="00242E65"/>
    <w:rsid w:val="00242F68"/>
    <w:rsid w:val="00243BC8"/>
    <w:rsid w:val="00244335"/>
    <w:rsid w:val="00244757"/>
    <w:rsid w:val="00244AE4"/>
    <w:rsid w:val="00244AF5"/>
    <w:rsid w:val="00245357"/>
    <w:rsid w:val="0024568A"/>
    <w:rsid w:val="00245B58"/>
    <w:rsid w:val="00245C9E"/>
    <w:rsid w:val="00245D05"/>
    <w:rsid w:val="00246A38"/>
    <w:rsid w:val="00246B3D"/>
    <w:rsid w:val="00246BC9"/>
    <w:rsid w:val="00246C5D"/>
    <w:rsid w:val="002475CD"/>
    <w:rsid w:val="00247E62"/>
    <w:rsid w:val="00250668"/>
    <w:rsid w:val="00250DD1"/>
    <w:rsid w:val="0025100F"/>
    <w:rsid w:val="00251B20"/>
    <w:rsid w:val="00251E4B"/>
    <w:rsid w:val="00252310"/>
    <w:rsid w:val="002527EB"/>
    <w:rsid w:val="002532CE"/>
    <w:rsid w:val="0025341E"/>
    <w:rsid w:val="002536CF"/>
    <w:rsid w:val="00254481"/>
    <w:rsid w:val="0025457F"/>
    <w:rsid w:val="002545D3"/>
    <w:rsid w:val="002553EF"/>
    <w:rsid w:val="0025576D"/>
    <w:rsid w:val="00255EE3"/>
    <w:rsid w:val="002567CF"/>
    <w:rsid w:val="00256DF2"/>
    <w:rsid w:val="00257028"/>
    <w:rsid w:val="002577DF"/>
    <w:rsid w:val="0026001D"/>
    <w:rsid w:val="002603BA"/>
    <w:rsid w:val="002606AA"/>
    <w:rsid w:val="002616A9"/>
    <w:rsid w:val="00261D49"/>
    <w:rsid w:val="002621C0"/>
    <w:rsid w:val="00262429"/>
    <w:rsid w:val="002629D6"/>
    <w:rsid w:val="00262DB5"/>
    <w:rsid w:val="00262E21"/>
    <w:rsid w:val="00263034"/>
    <w:rsid w:val="00263F0B"/>
    <w:rsid w:val="002640AE"/>
    <w:rsid w:val="002640C4"/>
    <w:rsid w:val="00264D9D"/>
    <w:rsid w:val="002656A8"/>
    <w:rsid w:val="00265C0F"/>
    <w:rsid w:val="00265C38"/>
    <w:rsid w:val="00265C4F"/>
    <w:rsid w:val="00265D65"/>
    <w:rsid w:val="00265E60"/>
    <w:rsid w:val="00265EDE"/>
    <w:rsid w:val="002662E1"/>
    <w:rsid w:val="00266C4C"/>
    <w:rsid w:val="002670B0"/>
    <w:rsid w:val="002673C9"/>
    <w:rsid w:val="002678D3"/>
    <w:rsid w:val="00267B1F"/>
    <w:rsid w:val="002707C7"/>
    <w:rsid w:val="00271844"/>
    <w:rsid w:val="00272371"/>
    <w:rsid w:val="00272BFC"/>
    <w:rsid w:val="00272C55"/>
    <w:rsid w:val="00272E1F"/>
    <w:rsid w:val="00273339"/>
    <w:rsid w:val="00273531"/>
    <w:rsid w:val="002739C8"/>
    <w:rsid w:val="00273CE3"/>
    <w:rsid w:val="00273FB2"/>
    <w:rsid w:val="002746AE"/>
    <w:rsid w:val="00274F28"/>
    <w:rsid w:val="002751E7"/>
    <w:rsid w:val="0027546F"/>
    <w:rsid w:val="00275F4E"/>
    <w:rsid w:val="00275FAC"/>
    <w:rsid w:val="00276A58"/>
    <w:rsid w:val="00276BC4"/>
    <w:rsid w:val="00276E13"/>
    <w:rsid w:val="0027741B"/>
    <w:rsid w:val="0027770E"/>
    <w:rsid w:val="00277727"/>
    <w:rsid w:val="00277F31"/>
    <w:rsid w:val="00280903"/>
    <w:rsid w:val="00280B23"/>
    <w:rsid w:val="002814EC"/>
    <w:rsid w:val="00281C6F"/>
    <w:rsid w:val="00281FC0"/>
    <w:rsid w:val="00282A1A"/>
    <w:rsid w:val="00282BBB"/>
    <w:rsid w:val="00283E0E"/>
    <w:rsid w:val="002847D5"/>
    <w:rsid w:val="00284BC8"/>
    <w:rsid w:val="00285352"/>
    <w:rsid w:val="0028554A"/>
    <w:rsid w:val="00286030"/>
    <w:rsid w:val="0028633F"/>
    <w:rsid w:val="0028654A"/>
    <w:rsid w:val="00286ADB"/>
    <w:rsid w:val="00286B4D"/>
    <w:rsid w:val="0028795D"/>
    <w:rsid w:val="00290135"/>
    <w:rsid w:val="002904D3"/>
    <w:rsid w:val="0029068F"/>
    <w:rsid w:val="0029161D"/>
    <w:rsid w:val="00292196"/>
    <w:rsid w:val="00293FCA"/>
    <w:rsid w:val="0029414F"/>
    <w:rsid w:val="0029431B"/>
    <w:rsid w:val="00294446"/>
    <w:rsid w:val="00294634"/>
    <w:rsid w:val="00294AD0"/>
    <w:rsid w:val="00295D07"/>
    <w:rsid w:val="0029623A"/>
    <w:rsid w:val="0029638B"/>
    <w:rsid w:val="00296445"/>
    <w:rsid w:val="0029682A"/>
    <w:rsid w:val="00297191"/>
    <w:rsid w:val="00297737"/>
    <w:rsid w:val="002A0129"/>
    <w:rsid w:val="002A0705"/>
    <w:rsid w:val="002A0760"/>
    <w:rsid w:val="002A09D0"/>
    <w:rsid w:val="002A0F40"/>
    <w:rsid w:val="002A123A"/>
    <w:rsid w:val="002A17EE"/>
    <w:rsid w:val="002A1A7E"/>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A21"/>
    <w:rsid w:val="002A5FFB"/>
    <w:rsid w:val="002A6ACD"/>
    <w:rsid w:val="002A6B18"/>
    <w:rsid w:val="002A6D1B"/>
    <w:rsid w:val="002A70D6"/>
    <w:rsid w:val="002A725F"/>
    <w:rsid w:val="002A7757"/>
    <w:rsid w:val="002A797A"/>
    <w:rsid w:val="002A7B55"/>
    <w:rsid w:val="002B08AC"/>
    <w:rsid w:val="002B1004"/>
    <w:rsid w:val="002B2174"/>
    <w:rsid w:val="002B2925"/>
    <w:rsid w:val="002B2CA0"/>
    <w:rsid w:val="002B2D7C"/>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C54"/>
    <w:rsid w:val="002B6F0F"/>
    <w:rsid w:val="002B6F3A"/>
    <w:rsid w:val="002B76BC"/>
    <w:rsid w:val="002C03D4"/>
    <w:rsid w:val="002C0697"/>
    <w:rsid w:val="002C085E"/>
    <w:rsid w:val="002C0C79"/>
    <w:rsid w:val="002C1893"/>
    <w:rsid w:val="002C1964"/>
    <w:rsid w:val="002C1A3F"/>
    <w:rsid w:val="002C1D31"/>
    <w:rsid w:val="002C2FF6"/>
    <w:rsid w:val="002C31B0"/>
    <w:rsid w:val="002C3295"/>
    <w:rsid w:val="002C3639"/>
    <w:rsid w:val="002C370A"/>
    <w:rsid w:val="002C3866"/>
    <w:rsid w:val="002C3A92"/>
    <w:rsid w:val="002C3BEC"/>
    <w:rsid w:val="002C3FA3"/>
    <w:rsid w:val="002C4732"/>
    <w:rsid w:val="002C4736"/>
    <w:rsid w:val="002C48D1"/>
    <w:rsid w:val="002C50E3"/>
    <w:rsid w:val="002C52A6"/>
    <w:rsid w:val="002C5EF1"/>
    <w:rsid w:val="002C6729"/>
    <w:rsid w:val="002C6E26"/>
    <w:rsid w:val="002C7B63"/>
    <w:rsid w:val="002C7D0B"/>
    <w:rsid w:val="002C7E54"/>
    <w:rsid w:val="002D1021"/>
    <w:rsid w:val="002D1045"/>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282"/>
    <w:rsid w:val="002D63DB"/>
    <w:rsid w:val="002D66AD"/>
    <w:rsid w:val="002D7AB6"/>
    <w:rsid w:val="002D7D08"/>
    <w:rsid w:val="002E0A12"/>
    <w:rsid w:val="002E1190"/>
    <w:rsid w:val="002E15C6"/>
    <w:rsid w:val="002E165D"/>
    <w:rsid w:val="002E17F4"/>
    <w:rsid w:val="002E1D87"/>
    <w:rsid w:val="002E1FC3"/>
    <w:rsid w:val="002E2289"/>
    <w:rsid w:val="002E28FD"/>
    <w:rsid w:val="002E2D2E"/>
    <w:rsid w:val="002E2E41"/>
    <w:rsid w:val="002E342F"/>
    <w:rsid w:val="002E4D5F"/>
    <w:rsid w:val="002E5086"/>
    <w:rsid w:val="002E5208"/>
    <w:rsid w:val="002E549B"/>
    <w:rsid w:val="002E5894"/>
    <w:rsid w:val="002E58CE"/>
    <w:rsid w:val="002E5DFA"/>
    <w:rsid w:val="002E5F58"/>
    <w:rsid w:val="002E7003"/>
    <w:rsid w:val="002E725A"/>
    <w:rsid w:val="002E7370"/>
    <w:rsid w:val="002E78C6"/>
    <w:rsid w:val="002F0805"/>
    <w:rsid w:val="002F0BDF"/>
    <w:rsid w:val="002F0D74"/>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2F71AA"/>
    <w:rsid w:val="00300129"/>
    <w:rsid w:val="00300329"/>
    <w:rsid w:val="00300834"/>
    <w:rsid w:val="0030089F"/>
    <w:rsid w:val="00301C80"/>
    <w:rsid w:val="003022B1"/>
    <w:rsid w:val="00302843"/>
    <w:rsid w:val="00302D4B"/>
    <w:rsid w:val="003038D0"/>
    <w:rsid w:val="00303946"/>
    <w:rsid w:val="003043E7"/>
    <w:rsid w:val="003045A7"/>
    <w:rsid w:val="00304689"/>
    <w:rsid w:val="00304F8A"/>
    <w:rsid w:val="0030540D"/>
    <w:rsid w:val="00305638"/>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8A9"/>
    <w:rsid w:val="00311928"/>
    <w:rsid w:val="00311E74"/>
    <w:rsid w:val="003124E0"/>
    <w:rsid w:val="00312962"/>
    <w:rsid w:val="00312A25"/>
    <w:rsid w:val="00312F17"/>
    <w:rsid w:val="00313226"/>
    <w:rsid w:val="0031399D"/>
    <w:rsid w:val="00314DBB"/>
    <w:rsid w:val="00314F95"/>
    <w:rsid w:val="00315188"/>
    <w:rsid w:val="0031534F"/>
    <w:rsid w:val="00315613"/>
    <w:rsid w:val="0031619E"/>
    <w:rsid w:val="003161FA"/>
    <w:rsid w:val="00316317"/>
    <w:rsid w:val="0031667B"/>
    <w:rsid w:val="00316808"/>
    <w:rsid w:val="00316954"/>
    <w:rsid w:val="00316D0D"/>
    <w:rsid w:val="00316E2E"/>
    <w:rsid w:val="00317F69"/>
    <w:rsid w:val="00320F2A"/>
    <w:rsid w:val="0032179D"/>
    <w:rsid w:val="003218F9"/>
    <w:rsid w:val="00321CE2"/>
    <w:rsid w:val="00322715"/>
    <w:rsid w:val="00322B08"/>
    <w:rsid w:val="00322D3E"/>
    <w:rsid w:val="00322EFF"/>
    <w:rsid w:val="00322F44"/>
    <w:rsid w:val="00322FAC"/>
    <w:rsid w:val="003232B7"/>
    <w:rsid w:val="00323686"/>
    <w:rsid w:val="0032385C"/>
    <w:rsid w:val="003241B7"/>
    <w:rsid w:val="00324F89"/>
    <w:rsid w:val="0032598C"/>
    <w:rsid w:val="00325AE5"/>
    <w:rsid w:val="003266E8"/>
    <w:rsid w:val="003268C5"/>
    <w:rsid w:val="00326D6C"/>
    <w:rsid w:val="00326D79"/>
    <w:rsid w:val="00326DCF"/>
    <w:rsid w:val="00327A2D"/>
    <w:rsid w:val="00327AC8"/>
    <w:rsid w:val="00330392"/>
    <w:rsid w:val="00330611"/>
    <w:rsid w:val="00330935"/>
    <w:rsid w:val="00331D7A"/>
    <w:rsid w:val="00332A4D"/>
    <w:rsid w:val="00332E15"/>
    <w:rsid w:val="00332F75"/>
    <w:rsid w:val="00332FDF"/>
    <w:rsid w:val="00332FE4"/>
    <w:rsid w:val="00333238"/>
    <w:rsid w:val="003333AB"/>
    <w:rsid w:val="003339F2"/>
    <w:rsid w:val="00333B23"/>
    <w:rsid w:val="0033410F"/>
    <w:rsid w:val="00334118"/>
    <w:rsid w:val="0033476F"/>
    <w:rsid w:val="00334A13"/>
    <w:rsid w:val="00334AEF"/>
    <w:rsid w:val="00334FD4"/>
    <w:rsid w:val="003356A2"/>
    <w:rsid w:val="0033587B"/>
    <w:rsid w:val="00335975"/>
    <w:rsid w:val="00335C11"/>
    <w:rsid w:val="00335ED5"/>
    <w:rsid w:val="003372D0"/>
    <w:rsid w:val="0033765F"/>
    <w:rsid w:val="003402B9"/>
    <w:rsid w:val="00340396"/>
    <w:rsid w:val="00340BEE"/>
    <w:rsid w:val="003417E8"/>
    <w:rsid w:val="00341CE9"/>
    <w:rsid w:val="003420A9"/>
    <w:rsid w:val="003420AD"/>
    <w:rsid w:val="00342F5B"/>
    <w:rsid w:val="00343691"/>
    <w:rsid w:val="00343709"/>
    <w:rsid w:val="00343A58"/>
    <w:rsid w:val="00343CFA"/>
    <w:rsid w:val="00344D88"/>
    <w:rsid w:val="003460B0"/>
    <w:rsid w:val="0034625D"/>
    <w:rsid w:val="00346564"/>
    <w:rsid w:val="00346591"/>
    <w:rsid w:val="003465FE"/>
    <w:rsid w:val="00346731"/>
    <w:rsid w:val="00346963"/>
    <w:rsid w:val="00346A13"/>
    <w:rsid w:val="00347131"/>
    <w:rsid w:val="0034717B"/>
    <w:rsid w:val="0035014B"/>
    <w:rsid w:val="00350191"/>
    <w:rsid w:val="003507B3"/>
    <w:rsid w:val="003515C0"/>
    <w:rsid w:val="00351774"/>
    <w:rsid w:val="00351961"/>
    <w:rsid w:val="0035239F"/>
    <w:rsid w:val="00352AF1"/>
    <w:rsid w:val="00352F2B"/>
    <w:rsid w:val="003532F1"/>
    <w:rsid w:val="00353402"/>
    <w:rsid w:val="00353BAB"/>
    <w:rsid w:val="00353EE0"/>
    <w:rsid w:val="00354830"/>
    <w:rsid w:val="00354EE2"/>
    <w:rsid w:val="00354F51"/>
    <w:rsid w:val="0035642B"/>
    <w:rsid w:val="0035663B"/>
    <w:rsid w:val="00356C0B"/>
    <w:rsid w:val="00357610"/>
    <w:rsid w:val="003576A0"/>
    <w:rsid w:val="00357E1E"/>
    <w:rsid w:val="003604AC"/>
    <w:rsid w:val="00360D26"/>
    <w:rsid w:val="00361019"/>
    <w:rsid w:val="003614E5"/>
    <w:rsid w:val="00361919"/>
    <w:rsid w:val="00361D75"/>
    <w:rsid w:val="00362161"/>
    <w:rsid w:val="00362465"/>
    <w:rsid w:val="00362968"/>
    <w:rsid w:val="00362AC4"/>
    <w:rsid w:val="0036322E"/>
    <w:rsid w:val="0036328D"/>
    <w:rsid w:val="00364266"/>
    <w:rsid w:val="003645DC"/>
    <w:rsid w:val="00364BE2"/>
    <w:rsid w:val="00364CE7"/>
    <w:rsid w:val="00364DD7"/>
    <w:rsid w:val="003651D8"/>
    <w:rsid w:val="0036576E"/>
    <w:rsid w:val="00365C16"/>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91A"/>
    <w:rsid w:val="00372AFF"/>
    <w:rsid w:val="00372D48"/>
    <w:rsid w:val="003730A7"/>
    <w:rsid w:val="00373308"/>
    <w:rsid w:val="00373AB9"/>
    <w:rsid w:val="00373ED1"/>
    <w:rsid w:val="003744B1"/>
    <w:rsid w:val="003747E1"/>
    <w:rsid w:val="00374B1C"/>
    <w:rsid w:val="00374B96"/>
    <w:rsid w:val="0037528A"/>
    <w:rsid w:val="003755BB"/>
    <w:rsid w:val="003757B4"/>
    <w:rsid w:val="003758F0"/>
    <w:rsid w:val="00375B54"/>
    <w:rsid w:val="00375C54"/>
    <w:rsid w:val="00375C9A"/>
    <w:rsid w:val="00375CED"/>
    <w:rsid w:val="00375E9E"/>
    <w:rsid w:val="003767BC"/>
    <w:rsid w:val="00376914"/>
    <w:rsid w:val="00377692"/>
    <w:rsid w:val="0037773F"/>
    <w:rsid w:val="0037774C"/>
    <w:rsid w:val="0037778D"/>
    <w:rsid w:val="003777F9"/>
    <w:rsid w:val="00377AE6"/>
    <w:rsid w:val="00380514"/>
    <w:rsid w:val="0038185C"/>
    <w:rsid w:val="003818A9"/>
    <w:rsid w:val="003822ED"/>
    <w:rsid w:val="00382C6A"/>
    <w:rsid w:val="00382F4C"/>
    <w:rsid w:val="003832B6"/>
    <w:rsid w:val="00383451"/>
    <w:rsid w:val="00383F6C"/>
    <w:rsid w:val="00384355"/>
    <w:rsid w:val="00384DA6"/>
    <w:rsid w:val="00384DD1"/>
    <w:rsid w:val="00384DF8"/>
    <w:rsid w:val="00385190"/>
    <w:rsid w:val="00385CEC"/>
    <w:rsid w:val="00385E93"/>
    <w:rsid w:val="00386BD5"/>
    <w:rsid w:val="00387735"/>
    <w:rsid w:val="003878E6"/>
    <w:rsid w:val="003909ED"/>
    <w:rsid w:val="00390D92"/>
    <w:rsid w:val="00390FBE"/>
    <w:rsid w:val="0039113F"/>
    <w:rsid w:val="003911D5"/>
    <w:rsid w:val="003915AE"/>
    <w:rsid w:val="00391738"/>
    <w:rsid w:val="00391E73"/>
    <w:rsid w:val="00392100"/>
    <w:rsid w:val="0039224F"/>
    <w:rsid w:val="00392390"/>
    <w:rsid w:val="00392682"/>
    <w:rsid w:val="003927D8"/>
    <w:rsid w:val="00392F37"/>
    <w:rsid w:val="003949E5"/>
    <w:rsid w:val="00394B4B"/>
    <w:rsid w:val="00395315"/>
    <w:rsid w:val="00395852"/>
    <w:rsid w:val="00395879"/>
    <w:rsid w:val="00395E30"/>
    <w:rsid w:val="00396D6A"/>
    <w:rsid w:val="00397232"/>
    <w:rsid w:val="0039746E"/>
    <w:rsid w:val="00397663"/>
    <w:rsid w:val="00397CF8"/>
    <w:rsid w:val="00397F41"/>
    <w:rsid w:val="003A062B"/>
    <w:rsid w:val="003A06F4"/>
    <w:rsid w:val="003A071F"/>
    <w:rsid w:val="003A0E26"/>
    <w:rsid w:val="003A1059"/>
    <w:rsid w:val="003A19EF"/>
    <w:rsid w:val="003A27F2"/>
    <w:rsid w:val="003A2DF4"/>
    <w:rsid w:val="003A3454"/>
    <w:rsid w:val="003A399E"/>
    <w:rsid w:val="003A497E"/>
    <w:rsid w:val="003A4FD0"/>
    <w:rsid w:val="003A5195"/>
    <w:rsid w:val="003A5C07"/>
    <w:rsid w:val="003A6B56"/>
    <w:rsid w:val="003A6F72"/>
    <w:rsid w:val="003A70DC"/>
    <w:rsid w:val="003A7A3C"/>
    <w:rsid w:val="003A7DE4"/>
    <w:rsid w:val="003A7EF9"/>
    <w:rsid w:val="003B0490"/>
    <w:rsid w:val="003B09FE"/>
    <w:rsid w:val="003B0EA1"/>
    <w:rsid w:val="003B22B5"/>
    <w:rsid w:val="003B230C"/>
    <w:rsid w:val="003B244D"/>
    <w:rsid w:val="003B327F"/>
    <w:rsid w:val="003B3FA6"/>
    <w:rsid w:val="003B4354"/>
    <w:rsid w:val="003B4478"/>
    <w:rsid w:val="003B5133"/>
    <w:rsid w:val="003B562A"/>
    <w:rsid w:val="003B5746"/>
    <w:rsid w:val="003B63DB"/>
    <w:rsid w:val="003B65F7"/>
    <w:rsid w:val="003B7195"/>
    <w:rsid w:val="003B7D67"/>
    <w:rsid w:val="003B7ED4"/>
    <w:rsid w:val="003B7FEB"/>
    <w:rsid w:val="003C0789"/>
    <w:rsid w:val="003C089B"/>
    <w:rsid w:val="003C0B91"/>
    <w:rsid w:val="003C100E"/>
    <w:rsid w:val="003C1184"/>
    <w:rsid w:val="003C237A"/>
    <w:rsid w:val="003C2CA7"/>
    <w:rsid w:val="003C3A8F"/>
    <w:rsid w:val="003C4170"/>
    <w:rsid w:val="003C4457"/>
    <w:rsid w:val="003C4CEE"/>
    <w:rsid w:val="003C4DB6"/>
    <w:rsid w:val="003C4E03"/>
    <w:rsid w:val="003C6629"/>
    <w:rsid w:val="003C693F"/>
    <w:rsid w:val="003C6CF6"/>
    <w:rsid w:val="003C7434"/>
    <w:rsid w:val="003C77EA"/>
    <w:rsid w:val="003D0084"/>
    <w:rsid w:val="003D05E8"/>
    <w:rsid w:val="003D0A4B"/>
    <w:rsid w:val="003D14B4"/>
    <w:rsid w:val="003D325D"/>
    <w:rsid w:val="003D3AF4"/>
    <w:rsid w:val="003D42FD"/>
    <w:rsid w:val="003D4E9F"/>
    <w:rsid w:val="003D5109"/>
    <w:rsid w:val="003D55D0"/>
    <w:rsid w:val="003D64B2"/>
    <w:rsid w:val="003D692F"/>
    <w:rsid w:val="003D70F8"/>
    <w:rsid w:val="003D74CA"/>
    <w:rsid w:val="003D76BB"/>
    <w:rsid w:val="003D7E7A"/>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420B"/>
    <w:rsid w:val="003E4600"/>
    <w:rsid w:val="003E4A05"/>
    <w:rsid w:val="003E5368"/>
    <w:rsid w:val="003E6244"/>
    <w:rsid w:val="003E6460"/>
    <w:rsid w:val="003E6AB8"/>
    <w:rsid w:val="003E6B75"/>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164"/>
    <w:rsid w:val="003F72E3"/>
    <w:rsid w:val="003F79DC"/>
    <w:rsid w:val="003F7F6A"/>
    <w:rsid w:val="00400919"/>
    <w:rsid w:val="00400BA9"/>
    <w:rsid w:val="00400EF6"/>
    <w:rsid w:val="0040101A"/>
    <w:rsid w:val="00401661"/>
    <w:rsid w:val="00401D0F"/>
    <w:rsid w:val="004020E5"/>
    <w:rsid w:val="00402278"/>
    <w:rsid w:val="00402538"/>
    <w:rsid w:val="004029D2"/>
    <w:rsid w:val="004032A5"/>
    <w:rsid w:val="004035DB"/>
    <w:rsid w:val="00403A4E"/>
    <w:rsid w:val="00404091"/>
    <w:rsid w:val="004044F4"/>
    <w:rsid w:val="00404C09"/>
    <w:rsid w:val="004052DC"/>
    <w:rsid w:val="00405441"/>
    <w:rsid w:val="00405905"/>
    <w:rsid w:val="00405AAD"/>
    <w:rsid w:val="00405DB9"/>
    <w:rsid w:val="00405F40"/>
    <w:rsid w:val="004063EC"/>
    <w:rsid w:val="004064D8"/>
    <w:rsid w:val="00407263"/>
    <w:rsid w:val="0040773B"/>
    <w:rsid w:val="00407BA3"/>
    <w:rsid w:val="00407C84"/>
    <w:rsid w:val="00407FD9"/>
    <w:rsid w:val="00410176"/>
    <w:rsid w:val="00410BD7"/>
    <w:rsid w:val="00410EE8"/>
    <w:rsid w:val="004112B0"/>
    <w:rsid w:val="0041152B"/>
    <w:rsid w:val="00411603"/>
    <w:rsid w:val="004120A5"/>
    <w:rsid w:val="00412833"/>
    <w:rsid w:val="00412BF1"/>
    <w:rsid w:val="00412CEB"/>
    <w:rsid w:val="00412D99"/>
    <w:rsid w:val="004134B0"/>
    <w:rsid w:val="004145E5"/>
    <w:rsid w:val="00414638"/>
    <w:rsid w:val="00415E7B"/>
    <w:rsid w:val="00416006"/>
    <w:rsid w:val="00417173"/>
    <w:rsid w:val="0041739D"/>
    <w:rsid w:val="00417A2D"/>
    <w:rsid w:val="00417EDB"/>
    <w:rsid w:val="00420647"/>
    <w:rsid w:val="00421445"/>
    <w:rsid w:val="0042158B"/>
    <w:rsid w:val="00421716"/>
    <w:rsid w:val="004217FC"/>
    <w:rsid w:val="00422188"/>
    <w:rsid w:val="004227ED"/>
    <w:rsid w:val="004229E5"/>
    <w:rsid w:val="00422B4D"/>
    <w:rsid w:val="00422E0C"/>
    <w:rsid w:val="004230BD"/>
    <w:rsid w:val="004232E8"/>
    <w:rsid w:val="00423E45"/>
    <w:rsid w:val="0042420D"/>
    <w:rsid w:val="00424D1A"/>
    <w:rsid w:val="00424ECB"/>
    <w:rsid w:val="004251C0"/>
    <w:rsid w:val="004252FF"/>
    <w:rsid w:val="0042569A"/>
    <w:rsid w:val="0042667C"/>
    <w:rsid w:val="00426C32"/>
    <w:rsid w:val="004277E5"/>
    <w:rsid w:val="00430900"/>
    <w:rsid w:val="0043094C"/>
    <w:rsid w:val="00430BD4"/>
    <w:rsid w:val="00431FE6"/>
    <w:rsid w:val="004331B9"/>
    <w:rsid w:val="004334AB"/>
    <w:rsid w:val="00433857"/>
    <w:rsid w:val="004339AD"/>
    <w:rsid w:val="00433B87"/>
    <w:rsid w:val="00433D2D"/>
    <w:rsid w:val="004343E8"/>
    <w:rsid w:val="004347BB"/>
    <w:rsid w:val="0043486B"/>
    <w:rsid w:val="004352E5"/>
    <w:rsid w:val="004354F9"/>
    <w:rsid w:val="00435E07"/>
    <w:rsid w:val="004369B0"/>
    <w:rsid w:val="00436F2B"/>
    <w:rsid w:val="00436F30"/>
    <w:rsid w:val="00436FF0"/>
    <w:rsid w:val="004370D0"/>
    <w:rsid w:val="00437153"/>
    <w:rsid w:val="00437616"/>
    <w:rsid w:val="00437D55"/>
    <w:rsid w:val="0044099E"/>
    <w:rsid w:val="00440C7C"/>
    <w:rsid w:val="00440F4B"/>
    <w:rsid w:val="0044122B"/>
    <w:rsid w:val="00441989"/>
    <w:rsid w:val="00441EFC"/>
    <w:rsid w:val="00442796"/>
    <w:rsid w:val="00442A2B"/>
    <w:rsid w:val="00443363"/>
    <w:rsid w:val="0044371C"/>
    <w:rsid w:val="00444BA1"/>
    <w:rsid w:val="00444ECC"/>
    <w:rsid w:val="00445342"/>
    <w:rsid w:val="004458AC"/>
    <w:rsid w:val="00445957"/>
    <w:rsid w:val="00445DF1"/>
    <w:rsid w:val="00446316"/>
    <w:rsid w:val="004465DD"/>
    <w:rsid w:val="004467E3"/>
    <w:rsid w:val="00447798"/>
    <w:rsid w:val="004479ED"/>
    <w:rsid w:val="00447CB3"/>
    <w:rsid w:val="00447CBD"/>
    <w:rsid w:val="00447D25"/>
    <w:rsid w:val="00447FAA"/>
    <w:rsid w:val="004503A5"/>
    <w:rsid w:val="004506C1"/>
    <w:rsid w:val="00450E1D"/>
    <w:rsid w:val="00451198"/>
    <w:rsid w:val="0045143C"/>
    <w:rsid w:val="00451A98"/>
    <w:rsid w:val="00451EAE"/>
    <w:rsid w:val="004521A4"/>
    <w:rsid w:val="0045247E"/>
    <w:rsid w:val="004528D4"/>
    <w:rsid w:val="00452C39"/>
    <w:rsid w:val="00452C8E"/>
    <w:rsid w:val="00452E09"/>
    <w:rsid w:val="0045327F"/>
    <w:rsid w:val="00453430"/>
    <w:rsid w:val="00453785"/>
    <w:rsid w:val="00453A26"/>
    <w:rsid w:val="00453C96"/>
    <w:rsid w:val="004541D7"/>
    <w:rsid w:val="004547E5"/>
    <w:rsid w:val="00454F5F"/>
    <w:rsid w:val="00456261"/>
    <w:rsid w:val="00456542"/>
    <w:rsid w:val="0045681F"/>
    <w:rsid w:val="00456A61"/>
    <w:rsid w:val="0045744F"/>
    <w:rsid w:val="004574BE"/>
    <w:rsid w:val="004576EB"/>
    <w:rsid w:val="00457936"/>
    <w:rsid w:val="00457DB6"/>
    <w:rsid w:val="0046006F"/>
    <w:rsid w:val="00460F68"/>
    <w:rsid w:val="0046133B"/>
    <w:rsid w:val="00461597"/>
    <w:rsid w:val="00461719"/>
    <w:rsid w:val="0046272A"/>
    <w:rsid w:val="00462F79"/>
    <w:rsid w:val="004631EA"/>
    <w:rsid w:val="00463762"/>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310"/>
    <w:rsid w:val="004724F4"/>
    <w:rsid w:val="00472AD5"/>
    <w:rsid w:val="00473091"/>
    <w:rsid w:val="00473110"/>
    <w:rsid w:val="00474079"/>
    <w:rsid w:val="004746EB"/>
    <w:rsid w:val="0047518D"/>
    <w:rsid w:val="0047534F"/>
    <w:rsid w:val="00475503"/>
    <w:rsid w:val="0047597B"/>
    <w:rsid w:val="00475F12"/>
    <w:rsid w:val="0047631E"/>
    <w:rsid w:val="004765A7"/>
    <w:rsid w:val="00476C71"/>
    <w:rsid w:val="004775C7"/>
    <w:rsid w:val="00477E8E"/>
    <w:rsid w:val="00480040"/>
    <w:rsid w:val="00480775"/>
    <w:rsid w:val="00480852"/>
    <w:rsid w:val="00480CD7"/>
    <w:rsid w:val="004811B1"/>
    <w:rsid w:val="00481970"/>
    <w:rsid w:val="0048247D"/>
    <w:rsid w:val="00483201"/>
    <w:rsid w:val="004836D1"/>
    <w:rsid w:val="00483A90"/>
    <w:rsid w:val="00484092"/>
    <w:rsid w:val="00484442"/>
    <w:rsid w:val="00484567"/>
    <w:rsid w:val="004850EC"/>
    <w:rsid w:val="00485EF9"/>
    <w:rsid w:val="004874A3"/>
    <w:rsid w:val="004876C3"/>
    <w:rsid w:val="004876D6"/>
    <w:rsid w:val="0049061A"/>
    <w:rsid w:val="00490956"/>
    <w:rsid w:val="004909A3"/>
    <w:rsid w:val="004912AA"/>
    <w:rsid w:val="004927B9"/>
    <w:rsid w:val="004929C1"/>
    <w:rsid w:val="004929D8"/>
    <w:rsid w:val="00493755"/>
    <w:rsid w:val="00493E00"/>
    <w:rsid w:val="004948AA"/>
    <w:rsid w:val="00494A56"/>
    <w:rsid w:val="00494ED2"/>
    <w:rsid w:val="00495419"/>
    <w:rsid w:val="00495F0B"/>
    <w:rsid w:val="00496135"/>
    <w:rsid w:val="00496CCA"/>
    <w:rsid w:val="00496D37"/>
    <w:rsid w:val="00496FD6"/>
    <w:rsid w:val="00497B18"/>
    <w:rsid w:val="00497BE2"/>
    <w:rsid w:val="004A0BAD"/>
    <w:rsid w:val="004A0E18"/>
    <w:rsid w:val="004A13C5"/>
    <w:rsid w:val="004A275B"/>
    <w:rsid w:val="004A2A85"/>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2DBB"/>
    <w:rsid w:val="004B325D"/>
    <w:rsid w:val="004B3A12"/>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EE1"/>
    <w:rsid w:val="004C028D"/>
    <w:rsid w:val="004C0385"/>
    <w:rsid w:val="004C0460"/>
    <w:rsid w:val="004C1116"/>
    <w:rsid w:val="004C1346"/>
    <w:rsid w:val="004C1641"/>
    <w:rsid w:val="004C170A"/>
    <w:rsid w:val="004C1960"/>
    <w:rsid w:val="004C1AFB"/>
    <w:rsid w:val="004C1EE1"/>
    <w:rsid w:val="004C1FAE"/>
    <w:rsid w:val="004C20C3"/>
    <w:rsid w:val="004C2FA4"/>
    <w:rsid w:val="004C328F"/>
    <w:rsid w:val="004C3678"/>
    <w:rsid w:val="004C3EBF"/>
    <w:rsid w:val="004C428F"/>
    <w:rsid w:val="004C53C1"/>
    <w:rsid w:val="004C5653"/>
    <w:rsid w:val="004C5DCA"/>
    <w:rsid w:val="004C5FBD"/>
    <w:rsid w:val="004C7117"/>
    <w:rsid w:val="004C774F"/>
    <w:rsid w:val="004C7F59"/>
    <w:rsid w:val="004D075B"/>
    <w:rsid w:val="004D0D2C"/>
    <w:rsid w:val="004D2149"/>
    <w:rsid w:val="004D2316"/>
    <w:rsid w:val="004D2472"/>
    <w:rsid w:val="004D2481"/>
    <w:rsid w:val="004D28A8"/>
    <w:rsid w:val="004D2ADA"/>
    <w:rsid w:val="004D30BF"/>
    <w:rsid w:val="004D4954"/>
    <w:rsid w:val="004D52AD"/>
    <w:rsid w:val="004D5720"/>
    <w:rsid w:val="004D58A6"/>
    <w:rsid w:val="004D59D8"/>
    <w:rsid w:val="004D5D3E"/>
    <w:rsid w:val="004D5DB9"/>
    <w:rsid w:val="004D60B6"/>
    <w:rsid w:val="004D6101"/>
    <w:rsid w:val="004D6CB3"/>
    <w:rsid w:val="004D6DCB"/>
    <w:rsid w:val="004D7348"/>
    <w:rsid w:val="004D7569"/>
    <w:rsid w:val="004D7D82"/>
    <w:rsid w:val="004E02AA"/>
    <w:rsid w:val="004E096F"/>
    <w:rsid w:val="004E0D16"/>
    <w:rsid w:val="004E1217"/>
    <w:rsid w:val="004E1E02"/>
    <w:rsid w:val="004E2177"/>
    <w:rsid w:val="004E2FDD"/>
    <w:rsid w:val="004E34EE"/>
    <w:rsid w:val="004E3DAE"/>
    <w:rsid w:val="004E46D6"/>
    <w:rsid w:val="004E4783"/>
    <w:rsid w:val="004E508A"/>
    <w:rsid w:val="004E5B93"/>
    <w:rsid w:val="004E5C3E"/>
    <w:rsid w:val="004E6265"/>
    <w:rsid w:val="004E643A"/>
    <w:rsid w:val="004E6A91"/>
    <w:rsid w:val="004E6BD2"/>
    <w:rsid w:val="004E6C13"/>
    <w:rsid w:val="004E7374"/>
    <w:rsid w:val="004E752D"/>
    <w:rsid w:val="004F08A6"/>
    <w:rsid w:val="004F0A9C"/>
    <w:rsid w:val="004F0AAF"/>
    <w:rsid w:val="004F0B34"/>
    <w:rsid w:val="004F177D"/>
    <w:rsid w:val="004F208E"/>
    <w:rsid w:val="004F20D5"/>
    <w:rsid w:val="004F24EC"/>
    <w:rsid w:val="004F27FB"/>
    <w:rsid w:val="004F2E19"/>
    <w:rsid w:val="004F3159"/>
    <w:rsid w:val="004F35A7"/>
    <w:rsid w:val="004F38CF"/>
    <w:rsid w:val="004F40CD"/>
    <w:rsid w:val="004F4115"/>
    <w:rsid w:val="004F44CC"/>
    <w:rsid w:val="004F4FD7"/>
    <w:rsid w:val="004F52DE"/>
    <w:rsid w:val="004F550D"/>
    <w:rsid w:val="004F567A"/>
    <w:rsid w:val="004F5727"/>
    <w:rsid w:val="004F5BC7"/>
    <w:rsid w:val="004F60BF"/>
    <w:rsid w:val="004F69A1"/>
    <w:rsid w:val="004F6ABF"/>
    <w:rsid w:val="004F6B62"/>
    <w:rsid w:val="004F7C73"/>
    <w:rsid w:val="005006F0"/>
    <w:rsid w:val="005013FE"/>
    <w:rsid w:val="00501C13"/>
    <w:rsid w:val="005025D8"/>
    <w:rsid w:val="00502C02"/>
    <w:rsid w:val="00502E52"/>
    <w:rsid w:val="00502FD7"/>
    <w:rsid w:val="00503147"/>
    <w:rsid w:val="00503985"/>
    <w:rsid w:val="00503B37"/>
    <w:rsid w:val="00503FAC"/>
    <w:rsid w:val="0050474F"/>
    <w:rsid w:val="005055BC"/>
    <w:rsid w:val="005060BE"/>
    <w:rsid w:val="00506371"/>
    <w:rsid w:val="005068B1"/>
    <w:rsid w:val="0050693B"/>
    <w:rsid w:val="00506ACF"/>
    <w:rsid w:val="005077C6"/>
    <w:rsid w:val="005078F1"/>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736"/>
    <w:rsid w:val="00521AC8"/>
    <w:rsid w:val="005220FE"/>
    <w:rsid w:val="005228E2"/>
    <w:rsid w:val="0052369D"/>
    <w:rsid w:val="00523798"/>
    <w:rsid w:val="00523A9C"/>
    <w:rsid w:val="0052580F"/>
    <w:rsid w:val="00525A83"/>
    <w:rsid w:val="00525A97"/>
    <w:rsid w:val="00525C9A"/>
    <w:rsid w:val="00525E52"/>
    <w:rsid w:val="005271C8"/>
    <w:rsid w:val="00527279"/>
    <w:rsid w:val="005272A4"/>
    <w:rsid w:val="00527484"/>
    <w:rsid w:val="00527A2F"/>
    <w:rsid w:val="00530065"/>
    <w:rsid w:val="0053061B"/>
    <w:rsid w:val="00530D23"/>
    <w:rsid w:val="005312D9"/>
    <w:rsid w:val="00531F9C"/>
    <w:rsid w:val="0053273E"/>
    <w:rsid w:val="00533A6B"/>
    <w:rsid w:val="00533AA8"/>
    <w:rsid w:val="0053408B"/>
    <w:rsid w:val="00534447"/>
    <w:rsid w:val="00534878"/>
    <w:rsid w:val="00536884"/>
    <w:rsid w:val="00536D5E"/>
    <w:rsid w:val="00536FED"/>
    <w:rsid w:val="005372DB"/>
    <w:rsid w:val="00537840"/>
    <w:rsid w:val="00540626"/>
    <w:rsid w:val="00540665"/>
    <w:rsid w:val="00540A22"/>
    <w:rsid w:val="00540CF5"/>
    <w:rsid w:val="00540F13"/>
    <w:rsid w:val="00540FBE"/>
    <w:rsid w:val="00541174"/>
    <w:rsid w:val="0054134F"/>
    <w:rsid w:val="00541394"/>
    <w:rsid w:val="005414D3"/>
    <w:rsid w:val="0054187D"/>
    <w:rsid w:val="00541F28"/>
    <w:rsid w:val="00542977"/>
    <w:rsid w:val="00542ACB"/>
    <w:rsid w:val="00542D19"/>
    <w:rsid w:val="00543592"/>
    <w:rsid w:val="005436B6"/>
    <w:rsid w:val="005437D6"/>
    <w:rsid w:val="00543920"/>
    <w:rsid w:val="0054482E"/>
    <w:rsid w:val="00544C3B"/>
    <w:rsid w:val="00544E52"/>
    <w:rsid w:val="0054503F"/>
    <w:rsid w:val="00545511"/>
    <w:rsid w:val="00545ADA"/>
    <w:rsid w:val="00545CC2"/>
    <w:rsid w:val="0054675C"/>
    <w:rsid w:val="00546880"/>
    <w:rsid w:val="0054702B"/>
    <w:rsid w:val="005472AE"/>
    <w:rsid w:val="0055020C"/>
    <w:rsid w:val="005506B5"/>
    <w:rsid w:val="00551425"/>
    <w:rsid w:val="00551617"/>
    <w:rsid w:val="005518FA"/>
    <w:rsid w:val="00551A0C"/>
    <w:rsid w:val="00551AC0"/>
    <w:rsid w:val="0055203B"/>
    <w:rsid w:val="00552075"/>
    <w:rsid w:val="005524AE"/>
    <w:rsid w:val="00552629"/>
    <w:rsid w:val="00552E6F"/>
    <w:rsid w:val="00552FF9"/>
    <w:rsid w:val="0055308A"/>
    <w:rsid w:val="00553138"/>
    <w:rsid w:val="005534D5"/>
    <w:rsid w:val="0055382F"/>
    <w:rsid w:val="00553AF8"/>
    <w:rsid w:val="00553B60"/>
    <w:rsid w:val="00553DCE"/>
    <w:rsid w:val="00554066"/>
    <w:rsid w:val="00554A31"/>
    <w:rsid w:val="00554E6A"/>
    <w:rsid w:val="00555078"/>
    <w:rsid w:val="0055549C"/>
    <w:rsid w:val="005557FE"/>
    <w:rsid w:val="00556C29"/>
    <w:rsid w:val="00557138"/>
    <w:rsid w:val="00557285"/>
    <w:rsid w:val="0055761C"/>
    <w:rsid w:val="0055785A"/>
    <w:rsid w:val="0056088F"/>
    <w:rsid w:val="00560B80"/>
    <w:rsid w:val="00560DC7"/>
    <w:rsid w:val="005611B9"/>
    <w:rsid w:val="00561431"/>
    <w:rsid w:val="00561607"/>
    <w:rsid w:val="005618B5"/>
    <w:rsid w:val="00561B6F"/>
    <w:rsid w:val="00562243"/>
    <w:rsid w:val="00562A4F"/>
    <w:rsid w:val="00562BF9"/>
    <w:rsid w:val="0056354D"/>
    <w:rsid w:val="0056372F"/>
    <w:rsid w:val="00563F22"/>
    <w:rsid w:val="00564987"/>
    <w:rsid w:val="005649A2"/>
    <w:rsid w:val="00564BC8"/>
    <w:rsid w:val="00564FDB"/>
    <w:rsid w:val="00565F14"/>
    <w:rsid w:val="00565F71"/>
    <w:rsid w:val="00566090"/>
    <w:rsid w:val="00566804"/>
    <w:rsid w:val="005668B3"/>
    <w:rsid w:val="00566AAA"/>
    <w:rsid w:val="00567143"/>
    <w:rsid w:val="005676FB"/>
    <w:rsid w:val="00567F8D"/>
    <w:rsid w:val="005700AD"/>
    <w:rsid w:val="005705F6"/>
    <w:rsid w:val="005707B9"/>
    <w:rsid w:val="00570A09"/>
    <w:rsid w:val="00570DE9"/>
    <w:rsid w:val="00570F82"/>
    <w:rsid w:val="00571056"/>
    <w:rsid w:val="00571CD0"/>
    <w:rsid w:val="0057261E"/>
    <w:rsid w:val="00572ED2"/>
    <w:rsid w:val="00572F2A"/>
    <w:rsid w:val="005730A8"/>
    <w:rsid w:val="005735CB"/>
    <w:rsid w:val="005739E8"/>
    <w:rsid w:val="00573A50"/>
    <w:rsid w:val="0057432F"/>
    <w:rsid w:val="00574DD7"/>
    <w:rsid w:val="00574F17"/>
    <w:rsid w:val="00575522"/>
    <w:rsid w:val="0057598F"/>
    <w:rsid w:val="00575BCF"/>
    <w:rsid w:val="0057652C"/>
    <w:rsid w:val="0057656D"/>
    <w:rsid w:val="00576CDE"/>
    <w:rsid w:val="005773E1"/>
    <w:rsid w:val="00577A4C"/>
    <w:rsid w:val="00577C94"/>
    <w:rsid w:val="00577E58"/>
    <w:rsid w:val="00580198"/>
    <w:rsid w:val="005824D6"/>
    <w:rsid w:val="00582B40"/>
    <w:rsid w:val="00582E4C"/>
    <w:rsid w:val="005836B1"/>
    <w:rsid w:val="005837A1"/>
    <w:rsid w:val="005837EF"/>
    <w:rsid w:val="00583925"/>
    <w:rsid w:val="005843C4"/>
    <w:rsid w:val="00584F6A"/>
    <w:rsid w:val="00584FAD"/>
    <w:rsid w:val="00585027"/>
    <w:rsid w:val="00586661"/>
    <w:rsid w:val="00586B85"/>
    <w:rsid w:val="00587623"/>
    <w:rsid w:val="00590A61"/>
    <w:rsid w:val="00590D7F"/>
    <w:rsid w:val="005910EC"/>
    <w:rsid w:val="00591550"/>
    <w:rsid w:val="00591C38"/>
    <w:rsid w:val="00591ED0"/>
    <w:rsid w:val="0059351A"/>
    <w:rsid w:val="00593BC8"/>
    <w:rsid w:val="00593D68"/>
    <w:rsid w:val="00594144"/>
    <w:rsid w:val="00594678"/>
    <w:rsid w:val="00594736"/>
    <w:rsid w:val="00595240"/>
    <w:rsid w:val="00595E00"/>
    <w:rsid w:val="00595FAB"/>
    <w:rsid w:val="00596498"/>
    <w:rsid w:val="00596582"/>
    <w:rsid w:val="00596898"/>
    <w:rsid w:val="00596A7A"/>
    <w:rsid w:val="005971F1"/>
    <w:rsid w:val="00597539"/>
    <w:rsid w:val="00597784"/>
    <w:rsid w:val="005979A3"/>
    <w:rsid w:val="005A0111"/>
    <w:rsid w:val="005A05EA"/>
    <w:rsid w:val="005A1011"/>
    <w:rsid w:val="005A10EB"/>
    <w:rsid w:val="005A31F0"/>
    <w:rsid w:val="005A3AD8"/>
    <w:rsid w:val="005A40EE"/>
    <w:rsid w:val="005A4E1B"/>
    <w:rsid w:val="005A5A8D"/>
    <w:rsid w:val="005A5B48"/>
    <w:rsid w:val="005A5CDB"/>
    <w:rsid w:val="005A5E1D"/>
    <w:rsid w:val="005A67C7"/>
    <w:rsid w:val="005A7743"/>
    <w:rsid w:val="005A7A21"/>
    <w:rsid w:val="005A7AA5"/>
    <w:rsid w:val="005A7DB8"/>
    <w:rsid w:val="005B04C8"/>
    <w:rsid w:val="005B0682"/>
    <w:rsid w:val="005B0824"/>
    <w:rsid w:val="005B0DCB"/>
    <w:rsid w:val="005B0E7B"/>
    <w:rsid w:val="005B0FF4"/>
    <w:rsid w:val="005B133A"/>
    <w:rsid w:val="005B1A0A"/>
    <w:rsid w:val="005B1ECE"/>
    <w:rsid w:val="005B1F1F"/>
    <w:rsid w:val="005B26D6"/>
    <w:rsid w:val="005B2979"/>
    <w:rsid w:val="005B2B9C"/>
    <w:rsid w:val="005B2BAF"/>
    <w:rsid w:val="005B30C6"/>
    <w:rsid w:val="005B30FA"/>
    <w:rsid w:val="005B3ED2"/>
    <w:rsid w:val="005B45E5"/>
    <w:rsid w:val="005B4DFB"/>
    <w:rsid w:val="005B5612"/>
    <w:rsid w:val="005B6E94"/>
    <w:rsid w:val="005B71E6"/>
    <w:rsid w:val="005B7661"/>
    <w:rsid w:val="005B7E04"/>
    <w:rsid w:val="005B7FAE"/>
    <w:rsid w:val="005C04D6"/>
    <w:rsid w:val="005C1283"/>
    <w:rsid w:val="005C1418"/>
    <w:rsid w:val="005C17CA"/>
    <w:rsid w:val="005C2140"/>
    <w:rsid w:val="005C23DE"/>
    <w:rsid w:val="005C27CE"/>
    <w:rsid w:val="005C27DD"/>
    <w:rsid w:val="005C29AF"/>
    <w:rsid w:val="005C2B9D"/>
    <w:rsid w:val="005C2C09"/>
    <w:rsid w:val="005C2C28"/>
    <w:rsid w:val="005C2FDC"/>
    <w:rsid w:val="005C33DC"/>
    <w:rsid w:val="005C3C50"/>
    <w:rsid w:val="005C4690"/>
    <w:rsid w:val="005C4891"/>
    <w:rsid w:val="005C4C63"/>
    <w:rsid w:val="005C4EB1"/>
    <w:rsid w:val="005C5703"/>
    <w:rsid w:val="005C590F"/>
    <w:rsid w:val="005C6124"/>
    <w:rsid w:val="005C6187"/>
    <w:rsid w:val="005C68A1"/>
    <w:rsid w:val="005C70FF"/>
    <w:rsid w:val="005C7271"/>
    <w:rsid w:val="005C7F14"/>
    <w:rsid w:val="005D0459"/>
    <w:rsid w:val="005D1093"/>
    <w:rsid w:val="005D153F"/>
    <w:rsid w:val="005D1DF8"/>
    <w:rsid w:val="005D20B3"/>
    <w:rsid w:val="005D2253"/>
    <w:rsid w:val="005D2B28"/>
    <w:rsid w:val="005D2D42"/>
    <w:rsid w:val="005D31A5"/>
    <w:rsid w:val="005D3B4B"/>
    <w:rsid w:val="005D3CE3"/>
    <w:rsid w:val="005D4596"/>
    <w:rsid w:val="005D538F"/>
    <w:rsid w:val="005D55C0"/>
    <w:rsid w:val="005D5D55"/>
    <w:rsid w:val="005D5D63"/>
    <w:rsid w:val="005D6422"/>
    <w:rsid w:val="005D67F9"/>
    <w:rsid w:val="005D6D8A"/>
    <w:rsid w:val="005D6EF5"/>
    <w:rsid w:val="005E041F"/>
    <w:rsid w:val="005E06DB"/>
    <w:rsid w:val="005E0770"/>
    <w:rsid w:val="005E0799"/>
    <w:rsid w:val="005E0CB8"/>
    <w:rsid w:val="005E12FE"/>
    <w:rsid w:val="005E13ED"/>
    <w:rsid w:val="005E15BF"/>
    <w:rsid w:val="005E1751"/>
    <w:rsid w:val="005E1E20"/>
    <w:rsid w:val="005E2100"/>
    <w:rsid w:val="005E2621"/>
    <w:rsid w:val="005E2BBF"/>
    <w:rsid w:val="005E3949"/>
    <w:rsid w:val="005E3A5B"/>
    <w:rsid w:val="005E3DA9"/>
    <w:rsid w:val="005E40B6"/>
    <w:rsid w:val="005E4228"/>
    <w:rsid w:val="005E464C"/>
    <w:rsid w:val="005E4BD4"/>
    <w:rsid w:val="005E50C6"/>
    <w:rsid w:val="005E568D"/>
    <w:rsid w:val="005E5D32"/>
    <w:rsid w:val="005E607D"/>
    <w:rsid w:val="005E66DD"/>
    <w:rsid w:val="005E6BBA"/>
    <w:rsid w:val="005E7A3D"/>
    <w:rsid w:val="005F0AEF"/>
    <w:rsid w:val="005F0CBA"/>
    <w:rsid w:val="005F16B5"/>
    <w:rsid w:val="005F188D"/>
    <w:rsid w:val="005F1C92"/>
    <w:rsid w:val="005F20B5"/>
    <w:rsid w:val="005F252A"/>
    <w:rsid w:val="005F265A"/>
    <w:rsid w:val="005F3301"/>
    <w:rsid w:val="005F4360"/>
    <w:rsid w:val="005F4433"/>
    <w:rsid w:val="005F508C"/>
    <w:rsid w:val="005F5478"/>
    <w:rsid w:val="005F5514"/>
    <w:rsid w:val="005F5B1E"/>
    <w:rsid w:val="005F6107"/>
    <w:rsid w:val="005F61A1"/>
    <w:rsid w:val="005F6434"/>
    <w:rsid w:val="005F66E6"/>
    <w:rsid w:val="005F7939"/>
    <w:rsid w:val="0060019F"/>
    <w:rsid w:val="00600851"/>
    <w:rsid w:val="00600886"/>
    <w:rsid w:val="00600B3C"/>
    <w:rsid w:val="00600BB0"/>
    <w:rsid w:val="00600FA2"/>
    <w:rsid w:val="006010BA"/>
    <w:rsid w:val="006015A4"/>
    <w:rsid w:val="00601769"/>
    <w:rsid w:val="00601DBB"/>
    <w:rsid w:val="00603095"/>
    <w:rsid w:val="00603D42"/>
    <w:rsid w:val="00604E3E"/>
    <w:rsid w:val="00604FA6"/>
    <w:rsid w:val="00604FFF"/>
    <w:rsid w:val="0060547F"/>
    <w:rsid w:val="00606336"/>
    <w:rsid w:val="00606D6E"/>
    <w:rsid w:val="00606E43"/>
    <w:rsid w:val="00607248"/>
    <w:rsid w:val="00607D09"/>
    <w:rsid w:val="0061097E"/>
    <w:rsid w:val="00610BA5"/>
    <w:rsid w:val="00611584"/>
    <w:rsid w:val="0061189A"/>
    <w:rsid w:val="00611B4E"/>
    <w:rsid w:val="00611F9A"/>
    <w:rsid w:val="00612067"/>
    <w:rsid w:val="00612C26"/>
    <w:rsid w:val="00612C7A"/>
    <w:rsid w:val="006131BA"/>
    <w:rsid w:val="00613390"/>
    <w:rsid w:val="0061547E"/>
    <w:rsid w:val="00615F2C"/>
    <w:rsid w:val="00615F90"/>
    <w:rsid w:val="0061611A"/>
    <w:rsid w:val="006162FA"/>
    <w:rsid w:val="00616723"/>
    <w:rsid w:val="006169CB"/>
    <w:rsid w:val="00616B5B"/>
    <w:rsid w:val="00617396"/>
    <w:rsid w:val="00617560"/>
    <w:rsid w:val="00617915"/>
    <w:rsid w:val="006179C8"/>
    <w:rsid w:val="00617C06"/>
    <w:rsid w:val="006201FA"/>
    <w:rsid w:val="00620294"/>
    <w:rsid w:val="006202E0"/>
    <w:rsid w:val="00620A4F"/>
    <w:rsid w:val="006210C5"/>
    <w:rsid w:val="006215C0"/>
    <w:rsid w:val="0062164A"/>
    <w:rsid w:val="00621DE4"/>
    <w:rsid w:val="00621E5B"/>
    <w:rsid w:val="00622AA0"/>
    <w:rsid w:val="00623552"/>
    <w:rsid w:val="006237D6"/>
    <w:rsid w:val="0062498E"/>
    <w:rsid w:val="00624EBC"/>
    <w:rsid w:val="00625B87"/>
    <w:rsid w:val="00625C86"/>
    <w:rsid w:val="006262A5"/>
    <w:rsid w:val="00626E36"/>
    <w:rsid w:val="00627494"/>
    <w:rsid w:val="006277C3"/>
    <w:rsid w:val="006277D1"/>
    <w:rsid w:val="00627806"/>
    <w:rsid w:val="0062785A"/>
    <w:rsid w:val="00627AA7"/>
    <w:rsid w:val="00627B86"/>
    <w:rsid w:val="00627FE9"/>
    <w:rsid w:val="00630202"/>
    <w:rsid w:val="006306A6"/>
    <w:rsid w:val="0063146D"/>
    <w:rsid w:val="00631603"/>
    <w:rsid w:val="00632192"/>
    <w:rsid w:val="00633F51"/>
    <w:rsid w:val="00634322"/>
    <w:rsid w:val="0063495D"/>
    <w:rsid w:val="00634A40"/>
    <w:rsid w:val="00635441"/>
    <w:rsid w:val="006357B9"/>
    <w:rsid w:val="0063647E"/>
    <w:rsid w:val="00636BAD"/>
    <w:rsid w:val="00636E22"/>
    <w:rsid w:val="00637085"/>
    <w:rsid w:val="0063734A"/>
    <w:rsid w:val="006374AC"/>
    <w:rsid w:val="006374F2"/>
    <w:rsid w:val="00637A6F"/>
    <w:rsid w:val="00637DFC"/>
    <w:rsid w:val="0064016E"/>
    <w:rsid w:val="006409B3"/>
    <w:rsid w:val="00640BF7"/>
    <w:rsid w:val="00641BCE"/>
    <w:rsid w:val="006423CD"/>
    <w:rsid w:val="00642945"/>
    <w:rsid w:val="00642DB3"/>
    <w:rsid w:val="00643B90"/>
    <w:rsid w:val="006457BA"/>
    <w:rsid w:val="00646C3A"/>
    <w:rsid w:val="00647BFC"/>
    <w:rsid w:val="00647C7A"/>
    <w:rsid w:val="006500D1"/>
    <w:rsid w:val="00650120"/>
    <w:rsid w:val="006504B5"/>
    <w:rsid w:val="006507E1"/>
    <w:rsid w:val="00650F73"/>
    <w:rsid w:val="0065106A"/>
    <w:rsid w:val="0065180B"/>
    <w:rsid w:val="006518B9"/>
    <w:rsid w:val="00653056"/>
    <w:rsid w:val="00653326"/>
    <w:rsid w:val="00654ABD"/>
    <w:rsid w:val="00655A14"/>
    <w:rsid w:val="00655EFE"/>
    <w:rsid w:val="006563A9"/>
    <w:rsid w:val="006564F0"/>
    <w:rsid w:val="006568A7"/>
    <w:rsid w:val="00656D9F"/>
    <w:rsid w:val="00657413"/>
    <w:rsid w:val="00657BDB"/>
    <w:rsid w:val="00657BF4"/>
    <w:rsid w:val="00660177"/>
    <w:rsid w:val="00660629"/>
    <w:rsid w:val="00660CFB"/>
    <w:rsid w:val="006617FF"/>
    <w:rsid w:val="00661905"/>
    <w:rsid w:val="00661A30"/>
    <w:rsid w:val="00661AD2"/>
    <w:rsid w:val="00661E3D"/>
    <w:rsid w:val="0066265A"/>
    <w:rsid w:val="00662799"/>
    <w:rsid w:val="006627EF"/>
    <w:rsid w:val="00664173"/>
    <w:rsid w:val="006646D6"/>
    <w:rsid w:val="00664BB4"/>
    <w:rsid w:val="006657AB"/>
    <w:rsid w:val="006657E5"/>
    <w:rsid w:val="00666153"/>
    <w:rsid w:val="006669D4"/>
    <w:rsid w:val="00666A09"/>
    <w:rsid w:val="00667266"/>
    <w:rsid w:val="0066734B"/>
    <w:rsid w:val="00667871"/>
    <w:rsid w:val="00667969"/>
    <w:rsid w:val="00667FA5"/>
    <w:rsid w:val="006703EA"/>
    <w:rsid w:val="006709A0"/>
    <w:rsid w:val="00670DE4"/>
    <w:rsid w:val="00671497"/>
    <w:rsid w:val="006716EA"/>
    <w:rsid w:val="006725D0"/>
    <w:rsid w:val="00672982"/>
    <w:rsid w:val="00672B20"/>
    <w:rsid w:val="00672B44"/>
    <w:rsid w:val="00672B79"/>
    <w:rsid w:val="00673068"/>
    <w:rsid w:val="006734E7"/>
    <w:rsid w:val="006735F6"/>
    <w:rsid w:val="0067411C"/>
    <w:rsid w:val="00674438"/>
    <w:rsid w:val="0067493B"/>
    <w:rsid w:val="00674E99"/>
    <w:rsid w:val="00674F91"/>
    <w:rsid w:val="00675127"/>
    <w:rsid w:val="0067581A"/>
    <w:rsid w:val="00675945"/>
    <w:rsid w:val="00676D54"/>
    <w:rsid w:val="006778C4"/>
    <w:rsid w:val="00677DA1"/>
    <w:rsid w:val="00677DDA"/>
    <w:rsid w:val="006801C4"/>
    <w:rsid w:val="00680BE0"/>
    <w:rsid w:val="00681013"/>
    <w:rsid w:val="00681484"/>
    <w:rsid w:val="00681D99"/>
    <w:rsid w:val="006820FB"/>
    <w:rsid w:val="006829F1"/>
    <w:rsid w:val="006834DA"/>
    <w:rsid w:val="00683CFE"/>
    <w:rsid w:val="006840AB"/>
    <w:rsid w:val="006843B8"/>
    <w:rsid w:val="006848C1"/>
    <w:rsid w:val="00684D4E"/>
    <w:rsid w:val="00685434"/>
    <w:rsid w:val="006854F2"/>
    <w:rsid w:val="00685907"/>
    <w:rsid w:val="00685A22"/>
    <w:rsid w:val="00685AC9"/>
    <w:rsid w:val="00685AE6"/>
    <w:rsid w:val="00686123"/>
    <w:rsid w:val="00686579"/>
    <w:rsid w:val="006866FE"/>
    <w:rsid w:val="006870F9"/>
    <w:rsid w:val="00690175"/>
    <w:rsid w:val="006903E7"/>
    <w:rsid w:val="00690A11"/>
    <w:rsid w:val="00691628"/>
    <w:rsid w:val="0069211A"/>
    <w:rsid w:val="006924F3"/>
    <w:rsid w:val="00692D37"/>
    <w:rsid w:val="00693486"/>
    <w:rsid w:val="006937B7"/>
    <w:rsid w:val="00693870"/>
    <w:rsid w:val="006938B7"/>
    <w:rsid w:val="00694A9A"/>
    <w:rsid w:val="00694BC5"/>
    <w:rsid w:val="00694D66"/>
    <w:rsid w:val="00694E1F"/>
    <w:rsid w:val="00694F18"/>
    <w:rsid w:val="0069521D"/>
    <w:rsid w:val="0069531E"/>
    <w:rsid w:val="006955D3"/>
    <w:rsid w:val="00695826"/>
    <w:rsid w:val="006959AE"/>
    <w:rsid w:val="006961C9"/>
    <w:rsid w:val="0069620D"/>
    <w:rsid w:val="006972D7"/>
    <w:rsid w:val="00697B16"/>
    <w:rsid w:val="00697D0C"/>
    <w:rsid w:val="00697F6F"/>
    <w:rsid w:val="006A04BA"/>
    <w:rsid w:val="006A1396"/>
    <w:rsid w:val="006A1A38"/>
    <w:rsid w:val="006A1E37"/>
    <w:rsid w:val="006A2101"/>
    <w:rsid w:val="006A21CD"/>
    <w:rsid w:val="006A3321"/>
    <w:rsid w:val="006A3D04"/>
    <w:rsid w:val="006A3DDA"/>
    <w:rsid w:val="006A3DE5"/>
    <w:rsid w:val="006A4434"/>
    <w:rsid w:val="006A45EC"/>
    <w:rsid w:val="006A5364"/>
    <w:rsid w:val="006A547E"/>
    <w:rsid w:val="006A607A"/>
    <w:rsid w:val="006A6217"/>
    <w:rsid w:val="006A6963"/>
    <w:rsid w:val="006A7057"/>
    <w:rsid w:val="006A755D"/>
    <w:rsid w:val="006B0032"/>
    <w:rsid w:val="006B0A6B"/>
    <w:rsid w:val="006B0B95"/>
    <w:rsid w:val="006B0E71"/>
    <w:rsid w:val="006B108C"/>
    <w:rsid w:val="006B1BA8"/>
    <w:rsid w:val="006B215C"/>
    <w:rsid w:val="006B23D8"/>
    <w:rsid w:val="006B2C2A"/>
    <w:rsid w:val="006B38DA"/>
    <w:rsid w:val="006B3C2E"/>
    <w:rsid w:val="006B4399"/>
    <w:rsid w:val="006B4667"/>
    <w:rsid w:val="006B4790"/>
    <w:rsid w:val="006B516B"/>
    <w:rsid w:val="006B5661"/>
    <w:rsid w:val="006B5D89"/>
    <w:rsid w:val="006B63B8"/>
    <w:rsid w:val="006B676B"/>
    <w:rsid w:val="006B67EE"/>
    <w:rsid w:val="006B6CD3"/>
    <w:rsid w:val="006B6D60"/>
    <w:rsid w:val="006B6EC5"/>
    <w:rsid w:val="006B7B2A"/>
    <w:rsid w:val="006C04EC"/>
    <w:rsid w:val="006C097E"/>
    <w:rsid w:val="006C0CD4"/>
    <w:rsid w:val="006C0EF9"/>
    <w:rsid w:val="006C0F48"/>
    <w:rsid w:val="006C157F"/>
    <w:rsid w:val="006C180C"/>
    <w:rsid w:val="006C2C15"/>
    <w:rsid w:val="006C2FA1"/>
    <w:rsid w:val="006C31C7"/>
    <w:rsid w:val="006C3506"/>
    <w:rsid w:val="006C3992"/>
    <w:rsid w:val="006C3DC9"/>
    <w:rsid w:val="006C47B5"/>
    <w:rsid w:val="006C4AFA"/>
    <w:rsid w:val="006C5269"/>
    <w:rsid w:val="006C54C3"/>
    <w:rsid w:val="006C5575"/>
    <w:rsid w:val="006C574F"/>
    <w:rsid w:val="006C57EC"/>
    <w:rsid w:val="006C6F9A"/>
    <w:rsid w:val="006C7F0C"/>
    <w:rsid w:val="006D0199"/>
    <w:rsid w:val="006D04C8"/>
    <w:rsid w:val="006D0ADC"/>
    <w:rsid w:val="006D0DC9"/>
    <w:rsid w:val="006D13C6"/>
    <w:rsid w:val="006D13DC"/>
    <w:rsid w:val="006D19CD"/>
    <w:rsid w:val="006D1D20"/>
    <w:rsid w:val="006D1D88"/>
    <w:rsid w:val="006D1EC9"/>
    <w:rsid w:val="006D2DFB"/>
    <w:rsid w:val="006D312A"/>
    <w:rsid w:val="006D3629"/>
    <w:rsid w:val="006D3B53"/>
    <w:rsid w:val="006D3D13"/>
    <w:rsid w:val="006D4980"/>
    <w:rsid w:val="006D534E"/>
    <w:rsid w:val="006D60F3"/>
    <w:rsid w:val="006D628C"/>
    <w:rsid w:val="006D6616"/>
    <w:rsid w:val="006D662D"/>
    <w:rsid w:val="006D68A5"/>
    <w:rsid w:val="006E09CD"/>
    <w:rsid w:val="006E0A59"/>
    <w:rsid w:val="006E0BB7"/>
    <w:rsid w:val="006E0C72"/>
    <w:rsid w:val="006E1C3B"/>
    <w:rsid w:val="006E20F4"/>
    <w:rsid w:val="006E2254"/>
    <w:rsid w:val="006E2866"/>
    <w:rsid w:val="006E2C9F"/>
    <w:rsid w:val="006E322A"/>
    <w:rsid w:val="006E369C"/>
    <w:rsid w:val="006E36A5"/>
    <w:rsid w:val="006E3739"/>
    <w:rsid w:val="006E4848"/>
    <w:rsid w:val="006E4A83"/>
    <w:rsid w:val="006E527F"/>
    <w:rsid w:val="006E53BF"/>
    <w:rsid w:val="006E553C"/>
    <w:rsid w:val="006E58D9"/>
    <w:rsid w:val="006E631D"/>
    <w:rsid w:val="006E71DD"/>
    <w:rsid w:val="006E7A12"/>
    <w:rsid w:val="006F0063"/>
    <w:rsid w:val="006F03D8"/>
    <w:rsid w:val="006F07B7"/>
    <w:rsid w:val="006F07E5"/>
    <w:rsid w:val="006F0BA0"/>
    <w:rsid w:val="006F0DD1"/>
    <w:rsid w:val="006F166C"/>
    <w:rsid w:val="006F1732"/>
    <w:rsid w:val="006F1ED3"/>
    <w:rsid w:val="006F2C74"/>
    <w:rsid w:val="006F36F9"/>
    <w:rsid w:val="006F3D2A"/>
    <w:rsid w:val="006F51CF"/>
    <w:rsid w:val="006F5855"/>
    <w:rsid w:val="006F5899"/>
    <w:rsid w:val="006F5977"/>
    <w:rsid w:val="006F5ED8"/>
    <w:rsid w:val="006F633C"/>
    <w:rsid w:val="006F6EDB"/>
    <w:rsid w:val="006F727E"/>
    <w:rsid w:val="006F74CF"/>
    <w:rsid w:val="006F758A"/>
    <w:rsid w:val="006F7A9F"/>
    <w:rsid w:val="006F7E41"/>
    <w:rsid w:val="00700330"/>
    <w:rsid w:val="007007C2"/>
    <w:rsid w:val="00700806"/>
    <w:rsid w:val="00702E81"/>
    <w:rsid w:val="007045CE"/>
    <w:rsid w:val="00704ADB"/>
    <w:rsid w:val="00705052"/>
    <w:rsid w:val="0070509F"/>
    <w:rsid w:val="0070519C"/>
    <w:rsid w:val="007060AC"/>
    <w:rsid w:val="00706E0D"/>
    <w:rsid w:val="00707F5D"/>
    <w:rsid w:val="0071022F"/>
    <w:rsid w:val="0071123F"/>
    <w:rsid w:val="00711C80"/>
    <w:rsid w:val="00711FE4"/>
    <w:rsid w:val="007121BE"/>
    <w:rsid w:val="007121DC"/>
    <w:rsid w:val="0071319F"/>
    <w:rsid w:val="00713377"/>
    <w:rsid w:val="00713521"/>
    <w:rsid w:val="00713B7C"/>
    <w:rsid w:val="0071419A"/>
    <w:rsid w:val="00714972"/>
    <w:rsid w:val="007151EB"/>
    <w:rsid w:val="00715718"/>
    <w:rsid w:val="007157BA"/>
    <w:rsid w:val="0071587A"/>
    <w:rsid w:val="00715E41"/>
    <w:rsid w:val="00716A62"/>
    <w:rsid w:val="00717824"/>
    <w:rsid w:val="00717B02"/>
    <w:rsid w:val="00720398"/>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4C4"/>
    <w:rsid w:val="00726682"/>
    <w:rsid w:val="00726950"/>
    <w:rsid w:val="0072716F"/>
    <w:rsid w:val="007271C1"/>
    <w:rsid w:val="0072731A"/>
    <w:rsid w:val="00727983"/>
    <w:rsid w:val="00730004"/>
    <w:rsid w:val="00730239"/>
    <w:rsid w:val="00730441"/>
    <w:rsid w:val="007306D3"/>
    <w:rsid w:val="00730EE5"/>
    <w:rsid w:val="00731316"/>
    <w:rsid w:val="007323DB"/>
    <w:rsid w:val="007324EC"/>
    <w:rsid w:val="00732762"/>
    <w:rsid w:val="007327BA"/>
    <w:rsid w:val="00732A3D"/>
    <w:rsid w:val="00732AE0"/>
    <w:rsid w:val="00732F8B"/>
    <w:rsid w:val="007330D4"/>
    <w:rsid w:val="0073317C"/>
    <w:rsid w:val="007332A5"/>
    <w:rsid w:val="007335A2"/>
    <w:rsid w:val="00733C46"/>
    <w:rsid w:val="007345D4"/>
    <w:rsid w:val="00734F37"/>
    <w:rsid w:val="00734FAD"/>
    <w:rsid w:val="00735823"/>
    <w:rsid w:val="007358AF"/>
    <w:rsid w:val="00736028"/>
    <w:rsid w:val="007361C0"/>
    <w:rsid w:val="00736A22"/>
    <w:rsid w:val="00736CCF"/>
    <w:rsid w:val="00740C76"/>
    <w:rsid w:val="00741A85"/>
    <w:rsid w:val="00741EE1"/>
    <w:rsid w:val="007420B7"/>
    <w:rsid w:val="00742B75"/>
    <w:rsid w:val="00742FB4"/>
    <w:rsid w:val="0074380E"/>
    <w:rsid w:val="00743A45"/>
    <w:rsid w:val="00743BA5"/>
    <w:rsid w:val="00744D31"/>
    <w:rsid w:val="00744E9A"/>
    <w:rsid w:val="007450EE"/>
    <w:rsid w:val="007453B4"/>
    <w:rsid w:val="00746D65"/>
    <w:rsid w:val="007470FF"/>
    <w:rsid w:val="007479C0"/>
    <w:rsid w:val="00747A59"/>
    <w:rsid w:val="00747B85"/>
    <w:rsid w:val="00747D68"/>
    <w:rsid w:val="00750475"/>
    <w:rsid w:val="00750769"/>
    <w:rsid w:val="007508A1"/>
    <w:rsid w:val="007508E1"/>
    <w:rsid w:val="00751230"/>
    <w:rsid w:val="00751558"/>
    <w:rsid w:val="00751E5D"/>
    <w:rsid w:val="00752C8F"/>
    <w:rsid w:val="00752D8F"/>
    <w:rsid w:val="00753073"/>
    <w:rsid w:val="00753416"/>
    <w:rsid w:val="00753979"/>
    <w:rsid w:val="00754077"/>
    <w:rsid w:val="00754172"/>
    <w:rsid w:val="00754878"/>
    <w:rsid w:val="00754ADD"/>
    <w:rsid w:val="00756882"/>
    <w:rsid w:val="00757983"/>
    <w:rsid w:val="00757B12"/>
    <w:rsid w:val="00757B90"/>
    <w:rsid w:val="00757BF8"/>
    <w:rsid w:val="00760258"/>
    <w:rsid w:val="007606B7"/>
    <w:rsid w:val="0076071F"/>
    <w:rsid w:val="00760F3D"/>
    <w:rsid w:val="00761DC8"/>
    <w:rsid w:val="007627C2"/>
    <w:rsid w:val="00762914"/>
    <w:rsid w:val="00762CC7"/>
    <w:rsid w:val="00763728"/>
    <w:rsid w:val="00763A29"/>
    <w:rsid w:val="00763B1B"/>
    <w:rsid w:val="00763B2D"/>
    <w:rsid w:val="00763F24"/>
    <w:rsid w:val="00764100"/>
    <w:rsid w:val="007649CB"/>
    <w:rsid w:val="00764FDC"/>
    <w:rsid w:val="0076573B"/>
    <w:rsid w:val="007659ED"/>
    <w:rsid w:val="00765DEB"/>
    <w:rsid w:val="007671B2"/>
    <w:rsid w:val="00767458"/>
    <w:rsid w:val="00767DC8"/>
    <w:rsid w:val="00770041"/>
    <w:rsid w:val="00771094"/>
    <w:rsid w:val="00771294"/>
    <w:rsid w:val="0077205E"/>
    <w:rsid w:val="00772259"/>
    <w:rsid w:val="0077275C"/>
    <w:rsid w:val="00772BF9"/>
    <w:rsid w:val="00772D7A"/>
    <w:rsid w:val="00772EE6"/>
    <w:rsid w:val="00773441"/>
    <w:rsid w:val="007734AE"/>
    <w:rsid w:val="00773C47"/>
    <w:rsid w:val="00773F08"/>
    <w:rsid w:val="0077409D"/>
    <w:rsid w:val="00774E6B"/>
    <w:rsid w:val="0077530B"/>
    <w:rsid w:val="00775844"/>
    <w:rsid w:val="00775EE8"/>
    <w:rsid w:val="00776096"/>
    <w:rsid w:val="00776630"/>
    <w:rsid w:val="00776AFC"/>
    <w:rsid w:val="00776B99"/>
    <w:rsid w:val="00776DAC"/>
    <w:rsid w:val="00776E3C"/>
    <w:rsid w:val="00777090"/>
    <w:rsid w:val="00777345"/>
    <w:rsid w:val="0077738E"/>
    <w:rsid w:val="007774C6"/>
    <w:rsid w:val="00777562"/>
    <w:rsid w:val="007779F7"/>
    <w:rsid w:val="00780446"/>
    <w:rsid w:val="007806BF"/>
    <w:rsid w:val="00780750"/>
    <w:rsid w:val="00780BA3"/>
    <w:rsid w:val="00780C03"/>
    <w:rsid w:val="00780CD0"/>
    <w:rsid w:val="00780D5F"/>
    <w:rsid w:val="00780EB1"/>
    <w:rsid w:val="0078157D"/>
    <w:rsid w:val="00781BF2"/>
    <w:rsid w:val="00782FA9"/>
    <w:rsid w:val="007839F9"/>
    <w:rsid w:val="007844F2"/>
    <w:rsid w:val="00784512"/>
    <w:rsid w:val="00784800"/>
    <w:rsid w:val="0078495D"/>
    <w:rsid w:val="007867D6"/>
    <w:rsid w:val="00786B30"/>
    <w:rsid w:val="00786CCC"/>
    <w:rsid w:val="007876AB"/>
    <w:rsid w:val="00790073"/>
    <w:rsid w:val="007905E5"/>
    <w:rsid w:val="00790758"/>
    <w:rsid w:val="007911D4"/>
    <w:rsid w:val="00791808"/>
    <w:rsid w:val="00792624"/>
    <w:rsid w:val="00792819"/>
    <w:rsid w:val="00792B1E"/>
    <w:rsid w:val="00792EED"/>
    <w:rsid w:val="00793183"/>
    <w:rsid w:val="007932ED"/>
    <w:rsid w:val="00793B55"/>
    <w:rsid w:val="00794585"/>
    <w:rsid w:val="0079491D"/>
    <w:rsid w:val="00794926"/>
    <w:rsid w:val="00794B22"/>
    <w:rsid w:val="00794FA3"/>
    <w:rsid w:val="00795770"/>
    <w:rsid w:val="007966D1"/>
    <w:rsid w:val="00796717"/>
    <w:rsid w:val="0079671C"/>
    <w:rsid w:val="00797112"/>
    <w:rsid w:val="00797715"/>
    <w:rsid w:val="007979B5"/>
    <w:rsid w:val="00797AB3"/>
    <w:rsid w:val="00797B4B"/>
    <w:rsid w:val="007A031B"/>
    <w:rsid w:val="007A051B"/>
    <w:rsid w:val="007A07C5"/>
    <w:rsid w:val="007A0BC2"/>
    <w:rsid w:val="007A0C18"/>
    <w:rsid w:val="007A1383"/>
    <w:rsid w:val="007A1667"/>
    <w:rsid w:val="007A1F8E"/>
    <w:rsid w:val="007A21CF"/>
    <w:rsid w:val="007A2224"/>
    <w:rsid w:val="007A2227"/>
    <w:rsid w:val="007A24A6"/>
    <w:rsid w:val="007A2804"/>
    <w:rsid w:val="007A41F4"/>
    <w:rsid w:val="007A449C"/>
    <w:rsid w:val="007A480F"/>
    <w:rsid w:val="007A5A73"/>
    <w:rsid w:val="007A619B"/>
    <w:rsid w:val="007A6484"/>
    <w:rsid w:val="007A664E"/>
    <w:rsid w:val="007A68AE"/>
    <w:rsid w:val="007A6A14"/>
    <w:rsid w:val="007A6A81"/>
    <w:rsid w:val="007A70DA"/>
    <w:rsid w:val="007A76B0"/>
    <w:rsid w:val="007A7B62"/>
    <w:rsid w:val="007B0016"/>
    <w:rsid w:val="007B059E"/>
    <w:rsid w:val="007B07D8"/>
    <w:rsid w:val="007B08FD"/>
    <w:rsid w:val="007B0BA0"/>
    <w:rsid w:val="007B0BD3"/>
    <w:rsid w:val="007B18DC"/>
    <w:rsid w:val="007B1983"/>
    <w:rsid w:val="007B1B14"/>
    <w:rsid w:val="007B1ED0"/>
    <w:rsid w:val="007B1ED9"/>
    <w:rsid w:val="007B2082"/>
    <w:rsid w:val="007B20B1"/>
    <w:rsid w:val="007B238C"/>
    <w:rsid w:val="007B25EB"/>
    <w:rsid w:val="007B2730"/>
    <w:rsid w:val="007B2AC0"/>
    <w:rsid w:val="007B43BF"/>
    <w:rsid w:val="007B4A29"/>
    <w:rsid w:val="007B4F50"/>
    <w:rsid w:val="007B5339"/>
    <w:rsid w:val="007B5464"/>
    <w:rsid w:val="007B54DF"/>
    <w:rsid w:val="007B5A89"/>
    <w:rsid w:val="007B5D89"/>
    <w:rsid w:val="007B5F72"/>
    <w:rsid w:val="007B6CB6"/>
    <w:rsid w:val="007B7326"/>
    <w:rsid w:val="007B73D9"/>
    <w:rsid w:val="007B7D09"/>
    <w:rsid w:val="007C03AB"/>
    <w:rsid w:val="007C09ED"/>
    <w:rsid w:val="007C0EB1"/>
    <w:rsid w:val="007C10C1"/>
    <w:rsid w:val="007C2126"/>
    <w:rsid w:val="007C240C"/>
    <w:rsid w:val="007C2AE7"/>
    <w:rsid w:val="007C2B2D"/>
    <w:rsid w:val="007C2EA7"/>
    <w:rsid w:val="007C360E"/>
    <w:rsid w:val="007C3736"/>
    <w:rsid w:val="007C395D"/>
    <w:rsid w:val="007C422A"/>
    <w:rsid w:val="007C42B0"/>
    <w:rsid w:val="007C4324"/>
    <w:rsid w:val="007C48CA"/>
    <w:rsid w:val="007C4C6F"/>
    <w:rsid w:val="007C4E95"/>
    <w:rsid w:val="007C5935"/>
    <w:rsid w:val="007C5A43"/>
    <w:rsid w:val="007C5E94"/>
    <w:rsid w:val="007C6081"/>
    <w:rsid w:val="007C611F"/>
    <w:rsid w:val="007C682F"/>
    <w:rsid w:val="007D0367"/>
    <w:rsid w:val="007D0A3F"/>
    <w:rsid w:val="007D0A89"/>
    <w:rsid w:val="007D0BD0"/>
    <w:rsid w:val="007D0BE4"/>
    <w:rsid w:val="007D2294"/>
    <w:rsid w:val="007D30CA"/>
    <w:rsid w:val="007D3503"/>
    <w:rsid w:val="007D36E2"/>
    <w:rsid w:val="007D440B"/>
    <w:rsid w:val="007D5106"/>
    <w:rsid w:val="007D57E7"/>
    <w:rsid w:val="007D58F4"/>
    <w:rsid w:val="007D60A5"/>
    <w:rsid w:val="007D663D"/>
    <w:rsid w:val="007D66D3"/>
    <w:rsid w:val="007D6A4B"/>
    <w:rsid w:val="007D6F12"/>
    <w:rsid w:val="007D730B"/>
    <w:rsid w:val="007D7387"/>
    <w:rsid w:val="007D742B"/>
    <w:rsid w:val="007D7858"/>
    <w:rsid w:val="007D7965"/>
    <w:rsid w:val="007D7F4C"/>
    <w:rsid w:val="007E02CF"/>
    <w:rsid w:val="007E0783"/>
    <w:rsid w:val="007E080C"/>
    <w:rsid w:val="007E159A"/>
    <w:rsid w:val="007E19F4"/>
    <w:rsid w:val="007E1C9C"/>
    <w:rsid w:val="007E1E96"/>
    <w:rsid w:val="007E2051"/>
    <w:rsid w:val="007E257E"/>
    <w:rsid w:val="007E2CCE"/>
    <w:rsid w:val="007E37F0"/>
    <w:rsid w:val="007E4288"/>
    <w:rsid w:val="007E457C"/>
    <w:rsid w:val="007E4ADE"/>
    <w:rsid w:val="007E4CA9"/>
    <w:rsid w:val="007E4E85"/>
    <w:rsid w:val="007E5213"/>
    <w:rsid w:val="007E5461"/>
    <w:rsid w:val="007E55BF"/>
    <w:rsid w:val="007E55F3"/>
    <w:rsid w:val="007E5F63"/>
    <w:rsid w:val="007E60C0"/>
    <w:rsid w:val="007E7965"/>
    <w:rsid w:val="007E7C20"/>
    <w:rsid w:val="007E7CA3"/>
    <w:rsid w:val="007E7D04"/>
    <w:rsid w:val="007E7E99"/>
    <w:rsid w:val="007F0438"/>
    <w:rsid w:val="007F0CB0"/>
    <w:rsid w:val="007F1DF6"/>
    <w:rsid w:val="007F3728"/>
    <w:rsid w:val="007F3767"/>
    <w:rsid w:val="007F37BF"/>
    <w:rsid w:val="007F3931"/>
    <w:rsid w:val="007F3979"/>
    <w:rsid w:val="007F3CB1"/>
    <w:rsid w:val="007F3DD0"/>
    <w:rsid w:val="007F44B9"/>
    <w:rsid w:val="007F4CE1"/>
    <w:rsid w:val="007F4D22"/>
    <w:rsid w:val="007F5843"/>
    <w:rsid w:val="007F5E11"/>
    <w:rsid w:val="007F6134"/>
    <w:rsid w:val="007F650D"/>
    <w:rsid w:val="007F6775"/>
    <w:rsid w:val="007F72B7"/>
    <w:rsid w:val="007F747E"/>
    <w:rsid w:val="007F77CA"/>
    <w:rsid w:val="007F7D0E"/>
    <w:rsid w:val="008007E7"/>
    <w:rsid w:val="00800D0E"/>
    <w:rsid w:val="00800D48"/>
    <w:rsid w:val="00802407"/>
    <w:rsid w:val="008028F6"/>
    <w:rsid w:val="00802AD2"/>
    <w:rsid w:val="00802CCE"/>
    <w:rsid w:val="00803610"/>
    <w:rsid w:val="00803C8D"/>
    <w:rsid w:val="00803CD5"/>
    <w:rsid w:val="00804F24"/>
    <w:rsid w:val="00805EBF"/>
    <w:rsid w:val="00805FBD"/>
    <w:rsid w:val="00806122"/>
    <w:rsid w:val="0080632B"/>
    <w:rsid w:val="008064BC"/>
    <w:rsid w:val="00806DD5"/>
    <w:rsid w:val="00806E48"/>
    <w:rsid w:val="00807036"/>
    <w:rsid w:val="00807C01"/>
    <w:rsid w:val="00810020"/>
    <w:rsid w:val="008100F1"/>
    <w:rsid w:val="00810901"/>
    <w:rsid w:val="00810B44"/>
    <w:rsid w:val="00810DD7"/>
    <w:rsid w:val="008111D7"/>
    <w:rsid w:val="00811C60"/>
    <w:rsid w:val="008121B9"/>
    <w:rsid w:val="008129A4"/>
    <w:rsid w:val="008129B0"/>
    <w:rsid w:val="00814AF6"/>
    <w:rsid w:val="00814B76"/>
    <w:rsid w:val="00814D73"/>
    <w:rsid w:val="00814EC1"/>
    <w:rsid w:val="00815040"/>
    <w:rsid w:val="0081532A"/>
    <w:rsid w:val="008154A7"/>
    <w:rsid w:val="00815889"/>
    <w:rsid w:val="00815FC9"/>
    <w:rsid w:val="008160A9"/>
    <w:rsid w:val="008169E8"/>
    <w:rsid w:val="00816A73"/>
    <w:rsid w:val="00816D2B"/>
    <w:rsid w:val="008179E1"/>
    <w:rsid w:val="00817AC3"/>
    <w:rsid w:val="00817E52"/>
    <w:rsid w:val="008209B3"/>
    <w:rsid w:val="008209F1"/>
    <w:rsid w:val="00821ACE"/>
    <w:rsid w:val="008229F7"/>
    <w:rsid w:val="00822CD2"/>
    <w:rsid w:val="008234BF"/>
    <w:rsid w:val="008235FE"/>
    <w:rsid w:val="00823A82"/>
    <w:rsid w:val="00823D07"/>
    <w:rsid w:val="00824442"/>
    <w:rsid w:val="00824A6B"/>
    <w:rsid w:val="00824D76"/>
    <w:rsid w:val="008252BC"/>
    <w:rsid w:val="00825A24"/>
    <w:rsid w:val="008265B0"/>
    <w:rsid w:val="00826767"/>
    <w:rsid w:val="00826EFD"/>
    <w:rsid w:val="00826FA5"/>
    <w:rsid w:val="00827082"/>
    <w:rsid w:val="00827F14"/>
    <w:rsid w:val="008300F5"/>
    <w:rsid w:val="00830359"/>
    <w:rsid w:val="00830689"/>
    <w:rsid w:val="00830AAB"/>
    <w:rsid w:val="00830F2B"/>
    <w:rsid w:val="0083149D"/>
    <w:rsid w:val="00831D61"/>
    <w:rsid w:val="00831E0B"/>
    <w:rsid w:val="008322C0"/>
    <w:rsid w:val="0083237A"/>
    <w:rsid w:val="00832BC1"/>
    <w:rsid w:val="008330A5"/>
    <w:rsid w:val="00833329"/>
    <w:rsid w:val="008334F8"/>
    <w:rsid w:val="0083407B"/>
    <w:rsid w:val="008342D8"/>
    <w:rsid w:val="008346F4"/>
    <w:rsid w:val="00835079"/>
    <w:rsid w:val="008350C9"/>
    <w:rsid w:val="0083590A"/>
    <w:rsid w:val="00835D8C"/>
    <w:rsid w:val="00837148"/>
    <w:rsid w:val="00837295"/>
    <w:rsid w:val="00837880"/>
    <w:rsid w:val="00837964"/>
    <w:rsid w:val="008400E2"/>
    <w:rsid w:val="00840B9D"/>
    <w:rsid w:val="0084214E"/>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051E"/>
    <w:rsid w:val="008514F8"/>
    <w:rsid w:val="008516CE"/>
    <w:rsid w:val="00851B36"/>
    <w:rsid w:val="00851CCC"/>
    <w:rsid w:val="0085229A"/>
    <w:rsid w:val="0085264B"/>
    <w:rsid w:val="008526D7"/>
    <w:rsid w:val="0085285C"/>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27D9"/>
    <w:rsid w:val="00863A38"/>
    <w:rsid w:val="00863A66"/>
    <w:rsid w:val="00863C47"/>
    <w:rsid w:val="0086470B"/>
    <w:rsid w:val="00864B57"/>
    <w:rsid w:val="00864DDA"/>
    <w:rsid w:val="0086537F"/>
    <w:rsid w:val="008653E7"/>
    <w:rsid w:val="00865934"/>
    <w:rsid w:val="00865A3A"/>
    <w:rsid w:val="008662E9"/>
    <w:rsid w:val="00866624"/>
    <w:rsid w:val="0086662B"/>
    <w:rsid w:val="0086692F"/>
    <w:rsid w:val="00866DC2"/>
    <w:rsid w:val="008704F1"/>
    <w:rsid w:val="008707B9"/>
    <w:rsid w:val="00871158"/>
    <w:rsid w:val="0087125E"/>
    <w:rsid w:val="00872D1F"/>
    <w:rsid w:val="008733E6"/>
    <w:rsid w:val="00873439"/>
    <w:rsid w:val="00874C8E"/>
    <w:rsid w:val="00875132"/>
    <w:rsid w:val="008752A6"/>
    <w:rsid w:val="008757D3"/>
    <w:rsid w:val="00875892"/>
    <w:rsid w:val="0087640A"/>
    <w:rsid w:val="008765A8"/>
    <w:rsid w:val="008766F2"/>
    <w:rsid w:val="00876A84"/>
    <w:rsid w:val="00876E2F"/>
    <w:rsid w:val="00877068"/>
    <w:rsid w:val="00877873"/>
    <w:rsid w:val="00877889"/>
    <w:rsid w:val="008778B3"/>
    <w:rsid w:val="00877E85"/>
    <w:rsid w:val="00877F69"/>
    <w:rsid w:val="008802E1"/>
    <w:rsid w:val="008802F7"/>
    <w:rsid w:val="00880C87"/>
    <w:rsid w:val="008818CE"/>
    <w:rsid w:val="008818FD"/>
    <w:rsid w:val="008819A3"/>
    <w:rsid w:val="00881E4B"/>
    <w:rsid w:val="008825F1"/>
    <w:rsid w:val="00882C8F"/>
    <w:rsid w:val="00883283"/>
    <w:rsid w:val="00883A47"/>
    <w:rsid w:val="008843CA"/>
    <w:rsid w:val="00884BA0"/>
    <w:rsid w:val="0088500B"/>
    <w:rsid w:val="00885884"/>
    <w:rsid w:val="00885FCE"/>
    <w:rsid w:val="00886528"/>
    <w:rsid w:val="00886BFD"/>
    <w:rsid w:val="00886DB4"/>
    <w:rsid w:val="00887558"/>
    <w:rsid w:val="00887DEB"/>
    <w:rsid w:val="008906D2"/>
    <w:rsid w:val="008910CF"/>
    <w:rsid w:val="00891383"/>
    <w:rsid w:val="00891C08"/>
    <w:rsid w:val="00891C5C"/>
    <w:rsid w:val="00891F4A"/>
    <w:rsid w:val="008931AA"/>
    <w:rsid w:val="00893522"/>
    <w:rsid w:val="00893ADC"/>
    <w:rsid w:val="008947BD"/>
    <w:rsid w:val="008948C4"/>
    <w:rsid w:val="0089567A"/>
    <w:rsid w:val="00895820"/>
    <w:rsid w:val="00895F3C"/>
    <w:rsid w:val="00896224"/>
    <w:rsid w:val="00896B74"/>
    <w:rsid w:val="00896CA2"/>
    <w:rsid w:val="00897588"/>
    <w:rsid w:val="008975FC"/>
    <w:rsid w:val="00897A05"/>
    <w:rsid w:val="00897B73"/>
    <w:rsid w:val="00897BC7"/>
    <w:rsid w:val="00897EEE"/>
    <w:rsid w:val="008A0245"/>
    <w:rsid w:val="008A048E"/>
    <w:rsid w:val="008A0E7D"/>
    <w:rsid w:val="008A1177"/>
    <w:rsid w:val="008A11E8"/>
    <w:rsid w:val="008A1307"/>
    <w:rsid w:val="008A14D2"/>
    <w:rsid w:val="008A1557"/>
    <w:rsid w:val="008A17A8"/>
    <w:rsid w:val="008A227C"/>
    <w:rsid w:val="008A250B"/>
    <w:rsid w:val="008A2DB9"/>
    <w:rsid w:val="008A2EB7"/>
    <w:rsid w:val="008A3D6C"/>
    <w:rsid w:val="008A4046"/>
    <w:rsid w:val="008A4341"/>
    <w:rsid w:val="008A4495"/>
    <w:rsid w:val="008A4BE0"/>
    <w:rsid w:val="008A4C93"/>
    <w:rsid w:val="008A4FE0"/>
    <w:rsid w:val="008A5136"/>
    <w:rsid w:val="008A537B"/>
    <w:rsid w:val="008A5B1A"/>
    <w:rsid w:val="008A5F74"/>
    <w:rsid w:val="008A605E"/>
    <w:rsid w:val="008A7189"/>
    <w:rsid w:val="008A7ABC"/>
    <w:rsid w:val="008B081E"/>
    <w:rsid w:val="008B082F"/>
    <w:rsid w:val="008B13A3"/>
    <w:rsid w:val="008B14DC"/>
    <w:rsid w:val="008B209D"/>
    <w:rsid w:val="008B2AEF"/>
    <w:rsid w:val="008B2EED"/>
    <w:rsid w:val="008B3944"/>
    <w:rsid w:val="008B3A9E"/>
    <w:rsid w:val="008B3ADB"/>
    <w:rsid w:val="008B3B05"/>
    <w:rsid w:val="008B55E4"/>
    <w:rsid w:val="008B5ECA"/>
    <w:rsid w:val="008B5F4A"/>
    <w:rsid w:val="008B600B"/>
    <w:rsid w:val="008B664C"/>
    <w:rsid w:val="008B6802"/>
    <w:rsid w:val="008B6830"/>
    <w:rsid w:val="008B6D96"/>
    <w:rsid w:val="008B73F7"/>
    <w:rsid w:val="008B74D0"/>
    <w:rsid w:val="008B75AD"/>
    <w:rsid w:val="008B7634"/>
    <w:rsid w:val="008C0313"/>
    <w:rsid w:val="008C1EF5"/>
    <w:rsid w:val="008C20C1"/>
    <w:rsid w:val="008C2682"/>
    <w:rsid w:val="008C29FC"/>
    <w:rsid w:val="008C2A81"/>
    <w:rsid w:val="008C2AC6"/>
    <w:rsid w:val="008C301A"/>
    <w:rsid w:val="008C3D2F"/>
    <w:rsid w:val="008C51BF"/>
    <w:rsid w:val="008C51D6"/>
    <w:rsid w:val="008C5400"/>
    <w:rsid w:val="008C56B7"/>
    <w:rsid w:val="008C5E4E"/>
    <w:rsid w:val="008C5EAC"/>
    <w:rsid w:val="008C6CF1"/>
    <w:rsid w:val="008C7073"/>
    <w:rsid w:val="008C7123"/>
    <w:rsid w:val="008C782D"/>
    <w:rsid w:val="008C7B41"/>
    <w:rsid w:val="008C7B99"/>
    <w:rsid w:val="008D07E4"/>
    <w:rsid w:val="008D1ADB"/>
    <w:rsid w:val="008D1D63"/>
    <w:rsid w:val="008D1F49"/>
    <w:rsid w:val="008D2006"/>
    <w:rsid w:val="008D2754"/>
    <w:rsid w:val="008D2A1A"/>
    <w:rsid w:val="008D3773"/>
    <w:rsid w:val="008D397B"/>
    <w:rsid w:val="008D4065"/>
    <w:rsid w:val="008D4628"/>
    <w:rsid w:val="008D4C01"/>
    <w:rsid w:val="008D4CA0"/>
    <w:rsid w:val="008D4E55"/>
    <w:rsid w:val="008D5129"/>
    <w:rsid w:val="008D5C27"/>
    <w:rsid w:val="008D6292"/>
    <w:rsid w:val="008D6EDE"/>
    <w:rsid w:val="008D71A1"/>
    <w:rsid w:val="008D789D"/>
    <w:rsid w:val="008E218A"/>
    <w:rsid w:val="008E2403"/>
    <w:rsid w:val="008E2637"/>
    <w:rsid w:val="008E28E8"/>
    <w:rsid w:val="008E3002"/>
    <w:rsid w:val="008E32D9"/>
    <w:rsid w:val="008E3376"/>
    <w:rsid w:val="008E35F2"/>
    <w:rsid w:val="008E36A4"/>
    <w:rsid w:val="008E3D97"/>
    <w:rsid w:val="008E3E7E"/>
    <w:rsid w:val="008E4134"/>
    <w:rsid w:val="008E461D"/>
    <w:rsid w:val="008E4EED"/>
    <w:rsid w:val="008E504D"/>
    <w:rsid w:val="008E5479"/>
    <w:rsid w:val="008E5603"/>
    <w:rsid w:val="008E57D9"/>
    <w:rsid w:val="008E5F2F"/>
    <w:rsid w:val="008E6001"/>
    <w:rsid w:val="008E6BCA"/>
    <w:rsid w:val="008E6CD7"/>
    <w:rsid w:val="008E7C56"/>
    <w:rsid w:val="008E7E26"/>
    <w:rsid w:val="008F0888"/>
    <w:rsid w:val="008F1624"/>
    <w:rsid w:val="008F1D86"/>
    <w:rsid w:val="008F2B6A"/>
    <w:rsid w:val="008F2E91"/>
    <w:rsid w:val="008F2F12"/>
    <w:rsid w:val="008F3250"/>
    <w:rsid w:val="008F37CB"/>
    <w:rsid w:val="008F440C"/>
    <w:rsid w:val="008F44D7"/>
    <w:rsid w:val="008F4BF7"/>
    <w:rsid w:val="008F4E63"/>
    <w:rsid w:val="008F4E7C"/>
    <w:rsid w:val="008F4F7C"/>
    <w:rsid w:val="008F5544"/>
    <w:rsid w:val="008F56E7"/>
    <w:rsid w:val="008F7209"/>
    <w:rsid w:val="008F726E"/>
    <w:rsid w:val="008F726F"/>
    <w:rsid w:val="009006E6"/>
    <w:rsid w:val="00901761"/>
    <w:rsid w:val="00901877"/>
    <w:rsid w:val="00901B3D"/>
    <w:rsid w:val="009023EA"/>
    <w:rsid w:val="00902485"/>
    <w:rsid w:val="009025B9"/>
    <w:rsid w:val="009028AA"/>
    <w:rsid w:val="00903221"/>
    <w:rsid w:val="00903D63"/>
    <w:rsid w:val="00904289"/>
    <w:rsid w:val="00905204"/>
    <w:rsid w:val="00905234"/>
    <w:rsid w:val="009059BD"/>
    <w:rsid w:val="00905B0F"/>
    <w:rsid w:val="00906255"/>
    <w:rsid w:val="00906EBA"/>
    <w:rsid w:val="009074E4"/>
    <w:rsid w:val="00907501"/>
    <w:rsid w:val="0091072F"/>
    <w:rsid w:val="00910753"/>
    <w:rsid w:val="00910FEB"/>
    <w:rsid w:val="00911401"/>
    <w:rsid w:val="0091144B"/>
    <w:rsid w:val="009117B2"/>
    <w:rsid w:val="00912065"/>
    <w:rsid w:val="009125C8"/>
    <w:rsid w:val="009132C7"/>
    <w:rsid w:val="00913BA4"/>
    <w:rsid w:val="00913CE4"/>
    <w:rsid w:val="00913DBA"/>
    <w:rsid w:val="00914735"/>
    <w:rsid w:val="00914AB6"/>
    <w:rsid w:val="00914AC8"/>
    <w:rsid w:val="00914D6B"/>
    <w:rsid w:val="009150CB"/>
    <w:rsid w:val="00915276"/>
    <w:rsid w:val="0091555B"/>
    <w:rsid w:val="00915A6B"/>
    <w:rsid w:val="0091621E"/>
    <w:rsid w:val="00916A53"/>
    <w:rsid w:val="009178FD"/>
    <w:rsid w:val="00917D9F"/>
    <w:rsid w:val="00917E37"/>
    <w:rsid w:val="00920003"/>
    <w:rsid w:val="0092026C"/>
    <w:rsid w:val="009206CC"/>
    <w:rsid w:val="0092081B"/>
    <w:rsid w:val="009216FD"/>
    <w:rsid w:val="00921C50"/>
    <w:rsid w:val="00921CD8"/>
    <w:rsid w:val="00923A0E"/>
    <w:rsid w:val="00923F2F"/>
    <w:rsid w:val="00924173"/>
    <w:rsid w:val="00924962"/>
    <w:rsid w:val="00924FFB"/>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43BC"/>
    <w:rsid w:val="0093547D"/>
    <w:rsid w:val="00935FB9"/>
    <w:rsid w:val="0093664E"/>
    <w:rsid w:val="00937237"/>
    <w:rsid w:val="0093751C"/>
    <w:rsid w:val="0093758D"/>
    <w:rsid w:val="009377A1"/>
    <w:rsid w:val="00937875"/>
    <w:rsid w:val="00940BF8"/>
    <w:rsid w:val="00940C76"/>
    <w:rsid w:val="0094129B"/>
    <w:rsid w:val="009419F5"/>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C7D"/>
    <w:rsid w:val="00952FF8"/>
    <w:rsid w:val="00953010"/>
    <w:rsid w:val="009531CE"/>
    <w:rsid w:val="00953993"/>
    <w:rsid w:val="00953A2A"/>
    <w:rsid w:val="00953D8B"/>
    <w:rsid w:val="00955096"/>
    <w:rsid w:val="0095553F"/>
    <w:rsid w:val="00955C7B"/>
    <w:rsid w:val="00956D72"/>
    <w:rsid w:val="00956DBE"/>
    <w:rsid w:val="00957313"/>
    <w:rsid w:val="0095781B"/>
    <w:rsid w:val="00960268"/>
    <w:rsid w:val="00960458"/>
    <w:rsid w:val="00960720"/>
    <w:rsid w:val="00960F12"/>
    <w:rsid w:val="00961810"/>
    <w:rsid w:val="00961C9F"/>
    <w:rsid w:val="009623B8"/>
    <w:rsid w:val="00962D25"/>
    <w:rsid w:val="00962DB5"/>
    <w:rsid w:val="00962F9D"/>
    <w:rsid w:val="009630E3"/>
    <w:rsid w:val="00963346"/>
    <w:rsid w:val="009650C9"/>
    <w:rsid w:val="009661FB"/>
    <w:rsid w:val="00966635"/>
    <w:rsid w:val="00967716"/>
    <w:rsid w:val="00970425"/>
    <w:rsid w:val="00970614"/>
    <w:rsid w:val="0097342D"/>
    <w:rsid w:val="00973BDB"/>
    <w:rsid w:val="00973F55"/>
    <w:rsid w:val="0097411A"/>
    <w:rsid w:val="0097445D"/>
    <w:rsid w:val="00974FB8"/>
    <w:rsid w:val="00975774"/>
    <w:rsid w:val="00976092"/>
    <w:rsid w:val="009760A4"/>
    <w:rsid w:val="009767D8"/>
    <w:rsid w:val="00976C61"/>
    <w:rsid w:val="00976D9B"/>
    <w:rsid w:val="00977000"/>
    <w:rsid w:val="00977577"/>
    <w:rsid w:val="009778BF"/>
    <w:rsid w:val="00977BC1"/>
    <w:rsid w:val="00977D5B"/>
    <w:rsid w:val="00977D69"/>
    <w:rsid w:val="00980B85"/>
    <w:rsid w:val="00980FE3"/>
    <w:rsid w:val="0098146C"/>
    <w:rsid w:val="009814F6"/>
    <w:rsid w:val="0098180C"/>
    <w:rsid w:val="00981ED0"/>
    <w:rsid w:val="009821F2"/>
    <w:rsid w:val="009823D9"/>
    <w:rsid w:val="00982A49"/>
    <w:rsid w:val="00982C46"/>
    <w:rsid w:val="00982DC9"/>
    <w:rsid w:val="00983331"/>
    <w:rsid w:val="009834D3"/>
    <w:rsid w:val="00983AC5"/>
    <w:rsid w:val="0098451D"/>
    <w:rsid w:val="009847E2"/>
    <w:rsid w:val="00984D27"/>
    <w:rsid w:val="00985269"/>
    <w:rsid w:val="00985594"/>
    <w:rsid w:val="009862EA"/>
    <w:rsid w:val="0098662C"/>
    <w:rsid w:val="009870D9"/>
    <w:rsid w:val="00987E9A"/>
    <w:rsid w:val="00990094"/>
    <w:rsid w:val="00990927"/>
    <w:rsid w:val="00990D9F"/>
    <w:rsid w:val="009910FA"/>
    <w:rsid w:val="009911CF"/>
    <w:rsid w:val="00991625"/>
    <w:rsid w:val="00991976"/>
    <w:rsid w:val="00991B42"/>
    <w:rsid w:val="00992838"/>
    <w:rsid w:val="00992E85"/>
    <w:rsid w:val="00993128"/>
    <w:rsid w:val="00993153"/>
    <w:rsid w:val="009935DD"/>
    <w:rsid w:val="00993B68"/>
    <w:rsid w:val="00993D2F"/>
    <w:rsid w:val="009946AF"/>
    <w:rsid w:val="009948D8"/>
    <w:rsid w:val="009955E8"/>
    <w:rsid w:val="00995B58"/>
    <w:rsid w:val="00996212"/>
    <w:rsid w:val="0099633C"/>
    <w:rsid w:val="009966D9"/>
    <w:rsid w:val="00997383"/>
    <w:rsid w:val="009973FD"/>
    <w:rsid w:val="009976F5"/>
    <w:rsid w:val="00997B57"/>
    <w:rsid w:val="009A0206"/>
    <w:rsid w:val="009A04D1"/>
    <w:rsid w:val="009A08CA"/>
    <w:rsid w:val="009A0EEE"/>
    <w:rsid w:val="009A10E3"/>
    <w:rsid w:val="009A1492"/>
    <w:rsid w:val="009A1503"/>
    <w:rsid w:val="009A1BCE"/>
    <w:rsid w:val="009A22EF"/>
    <w:rsid w:val="009A28EE"/>
    <w:rsid w:val="009A31F3"/>
    <w:rsid w:val="009A341E"/>
    <w:rsid w:val="009A36E9"/>
    <w:rsid w:val="009A424E"/>
    <w:rsid w:val="009A4671"/>
    <w:rsid w:val="009A4875"/>
    <w:rsid w:val="009A4AEA"/>
    <w:rsid w:val="009A4DC6"/>
    <w:rsid w:val="009A4E23"/>
    <w:rsid w:val="009A598F"/>
    <w:rsid w:val="009A6293"/>
    <w:rsid w:val="009A66C7"/>
    <w:rsid w:val="009A6903"/>
    <w:rsid w:val="009A6FE8"/>
    <w:rsid w:val="009B0501"/>
    <w:rsid w:val="009B0583"/>
    <w:rsid w:val="009B05A8"/>
    <w:rsid w:val="009B09A9"/>
    <w:rsid w:val="009B0DDD"/>
    <w:rsid w:val="009B132E"/>
    <w:rsid w:val="009B1654"/>
    <w:rsid w:val="009B166D"/>
    <w:rsid w:val="009B18F3"/>
    <w:rsid w:val="009B1E16"/>
    <w:rsid w:val="009B1F0A"/>
    <w:rsid w:val="009B20EF"/>
    <w:rsid w:val="009B2371"/>
    <w:rsid w:val="009B2A85"/>
    <w:rsid w:val="009B2F58"/>
    <w:rsid w:val="009B31EC"/>
    <w:rsid w:val="009B34C2"/>
    <w:rsid w:val="009B3781"/>
    <w:rsid w:val="009B395D"/>
    <w:rsid w:val="009B4A42"/>
    <w:rsid w:val="009B5449"/>
    <w:rsid w:val="009B5591"/>
    <w:rsid w:val="009B5A56"/>
    <w:rsid w:val="009B5CB5"/>
    <w:rsid w:val="009B6C0C"/>
    <w:rsid w:val="009B75D3"/>
    <w:rsid w:val="009B7CCA"/>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BC"/>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3244"/>
    <w:rsid w:val="009D338D"/>
    <w:rsid w:val="009D3C65"/>
    <w:rsid w:val="009D3EF7"/>
    <w:rsid w:val="009D45E3"/>
    <w:rsid w:val="009D49B4"/>
    <w:rsid w:val="009D4DFB"/>
    <w:rsid w:val="009D54A1"/>
    <w:rsid w:val="009D5625"/>
    <w:rsid w:val="009D567F"/>
    <w:rsid w:val="009D5BE6"/>
    <w:rsid w:val="009D5C8F"/>
    <w:rsid w:val="009D6EE3"/>
    <w:rsid w:val="009D774A"/>
    <w:rsid w:val="009E00E8"/>
    <w:rsid w:val="009E0C2E"/>
    <w:rsid w:val="009E0C64"/>
    <w:rsid w:val="009E0E40"/>
    <w:rsid w:val="009E19E4"/>
    <w:rsid w:val="009E1AB9"/>
    <w:rsid w:val="009E24D2"/>
    <w:rsid w:val="009E2585"/>
    <w:rsid w:val="009E2620"/>
    <w:rsid w:val="009E2799"/>
    <w:rsid w:val="009E2B6C"/>
    <w:rsid w:val="009E3A8C"/>
    <w:rsid w:val="009E3AD5"/>
    <w:rsid w:val="009E4255"/>
    <w:rsid w:val="009E45A4"/>
    <w:rsid w:val="009E4789"/>
    <w:rsid w:val="009E513C"/>
    <w:rsid w:val="009E51EC"/>
    <w:rsid w:val="009E59B4"/>
    <w:rsid w:val="009E5BAD"/>
    <w:rsid w:val="009E602A"/>
    <w:rsid w:val="009E6CCA"/>
    <w:rsid w:val="009E75E8"/>
    <w:rsid w:val="009E7842"/>
    <w:rsid w:val="009F0655"/>
    <w:rsid w:val="009F0D4D"/>
    <w:rsid w:val="009F1658"/>
    <w:rsid w:val="009F1822"/>
    <w:rsid w:val="009F187D"/>
    <w:rsid w:val="009F2048"/>
    <w:rsid w:val="009F3392"/>
    <w:rsid w:val="009F35ED"/>
    <w:rsid w:val="009F4102"/>
    <w:rsid w:val="009F452A"/>
    <w:rsid w:val="009F45BE"/>
    <w:rsid w:val="009F4A33"/>
    <w:rsid w:val="009F4E7E"/>
    <w:rsid w:val="009F4ED8"/>
    <w:rsid w:val="009F4FB4"/>
    <w:rsid w:val="009F509E"/>
    <w:rsid w:val="009F51B0"/>
    <w:rsid w:val="009F51EF"/>
    <w:rsid w:val="009F53C7"/>
    <w:rsid w:val="009F58B1"/>
    <w:rsid w:val="009F5B6B"/>
    <w:rsid w:val="009F5B70"/>
    <w:rsid w:val="009F6225"/>
    <w:rsid w:val="009F6243"/>
    <w:rsid w:val="009F691A"/>
    <w:rsid w:val="009F6B9E"/>
    <w:rsid w:val="009F6C5A"/>
    <w:rsid w:val="009F6FD8"/>
    <w:rsid w:val="009F6FFA"/>
    <w:rsid w:val="009F710C"/>
    <w:rsid w:val="009F756F"/>
    <w:rsid w:val="00A00110"/>
    <w:rsid w:val="00A022BB"/>
    <w:rsid w:val="00A02D8D"/>
    <w:rsid w:val="00A02FAA"/>
    <w:rsid w:val="00A03AD8"/>
    <w:rsid w:val="00A045F5"/>
    <w:rsid w:val="00A04D5A"/>
    <w:rsid w:val="00A04DB4"/>
    <w:rsid w:val="00A04F6E"/>
    <w:rsid w:val="00A052DD"/>
    <w:rsid w:val="00A05344"/>
    <w:rsid w:val="00A05546"/>
    <w:rsid w:val="00A055BC"/>
    <w:rsid w:val="00A0630D"/>
    <w:rsid w:val="00A06815"/>
    <w:rsid w:val="00A0688A"/>
    <w:rsid w:val="00A07432"/>
    <w:rsid w:val="00A07797"/>
    <w:rsid w:val="00A1033C"/>
    <w:rsid w:val="00A108AF"/>
    <w:rsid w:val="00A1095C"/>
    <w:rsid w:val="00A11237"/>
    <w:rsid w:val="00A117AA"/>
    <w:rsid w:val="00A11ACD"/>
    <w:rsid w:val="00A11B5F"/>
    <w:rsid w:val="00A11D74"/>
    <w:rsid w:val="00A129E7"/>
    <w:rsid w:val="00A12E11"/>
    <w:rsid w:val="00A136C1"/>
    <w:rsid w:val="00A13A3F"/>
    <w:rsid w:val="00A13DCD"/>
    <w:rsid w:val="00A13DE8"/>
    <w:rsid w:val="00A141EB"/>
    <w:rsid w:val="00A148FB"/>
    <w:rsid w:val="00A14A9D"/>
    <w:rsid w:val="00A14D5C"/>
    <w:rsid w:val="00A1511A"/>
    <w:rsid w:val="00A15AF2"/>
    <w:rsid w:val="00A16036"/>
    <w:rsid w:val="00A16047"/>
    <w:rsid w:val="00A161CB"/>
    <w:rsid w:val="00A16325"/>
    <w:rsid w:val="00A165B4"/>
    <w:rsid w:val="00A16DD2"/>
    <w:rsid w:val="00A176F7"/>
    <w:rsid w:val="00A17848"/>
    <w:rsid w:val="00A179C6"/>
    <w:rsid w:val="00A17D54"/>
    <w:rsid w:val="00A17F5B"/>
    <w:rsid w:val="00A17F61"/>
    <w:rsid w:val="00A205D6"/>
    <w:rsid w:val="00A20D8E"/>
    <w:rsid w:val="00A21C15"/>
    <w:rsid w:val="00A22A3F"/>
    <w:rsid w:val="00A22B91"/>
    <w:rsid w:val="00A2314C"/>
    <w:rsid w:val="00A234BC"/>
    <w:rsid w:val="00A23903"/>
    <w:rsid w:val="00A23AB3"/>
    <w:rsid w:val="00A23B0A"/>
    <w:rsid w:val="00A2414F"/>
    <w:rsid w:val="00A2466D"/>
    <w:rsid w:val="00A248C0"/>
    <w:rsid w:val="00A24D3B"/>
    <w:rsid w:val="00A24FF7"/>
    <w:rsid w:val="00A25379"/>
    <w:rsid w:val="00A25675"/>
    <w:rsid w:val="00A25952"/>
    <w:rsid w:val="00A25A10"/>
    <w:rsid w:val="00A25C09"/>
    <w:rsid w:val="00A263E4"/>
    <w:rsid w:val="00A26621"/>
    <w:rsid w:val="00A271CE"/>
    <w:rsid w:val="00A27552"/>
    <w:rsid w:val="00A27AD6"/>
    <w:rsid w:val="00A27D02"/>
    <w:rsid w:val="00A27DDF"/>
    <w:rsid w:val="00A30226"/>
    <w:rsid w:val="00A30FB0"/>
    <w:rsid w:val="00A313A6"/>
    <w:rsid w:val="00A314F3"/>
    <w:rsid w:val="00A316E5"/>
    <w:rsid w:val="00A31B3E"/>
    <w:rsid w:val="00A32250"/>
    <w:rsid w:val="00A32913"/>
    <w:rsid w:val="00A335B3"/>
    <w:rsid w:val="00A33840"/>
    <w:rsid w:val="00A33A12"/>
    <w:rsid w:val="00A33BE6"/>
    <w:rsid w:val="00A33D45"/>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127"/>
    <w:rsid w:val="00A414B1"/>
    <w:rsid w:val="00A419A0"/>
    <w:rsid w:val="00A426A6"/>
    <w:rsid w:val="00A42711"/>
    <w:rsid w:val="00A42C42"/>
    <w:rsid w:val="00A4340A"/>
    <w:rsid w:val="00A43FFB"/>
    <w:rsid w:val="00A444D7"/>
    <w:rsid w:val="00A44619"/>
    <w:rsid w:val="00A452B3"/>
    <w:rsid w:val="00A45769"/>
    <w:rsid w:val="00A458ED"/>
    <w:rsid w:val="00A45B21"/>
    <w:rsid w:val="00A45C12"/>
    <w:rsid w:val="00A4602A"/>
    <w:rsid w:val="00A46BF7"/>
    <w:rsid w:val="00A46CDE"/>
    <w:rsid w:val="00A46E25"/>
    <w:rsid w:val="00A478D7"/>
    <w:rsid w:val="00A50204"/>
    <w:rsid w:val="00A505D3"/>
    <w:rsid w:val="00A50AC7"/>
    <w:rsid w:val="00A50F97"/>
    <w:rsid w:val="00A5193B"/>
    <w:rsid w:val="00A51994"/>
    <w:rsid w:val="00A51A32"/>
    <w:rsid w:val="00A51AE3"/>
    <w:rsid w:val="00A5212B"/>
    <w:rsid w:val="00A523EE"/>
    <w:rsid w:val="00A52CF1"/>
    <w:rsid w:val="00A532CD"/>
    <w:rsid w:val="00A538CF"/>
    <w:rsid w:val="00A53960"/>
    <w:rsid w:val="00A53D28"/>
    <w:rsid w:val="00A53FD8"/>
    <w:rsid w:val="00A54671"/>
    <w:rsid w:val="00A54784"/>
    <w:rsid w:val="00A554E4"/>
    <w:rsid w:val="00A557D4"/>
    <w:rsid w:val="00A55D41"/>
    <w:rsid w:val="00A56E7B"/>
    <w:rsid w:val="00A57045"/>
    <w:rsid w:val="00A57D42"/>
    <w:rsid w:val="00A60342"/>
    <w:rsid w:val="00A60AB5"/>
    <w:rsid w:val="00A6135C"/>
    <w:rsid w:val="00A61D52"/>
    <w:rsid w:val="00A61E34"/>
    <w:rsid w:val="00A62D0F"/>
    <w:rsid w:val="00A63316"/>
    <w:rsid w:val="00A63567"/>
    <w:rsid w:val="00A64770"/>
    <w:rsid w:val="00A649FF"/>
    <w:rsid w:val="00A654CF"/>
    <w:rsid w:val="00A65728"/>
    <w:rsid w:val="00A659AC"/>
    <w:rsid w:val="00A67179"/>
    <w:rsid w:val="00A672C0"/>
    <w:rsid w:val="00A67D78"/>
    <w:rsid w:val="00A702BF"/>
    <w:rsid w:val="00A70316"/>
    <w:rsid w:val="00A70350"/>
    <w:rsid w:val="00A712C1"/>
    <w:rsid w:val="00A71AB0"/>
    <w:rsid w:val="00A72136"/>
    <w:rsid w:val="00A72F5D"/>
    <w:rsid w:val="00A730E4"/>
    <w:rsid w:val="00A73151"/>
    <w:rsid w:val="00A73A30"/>
    <w:rsid w:val="00A73D2A"/>
    <w:rsid w:val="00A73D4F"/>
    <w:rsid w:val="00A73D52"/>
    <w:rsid w:val="00A73FC3"/>
    <w:rsid w:val="00A74318"/>
    <w:rsid w:val="00A743D4"/>
    <w:rsid w:val="00A743E0"/>
    <w:rsid w:val="00A744FE"/>
    <w:rsid w:val="00A747B6"/>
    <w:rsid w:val="00A7480B"/>
    <w:rsid w:val="00A74810"/>
    <w:rsid w:val="00A74E5A"/>
    <w:rsid w:val="00A750A5"/>
    <w:rsid w:val="00A754D9"/>
    <w:rsid w:val="00A75680"/>
    <w:rsid w:val="00A75C8C"/>
    <w:rsid w:val="00A77330"/>
    <w:rsid w:val="00A77BBC"/>
    <w:rsid w:val="00A805F3"/>
    <w:rsid w:val="00A8287E"/>
    <w:rsid w:val="00A828BB"/>
    <w:rsid w:val="00A82E8B"/>
    <w:rsid w:val="00A8346A"/>
    <w:rsid w:val="00A8347F"/>
    <w:rsid w:val="00A83486"/>
    <w:rsid w:val="00A838EA"/>
    <w:rsid w:val="00A83DC8"/>
    <w:rsid w:val="00A8400C"/>
    <w:rsid w:val="00A84A9D"/>
    <w:rsid w:val="00A84BB6"/>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4B32"/>
    <w:rsid w:val="00A951AB"/>
    <w:rsid w:val="00A9522A"/>
    <w:rsid w:val="00A955A4"/>
    <w:rsid w:val="00A95830"/>
    <w:rsid w:val="00A9666A"/>
    <w:rsid w:val="00A967DC"/>
    <w:rsid w:val="00A96C99"/>
    <w:rsid w:val="00A96D36"/>
    <w:rsid w:val="00A9700C"/>
    <w:rsid w:val="00A971F2"/>
    <w:rsid w:val="00A975F5"/>
    <w:rsid w:val="00A97C93"/>
    <w:rsid w:val="00A97EA1"/>
    <w:rsid w:val="00AA012B"/>
    <w:rsid w:val="00AA014A"/>
    <w:rsid w:val="00AA0289"/>
    <w:rsid w:val="00AA06E0"/>
    <w:rsid w:val="00AA077C"/>
    <w:rsid w:val="00AA0AE4"/>
    <w:rsid w:val="00AA0DF8"/>
    <w:rsid w:val="00AA0F21"/>
    <w:rsid w:val="00AA0FB0"/>
    <w:rsid w:val="00AA128E"/>
    <w:rsid w:val="00AA12DD"/>
    <w:rsid w:val="00AA1480"/>
    <w:rsid w:val="00AA1697"/>
    <w:rsid w:val="00AA227D"/>
    <w:rsid w:val="00AA249C"/>
    <w:rsid w:val="00AA24B6"/>
    <w:rsid w:val="00AA33B7"/>
    <w:rsid w:val="00AA4E95"/>
    <w:rsid w:val="00AA4F7E"/>
    <w:rsid w:val="00AA5555"/>
    <w:rsid w:val="00AA55B3"/>
    <w:rsid w:val="00AA5ED0"/>
    <w:rsid w:val="00AA6C33"/>
    <w:rsid w:val="00AA75DE"/>
    <w:rsid w:val="00AA76F0"/>
    <w:rsid w:val="00AA7C8A"/>
    <w:rsid w:val="00AB0A4E"/>
    <w:rsid w:val="00AB0A66"/>
    <w:rsid w:val="00AB1D30"/>
    <w:rsid w:val="00AB2DBC"/>
    <w:rsid w:val="00AB2EB2"/>
    <w:rsid w:val="00AB4ABB"/>
    <w:rsid w:val="00AB4F6B"/>
    <w:rsid w:val="00AB536E"/>
    <w:rsid w:val="00AB5621"/>
    <w:rsid w:val="00AB5911"/>
    <w:rsid w:val="00AB5A88"/>
    <w:rsid w:val="00AB5AE4"/>
    <w:rsid w:val="00AB5BB8"/>
    <w:rsid w:val="00AB5D54"/>
    <w:rsid w:val="00AB60F2"/>
    <w:rsid w:val="00AB674C"/>
    <w:rsid w:val="00AB6804"/>
    <w:rsid w:val="00AB6E5C"/>
    <w:rsid w:val="00AB7056"/>
    <w:rsid w:val="00AB7C1E"/>
    <w:rsid w:val="00AC0A0A"/>
    <w:rsid w:val="00AC0D4B"/>
    <w:rsid w:val="00AC110C"/>
    <w:rsid w:val="00AC14B9"/>
    <w:rsid w:val="00AC1586"/>
    <w:rsid w:val="00AC1F06"/>
    <w:rsid w:val="00AC2003"/>
    <w:rsid w:val="00AC2227"/>
    <w:rsid w:val="00AC37C1"/>
    <w:rsid w:val="00AC3F82"/>
    <w:rsid w:val="00AC4620"/>
    <w:rsid w:val="00AC4B37"/>
    <w:rsid w:val="00AC524C"/>
    <w:rsid w:val="00AC541B"/>
    <w:rsid w:val="00AC5B10"/>
    <w:rsid w:val="00AC5BCB"/>
    <w:rsid w:val="00AC60AB"/>
    <w:rsid w:val="00AC60D6"/>
    <w:rsid w:val="00AC7693"/>
    <w:rsid w:val="00AC7C13"/>
    <w:rsid w:val="00AD0823"/>
    <w:rsid w:val="00AD0855"/>
    <w:rsid w:val="00AD0DB2"/>
    <w:rsid w:val="00AD1453"/>
    <w:rsid w:val="00AD1ABD"/>
    <w:rsid w:val="00AD1B51"/>
    <w:rsid w:val="00AD1BF8"/>
    <w:rsid w:val="00AD27EC"/>
    <w:rsid w:val="00AD2AAB"/>
    <w:rsid w:val="00AD2E99"/>
    <w:rsid w:val="00AD36CD"/>
    <w:rsid w:val="00AD37BF"/>
    <w:rsid w:val="00AD3C18"/>
    <w:rsid w:val="00AD3C6F"/>
    <w:rsid w:val="00AD4357"/>
    <w:rsid w:val="00AD45EA"/>
    <w:rsid w:val="00AD49E3"/>
    <w:rsid w:val="00AD4A0E"/>
    <w:rsid w:val="00AD4D9D"/>
    <w:rsid w:val="00AD5031"/>
    <w:rsid w:val="00AD7117"/>
    <w:rsid w:val="00AD78FF"/>
    <w:rsid w:val="00AD799A"/>
    <w:rsid w:val="00AD7CEC"/>
    <w:rsid w:val="00AE0587"/>
    <w:rsid w:val="00AE0643"/>
    <w:rsid w:val="00AE08B1"/>
    <w:rsid w:val="00AE094E"/>
    <w:rsid w:val="00AE0D0B"/>
    <w:rsid w:val="00AE189A"/>
    <w:rsid w:val="00AE381A"/>
    <w:rsid w:val="00AE393D"/>
    <w:rsid w:val="00AE3C79"/>
    <w:rsid w:val="00AE41AC"/>
    <w:rsid w:val="00AE41E9"/>
    <w:rsid w:val="00AE4257"/>
    <w:rsid w:val="00AE4422"/>
    <w:rsid w:val="00AE4C21"/>
    <w:rsid w:val="00AE58D5"/>
    <w:rsid w:val="00AE5E06"/>
    <w:rsid w:val="00AE6228"/>
    <w:rsid w:val="00AE644A"/>
    <w:rsid w:val="00AE70FE"/>
    <w:rsid w:val="00AE7672"/>
    <w:rsid w:val="00AE7DE0"/>
    <w:rsid w:val="00AE7EB8"/>
    <w:rsid w:val="00AF01DD"/>
    <w:rsid w:val="00AF0709"/>
    <w:rsid w:val="00AF0761"/>
    <w:rsid w:val="00AF077B"/>
    <w:rsid w:val="00AF1261"/>
    <w:rsid w:val="00AF1454"/>
    <w:rsid w:val="00AF15EE"/>
    <w:rsid w:val="00AF1A45"/>
    <w:rsid w:val="00AF2F8F"/>
    <w:rsid w:val="00AF34C6"/>
    <w:rsid w:val="00AF4B32"/>
    <w:rsid w:val="00AF501B"/>
    <w:rsid w:val="00AF53BD"/>
    <w:rsid w:val="00AF5749"/>
    <w:rsid w:val="00AF6D69"/>
    <w:rsid w:val="00AF6DF7"/>
    <w:rsid w:val="00AF6FF3"/>
    <w:rsid w:val="00AF702A"/>
    <w:rsid w:val="00AF72A0"/>
    <w:rsid w:val="00AF73F6"/>
    <w:rsid w:val="00AF753B"/>
    <w:rsid w:val="00AF7F27"/>
    <w:rsid w:val="00B00005"/>
    <w:rsid w:val="00B00AA1"/>
    <w:rsid w:val="00B00E70"/>
    <w:rsid w:val="00B029F2"/>
    <w:rsid w:val="00B02C4C"/>
    <w:rsid w:val="00B03441"/>
    <w:rsid w:val="00B037EE"/>
    <w:rsid w:val="00B03F1C"/>
    <w:rsid w:val="00B0449E"/>
    <w:rsid w:val="00B04B25"/>
    <w:rsid w:val="00B04C15"/>
    <w:rsid w:val="00B0528A"/>
    <w:rsid w:val="00B05513"/>
    <w:rsid w:val="00B05517"/>
    <w:rsid w:val="00B05FD1"/>
    <w:rsid w:val="00B0607F"/>
    <w:rsid w:val="00B06A12"/>
    <w:rsid w:val="00B06F3B"/>
    <w:rsid w:val="00B075C3"/>
    <w:rsid w:val="00B0793A"/>
    <w:rsid w:val="00B07C60"/>
    <w:rsid w:val="00B07E36"/>
    <w:rsid w:val="00B07EEA"/>
    <w:rsid w:val="00B103D4"/>
    <w:rsid w:val="00B10ABC"/>
    <w:rsid w:val="00B10B75"/>
    <w:rsid w:val="00B10DF1"/>
    <w:rsid w:val="00B10EFA"/>
    <w:rsid w:val="00B11290"/>
    <w:rsid w:val="00B11759"/>
    <w:rsid w:val="00B11BAB"/>
    <w:rsid w:val="00B123DA"/>
    <w:rsid w:val="00B12C80"/>
    <w:rsid w:val="00B12E5A"/>
    <w:rsid w:val="00B131C9"/>
    <w:rsid w:val="00B132D1"/>
    <w:rsid w:val="00B13454"/>
    <w:rsid w:val="00B13756"/>
    <w:rsid w:val="00B13894"/>
    <w:rsid w:val="00B13DC9"/>
    <w:rsid w:val="00B13F68"/>
    <w:rsid w:val="00B14121"/>
    <w:rsid w:val="00B148C9"/>
    <w:rsid w:val="00B14B76"/>
    <w:rsid w:val="00B15538"/>
    <w:rsid w:val="00B15679"/>
    <w:rsid w:val="00B15A09"/>
    <w:rsid w:val="00B15A9A"/>
    <w:rsid w:val="00B16302"/>
    <w:rsid w:val="00B16D17"/>
    <w:rsid w:val="00B17208"/>
    <w:rsid w:val="00B17398"/>
    <w:rsid w:val="00B17569"/>
    <w:rsid w:val="00B177C8"/>
    <w:rsid w:val="00B20265"/>
    <w:rsid w:val="00B206C7"/>
    <w:rsid w:val="00B20A6F"/>
    <w:rsid w:val="00B20B01"/>
    <w:rsid w:val="00B214B9"/>
    <w:rsid w:val="00B2162A"/>
    <w:rsid w:val="00B21CC6"/>
    <w:rsid w:val="00B21CD4"/>
    <w:rsid w:val="00B21DBA"/>
    <w:rsid w:val="00B21EF3"/>
    <w:rsid w:val="00B2218B"/>
    <w:rsid w:val="00B2231E"/>
    <w:rsid w:val="00B237C5"/>
    <w:rsid w:val="00B23D20"/>
    <w:rsid w:val="00B240AF"/>
    <w:rsid w:val="00B243AA"/>
    <w:rsid w:val="00B2499D"/>
    <w:rsid w:val="00B24DE3"/>
    <w:rsid w:val="00B2547E"/>
    <w:rsid w:val="00B258D7"/>
    <w:rsid w:val="00B25DDC"/>
    <w:rsid w:val="00B262CA"/>
    <w:rsid w:val="00B2767D"/>
    <w:rsid w:val="00B2780D"/>
    <w:rsid w:val="00B27EBE"/>
    <w:rsid w:val="00B301E4"/>
    <w:rsid w:val="00B30695"/>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6C2A"/>
    <w:rsid w:val="00B37515"/>
    <w:rsid w:val="00B37F82"/>
    <w:rsid w:val="00B407D0"/>
    <w:rsid w:val="00B40DBA"/>
    <w:rsid w:val="00B41258"/>
    <w:rsid w:val="00B41B99"/>
    <w:rsid w:val="00B41CDA"/>
    <w:rsid w:val="00B42256"/>
    <w:rsid w:val="00B426E2"/>
    <w:rsid w:val="00B42B4E"/>
    <w:rsid w:val="00B43B0E"/>
    <w:rsid w:val="00B43D4E"/>
    <w:rsid w:val="00B4462A"/>
    <w:rsid w:val="00B44B24"/>
    <w:rsid w:val="00B45956"/>
    <w:rsid w:val="00B45E95"/>
    <w:rsid w:val="00B4603B"/>
    <w:rsid w:val="00B4615C"/>
    <w:rsid w:val="00B46FA6"/>
    <w:rsid w:val="00B470E0"/>
    <w:rsid w:val="00B4753A"/>
    <w:rsid w:val="00B47A42"/>
    <w:rsid w:val="00B506DE"/>
    <w:rsid w:val="00B50811"/>
    <w:rsid w:val="00B50B16"/>
    <w:rsid w:val="00B51668"/>
    <w:rsid w:val="00B51FFA"/>
    <w:rsid w:val="00B52A5B"/>
    <w:rsid w:val="00B52C5A"/>
    <w:rsid w:val="00B53B8F"/>
    <w:rsid w:val="00B544CE"/>
    <w:rsid w:val="00B5452C"/>
    <w:rsid w:val="00B547B7"/>
    <w:rsid w:val="00B549DE"/>
    <w:rsid w:val="00B54B00"/>
    <w:rsid w:val="00B55A84"/>
    <w:rsid w:val="00B55B4E"/>
    <w:rsid w:val="00B56418"/>
    <w:rsid w:val="00B566D6"/>
    <w:rsid w:val="00B567F6"/>
    <w:rsid w:val="00B569A3"/>
    <w:rsid w:val="00B56BE2"/>
    <w:rsid w:val="00B57CCD"/>
    <w:rsid w:val="00B57FBF"/>
    <w:rsid w:val="00B60998"/>
    <w:rsid w:val="00B60B34"/>
    <w:rsid w:val="00B6160E"/>
    <w:rsid w:val="00B61840"/>
    <w:rsid w:val="00B61B3D"/>
    <w:rsid w:val="00B61BBE"/>
    <w:rsid w:val="00B62DF6"/>
    <w:rsid w:val="00B636D9"/>
    <w:rsid w:val="00B63D82"/>
    <w:rsid w:val="00B63D92"/>
    <w:rsid w:val="00B6419F"/>
    <w:rsid w:val="00B64953"/>
    <w:rsid w:val="00B65427"/>
    <w:rsid w:val="00B665DB"/>
    <w:rsid w:val="00B66627"/>
    <w:rsid w:val="00B66E39"/>
    <w:rsid w:val="00B67795"/>
    <w:rsid w:val="00B70644"/>
    <w:rsid w:val="00B71191"/>
    <w:rsid w:val="00B7154C"/>
    <w:rsid w:val="00B7185B"/>
    <w:rsid w:val="00B72B15"/>
    <w:rsid w:val="00B72C39"/>
    <w:rsid w:val="00B73D32"/>
    <w:rsid w:val="00B73F7D"/>
    <w:rsid w:val="00B74583"/>
    <w:rsid w:val="00B7461A"/>
    <w:rsid w:val="00B75030"/>
    <w:rsid w:val="00B754EA"/>
    <w:rsid w:val="00B75ACC"/>
    <w:rsid w:val="00B75FE1"/>
    <w:rsid w:val="00B777AA"/>
    <w:rsid w:val="00B779F0"/>
    <w:rsid w:val="00B801C2"/>
    <w:rsid w:val="00B80294"/>
    <w:rsid w:val="00B803C8"/>
    <w:rsid w:val="00B80C62"/>
    <w:rsid w:val="00B80F84"/>
    <w:rsid w:val="00B81002"/>
    <w:rsid w:val="00B8181F"/>
    <w:rsid w:val="00B81D9A"/>
    <w:rsid w:val="00B81E3B"/>
    <w:rsid w:val="00B82551"/>
    <w:rsid w:val="00B82BE7"/>
    <w:rsid w:val="00B82E46"/>
    <w:rsid w:val="00B83097"/>
    <w:rsid w:val="00B83691"/>
    <w:rsid w:val="00B83939"/>
    <w:rsid w:val="00B83A02"/>
    <w:rsid w:val="00B83C3F"/>
    <w:rsid w:val="00B84021"/>
    <w:rsid w:val="00B845C0"/>
    <w:rsid w:val="00B846E9"/>
    <w:rsid w:val="00B84C1C"/>
    <w:rsid w:val="00B859EE"/>
    <w:rsid w:val="00B85DD8"/>
    <w:rsid w:val="00B86D9C"/>
    <w:rsid w:val="00B86E5C"/>
    <w:rsid w:val="00B86EF4"/>
    <w:rsid w:val="00B870F7"/>
    <w:rsid w:val="00B87703"/>
    <w:rsid w:val="00B87BB0"/>
    <w:rsid w:val="00B87DD1"/>
    <w:rsid w:val="00B87E1B"/>
    <w:rsid w:val="00B87E9C"/>
    <w:rsid w:val="00B90404"/>
    <w:rsid w:val="00B9088D"/>
    <w:rsid w:val="00B90FA8"/>
    <w:rsid w:val="00B91604"/>
    <w:rsid w:val="00B9177A"/>
    <w:rsid w:val="00B93A2C"/>
    <w:rsid w:val="00B93A3A"/>
    <w:rsid w:val="00B93E4C"/>
    <w:rsid w:val="00B94055"/>
    <w:rsid w:val="00B94972"/>
    <w:rsid w:val="00B94BD0"/>
    <w:rsid w:val="00B94D26"/>
    <w:rsid w:val="00B94FC2"/>
    <w:rsid w:val="00B9578A"/>
    <w:rsid w:val="00B9643F"/>
    <w:rsid w:val="00B965B4"/>
    <w:rsid w:val="00B968D0"/>
    <w:rsid w:val="00B96936"/>
    <w:rsid w:val="00B96E4A"/>
    <w:rsid w:val="00B979C9"/>
    <w:rsid w:val="00BA0095"/>
    <w:rsid w:val="00BA015D"/>
    <w:rsid w:val="00BA09B3"/>
    <w:rsid w:val="00BA14EC"/>
    <w:rsid w:val="00BA1EF0"/>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5C73"/>
    <w:rsid w:val="00BA76A4"/>
    <w:rsid w:val="00BA7DB5"/>
    <w:rsid w:val="00BB03C1"/>
    <w:rsid w:val="00BB0976"/>
    <w:rsid w:val="00BB157E"/>
    <w:rsid w:val="00BB1A58"/>
    <w:rsid w:val="00BB2299"/>
    <w:rsid w:val="00BB3693"/>
    <w:rsid w:val="00BB380F"/>
    <w:rsid w:val="00BB3DDC"/>
    <w:rsid w:val="00BB3F38"/>
    <w:rsid w:val="00BB52B2"/>
    <w:rsid w:val="00BB52ED"/>
    <w:rsid w:val="00BB55B5"/>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1B85"/>
    <w:rsid w:val="00BC2A31"/>
    <w:rsid w:val="00BC2A84"/>
    <w:rsid w:val="00BC2BF9"/>
    <w:rsid w:val="00BC3310"/>
    <w:rsid w:val="00BC3C64"/>
    <w:rsid w:val="00BC3C76"/>
    <w:rsid w:val="00BC40A6"/>
    <w:rsid w:val="00BC42E0"/>
    <w:rsid w:val="00BC442F"/>
    <w:rsid w:val="00BC4E30"/>
    <w:rsid w:val="00BC5352"/>
    <w:rsid w:val="00BC5665"/>
    <w:rsid w:val="00BC5900"/>
    <w:rsid w:val="00BC5AC9"/>
    <w:rsid w:val="00BC6825"/>
    <w:rsid w:val="00BC7DCD"/>
    <w:rsid w:val="00BD0321"/>
    <w:rsid w:val="00BD0CC7"/>
    <w:rsid w:val="00BD1449"/>
    <w:rsid w:val="00BD1960"/>
    <w:rsid w:val="00BD1B01"/>
    <w:rsid w:val="00BD2023"/>
    <w:rsid w:val="00BD271A"/>
    <w:rsid w:val="00BD2A94"/>
    <w:rsid w:val="00BD2C6C"/>
    <w:rsid w:val="00BD2D6E"/>
    <w:rsid w:val="00BD2EF8"/>
    <w:rsid w:val="00BD2F6C"/>
    <w:rsid w:val="00BD37DB"/>
    <w:rsid w:val="00BD38DC"/>
    <w:rsid w:val="00BD3B0C"/>
    <w:rsid w:val="00BD3BF4"/>
    <w:rsid w:val="00BD4032"/>
    <w:rsid w:val="00BD5023"/>
    <w:rsid w:val="00BD56FA"/>
    <w:rsid w:val="00BD5882"/>
    <w:rsid w:val="00BD6A59"/>
    <w:rsid w:val="00BD6F4D"/>
    <w:rsid w:val="00BD70EF"/>
    <w:rsid w:val="00BD712B"/>
    <w:rsid w:val="00BD76A3"/>
    <w:rsid w:val="00BD772A"/>
    <w:rsid w:val="00BD7836"/>
    <w:rsid w:val="00BD79BD"/>
    <w:rsid w:val="00BE042E"/>
    <w:rsid w:val="00BE0CC6"/>
    <w:rsid w:val="00BE16BC"/>
    <w:rsid w:val="00BE1816"/>
    <w:rsid w:val="00BE2D8A"/>
    <w:rsid w:val="00BE36E7"/>
    <w:rsid w:val="00BE38F7"/>
    <w:rsid w:val="00BE38FC"/>
    <w:rsid w:val="00BE3AE1"/>
    <w:rsid w:val="00BE3CF0"/>
    <w:rsid w:val="00BE3D86"/>
    <w:rsid w:val="00BE3FFB"/>
    <w:rsid w:val="00BE41E4"/>
    <w:rsid w:val="00BE468C"/>
    <w:rsid w:val="00BE4D2D"/>
    <w:rsid w:val="00BE50A6"/>
    <w:rsid w:val="00BE51B5"/>
    <w:rsid w:val="00BE55B8"/>
    <w:rsid w:val="00BE5D0A"/>
    <w:rsid w:val="00BE6CD9"/>
    <w:rsid w:val="00BE72E2"/>
    <w:rsid w:val="00BE7BFA"/>
    <w:rsid w:val="00BF0CB5"/>
    <w:rsid w:val="00BF0D91"/>
    <w:rsid w:val="00BF0F91"/>
    <w:rsid w:val="00BF12E2"/>
    <w:rsid w:val="00BF24DD"/>
    <w:rsid w:val="00BF2637"/>
    <w:rsid w:val="00BF270B"/>
    <w:rsid w:val="00BF289B"/>
    <w:rsid w:val="00BF48C3"/>
    <w:rsid w:val="00BF4D74"/>
    <w:rsid w:val="00BF53ED"/>
    <w:rsid w:val="00BF54D4"/>
    <w:rsid w:val="00BF5E86"/>
    <w:rsid w:val="00BF6F28"/>
    <w:rsid w:val="00BF709F"/>
    <w:rsid w:val="00BF725D"/>
    <w:rsid w:val="00BF77F0"/>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5454"/>
    <w:rsid w:val="00C06DB3"/>
    <w:rsid w:val="00C071F3"/>
    <w:rsid w:val="00C07DE2"/>
    <w:rsid w:val="00C102B5"/>
    <w:rsid w:val="00C1033D"/>
    <w:rsid w:val="00C10BFB"/>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70F6"/>
    <w:rsid w:val="00C20283"/>
    <w:rsid w:val="00C20551"/>
    <w:rsid w:val="00C20809"/>
    <w:rsid w:val="00C208AC"/>
    <w:rsid w:val="00C20DFF"/>
    <w:rsid w:val="00C20F9F"/>
    <w:rsid w:val="00C213A0"/>
    <w:rsid w:val="00C2148D"/>
    <w:rsid w:val="00C21B55"/>
    <w:rsid w:val="00C21EC2"/>
    <w:rsid w:val="00C2226A"/>
    <w:rsid w:val="00C22340"/>
    <w:rsid w:val="00C22CF3"/>
    <w:rsid w:val="00C23295"/>
    <w:rsid w:val="00C234AF"/>
    <w:rsid w:val="00C23DD5"/>
    <w:rsid w:val="00C244F6"/>
    <w:rsid w:val="00C24C36"/>
    <w:rsid w:val="00C25DCF"/>
    <w:rsid w:val="00C26002"/>
    <w:rsid w:val="00C26301"/>
    <w:rsid w:val="00C2632D"/>
    <w:rsid w:val="00C26532"/>
    <w:rsid w:val="00C26E34"/>
    <w:rsid w:val="00C272CF"/>
    <w:rsid w:val="00C2730D"/>
    <w:rsid w:val="00C2757F"/>
    <w:rsid w:val="00C301D3"/>
    <w:rsid w:val="00C3057D"/>
    <w:rsid w:val="00C309AF"/>
    <w:rsid w:val="00C30D58"/>
    <w:rsid w:val="00C3171C"/>
    <w:rsid w:val="00C31CDB"/>
    <w:rsid w:val="00C31FCF"/>
    <w:rsid w:val="00C3234F"/>
    <w:rsid w:val="00C3284C"/>
    <w:rsid w:val="00C32C49"/>
    <w:rsid w:val="00C335AA"/>
    <w:rsid w:val="00C3455D"/>
    <w:rsid w:val="00C36B20"/>
    <w:rsid w:val="00C374E2"/>
    <w:rsid w:val="00C37B16"/>
    <w:rsid w:val="00C37DC4"/>
    <w:rsid w:val="00C37F6F"/>
    <w:rsid w:val="00C408BC"/>
    <w:rsid w:val="00C412D0"/>
    <w:rsid w:val="00C41E27"/>
    <w:rsid w:val="00C42265"/>
    <w:rsid w:val="00C430B0"/>
    <w:rsid w:val="00C43318"/>
    <w:rsid w:val="00C43C27"/>
    <w:rsid w:val="00C43C48"/>
    <w:rsid w:val="00C43D3B"/>
    <w:rsid w:val="00C44068"/>
    <w:rsid w:val="00C441E0"/>
    <w:rsid w:val="00C44246"/>
    <w:rsid w:val="00C44870"/>
    <w:rsid w:val="00C44DFF"/>
    <w:rsid w:val="00C44E16"/>
    <w:rsid w:val="00C45B08"/>
    <w:rsid w:val="00C45F94"/>
    <w:rsid w:val="00C460FC"/>
    <w:rsid w:val="00C4637A"/>
    <w:rsid w:val="00C467A4"/>
    <w:rsid w:val="00C46881"/>
    <w:rsid w:val="00C4688C"/>
    <w:rsid w:val="00C47110"/>
    <w:rsid w:val="00C509B1"/>
    <w:rsid w:val="00C51206"/>
    <w:rsid w:val="00C5157A"/>
    <w:rsid w:val="00C5177B"/>
    <w:rsid w:val="00C51867"/>
    <w:rsid w:val="00C521ED"/>
    <w:rsid w:val="00C52A71"/>
    <w:rsid w:val="00C52F0C"/>
    <w:rsid w:val="00C53A8B"/>
    <w:rsid w:val="00C53B19"/>
    <w:rsid w:val="00C5460B"/>
    <w:rsid w:val="00C55048"/>
    <w:rsid w:val="00C550E9"/>
    <w:rsid w:val="00C552D5"/>
    <w:rsid w:val="00C5554B"/>
    <w:rsid w:val="00C55A10"/>
    <w:rsid w:val="00C55F52"/>
    <w:rsid w:val="00C567F7"/>
    <w:rsid w:val="00C568F9"/>
    <w:rsid w:val="00C57575"/>
    <w:rsid w:val="00C57A46"/>
    <w:rsid w:val="00C57AD5"/>
    <w:rsid w:val="00C606D5"/>
    <w:rsid w:val="00C60A22"/>
    <w:rsid w:val="00C612A1"/>
    <w:rsid w:val="00C615BA"/>
    <w:rsid w:val="00C615CE"/>
    <w:rsid w:val="00C61F41"/>
    <w:rsid w:val="00C61FF2"/>
    <w:rsid w:val="00C62272"/>
    <w:rsid w:val="00C629CF"/>
    <w:rsid w:val="00C6309C"/>
    <w:rsid w:val="00C634CD"/>
    <w:rsid w:val="00C63A06"/>
    <w:rsid w:val="00C63A45"/>
    <w:rsid w:val="00C63B65"/>
    <w:rsid w:val="00C63C39"/>
    <w:rsid w:val="00C64113"/>
    <w:rsid w:val="00C647DB"/>
    <w:rsid w:val="00C64981"/>
    <w:rsid w:val="00C6520C"/>
    <w:rsid w:val="00C65E28"/>
    <w:rsid w:val="00C662EE"/>
    <w:rsid w:val="00C663EF"/>
    <w:rsid w:val="00C669EE"/>
    <w:rsid w:val="00C66B18"/>
    <w:rsid w:val="00C6740F"/>
    <w:rsid w:val="00C6741A"/>
    <w:rsid w:val="00C67826"/>
    <w:rsid w:val="00C7026E"/>
    <w:rsid w:val="00C705AE"/>
    <w:rsid w:val="00C70D13"/>
    <w:rsid w:val="00C71C17"/>
    <w:rsid w:val="00C71F1B"/>
    <w:rsid w:val="00C724F4"/>
    <w:rsid w:val="00C72625"/>
    <w:rsid w:val="00C72785"/>
    <w:rsid w:val="00C72C1E"/>
    <w:rsid w:val="00C73008"/>
    <w:rsid w:val="00C73037"/>
    <w:rsid w:val="00C73615"/>
    <w:rsid w:val="00C73AD2"/>
    <w:rsid w:val="00C74183"/>
    <w:rsid w:val="00C74631"/>
    <w:rsid w:val="00C74E96"/>
    <w:rsid w:val="00C75044"/>
    <w:rsid w:val="00C76E33"/>
    <w:rsid w:val="00C77134"/>
    <w:rsid w:val="00C7726E"/>
    <w:rsid w:val="00C80C41"/>
    <w:rsid w:val="00C81397"/>
    <w:rsid w:val="00C8211D"/>
    <w:rsid w:val="00C83308"/>
    <w:rsid w:val="00C833EE"/>
    <w:rsid w:val="00C841D4"/>
    <w:rsid w:val="00C84BD9"/>
    <w:rsid w:val="00C84BDC"/>
    <w:rsid w:val="00C84EDB"/>
    <w:rsid w:val="00C84F8D"/>
    <w:rsid w:val="00C85256"/>
    <w:rsid w:val="00C85FA7"/>
    <w:rsid w:val="00C85FED"/>
    <w:rsid w:val="00C863A7"/>
    <w:rsid w:val="00C863E5"/>
    <w:rsid w:val="00C86433"/>
    <w:rsid w:val="00C865EF"/>
    <w:rsid w:val="00C86667"/>
    <w:rsid w:val="00C86792"/>
    <w:rsid w:val="00C86AE4"/>
    <w:rsid w:val="00C86FE6"/>
    <w:rsid w:val="00C87B1D"/>
    <w:rsid w:val="00C87F52"/>
    <w:rsid w:val="00C900C0"/>
    <w:rsid w:val="00C90907"/>
    <w:rsid w:val="00C909DE"/>
    <w:rsid w:val="00C90F87"/>
    <w:rsid w:val="00C91666"/>
    <w:rsid w:val="00C91D80"/>
    <w:rsid w:val="00C91EB9"/>
    <w:rsid w:val="00C91ED0"/>
    <w:rsid w:val="00C91F4F"/>
    <w:rsid w:val="00C92491"/>
    <w:rsid w:val="00C92681"/>
    <w:rsid w:val="00C929EA"/>
    <w:rsid w:val="00C946EA"/>
    <w:rsid w:val="00C94B08"/>
    <w:rsid w:val="00C957C2"/>
    <w:rsid w:val="00C95A48"/>
    <w:rsid w:val="00C95B34"/>
    <w:rsid w:val="00C95B5B"/>
    <w:rsid w:val="00C967FA"/>
    <w:rsid w:val="00C97123"/>
    <w:rsid w:val="00C97679"/>
    <w:rsid w:val="00C97693"/>
    <w:rsid w:val="00C97705"/>
    <w:rsid w:val="00C9784C"/>
    <w:rsid w:val="00CA02F4"/>
    <w:rsid w:val="00CA05F3"/>
    <w:rsid w:val="00CA086E"/>
    <w:rsid w:val="00CA0AD2"/>
    <w:rsid w:val="00CA1205"/>
    <w:rsid w:val="00CA1FFE"/>
    <w:rsid w:val="00CA2DF9"/>
    <w:rsid w:val="00CA3EDC"/>
    <w:rsid w:val="00CA487C"/>
    <w:rsid w:val="00CA4C2F"/>
    <w:rsid w:val="00CA5CD0"/>
    <w:rsid w:val="00CA5E71"/>
    <w:rsid w:val="00CA615A"/>
    <w:rsid w:val="00CA64C6"/>
    <w:rsid w:val="00CA6951"/>
    <w:rsid w:val="00CA6BF1"/>
    <w:rsid w:val="00CA6DAF"/>
    <w:rsid w:val="00CA759C"/>
    <w:rsid w:val="00CA7869"/>
    <w:rsid w:val="00CA7A5F"/>
    <w:rsid w:val="00CA7DFD"/>
    <w:rsid w:val="00CA7E6B"/>
    <w:rsid w:val="00CB14DE"/>
    <w:rsid w:val="00CB1C9E"/>
    <w:rsid w:val="00CB2189"/>
    <w:rsid w:val="00CB2ADF"/>
    <w:rsid w:val="00CB36CD"/>
    <w:rsid w:val="00CB3790"/>
    <w:rsid w:val="00CB3928"/>
    <w:rsid w:val="00CB3C94"/>
    <w:rsid w:val="00CB3E87"/>
    <w:rsid w:val="00CB411C"/>
    <w:rsid w:val="00CB4908"/>
    <w:rsid w:val="00CB49DA"/>
    <w:rsid w:val="00CB4B7F"/>
    <w:rsid w:val="00CB4BCA"/>
    <w:rsid w:val="00CB4F74"/>
    <w:rsid w:val="00CB500B"/>
    <w:rsid w:val="00CB511A"/>
    <w:rsid w:val="00CB5438"/>
    <w:rsid w:val="00CB5A63"/>
    <w:rsid w:val="00CB6444"/>
    <w:rsid w:val="00CB6526"/>
    <w:rsid w:val="00CB6817"/>
    <w:rsid w:val="00CB6A30"/>
    <w:rsid w:val="00CB6ACD"/>
    <w:rsid w:val="00CB6F70"/>
    <w:rsid w:val="00CB7C23"/>
    <w:rsid w:val="00CB7DEA"/>
    <w:rsid w:val="00CC0065"/>
    <w:rsid w:val="00CC007A"/>
    <w:rsid w:val="00CC0523"/>
    <w:rsid w:val="00CC0532"/>
    <w:rsid w:val="00CC09B2"/>
    <w:rsid w:val="00CC0E57"/>
    <w:rsid w:val="00CC171F"/>
    <w:rsid w:val="00CC1A85"/>
    <w:rsid w:val="00CC1A9A"/>
    <w:rsid w:val="00CC2BE1"/>
    <w:rsid w:val="00CC2D70"/>
    <w:rsid w:val="00CC3790"/>
    <w:rsid w:val="00CC3A8B"/>
    <w:rsid w:val="00CC42CB"/>
    <w:rsid w:val="00CC48ED"/>
    <w:rsid w:val="00CC4D1C"/>
    <w:rsid w:val="00CC67FD"/>
    <w:rsid w:val="00CC6CEE"/>
    <w:rsid w:val="00CC7459"/>
    <w:rsid w:val="00CC7587"/>
    <w:rsid w:val="00CC7D40"/>
    <w:rsid w:val="00CD0153"/>
    <w:rsid w:val="00CD052C"/>
    <w:rsid w:val="00CD05A2"/>
    <w:rsid w:val="00CD1140"/>
    <w:rsid w:val="00CD12CF"/>
    <w:rsid w:val="00CD14E0"/>
    <w:rsid w:val="00CD157D"/>
    <w:rsid w:val="00CD1982"/>
    <w:rsid w:val="00CD1E16"/>
    <w:rsid w:val="00CD1E34"/>
    <w:rsid w:val="00CD2683"/>
    <w:rsid w:val="00CD2910"/>
    <w:rsid w:val="00CD3F40"/>
    <w:rsid w:val="00CD4224"/>
    <w:rsid w:val="00CD447A"/>
    <w:rsid w:val="00CD5B1C"/>
    <w:rsid w:val="00CD5D50"/>
    <w:rsid w:val="00CD5F04"/>
    <w:rsid w:val="00CD6925"/>
    <w:rsid w:val="00CD6C8A"/>
    <w:rsid w:val="00CD7087"/>
    <w:rsid w:val="00CD73C8"/>
    <w:rsid w:val="00CD760C"/>
    <w:rsid w:val="00CD7756"/>
    <w:rsid w:val="00CE0658"/>
    <w:rsid w:val="00CE0DF5"/>
    <w:rsid w:val="00CE1139"/>
    <w:rsid w:val="00CE1266"/>
    <w:rsid w:val="00CE1389"/>
    <w:rsid w:val="00CE148D"/>
    <w:rsid w:val="00CE1524"/>
    <w:rsid w:val="00CE1A2B"/>
    <w:rsid w:val="00CE23BA"/>
    <w:rsid w:val="00CE24EF"/>
    <w:rsid w:val="00CE298E"/>
    <w:rsid w:val="00CE3143"/>
    <w:rsid w:val="00CE3237"/>
    <w:rsid w:val="00CE38B1"/>
    <w:rsid w:val="00CE470D"/>
    <w:rsid w:val="00CE558D"/>
    <w:rsid w:val="00CE55AA"/>
    <w:rsid w:val="00CE57AF"/>
    <w:rsid w:val="00CE5B7B"/>
    <w:rsid w:val="00CE605D"/>
    <w:rsid w:val="00CE65C2"/>
    <w:rsid w:val="00CE6A33"/>
    <w:rsid w:val="00CE6ED2"/>
    <w:rsid w:val="00CE7803"/>
    <w:rsid w:val="00CE78BF"/>
    <w:rsid w:val="00CE78DC"/>
    <w:rsid w:val="00CE7B7D"/>
    <w:rsid w:val="00CF05A5"/>
    <w:rsid w:val="00CF09E8"/>
    <w:rsid w:val="00CF130F"/>
    <w:rsid w:val="00CF14DC"/>
    <w:rsid w:val="00CF1618"/>
    <w:rsid w:val="00CF1B75"/>
    <w:rsid w:val="00CF20E5"/>
    <w:rsid w:val="00CF3011"/>
    <w:rsid w:val="00CF345D"/>
    <w:rsid w:val="00CF385E"/>
    <w:rsid w:val="00CF3C49"/>
    <w:rsid w:val="00CF5BC7"/>
    <w:rsid w:val="00CF6B8E"/>
    <w:rsid w:val="00CF6D48"/>
    <w:rsid w:val="00CF6D8D"/>
    <w:rsid w:val="00CF753B"/>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3DF0"/>
    <w:rsid w:val="00D0473E"/>
    <w:rsid w:val="00D04D1A"/>
    <w:rsid w:val="00D05582"/>
    <w:rsid w:val="00D05F6F"/>
    <w:rsid w:val="00D0610E"/>
    <w:rsid w:val="00D06126"/>
    <w:rsid w:val="00D06C41"/>
    <w:rsid w:val="00D07A7B"/>
    <w:rsid w:val="00D07AE8"/>
    <w:rsid w:val="00D07FC5"/>
    <w:rsid w:val="00D10D78"/>
    <w:rsid w:val="00D1182B"/>
    <w:rsid w:val="00D11878"/>
    <w:rsid w:val="00D11E41"/>
    <w:rsid w:val="00D1235C"/>
    <w:rsid w:val="00D12616"/>
    <w:rsid w:val="00D12ECA"/>
    <w:rsid w:val="00D13AB7"/>
    <w:rsid w:val="00D13CB0"/>
    <w:rsid w:val="00D13F8A"/>
    <w:rsid w:val="00D147CE"/>
    <w:rsid w:val="00D14A4B"/>
    <w:rsid w:val="00D14D3B"/>
    <w:rsid w:val="00D15150"/>
    <w:rsid w:val="00D1520E"/>
    <w:rsid w:val="00D15637"/>
    <w:rsid w:val="00D156CD"/>
    <w:rsid w:val="00D157FB"/>
    <w:rsid w:val="00D15E14"/>
    <w:rsid w:val="00D16E10"/>
    <w:rsid w:val="00D207C7"/>
    <w:rsid w:val="00D21B92"/>
    <w:rsid w:val="00D22F95"/>
    <w:rsid w:val="00D231BA"/>
    <w:rsid w:val="00D23350"/>
    <w:rsid w:val="00D23CAC"/>
    <w:rsid w:val="00D25983"/>
    <w:rsid w:val="00D25AC3"/>
    <w:rsid w:val="00D25F88"/>
    <w:rsid w:val="00D2619C"/>
    <w:rsid w:val="00D261E3"/>
    <w:rsid w:val="00D2650F"/>
    <w:rsid w:val="00D26672"/>
    <w:rsid w:val="00D26831"/>
    <w:rsid w:val="00D2693C"/>
    <w:rsid w:val="00D26A8A"/>
    <w:rsid w:val="00D26CCC"/>
    <w:rsid w:val="00D27107"/>
    <w:rsid w:val="00D278E5"/>
    <w:rsid w:val="00D3065C"/>
    <w:rsid w:val="00D309B1"/>
    <w:rsid w:val="00D30F56"/>
    <w:rsid w:val="00D318F8"/>
    <w:rsid w:val="00D31B24"/>
    <w:rsid w:val="00D31BE2"/>
    <w:rsid w:val="00D322B6"/>
    <w:rsid w:val="00D33218"/>
    <w:rsid w:val="00D337CD"/>
    <w:rsid w:val="00D33EBD"/>
    <w:rsid w:val="00D340E7"/>
    <w:rsid w:val="00D342A6"/>
    <w:rsid w:val="00D34F3C"/>
    <w:rsid w:val="00D3587B"/>
    <w:rsid w:val="00D364F5"/>
    <w:rsid w:val="00D3662F"/>
    <w:rsid w:val="00D36859"/>
    <w:rsid w:val="00D36BD1"/>
    <w:rsid w:val="00D36E9E"/>
    <w:rsid w:val="00D376EB"/>
    <w:rsid w:val="00D4052D"/>
    <w:rsid w:val="00D40F45"/>
    <w:rsid w:val="00D41228"/>
    <w:rsid w:val="00D4223B"/>
    <w:rsid w:val="00D42DF9"/>
    <w:rsid w:val="00D42EF0"/>
    <w:rsid w:val="00D43049"/>
    <w:rsid w:val="00D43375"/>
    <w:rsid w:val="00D43655"/>
    <w:rsid w:val="00D43EC3"/>
    <w:rsid w:val="00D43F67"/>
    <w:rsid w:val="00D44171"/>
    <w:rsid w:val="00D45214"/>
    <w:rsid w:val="00D4533E"/>
    <w:rsid w:val="00D453AC"/>
    <w:rsid w:val="00D453B7"/>
    <w:rsid w:val="00D4543F"/>
    <w:rsid w:val="00D4584E"/>
    <w:rsid w:val="00D45EED"/>
    <w:rsid w:val="00D468A8"/>
    <w:rsid w:val="00D471A0"/>
    <w:rsid w:val="00D47294"/>
    <w:rsid w:val="00D478AF"/>
    <w:rsid w:val="00D47C64"/>
    <w:rsid w:val="00D47D7C"/>
    <w:rsid w:val="00D47FAA"/>
    <w:rsid w:val="00D50128"/>
    <w:rsid w:val="00D518A1"/>
    <w:rsid w:val="00D519AB"/>
    <w:rsid w:val="00D51B10"/>
    <w:rsid w:val="00D5205B"/>
    <w:rsid w:val="00D520FC"/>
    <w:rsid w:val="00D52566"/>
    <w:rsid w:val="00D533DF"/>
    <w:rsid w:val="00D534D3"/>
    <w:rsid w:val="00D53A20"/>
    <w:rsid w:val="00D54592"/>
    <w:rsid w:val="00D547BE"/>
    <w:rsid w:val="00D55489"/>
    <w:rsid w:val="00D55ABD"/>
    <w:rsid w:val="00D55C39"/>
    <w:rsid w:val="00D55C8F"/>
    <w:rsid w:val="00D56E39"/>
    <w:rsid w:val="00D57256"/>
    <w:rsid w:val="00D60515"/>
    <w:rsid w:val="00D60929"/>
    <w:rsid w:val="00D60C09"/>
    <w:rsid w:val="00D6146A"/>
    <w:rsid w:val="00D61644"/>
    <w:rsid w:val="00D6183B"/>
    <w:rsid w:val="00D6202D"/>
    <w:rsid w:val="00D621F6"/>
    <w:rsid w:val="00D62266"/>
    <w:rsid w:val="00D6237A"/>
    <w:rsid w:val="00D62C73"/>
    <w:rsid w:val="00D635E4"/>
    <w:rsid w:val="00D639A1"/>
    <w:rsid w:val="00D63D91"/>
    <w:rsid w:val="00D64A1F"/>
    <w:rsid w:val="00D64CBA"/>
    <w:rsid w:val="00D64F41"/>
    <w:rsid w:val="00D65291"/>
    <w:rsid w:val="00D657AF"/>
    <w:rsid w:val="00D6596A"/>
    <w:rsid w:val="00D65B14"/>
    <w:rsid w:val="00D663AA"/>
    <w:rsid w:val="00D66D8D"/>
    <w:rsid w:val="00D6778A"/>
    <w:rsid w:val="00D678E2"/>
    <w:rsid w:val="00D67F31"/>
    <w:rsid w:val="00D67F87"/>
    <w:rsid w:val="00D70417"/>
    <w:rsid w:val="00D706FD"/>
    <w:rsid w:val="00D70BA0"/>
    <w:rsid w:val="00D70BDF"/>
    <w:rsid w:val="00D70F95"/>
    <w:rsid w:val="00D7102D"/>
    <w:rsid w:val="00D71853"/>
    <w:rsid w:val="00D71878"/>
    <w:rsid w:val="00D71C6E"/>
    <w:rsid w:val="00D72885"/>
    <w:rsid w:val="00D73353"/>
    <w:rsid w:val="00D74CE1"/>
    <w:rsid w:val="00D74E2F"/>
    <w:rsid w:val="00D759FB"/>
    <w:rsid w:val="00D75BF5"/>
    <w:rsid w:val="00D7614F"/>
    <w:rsid w:val="00D762B9"/>
    <w:rsid w:val="00D768AE"/>
    <w:rsid w:val="00D76E2C"/>
    <w:rsid w:val="00D76ED6"/>
    <w:rsid w:val="00D77549"/>
    <w:rsid w:val="00D77A37"/>
    <w:rsid w:val="00D8048C"/>
    <w:rsid w:val="00D807B5"/>
    <w:rsid w:val="00D80C6A"/>
    <w:rsid w:val="00D80E56"/>
    <w:rsid w:val="00D80FE2"/>
    <w:rsid w:val="00D8166B"/>
    <w:rsid w:val="00D81889"/>
    <w:rsid w:val="00D81D58"/>
    <w:rsid w:val="00D81F28"/>
    <w:rsid w:val="00D827F5"/>
    <w:rsid w:val="00D829C2"/>
    <w:rsid w:val="00D838CD"/>
    <w:rsid w:val="00D83AFD"/>
    <w:rsid w:val="00D83D2B"/>
    <w:rsid w:val="00D83E29"/>
    <w:rsid w:val="00D8409D"/>
    <w:rsid w:val="00D84141"/>
    <w:rsid w:val="00D847F1"/>
    <w:rsid w:val="00D84ED2"/>
    <w:rsid w:val="00D85126"/>
    <w:rsid w:val="00D8539B"/>
    <w:rsid w:val="00D85DF9"/>
    <w:rsid w:val="00D85F16"/>
    <w:rsid w:val="00D860E3"/>
    <w:rsid w:val="00D86C30"/>
    <w:rsid w:val="00D87082"/>
    <w:rsid w:val="00D877CE"/>
    <w:rsid w:val="00D8798A"/>
    <w:rsid w:val="00D87F28"/>
    <w:rsid w:val="00D9008D"/>
    <w:rsid w:val="00D905E7"/>
    <w:rsid w:val="00D907E9"/>
    <w:rsid w:val="00D90B64"/>
    <w:rsid w:val="00D90C1D"/>
    <w:rsid w:val="00D90E7C"/>
    <w:rsid w:val="00D90F4A"/>
    <w:rsid w:val="00D90F4C"/>
    <w:rsid w:val="00D9113E"/>
    <w:rsid w:val="00D91143"/>
    <w:rsid w:val="00D915B4"/>
    <w:rsid w:val="00D9160A"/>
    <w:rsid w:val="00D92029"/>
    <w:rsid w:val="00D92383"/>
    <w:rsid w:val="00D92BB0"/>
    <w:rsid w:val="00D92EF1"/>
    <w:rsid w:val="00D9374E"/>
    <w:rsid w:val="00D938AF"/>
    <w:rsid w:val="00D93D93"/>
    <w:rsid w:val="00D93E36"/>
    <w:rsid w:val="00D94165"/>
    <w:rsid w:val="00D94674"/>
    <w:rsid w:val="00D946F8"/>
    <w:rsid w:val="00D94883"/>
    <w:rsid w:val="00D94BF4"/>
    <w:rsid w:val="00D94C8D"/>
    <w:rsid w:val="00D953C5"/>
    <w:rsid w:val="00D95485"/>
    <w:rsid w:val="00D9580D"/>
    <w:rsid w:val="00D9595B"/>
    <w:rsid w:val="00D95A71"/>
    <w:rsid w:val="00D95AB4"/>
    <w:rsid w:val="00D95AD8"/>
    <w:rsid w:val="00D95E4C"/>
    <w:rsid w:val="00D95E8A"/>
    <w:rsid w:val="00D96003"/>
    <w:rsid w:val="00D9609A"/>
    <w:rsid w:val="00D96153"/>
    <w:rsid w:val="00D964F4"/>
    <w:rsid w:val="00D967DE"/>
    <w:rsid w:val="00D97CBB"/>
    <w:rsid w:val="00DA0786"/>
    <w:rsid w:val="00DA097C"/>
    <w:rsid w:val="00DA1C4F"/>
    <w:rsid w:val="00DA2636"/>
    <w:rsid w:val="00DA2EB0"/>
    <w:rsid w:val="00DA4312"/>
    <w:rsid w:val="00DA47FF"/>
    <w:rsid w:val="00DA4DD5"/>
    <w:rsid w:val="00DA4F61"/>
    <w:rsid w:val="00DA670C"/>
    <w:rsid w:val="00DA685C"/>
    <w:rsid w:val="00DA6C08"/>
    <w:rsid w:val="00DA6E66"/>
    <w:rsid w:val="00DA7397"/>
    <w:rsid w:val="00DA748D"/>
    <w:rsid w:val="00DA794B"/>
    <w:rsid w:val="00DA7DFA"/>
    <w:rsid w:val="00DA7F2B"/>
    <w:rsid w:val="00DB00D1"/>
    <w:rsid w:val="00DB0197"/>
    <w:rsid w:val="00DB0698"/>
    <w:rsid w:val="00DB0B56"/>
    <w:rsid w:val="00DB111F"/>
    <w:rsid w:val="00DB13E0"/>
    <w:rsid w:val="00DB1F1B"/>
    <w:rsid w:val="00DB2BBA"/>
    <w:rsid w:val="00DB2CF4"/>
    <w:rsid w:val="00DB33ED"/>
    <w:rsid w:val="00DB3856"/>
    <w:rsid w:val="00DB3E28"/>
    <w:rsid w:val="00DB3E81"/>
    <w:rsid w:val="00DB3EDA"/>
    <w:rsid w:val="00DB460D"/>
    <w:rsid w:val="00DB4AB5"/>
    <w:rsid w:val="00DB4AED"/>
    <w:rsid w:val="00DB4C9A"/>
    <w:rsid w:val="00DB539D"/>
    <w:rsid w:val="00DB5A3C"/>
    <w:rsid w:val="00DB6158"/>
    <w:rsid w:val="00DB62EA"/>
    <w:rsid w:val="00DB64E0"/>
    <w:rsid w:val="00DB696F"/>
    <w:rsid w:val="00DB6ABF"/>
    <w:rsid w:val="00DB6BD7"/>
    <w:rsid w:val="00DB7718"/>
    <w:rsid w:val="00DB77A6"/>
    <w:rsid w:val="00DB7B97"/>
    <w:rsid w:val="00DC0CB5"/>
    <w:rsid w:val="00DC0E5E"/>
    <w:rsid w:val="00DC176C"/>
    <w:rsid w:val="00DC1A41"/>
    <w:rsid w:val="00DC1BBE"/>
    <w:rsid w:val="00DC1EA3"/>
    <w:rsid w:val="00DC202F"/>
    <w:rsid w:val="00DC3519"/>
    <w:rsid w:val="00DC48F7"/>
    <w:rsid w:val="00DC523B"/>
    <w:rsid w:val="00DC586F"/>
    <w:rsid w:val="00DC5B3A"/>
    <w:rsid w:val="00DC5D87"/>
    <w:rsid w:val="00DC6037"/>
    <w:rsid w:val="00DC6147"/>
    <w:rsid w:val="00DC63AB"/>
    <w:rsid w:val="00DC68BE"/>
    <w:rsid w:val="00DC707A"/>
    <w:rsid w:val="00DC747F"/>
    <w:rsid w:val="00DC7B20"/>
    <w:rsid w:val="00DC7C0D"/>
    <w:rsid w:val="00DC7EBE"/>
    <w:rsid w:val="00DD0F4E"/>
    <w:rsid w:val="00DD1D2C"/>
    <w:rsid w:val="00DD1DBA"/>
    <w:rsid w:val="00DD2D26"/>
    <w:rsid w:val="00DD2D4D"/>
    <w:rsid w:val="00DD352F"/>
    <w:rsid w:val="00DD4319"/>
    <w:rsid w:val="00DD525C"/>
    <w:rsid w:val="00DD5F56"/>
    <w:rsid w:val="00DD6237"/>
    <w:rsid w:val="00DD6C6E"/>
    <w:rsid w:val="00DD71D6"/>
    <w:rsid w:val="00DD7944"/>
    <w:rsid w:val="00DD7B2A"/>
    <w:rsid w:val="00DE03A6"/>
    <w:rsid w:val="00DE03D3"/>
    <w:rsid w:val="00DE051C"/>
    <w:rsid w:val="00DE0FB5"/>
    <w:rsid w:val="00DE1137"/>
    <w:rsid w:val="00DE12F2"/>
    <w:rsid w:val="00DE2256"/>
    <w:rsid w:val="00DE2EE4"/>
    <w:rsid w:val="00DE3A62"/>
    <w:rsid w:val="00DE3AC9"/>
    <w:rsid w:val="00DE3C18"/>
    <w:rsid w:val="00DE5196"/>
    <w:rsid w:val="00DE569F"/>
    <w:rsid w:val="00DE57E0"/>
    <w:rsid w:val="00DE5C19"/>
    <w:rsid w:val="00DE5EC4"/>
    <w:rsid w:val="00DE5ED9"/>
    <w:rsid w:val="00DE6075"/>
    <w:rsid w:val="00DE60A8"/>
    <w:rsid w:val="00DE63D0"/>
    <w:rsid w:val="00DE6625"/>
    <w:rsid w:val="00DE6851"/>
    <w:rsid w:val="00DE7C29"/>
    <w:rsid w:val="00DF0F60"/>
    <w:rsid w:val="00DF1EFC"/>
    <w:rsid w:val="00DF2111"/>
    <w:rsid w:val="00DF2FAB"/>
    <w:rsid w:val="00DF30CE"/>
    <w:rsid w:val="00DF37C2"/>
    <w:rsid w:val="00DF38D1"/>
    <w:rsid w:val="00DF3A47"/>
    <w:rsid w:val="00DF3B65"/>
    <w:rsid w:val="00DF3F1C"/>
    <w:rsid w:val="00DF41C3"/>
    <w:rsid w:val="00DF4E2C"/>
    <w:rsid w:val="00DF4FCF"/>
    <w:rsid w:val="00DF58E6"/>
    <w:rsid w:val="00DF5962"/>
    <w:rsid w:val="00DF5C65"/>
    <w:rsid w:val="00DF5F29"/>
    <w:rsid w:val="00DF6360"/>
    <w:rsid w:val="00DF63B8"/>
    <w:rsid w:val="00DF65D7"/>
    <w:rsid w:val="00DF65DB"/>
    <w:rsid w:val="00DF6BD3"/>
    <w:rsid w:val="00DF6F9B"/>
    <w:rsid w:val="00DF73B3"/>
    <w:rsid w:val="00DF76F2"/>
    <w:rsid w:val="00DF79DB"/>
    <w:rsid w:val="00DF7C2D"/>
    <w:rsid w:val="00E003E7"/>
    <w:rsid w:val="00E02BA4"/>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78E"/>
    <w:rsid w:val="00E07BED"/>
    <w:rsid w:val="00E07CE3"/>
    <w:rsid w:val="00E07D89"/>
    <w:rsid w:val="00E10133"/>
    <w:rsid w:val="00E10357"/>
    <w:rsid w:val="00E103E1"/>
    <w:rsid w:val="00E10925"/>
    <w:rsid w:val="00E10E85"/>
    <w:rsid w:val="00E11293"/>
    <w:rsid w:val="00E11545"/>
    <w:rsid w:val="00E11991"/>
    <w:rsid w:val="00E11B05"/>
    <w:rsid w:val="00E11B72"/>
    <w:rsid w:val="00E11D15"/>
    <w:rsid w:val="00E11F57"/>
    <w:rsid w:val="00E12232"/>
    <w:rsid w:val="00E13251"/>
    <w:rsid w:val="00E13424"/>
    <w:rsid w:val="00E13601"/>
    <w:rsid w:val="00E13B16"/>
    <w:rsid w:val="00E141B9"/>
    <w:rsid w:val="00E142A7"/>
    <w:rsid w:val="00E1440E"/>
    <w:rsid w:val="00E1469B"/>
    <w:rsid w:val="00E14B89"/>
    <w:rsid w:val="00E1504C"/>
    <w:rsid w:val="00E156B1"/>
    <w:rsid w:val="00E15F35"/>
    <w:rsid w:val="00E169E9"/>
    <w:rsid w:val="00E16F1A"/>
    <w:rsid w:val="00E16F7F"/>
    <w:rsid w:val="00E17130"/>
    <w:rsid w:val="00E172F9"/>
    <w:rsid w:val="00E175D7"/>
    <w:rsid w:val="00E1765C"/>
    <w:rsid w:val="00E176D6"/>
    <w:rsid w:val="00E179D4"/>
    <w:rsid w:val="00E17B1E"/>
    <w:rsid w:val="00E17C7B"/>
    <w:rsid w:val="00E17DF4"/>
    <w:rsid w:val="00E200B1"/>
    <w:rsid w:val="00E20116"/>
    <w:rsid w:val="00E20ABD"/>
    <w:rsid w:val="00E211AF"/>
    <w:rsid w:val="00E212F7"/>
    <w:rsid w:val="00E21363"/>
    <w:rsid w:val="00E22866"/>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737"/>
    <w:rsid w:val="00E30EAF"/>
    <w:rsid w:val="00E315DA"/>
    <w:rsid w:val="00E31C84"/>
    <w:rsid w:val="00E31DF4"/>
    <w:rsid w:val="00E31E27"/>
    <w:rsid w:val="00E32C59"/>
    <w:rsid w:val="00E32F81"/>
    <w:rsid w:val="00E333F7"/>
    <w:rsid w:val="00E33513"/>
    <w:rsid w:val="00E33596"/>
    <w:rsid w:val="00E341E7"/>
    <w:rsid w:val="00E342B4"/>
    <w:rsid w:val="00E345DA"/>
    <w:rsid w:val="00E34B81"/>
    <w:rsid w:val="00E35569"/>
    <w:rsid w:val="00E35692"/>
    <w:rsid w:val="00E362C4"/>
    <w:rsid w:val="00E366AD"/>
    <w:rsid w:val="00E36A91"/>
    <w:rsid w:val="00E36C9B"/>
    <w:rsid w:val="00E400AC"/>
    <w:rsid w:val="00E407C4"/>
    <w:rsid w:val="00E40BB0"/>
    <w:rsid w:val="00E40DF8"/>
    <w:rsid w:val="00E4116C"/>
    <w:rsid w:val="00E41198"/>
    <w:rsid w:val="00E4120E"/>
    <w:rsid w:val="00E41244"/>
    <w:rsid w:val="00E412FF"/>
    <w:rsid w:val="00E4150C"/>
    <w:rsid w:val="00E42A9E"/>
    <w:rsid w:val="00E43B49"/>
    <w:rsid w:val="00E43E8E"/>
    <w:rsid w:val="00E440C4"/>
    <w:rsid w:val="00E4528C"/>
    <w:rsid w:val="00E457C5"/>
    <w:rsid w:val="00E45894"/>
    <w:rsid w:val="00E45A4B"/>
    <w:rsid w:val="00E45CB9"/>
    <w:rsid w:val="00E463CD"/>
    <w:rsid w:val="00E4654A"/>
    <w:rsid w:val="00E46762"/>
    <w:rsid w:val="00E4686E"/>
    <w:rsid w:val="00E4694B"/>
    <w:rsid w:val="00E46992"/>
    <w:rsid w:val="00E46D78"/>
    <w:rsid w:val="00E473BB"/>
    <w:rsid w:val="00E47C84"/>
    <w:rsid w:val="00E50132"/>
    <w:rsid w:val="00E511BB"/>
    <w:rsid w:val="00E512A0"/>
    <w:rsid w:val="00E515D1"/>
    <w:rsid w:val="00E517AD"/>
    <w:rsid w:val="00E51AE1"/>
    <w:rsid w:val="00E51E0D"/>
    <w:rsid w:val="00E51E77"/>
    <w:rsid w:val="00E524FE"/>
    <w:rsid w:val="00E52790"/>
    <w:rsid w:val="00E534BD"/>
    <w:rsid w:val="00E53D93"/>
    <w:rsid w:val="00E54046"/>
    <w:rsid w:val="00E54501"/>
    <w:rsid w:val="00E5451F"/>
    <w:rsid w:val="00E54C43"/>
    <w:rsid w:val="00E54C50"/>
    <w:rsid w:val="00E55994"/>
    <w:rsid w:val="00E56B8E"/>
    <w:rsid w:val="00E56D62"/>
    <w:rsid w:val="00E57161"/>
    <w:rsid w:val="00E572B7"/>
    <w:rsid w:val="00E5787F"/>
    <w:rsid w:val="00E57990"/>
    <w:rsid w:val="00E602D6"/>
    <w:rsid w:val="00E60A98"/>
    <w:rsid w:val="00E60C12"/>
    <w:rsid w:val="00E61098"/>
    <w:rsid w:val="00E6116D"/>
    <w:rsid w:val="00E62052"/>
    <w:rsid w:val="00E623F1"/>
    <w:rsid w:val="00E6280E"/>
    <w:rsid w:val="00E62E32"/>
    <w:rsid w:val="00E6337E"/>
    <w:rsid w:val="00E6379B"/>
    <w:rsid w:val="00E63884"/>
    <w:rsid w:val="00E63C8D"/>
    <w:rsid w:val="00E643A8"/>
    <w:rsid w:val="00E65833"/>
    <w:rsid w:val="00E666F3"/>
    <w:rsid w:val="00E668A6"/>
    <w:rsid w:val="00E66C0C"/>
    <w:rsid w:val="00E66E97"/>
    <w:rsid w:val="00E67248"/>
    <w:rsid w:val="00E673B8"/>
    <w:rsid w:val="00E67A21"/>
    <w:rsid w:val="00E67D4F"/>
    <w:rsid w:val="00E705CF"/>
    <w:rsid w:val="00E705F1"/>
    <w:rsid w:val="00E707BC"/>
    <w:rsid w:val="00E70884"/>
    <w:rsid w:val="00E70B1E"/>
    <w:rsid w:val="00E70CB2"/>
    <w:rsid w:val="00E7257E"/>
    <w:rsid w:val="00E72F57"/>
    <w:rsid w:val="00E7391C"/>
    <w:rsid w:val="00E73A15"/>
    <w:rsid w:val="00E73A1D"/>
    <w:rsid w:val="00E7459C"/>
    <w:rsid w:val="00E74E62"/>
    <w:rsid w:val="00E759E3"/>
    <w:rsid w:val="00E75C14"/>
    <w:rsid w:val="00E75E65"/>
    <w:rsid w:val="00E76014"/>
    <w:rsid w:val="00E77094"/>
    <w:rsid w:val="00E773F1"/>
    <w:rsid w:val="00E77591"/>
    <w:rsid w:val="00E7783E"/>
    <w:rsid w:val="00E779D1"/>
    <w:rsid w:val="00E77A3E"/>
    <w:rsid w:val="00E77A87"/>
    <w:rsid w:val="00E80147"/>
    <w:rsid w:val="00E80FAF"/>
    <w:rsid w:val="00E811A6"/>
    <w:rsid w:val="00E81C57"/>
    <w:rsid w:val="00E81F59"/>
    <w:rsid w:val="00E820E7"/>
    <w:rsid w:val="00E8227F"/>
    <w:rsid w:val="00E823F4"/>
    <w:rsid w:val="00E8240A"/>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2FD5"/>
    <w:rsid w:val="00E936B8"/>
    <w:rsid w:val="00E93C12"/>
    <w:rsid w:val="00E93F6E"/>
    <w:rsid w:val="00E93FB5"/>
    <w:rsid w:val="00E941CA"/>
    <w:rsid w:val="00E9449E"/>
    <w:rsid w:val="00E9499E"/>
    <w:rsid w:val="00E94CDB"/>
    <w:rsid w:val="00E9539B"/>
    <w:rsid w:val="00E95D51"/>
    <w:rsid w:val="00E96108"/>
    <w:rsid w:val="00E9677A"/>
    <w:rsid w:val="00E9701C"/>
    <w:rsid w:val="00E971AE"/>
    <w:rsid w:val="00E97D88"/>
    <w:rsid w:val="00EA01E0"/>
    <w:rsid w:val="00EA042F"/>
    <w:rsid w:val="00EA0649"/>
    <w:rsid w:val="00EA0A8D"/>
    <w:rsid w:val="00EA1262"/>
    <w:rsid w:val="00EA24D6"/>
    <w:rsid w:val="00EA2DC1"/>
    <w:rsid w:val="00EA3248"/>
    <w:rsid w:val="00EA46A3"/>
    <w:rsid w:val="00EA5376"/>
    <w:rsid w:val="00EA54B1"/>
    <w:rsid w:val="00EA62B0"/>
    <w:rsid w:val="00EA70ED"/>
    <w:rsid w:val="00EA70F5"/>
    <w:rsid w:val="00EA716F"/>
    <w:rsid w:val="00EA7403"/>
    <w:rsid w:val="00EA7421"/>
    <w:rsid w:val="00EB0007"/>
    <w:rsid w:val="00EB01D7"/>
    <w:rsid w:val="00EB04F3"/>
    <w:rsid w:val="00EB0E35"/>
    <w:rsid w:val="00EB0F1A"/>
    <w:rsid w:val="00EB19F9"/>
    <w:rsid w:val="00EB24CA"/>
    <w:rsid w:val="00EB327F"/>
    <w:rsid w:val="00EB40FF"/>
    <w:rsid w:val="00EB4912"/>
    <w:rsid w:val="00EB4C69"/>
    <w:rsid w:val="00EB4DA9"/>
    <w:rsid w:val="00EB4F55"/>
    <w:rsid w:val="00EB52A4"/>
    <w:rsid w:val="00EB57FE"/>
    <w:rsid w:val="00EB5C19"/>
    <w:rsid w:val="00EB5F18"/>
    <w:rsid w:val="00EB62F5"/>
    <w:rsid w:val="00EB6978"/>
    <w:rsid w:val="00EB6EB4"/>
    <w:rsid w:val="00EB6FA2"/>
    <w:rsid w:val="00EB7131"/>
    <w:rsid w:val="00EB77AA"/>
    <w:rsid w:val="00EB7972"/>
    <w:rsid w:val="00EB7CF5"/>
    <w:rsid w:val="00EB7EA6"/>
    <w:rsid w:val="00EB7FEE"/>
    <w:rsid w:val="00EC0858"/>
    <w:rsid w:val="00EC0A9D"/>
    <w:rsid w:val="00EC126C"/>
    <w:rsid w:val="00EC21DA"/>
    <w:rsid w:val="00EC222A"/>
    <w:rsid w:val="00EC2A9E"/>
    <w:rsid w:val="00EC346D"/>
    <w:rsid w:val="00EC364F"/>
    <w:rsid w:val="00EC39AD"/>
    <w:rsid w:val="00EC3F72"/>
    <w:rsid w:val="00EC42D8"/>
    <w:rsid w:val="00EC439F"/>
    <w:rsid w:val="00EC43C8"/>
    <w:rsid w:val="00EC4B2E"/>
    <w:rsid w:val="00EC4DCA"/>
    <w:rsid w:val="00EC556F"/>
    <w:rsid w:val="00EC5855"/>
    <w:rsid w:val="00EC5B7E"/>
    <w:rsid w:val="00EC6D77"/>
    <w:rsid w:val="00EC6E11"/>
    <w:rsid w:val="00EC7B91"/>
    <w:rsid w:val="00ED00F8"/>
    <w:rsid w:val="00ED084D"/>
    <w:rsid w:val="00ED0B48"/>
    <w:rsid w:val="00ED0B94"/>
    <w:rsid w:val="00ED13E2"/>
    <w:rsid w:val="00ED17F2"/>
    <w:rsid w:val="00ED1800"/>
    <w:rsid w:val="00ED1C72"/>
    <w:rsid w:val="00ED223B"/>
    <w:rsid w:val="00ED28F0"/>
    <w:rsid w:val="00ED2A75"/>
    <w:rsid w:val="00ED2BBA"/>
    <w:rsid w:val="00ED3004"/>
    <w:rsid w:val="00ED3563"/>
    <w:rsid w:val="00ED5306"/>
    <w:rsid w:val="00ED5530"/>
    <w:rsid w:val="00ED56DB"/>
    <w:rsid w:val="00ED5AC1"/>
    <w:rsid w:val="00ED5FEE"/>
    <w:rsid w:val="00ED6687"/>
    <w:rsid w:val="00ED6EC4"/>
    <w:rsid w:val="00ED791A"/>
    <w:rsid w:val="00ED7BFA"/>
    <w:rsid w:val="00ED7F55"/>
    <w:rsid w:val="00EE002A"/>
    <w:rsid w:val="00EE01FF"/>
    <w:rsid w:val="00EE067B"/>
    <w:rsid w:val="00EE0C45"/>
    <w:rsid w:val="00EE0F12"/>
    <w:rsid w:val="00EE18B9"/>
    <w:rsid w:val="00EE1D7C"/>
    <w:rsid w:val="00EE1EAB"/>
    <w:rsid w:val="00EE20BC"/>
    <w:rsid w:val="00EE2520"/>
    <w:rsid w:val="00EE257B"/>
    <w:rsid w:val="00EE2D07"/>
    <w:rsid w:val="00EE3188"/>
    <w:rsid w:val="00EE3B1E"/>
    <w:rsid w:val="00EE3EAA"/>
    <w:rsid w:val="00EE40EF"/>
    <w:rsid w:val="00EE45D3"/>
    <w:rsid w:val="00EE499F"/>
    <w:rsid w:val="00EE52C9"/>
    <w:rsid w:val="00EE565A"/>
    <w:rsid w:val="00EE5678"/>
    <w:rsid w:val="00EE5A16"/>
    <w:rsid w:val="00EE6732"/>
    <w:rsid w:val="00EE686C"/>
    <w:rsid w:val="00EE6977"/>
    <w:rsid w:val="00EE69B6"/>
    <w:rsid w:val="00EE6A12"/>
    <w:rsid w:val="00EE7480"/>
    <w:rsid w:val="00EE77E2"/>
    <w:rsid w:val="00EE7B27"/>
    <w:rsid w:val="00EE7FAD"/>
    <w:rsid w:val="00EF0244"/>
    <w:rsid w:val="00EF062F"/>
    <w:rsid w:val="00EF0CDA"/>
    <w:rsid w:val="00EF1DDC"/>
    <w:rsid w:val="00EF1E47"/>
    <w:rsid w:val="00EF2277"/>
    <w:rsid w:val="00EF2432"/>
    <w:rsid w:val="00EF267A"/>
    <w:rsid w:val="00EF3A63"/>
    <w:rsid w:val="00EF3ADE"/>
    <w:rsid w:val="00EF3C45"/>
    <w:rsid w:val="00EF4998"/>
    <w:rsid w:val="00EF4C95"/>
    <w:rsid w:val="00EF5097"/>
    <w:rsid w:val="00EF5CE5"/>
    <w:rsid w:val="00EF6198"/>
    <w:rsid w:val="00EF70ED"/>
    <w:rsid w:val="00EF7771"/>
    <w:rsid w:val="00F00072"/>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49B5"/>
    <w:rsid w:val="00F06293"/>
    <w:rsid w:val="00F06D59"/>
    <w:rsid w:val="00F07469"/>
    <w:rsid w:val="00F074EA"/>
    <w:rsid w:val="00F101E1"/>
    <w:rsid w:val="00F10649"/>
    <w:rsid w:val="00F10AA3"/>
    <w:rsid w:val="00F11F8B"/>
    <w:rsid w:val="00F1216E"/>
    <w:rsid w:val="00F128BD"/>
    <w:rsid w:val="00F128ED"/>
    <w:rsid w:val="00F12D12"/>
    <w:rsid w:val="00F13258"/>
    <w:rsid w:val="00F13D04"/>
    <w:rsid w:val="00F13F49"/>
    <w:rsid w:val="00F15598"/>
    <w:rsid w:val="00F15EC8"/>
    <w:rsid w:val="00F167DE"/>
    <w:rsid w:val="00F1684E"/>
    <w:rsid w:val="00F16F14"/>
    <w:rsid w:val="00F170A9"/>
    <w:rsid w:val="00F17241"/>
    <w:rsid w:val="00F17E9F"/>
    <w:rsid w:val="00F2073D"/>
    <w:rsid w:val="00F20765"/>
    <w:rsid w:val="00F20CA8"/>
    <w:rsid w:val="00F211D0"/>
    <w:rsid w:val="00F221A7"/>
    <w:rsid w:val="00F22878"/>
    <w:rsid w:val="00F22FEA"/>
    <w:rsid w:val="00F231FF"/>
    <w:rsid w:val="00F2333A"/>
    <w:rsid w:val="00F23579"/>
    <w:rsid w:val="00F24687"/>
    <w:rsid w:val="00F24ABB"/>
    <w:rsid w:val="00F2533A"/>
    <w:rsid w:val="00F25B35"/>
    <w:rsid w:val="00F25DC7"/>
    <w:rsid w:val="00F265DF"/>
    <w:rsid w:val="00F2697C"/>
    <w:rsid w:val="00F2727A"/>
    <w:rsid w:val="00F273B8"/>
    <w:rsid w:val="00F2774B"/>
    <w:rsid w:val="00F2776E"/>
    <w:rsid w:val="00F27A48"/>
    <w:rsid w:val="00F304D2"/>
    <w:rsid w:val="00F3054C"/>
    <w:rsid w:val="00F30CC9"/>
    <w:rsid w:val="00F31337"/>
    <w:rsid w:val="00F31484"/>
    <w:rsid w:val="00F315B1"/>
    <w:rsid w:val="00F32204"/>
    <w:rsid w:val="00F329F4"/>
    <w:rsid w:val="00F332AB"/>
    <w:rsid w:val="00F3341A"/>
    <w:rsid w:val="00F33739"/>
    <w:rsid w:val="00F33C44"/>
    <w:rsid w:val="00F33F18"/>
    <w:rsid w:val="00F3413B"/>
    <w:rsid w:val="00F3429F"/>
    <w:rsid w:val="00F34324"/>
    <w:rsid w:val="00F3463D"/>
    <w:rsid w:val="00F3480D"/>
    <w:rsid w:val="00F350B1"/>
    <w:rsid w:val="00F36777"/>
    <w:rsid w:val="00F37D41"/>
    <w:rsid w:val="00F37EA0"/>
    <w:rsid w:val="00F40199"/>
    <w:rsid w:val="00F40473"/>
    <w:rsid w:val="00F414E4"/>
    <w:rsid w:val="00F41841"/>
    <w:rsid w:val="00F41CDE"/>
    <w:rsid w:val="00F420ED"/>
    <w:rsid w:val="00F42334"/>
    <w:rsid w:val="00F4246E"/>
    <w:rsid w:val="00F435FC"/>
    <w:rsid w:val="00F437C0"/>
    <w:rsid w:val="00F43DFC"/>
    <w:rsid w:val="00F43F66"/>
    <w:rsid w:val="00F44556"/>
    <w:rsid w:val="00F45C3A"/>
    <w:rsid w:val="00F45DB8"/>
    <w:rsid w:val="00F45EA8"/>
    <w:rsid w:val="00F46831"/>
    <w:rsid w:val="00F47991"/>
    <w:rsid w:val="00F47D8D"/>
    <w:rsid w:val="00F47E0B"/>
    <w:rsid w:val="00F47E5D"/>
    <w:rsid w:val="00F504EC"/>
    <w:rsid w:val="00F50D94"/>
    <w:rsid w:val="00F5209F"/>
    <w:rsid w:val="00F52483"/>
    <w:rsid w:val="00F52F15"/>
    <w:rsid w:val="00F53291"/>
    <w:rsid w:val="00F53B59"/>
    <w:rsid w:val="00F5407D"/>
    <w:rsid w:val="00F544F0"/>
    <w:rsid w:val="00F54FAB"/>
    <w:rsid w:val="00F5571D"/>
    <w:rsid w:val="00F55B81"/>
    <w:rsid w:val="00F55E39"/>
    <w:rsid w:val="00F56169"/>
    <w:rsid w:val="00F56459"/>
    <w:rsid w:val="00F569E8"/>
    <w:rsid w:val="00F56F2F"/>
    <w:rsid w:val="00F570A3"/>
    <w:rsid w:val="00F5741C"/>
    <w:rsid w:val="00F60593"/>
    <w:rsid w:val="00F60F49"/>
    <w:rsid w:val="00F610E9"/>
    <w:rsid w:val="00F61955"/>
    <w:rsid w:val="00F62381"/>
    <w:rsid w:val="00F63806"/>
    <w:rsid w:val="00F6382C"/>
    <w:rsid w:val="00F64092"/>
    <w:rsid w:val="00F6492A"/>
    <w:rsid w:val="00F64C8E"/>
    <w:rsid w:val="00F655A1"/>
    <w:rsid w:val="00F655E1"/>
    <w:rsid w:val="00F65C93"/>
    <w:rsid w:val="00F66277"/>
    <w:rsid w:val="00F6679E"/>
    <w:rsid w:val="00F668BA"/>
    <w:rsid w:val="00F669D3"/>
    <w:rsid w:val="00F67531"/>
    <w:rsid w:val="00F675AC"/>
    <w:rsid w:val="00F675D8"/>
    <w:rsid w:val="00F676AD"/>
    <w:rsid w:val="00F676C9"/>
    <w:rsid w:val="00F67A90"/>
    <w:rsid w:val="00F67AB7"/>
    <w:rsid w:val="00F70799"/>
    <w:rsid w:val="00F709CA"/>
    <w:rsid w:val="00F70D9A"/>
    <w:rsid w:val="00F710B2"/>
    <w:rsid w:val="00F719CC"/>
    <w:rsid w:val="00F71EAB"/>
    <w:rsid w:val="00F72060"/>
    <w:rsid w:val="00F721E4"/>
    <w:rsid w:val="00F72270"/>
    <w:rsid w:val="00F728D3"/>
    <w:rsid w:val="00F7299B"/>
    <w:rsid w:val="00F72AC8"/>
    <w:rsid w:val="00F72B2E"/>
    <w:rsid w:val="00F732ED"/>
    <w:rsid w:val="00F73480"/>
    <w:rsid w:val="00F74334"/>
    <w:rsid w:val="00F74A1B"/>
    <w:rsid w:val="00F753F3"/>
    <w:rsid w:val="00F75BA9"/>
    <w:rsid w:val="00F75D9E"/>
    <w:rsid w:val="00F763EE"/>
    <w:rsid w:val="00F767B8"/>
    <w:rsid w:val="00F769B7"/>
    <w:rsid w:val="00F77011"/>
    <w:rsid w:val="00F7784A"/>
    <w:rsid w:val="00F77958"/>
    <w:rsid w:val="00F8060E"/>
    <w:rsid w:val="00F80625"/>
    <w:rsid w:val="00F806F1"/>
    <w:rsid w:val="00F8098C"/>
    <w:rsid w:val="00F80CFA"/>
    <w:rsid w:val="00F80D60"/>
    <w:rsid w:val="00F80F5B"/>
    <w:rsid w:val="00F80FEC"/>
    <w:rsid w:val="00F8137E"/>
    <w:rsid w:val="00F81421"/>
    <w:rsid w:val="00F8158E"/>
    <w:rsid w:val="00F81651"/>
    <w:rsid w:val="00F818E2"/>
    <w:rsid w:val="00F822C2"/>
    <w:rsid w:val="00F828D4"/>
    <w:rsid w:val="00F82B2C"/>
    <w:rsid w:val="00F82E82"/>
    <w:rsid w:val="00F83376"/>
    <w:rsid w:val="00F83419"/>
    <w:rsid w:val="00F8355C"/>
    <w:rsid w:val="00F83671"/>
    <w:rsid w:val="00F83C7A"/>
    <w:rsid w:val="00F83D75"/>
    <w:rsid w:val="00F845FF"/>
    <w:rsid w:val="00F84670"/>
    <w:rsid w:val="00F847D2"/>
    <w:rsid w:val="00F84835"/>
    <w:rsid w:val="00F848B7"/>
    <w:rsid w:val="00F84AF4"/>
    <w:rsid w:val="00F84D4E"/>
    <w:rsid w:val="00F84FF6"/>
    <w:rsid w:val="00F85211"/>
    <w:rsid w:val="00F85D9E"/>
    <w:rsid w:val="00F860BA"/>
    <w:rsid w:val="00F86488"/>
    <w:rsid w:val="00F8685C"/>
    <w:rsid w:val="00F86966"/>
    <w:rsid w:val="00F87068"/>
    <w:rsid w:val="00F902F2"/>
    <w:rsid w:val="00F90B6D"/>
    <w:rsid w:val="00F90D2B"/>
    <w:rsid w:val="00F91597"/>
    <w:rsid w:val="00F916BA"/>
    <w:rsid w:val="00F920CA"/>
    <w:rsid w:val="00F9246E"/>
    <w:rsid w:val="00F92BB5"/>
    <w:rsid w:val="00F933A2"/>
    <w:rsid w:val="00F93ED3"/>
    <w:rsid w:val="00F93F98"/>
    <w:rsid w:val="00F94AA9"/>
    <w:rsid w:val="00F951F9"/>
    <w:rsid w:val="00F95A4E"/>
    <w:rsid w:val="00F96029"/>
    <w:rsid w:val="00F961EB"/>
    <w:rsid w:val="00F96C3D"/>
    <w:rsid w:val="00F97487"/>
    <w:rsid w:val="00FA010B"/>
    <w:rsid w:val="00FA0D23"/>
    <w:rsid w:val="00FA0EB1"/>
    <w:rsid w:val="00FA10DF"/>
    <w:rsid w:val="00FA12DD"/>
    <w:rsid w:val="00FA17B2"/>
    <w:rsid w:val="00FA1984"/>
    <w:rsid w:val="00FA1C43"/>
    <w:rsid w:val="00FA22BB"/>
    <w:rsid w:val="00FA2C51"/>
    <w:rsid w:val="00FA2E74"/>
    <w:rsid w:val="00FA3392"/>
    <w:rsid w:val="00FA342F"/>
    <w:rsid w:val="00FA36BE"/>
    <w:rsid w:val="00FA52E2"/>
    <w:rsid w:val="00FA55D5"/>
    <w:rsid w:val="00FA567F"/>
    <w:rsid w:val="00FA57DD"/>
    <w:rsid w:val="00FA619B"/>
    <w:rsid w:val="00FA7727"/>
    <w:rsid w:val="00FB0010"/>
    <w:rsid w:val="00FB05CA"/>
    <w:rsid w:val="00FB07D0"/>
    <w:rsid w:val="00FB0989"/>
    <w:rsid w:val="00FB0D54"/>
    <w:rsid w:val="00FB15F3"/>
    <w:rsid w:val="00FB17BD"/>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2E5"/>
    <w:rsid w:val="00FC0A01"/>
    <w:rsid w:val="00FC0D1D"/>
    <w:rsid w:val="00FC21F3"/>
    <w:rsid w:val="00FC2503"/>
    <w:rsid w:val="00FC28C2"/>
    <w:rsid w:val="00FC2A34"/>
    <w:rsid w:val="00FC2B02"/>
    <w:rsid w:val="00FC2E41"/>
    <w:rsid w:val="00FC36D8"/>
    <w:rsid w:val="00FC3D4B"/>
    <w:rsid w:val="00FC5568"/>
    <w:rsid w:val="00FC5700"/>
    <w:rsid w:val="00FC5DB9"/>
    <w:rsid w:val="00FC6046"/>
    <w:rsid w:val="00FC6E94"/>
    <w:rsid w:val="00FC73FB"/>
    <w:rsid w:val="00FC7F7B"/>
    <w:rsid w:val="00FD0308"/>
    <w:rsid w:val="00FD04C2"/>
    <w:rsid w:val="00FD0ACF"/>
    <w:rsid w:val="00FD123D"/>
    <w:rsid w:val="00FD1D13"/>
    <w:rsid w:val="00FD22B4"/>
    <w:rsid w:val="00FD273F"/>
    <w:rsid w:val="00FD27B9"/>
    <w:rsid w:val="00FD294F"/>
    <w:rsid w:val="00FD2C04"/>
    <w:rsid w:val="00FD380D"/>
    <w:rsid w:val="00FD3B68"/>
    <w:rsid w:val="00FD3FF8"/>
    <w:rsid w:val="00FD4776"/>
    <w:rsid w:val="00FD4C84"/>
    <w:rsid w:val="00FD5582"/>
    <w:rsid w:val="00FD5B0F"/>
    <w:rsid w:val="00FD5E80"/>
    <w:rsid w:val="00FD6A9A"/>
    <w:rsid w:val="00FD6D92"/>
    <w:rsid w:val="00FD79AB"/>
    <w:rsid w:val="00FD7B84"/>
    <w:rsid w:val="00FD7DEC"/>
    <w:rsid w:val="00FE052F"/>
    <w:rsid w:val="00FE1847"/>
    <w:rsid w:val="00FE1AD7"/>
    <w:rsid w:val="00FE1D6F"/>
    <w:rsid w:val="00FE1F8E"/>
    <w:rsid w:val="00FE268B"/>
    <w:rsid w:val="00FE317D"/>
    <w:rsid w:val="00FE34A3"/>
    <w:rsid w:val="00FE34D6"/>
    <w:rsid w:val="00FE362F"/>
    <w:rsid w:val="00FE3A84"/>
    <w:rsid w:val="00FE3EB5"/>
    <w:rsid w:val="00FE453D"/>
    <w:rsid w:val="00FE46F9"/>
    <w:rsid w:val="00FE4A43"/>
    <w:rsid w:val="00FE4B86"/>
    <w:rsid w:val="00FE4C69"/>
    <w:rsid w:val="00FE5088"/>
    <w:rsid w:val="00FE561F"/>
    <w:rsid w:val="00FE606D"/>
    <w:rsid w:val="00FE63CE"/>
    <w:rsid w:val="00FE6EE7"/>
    <w:rsid w:val="00FE6F69"/>
    <w:rsid w:val="00FE7B88"/>
    <w:rsid w:val="00FE7BD3"/>
    <w:rsid w:val="00FF02AD"/>
    <w:rsid w:val="00FF033D"/>
    <w:rsid w:val="00FF0459"/>
    <w:rsid w:val="00FF2250"/>
    <w:rsid w:val="00FF2326"/>
    <w:rsid w:val="00FF2A4C"/>
    <w:rsid w:val="00FF2C78"/>
    <w:rsid w:val="00FF3061"/>
    <w:rsid w:val="00FF32BD"/>
    <w:rsid w:val="00FF32E4"/>
    <w:rsid w:val="00FF41C0"/>
    <w:rsid w:val="00FF4C0D"/>
    <w:rsid w:val="00FF4DA8"/>
    <w:rsid w:val="00FF4DFB"/>
    <w:rsid w:val="00FF4F47"/>
    <w:rsid w:val="00FF523E"/>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DC654C"/>
  <w15:docId w15:val="{B2689BF1-0D62-48F7-97F6-DD388B58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liases w:val="Уровня нет"/>
    <w:qFormat/>
    <w:rsid w:val="00822CD2"/>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544C3B"/>
    <w:pPr>
      <w:tabs>
        <w:tab w:val="left" w:pos="600"/>
        <w:tab w:val="right" w:leader="dot" w:pos="9344"/>
      </w:tabs>
      <w:spacing w:before="120" w:after="120"/>
      <w:ind w:firstLine="142"/>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 w:type="paragraph" w:customStyle="1" w:styleId="16">
    <w:name w:val="Обычный1"/>
    <w:rsid w:val="00192811"/>
    <w:pPr>
      <w:snapToGrid w:val="0"/>
      <w:spacing w:before="100" w:after="100"/>
    </w:pPr>
    <w:rPr>
      <w:sz w:val="24"/>
    </w:rPr>
  </w:style>
  <w:style w:type="paragraph" w:customStyle="1" w:styleId="Default">
    <w:name w:val="Default"/>
    <w:rsid w:val="00242F68"/>
    <w:pPr>
      <w:autoSpaceDE w:val="0"/>
      <w:autoSpaceDN w:val="0"/>
      <w:adjustRightInd w:val="0"/>
    </w:pPr>
    <w:rPr>
      <w:color w:val="000000"/>
      <w:sz w:val="24"/>
      <w:szCs w:val="24"/>
    </w:rPr>
  </w:style>
  <w:style w:type="character" w:customStyle="1" w:styleId="aff0">
    <w:name w:val="Стиль Выделение"/>
    <w:aliases w:val="Глава 3 + Tahoma полужирный"/>
    <w:basedOn w:val="af7"/>
    <w:rsid w:val="00D3065C"/>
    <w:rPr>
      <w:rFonts w:ascii="Tahoma" w:hAnsi="Tahoma" w:cs="Arial"/>
      <w:b w:val="0"/>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43532640">
      <w:bodyDiv w:val="1"/>
      <w:marLeft w:val="0"/>
      <w:marRight w:val="0"/>
      <w:marTop w:val="0"/>
      <w:marBottom w:val="0"/>
      <w:divBdr>
        <w:top w:val="none" w:sz="0" w:space="0" w:color="auto"/>
        <w:left w:val="none" w:sz="0" w:space="0" w:color="auto"/>
        <w:bottom w:val="none" w:sz="0" w:space="0" w:color="auto"/>
        <w:right w:val="none" w:sz="0" w:space="0" w:color="auto"/>
      </w:divBdr>
    </w:div>
    <w:div w:id="247006176">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965966889">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251423985">
      <w:bodyDiv w:val="1"/>
      <w:marLeft w:val="0"/>
      <w:marRight w:val="0"/>
      <w:marTop w:val="0"/>
      <w:marBottom w:val="0"/>
      <w:divBdr>
        <w:top w:val="none" w:sz="0" w:space="0" w:color="auto"/>
        <w:left w:val="none" w:sz="0" w:space="0" w:color="auto"/>
        <w:bottom w:val="none" w:sz="0" w:space="0" w:color="auto"/>
        <w:right w:val="none" w:sz="0" w:space="0" w:color="auto"/>
      </w:divBdr>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564952543">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791196976">
      <w:bodyDiv w:val="1"/>
      <w:marLeft w:val="0"/>
      <w:marRight w:val="0"/>
      <w:marTop w:val="0"/>
      <w:marBottom w:val="0"/>
      <w:divBdr>
        <w:top w:val="none" w:sz="0" w:space="0" w:color="auto"/>
        <w:left w:val="none" w:sz="0" w:space="0" w:color="auto"/>
        <w:bottom w:val="none" w:sz="0" w:space="0" w:color="auto"/>
        <w:right w:val="none" w:sz="0" w:space="0" w:color="auto"/>
      </w:divBdr>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8AECD-1087-41C4-80FA-447E814C58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B3A45D-A53F-4B43-A1D4-FFB1F053DEE5}">
  <ds:schemaRefs>
    <ds:schemaRef ds:uri="http://schemas.openxmlformats.org/officeDocument/2006/bibliography"/>
  </ds:schemaRefs>
</ds:datastoreItem>
</file>

<file path=customXml/itemProps4.xml><?xml version="1.0" encoding="utf-8"?>
<ds:datastoreItem xmlns:ds="http://schemas.openxmlformats.org/officeDocument/2006/customXml" ds:itemID="{EC20C6F2-DBF4-4841-AF5E-20D46087A6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14</Pages>
  <Words>5275</Words>
  <Characters>27662</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32872</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Кондратова Оксана Борисовна</dc:creator>
  <cp:keywords/>
  <dc:description/>
  <cp:lastModifiedBy>Лошкарева Кристина Викторовна</cp:lastModifiedBy>
  <cp:revision>4</cp:revision>
  <cp:lastPrinted>2018-12-19T09:21:00Z</cp:lastPrinted>
  <dcterms:created xsi:type="dcterms:W3CDTF">2021-01-20T15:21:00Z</dcterms:created>
  <dcterms:modified xsi:type="dcterms:W3CDTF">2021-01-21T15:03:00Z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