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A4D" w:rsidRPr="00EF66AC" w:rsidRDefault="00150B5E" w:rsidP="00EF66AC">
      <w:pPr>
        <w:spacing w:after="0" w:line="259" w:lineRule="auto"/>
        <w:ind w:left="0" w:right="4" w:firstLine="0"/>
        <w:jc w:val="left"/>
        <w:rPr>
          <w:sz w:val="22"/>
          <w:lang w:val="en-US"/>
        </w:rPr>
      </w:pPr>
      <w:r w:rsidRPr="00EF66AC">
        <w:rPr>
          <w:b/>
          <w:sz w:val="22"/>
          <w:lang w:val="en-US"/>
        </w:rPr>
        <w:t xml:space="preserve">APPROVED </w:t>
      </w:r>
    </w:p>
    <w:p w:rsidR="00504A4D" w:rsidRPr="00EF66AC" w:rsidRDefault="00150B5E" w:rsidP="00EF66AC">
      <w:pPr>
        <w:spacing w:after="0" w:line="259" w:lineRule="auto"/>
        <w:ind w:right="-12"/>
        <w:jc w:val="left"/>
        <w:rPr>
          <w:sz w:val="22"/>
          <w:lang w:val="en-US"/>
        </w:rPr>
      </w:pPr>
      <w:r w:rsidRPr="00EF66AC">
        <w:rPr>
          <w:sz w:val="22"/>
          <w:lang w:val="en-US"/>
        </w:rPr>
        <w:t xml:space="preserve">Executive Board </w:t>
      </w:r>
    </w:p>
    <w:p w:rsidR="00504A4D" w:rsidRPr="00EF66AC" w:rsidRDefault="00150B5E" w:rsidP="00EF66AC">
      <w:pPr>
        <w:spacing w:after="0" w:line="259" w:lineRule="auto"/>
        <w:ind w:right="-12"/>
        <w:jc w:val="left"/>
        <w:rPr>
          <w:sz w:val="22"/>
          <w:lang w:val="en-US"/>
        </w:rPr>
      </w:pPr>
      <w:r w:rsidRPr="00EF66AC">
        <w:rPr>
          <w:sz w:val="22"/>
          <w:lang w:val="en-US"/>
        </w:rPr>
        <w:t xml:space="preserve">Public Joint-Stock Company </w:t>
      </w:r>
    </w:p>
    <w:p w:rsidR="00504A4D" w:rsidRPr="00EF66AC" w:rsidRDefault="00150B5E" w:rsidP="00EF66AC">
      <w:pPr>
        <w:spacing w:after="0" w:line="259" w:lineRule="auto"/>
        <w:ind w:right="-12"/>
        <w:jc w:val="left"/>
        <w:rPr>
          <w:sz w:val="22"/>
          <w:lang w:val="en-US"/>
        </w:rPr>
      </w:pPr>
      <w:r w:rsidRPr="00EF66AC">
        <w:rPr>
          <w:sz w:val="22"/>
          <w:lang w:val="en-US"/>
        </w:rPr>
        <w:t xml:space="preserve">«Moscow Exchange MICEX-RTS» </w:t>
      </w:r>
    </w:p>
    <w:p w:rsidR="00504A4D" w:rsidRPr="00EF66AC" w:rsidRDefault="00150B5E" w:rsidP="00EF66AC">
      <w:pPr>
        <w:spacing w:after="95" w:line="259" w:lineRule="auto"/>
        <w:ind w:right="-12"/>
        <w:jc w:val="left"/>
        <w:rPr>
          <w:sz w:val="22"/>
          <w:lang w:val="en-US"/>
        </w:rPr>
      </w:pPr>
      <w:r w:rsidRPr="00EF66AC">
        <w:rPr>
          <w:sz w:val="22"/>
          <w:lang w:val="en-US"/>
        </w:rPr>
        <w:t>(Minutes No.</w:t>
      </w:r>
      <w:r w:rsidR="00EF66AC" w:rsidRPr="00EF66AC">
        <w:rPr>
          <w:sz w:val="22"/>
          <w:lang w:val="en-US"/>
        </w:rPr>
        <w:t>77</w:t>
      </w:r>
      <w:r w:rsidRPr="00EF66AC">
        <w:rPr>
          <w:sz w:val="22"/>
          <w:lang w:val="en-US"/>
        </w:rPr>
        <w:t xml:space="preserve"> as of </w:t>
      </w:r>
      <w:r w:rsidR="00EF66AC" w:rsidRPr="00EF66AC">
        <w:rPr>
          <w:sz w:val="22"/>
          <w:lang w:val="en-US"/>
        </w:rPr>
        <w:t>29 December 2017</w:t>
      </w:r>
      <w:r w:rsidRPr="00EF66AC">
        <w:rPr>
          <w:sz w:val="22"/>
          <w:lang w:val="en-US"/>
        </w:rPr>
        <w:t xml:space="preserve">) </w:t>
      </w:r>
    </w:p>
    <w:p w:rsidR="00504A4D" w:rsidRPr="00EF66AC" w:rsidRDefault="00150B5E">
      <w:pPr>
        <w:spacing w:after="0" w:line="259" w:lineRule="auto"/>
        <w:ind w:left="3857" w:firstLine="0"/>
        <w:jc w:val="center"/>
        <w:rPr>
          <w:sz w:val="22"/>
          <w:lang w:val="en-US"/>
        </w:rPr>
      </w:pPr>
      <w:r w:rsidRPr="00EF66AC">
        <w:rPr>
          <w:sz w:val="22"/>
          <w:lang w:val="en-US"/>
        </w:rPr>
        <w:t xml:space="preserve"> </w:t>
      </w:r>
    </w:p>
    <w:p w:rsidR="00504A4D" w:rsidRPr="00EF66AC" w:rsidRDefault="00EF66AC">
      <w:pPr>
        <w:spacing w:after="0" w:line="259" w:lineRule="auto"/>
        <w:ind w:right="191"/>
        <w:jc w:val="center"/>
        <w:rPr>
          <w:sz w:val="22"/>
          <w:lang w:val="en-US"/>
        </w:rPr>
      </w:pPr>
      <w:r w:rsidRPr="00EF66AC">
        <w:rPr>
          <w:b/>
          <w:sz w:val="22"/>
          <w:lang w:val="en-US"/>
        </w:rPr>
        <w:t>MOEX RUSSIA</w:t>
      </w:r>
      <w:r w:rsidR="00150B5E" w:rsidRPr="00EF66AC">
        <w:rPr>
          <w:b/>
          <w:sz w:val="22"/>
          <w:lang w:val="en-US"/>
        </w:rPr>
        <w:t xml:space="preserve"> INDEX  </w:t>
      </w:r>
    </w:p>
    <w:p w:rsidR="00504A4D" w:rsidRPr="00EF66AC" w:rsidRDefault="00150B5E">
      <w:pPr>
        <w:spacing w:after="95" w:line="259" w:lineRule="auto"/>
        <w:ind w:right="182"/>
        <w:jc w:val="center"/>
        <w:rPr>
          <w:b/>
          <w:sz w:val="22"/>
          <w:lang w:val="en-US"/>
        </w:rPr>
      </w:pPr>
      <w:r w:rsidRPr="00EF66AC">
        <w:rPr>
          <w:b/>
          <w:sz w:val="22"/>
          <w:lang w:val="en-US"/>
        </w:rPr>
        <w:t xml:space="preserve">FUTURES-STYLE OPTIONS CONTRACT SPECIFICATION </w:t>
      </w:r>
    </w:p>
    <w:p w:rsidR="00EF66AC" w:rsidRPr="00EF66AC" w:rsidRDefault="00EF66AC">
      <w:pPr>
        <w:spacing w:after="95" w:line="259" w:lineRule="auto"/>
        <w:ind w:right="182"/>
        <w:jc w:val="center"/>
        <w:rPr>
          <w:sz w:val="22"/>
          <w:lang w:val="en-US"/>
        </w:rPr>
      </w:pPr>
    </w:p>
    <w:p w:rsidR="00504A4D" w:rsidRPr="00EF66AC" w:rsidRDefault="00150B5E">
      <w:pPr>
        <w:ind w:left="-5" w:right="128"/>
        <w:rPr>
          <w:sz w:val="22"/>
          <w:lang w:val="en-US"/>
        </w:rPr>
      </w:pPr>
      <w:r w:rsidRPr="00EF66AC">
        <w:rPr>
          <w:sz w:val="22"/>
          <w:lang w:val="en-US"/>
        </w:rPr>
        <w:t xml:space="preserve">The </w:t>
      </w:r>
      <w:bookmarkStart w:id="0" w:name="_GoBack"/>
      <w:r w:rsidR="000C45BE">
        <w:rPr>
          <w:sz w:val="22"/>
          <w:lang w:val="en-US"/>
        </w:rPr>
        <w:t>MOEX Russia Index</w:t>
      </w:r>
      <w:r w:rsidRPr="00EF66AC">
        <w:rPr>
          <w:sz w:val="22"/>
          <w:lang w:val="en-US"/>
        </w:rPr>
        <w:t xml:space="preserve"> </w:t>
      </w:r>
      <w:bookmarkEnd w:id="0"/>
      <w:r w:rsidRPr="00EF66AC">
        <w:rPr>
          <w:sz w:val="22"/>
          <w:lang w:val="en-US"/>
        </w:rPr>
        <w:t xml:space="preserve">Futures-Style Options Contract Specification (hereinafter, “Specification”) establishes the standard terms and conditions under the </w:t>
      </w:r>
      <w:r w:rsidRPr="00EF66AC">
        <w:rPr>
          <w:rFonts w:eastAsia="Arial"/>
          <w:sz w:val="22"/>
          <w:lang w:val="en-US"/>
        </w:rPr>
        <w:t>deliverable</w:t>
      </w:r>
      <w:r w:rsidRPr="00EF66AC">
        <w:rPr>
          <w:sz w:val="22"/>
          <w:lang w:val="en-US"/>
        </w:rPr>
        <w:t xml:space="preserve"> </w:t>
      </w:r>
      <w:r w:rsidR="000C45BE">
        <w:rPr>
          <w:sz w:val="22"/>
          <w:lang w:val="en-US"/>
        </w:rPr>
        <w:t>MOEX Russia Index</w:t>
      </w:r>
      <w:r w:rsidRPr="00EF66AC">
        <w:rPr>
          <w:sz w:val="22"/>
          <w:lang w:val="en-US"/>
        </w:rPr>
        <w:t xml:space="preserve"> Futures-Style Options Contract (hereinafter, “Contract”, “Options Contract”). </w:t>
      </w:r>
    </w:p>
    <w:p w:rsidR="00504A4D" w:rsidRPr="00EF66AC" w:rsidRDefault="00150B5E">
      <w:pPr>
        <w:ind w:left="-5" w:right="128"/>
        <w:rPr>
          <w:sz w:val="22"/>
          <w:lang w:val="en-US"/>
        </w:rPr>
      </w:pPr>
      <w:r w:rsidRPr="00EF66AC">
        <w:rPr>
          <w:sz w:val="22"/>
          <w:lang w:val="en-US"/>
        </w:rPr>
        <w:t xml:space="preserve">The Specification, together with the Clearing Rules of the Derivatives Market (hereinafter, “Clearing Rules”) and Trading Rules of the Derivatives Market (hereinafter, “Trading Rules”) define the obligations under the Contract, as well as the procedures for their creation, effects, and extinction. </w:t>
      </w:r>
    </w:p>
    <w:p w:rsidR="00504A4D" w:rsidRPr="00EF66AC" w:rsidRDefault="00150B5E">
      <w:pPr>
        <w:ind w:left="-5" w:right="128"/>
        <w:rPr>
          <w:sz w:val="22"/>
          <w:lang w:val="en-US"/>
        </w:rPr>
      </w:pPr>
      <w:r w:rsidRPr="00EF66AC">
        <w:rPr>
          <w:sz w:val="22"/>
          <w:lang w:val="en-US"/>
        </w:rPr>
        <w:t xml:space="preserve">The Contract’s underlying asset is the cash-settled </w:t>
      </w:r>
      <w:r w:rsidR="000C45BE">
        <w:rPr>
          <w:sz w:val="22"/>
          <w:lang w:val="en-US"/>
        </w:rPr>
        <w:t>MOEX Russia Index</w:t>
      </w:r>
      <w:r w:rsidRPr="00EF66AC">
        <w:rPr>
          <w:sz w:val="22"/>
          <w:lang w:val="en-US"/>
        </w:rPr>
        <w:t xml:space="preserve"> Futures Contract (hereinafter, “Futures Contract”)</w:t>
      </w:r>
      <w:r w:rsidR="00EF66AC" w:rsidRPr="00EF66AC">
        <w:rPr>
          <w:rStyle w:val="a5"/>
          <w:sz w:val="22"/>
          <w:lang w:val="en-US"/>
        </w:rPr>
        <w:footnoteReference w:id="1"/>
      </w:r>
      <w:r w:rsidRPr="00EF66AC">
        <w:rPr>
          <w:sz w:val="22"/>
          <w:lang w:val="en-US"/>
        </w:rPr>
        <w:t xml:space="preserve">. </w:t>
      </w:r>
    </w:p>
    <w:p w:rsidR="00504A4D" w:rsidRPr="00EF66AC" w:rsidRDefault="00150B5E">
      <w:pPr>
        <w:ind w:left="-5" w:right="128"/>
        <w:rPr>
          <w:sz w:val="22"/>
          <w:lang w:val="en-US"/>
        </w:rPr>
      </w:pPr>
      <w:r w:rsidRPr="00EF66AC">
        <w:rPr>
          <w:sz w:val="22"/>
          <w:lang w:val="en-US"/>
        </w:rPr>
        <w:t xml:space="preserve">The Contract is a futures-style option contract, which means that Variation Margin obligations exist. The Variation Margin is calculated in accordance with Clause 2.1 herein. </w:t>
      </w:r>
    </w:p>
    <w:p w:rsidR="00504A4D" w:rsidRPr="00EF66AC" w:rsidRDefault="00150B5E">
      <w:pPr>
        <w:spacing w:after="230"/>
        <w:ind w:left="-5" w:right="128"/>
        <w:rPr>
          <w:sz w:val="22"/>
          <w:lang w:val="en-US"/>
        </w:rPr>
      </w:pPr>
      <w:r w:rsidRPr="00EF66AC">
        <w:rPr>
          <w:sz w:val="22"/>
          <w:lang w:val="en-US"/>
        </w:rPr>
        <w:t>Terms not explicitly defined in this Specification will have the same definitions as in the Trading Rules, the Clearing Rules, and the laws of the Russian Federation</w:t>
      </w:r>
      <w:r w:rsidRPr="00EF66AC">
        <w:rPr>
          <w:rFonts w:eastAsia="Arial"/>
          <w:sz w:val="22"/>
          <w:lang w:val="en-US"/>
        </w:rPr>
        <w:t xml:space="preserve">. </w:t>
      </w:r>
    </w:p>
    <w:p w:rsidR="00504A4D" w:rsidRPr="00EF66AC" w:rsidRDefault="00150B5E">
      <w:pPr>
        <w:pStyle w:val="1"/>
        <w:ind w:left="268" w:right="0" w:hanging="283"/>
        <w:rPr>
          <w:sz w:val="22"/>
        </w:rPr>
      </w:pPr>
      <w:proofErr w:type="spellStart"/>
      <w:r w:rsidRPr="00EF66AC">
        <w:rPr>
          <w:sz w:val="22"/>
        </w:rPr>
        <w:t>Entering</w:t>
      </w:r>
      <w:proofErr w:type="spellEnd"/>
      <w:r w:rsidRPr="00EF66AC">
        <w:rPr>
          <w:sz w:val="22"/>
        </w:rPr>
        <w:t xml:space="preserve"> </w:t>
      </w:r>
      <w:proofErr w:type="spellStart"/>
      <w:r w:rsidRPr="00EF66AC">
        <w:rPr>
          <w:sz w:val="22"/>
        </w:rPr>
        <w:t>into</w:t>
      </w:r>
      <w:proofErr w:type="spellEnd"/>
      <w:r w:rsidRPr="00EF66AC">
        <w:rPr>
          <w:sz w:val="22"/>
        </w:rPr>
        <w:t xml:space="preserve"> </w:t>
      </w:r>
      <w:proofErr w:type="spellStart"/>
      <w:r w:rsidRPr="00EF66AC">
        <w:rPr>
          <w:sz w:val="22"/>
        </w:rPr>
        <w:t>the</w:t>
      </w:r>
      <w:proofErr w:type="spellEnd"/>
      <w:r w:rsidRPr="00EF66AC">
        <w:rPr>
          <w:sz w:val="22"/>
        </w:rPr>
        <w:t xml:space="preserve"> </w:t>
      </w:r>
      <w:proofErr w:type="spellStart"/>
      <w:r w:rsidRPr="00EF66AC">
        <w:rPr>
          <w:sz w:val="22"/>
        </w:rPr>
        <w:t>Contract</w:t>
      </w:r>
      <w:proofErr w:type="spellEnd"/>
      <w:r w:rsidRPr="00EF66AC">
        <w:rPr>
          <w:sz w:val="22"/>
        </w:rPr>
        <w:t xml:space="preserve"> </w:t>
      </w:r>
    </w:p>
    <w:p w:rsidR="00504A4D" w:rsidRPr="00EF66AC" w:rsidRDefault="00150B5E">
      <w:pPr>
        <w:ind w:left="412" w:right="128" w:hanging="427"/>
        <w:rPr>
          <w:sz w:val="22"/>
          <w:lang w:val="en-US"/>
        </w:rPr>
      </w:pPr>
      <w:r w:rsidRPr="00EF66AC">
        <w:rPr>
          <w:sz w:val="22"/>
          <w:lang w:val="en-US"/>
        </w:rPr>
        <w:t>1.1.</w:t>
      </w:r>
      <w:r w:rsidRPr="00EF66AC">
        <w:rPr>
          <w:rFonts w:eastAsia="Arial"/>
          <w:sz w:val="22"/>
          <w:lang w:val="en-US"/>
        </w:rPr>
        <w:t xml:space="preserve"> </w:t>
      </w:r>
      <w:r w:rsidRPr="00EF66AC">
        <w:rPr>
          <w:sz w:val="22"/>
          <w:lang w:val="en-US"/>
        </w:rPr>
        <w:t xml:space="preserve">Entering into the Contract in the course of trading is sanctioned by the Moscow Exchange (hereinafter, “Exchange”), and must contain the following: </w:t>
      </w:r>
    </w:p>
    <w:p w:rsidR="00504A4D" w:rsidRPr="00EF66AC" w:rsidRDefault="00150B5E">
      <w:pPr>
        <w:numPr>
          <w:ilvl w:val="0"/>
          <w:numId w:val="1"/>
        </w:numPr>
        <w:spacing w:after="10"/>
        <w:ind w:left="903" w:right="128" w:hanging="269"/>
        <w:rPr>
          <w:sz w:val="22"/>
          <w:lang w:val="en-US"/>
        </w:rPr>
      </w:pPr>
      <w:r w:rsidRPr="00EF66AC">
        <w:rPr>
          <w:sz w:val="22"/>
          <w:lang w:val="en-US"/>
        </w:rPr>
        <w:t xml:space="preserve">Futures Contract Code (hereinafter, “FCC”) </w:t>
      </w:r>
    </w:p>
    <w:p w:rsidR="00504A4D" w:rsidRPr="00EF66AC" w:rsidRDefault="00150B5E">
      <w:pPr>
        <w:numPr>
          <w:ilvl w:val="0"/>
          <w:numId w:val="1"/>
        </w:numPr>
        <w:spacing w:after="10"/>
        <w:ind w:left="903" w:right="128" w:hanging="269"/>
        <w:rPr>
          <w:sz w:val="22"/>
        </w:rPr>
      </w:pPr>
      <w:proofErr w:type="spellStart"/>
      <w:r w:rsidRPr="00EF66AC">
        <w:rPr>
          <w:sz w:val="22"/>
        </w:rPr>
        <w:t>Contract</w:t>
      </w:r>
      <w:proofErr w:type="spellEnd"/>
      <w:r w:rsidRPr="00EF66AC">
        <w:rPr>
          <w:sz w:val="22"/>
        </w:rPr>
        <w:t xml:space="preserve"> </w:t>
      </w:r>
      <w:proofErr w:type="spellStart"/>
      <w:r w:rsidRPr="00EF66AC">
        <w:rPr>
          <w:sz w:val="22"/>
        </w:rPr>
        <w:t>type</w:t>
      </w:r>
      <w:proofErr w:type="spellEnd"/>
      <w:r w:rsidRPr="00EF66AC">
        <w:rPr>
          <w:sz w:val="22"/>
        </w:rPr>
        <w:t xml:space="preserve"> </w:t>
      </w:r>
    </w:p>
    <w:p w:rsidR="00504A4D" w:rsidRPr="00EF66AC" w:rsidRDefault="00150B5E">
      <w:pPr>
        <w:numPr>
          <w:ilvl w:val="0"/>
          <w:numId w:val="1"/>
        </w:numPr>
        <w:spacing w:after="10"/>
        <w:ind w:left="903" w:right="128" w:hanging="269"/>
        <w:rPr>
          <w:sz w:val="22"/>
        </w:rPr>
      </w:pPr>
      <w:proofErr w:type="spellStart"/>
      <w:r w:rsidRPr="00EF66AC">
        <w:rPr>
          <w:sz w:val="22"/>
        </w:rPr>
        <w:t>Contract</w:t>
      </w:r>
      <w:proofErr w:type="spellEnd"/>
      <w:r w:rsidRPr="00EF66AC">
        <w:rPr>
          <w:sz w:val="22"/>
        </w:rPr>
        <w:t xml:space="preserve"> </w:t>
      </w:r>
      <w:proofErr w:type="spellStart"/>
      <w:r w:rsidRPr="00EF66AC">
        <w:rPr>
          <w:sz w:val="22"/>
        </w:rPr>
        <w:t>category</w:t>
      </w:r>
      <w:proofErr w:type="spellEnd"/>
      <w:r w:rsidRPr="00EF66AC">
        <w:rPr>
          <w:sz w:val="22"/>
        </w:rPr>
        <w:t xml:space="preserve"> </w:t>
      </w:r>
    </w:p>
    <w:p w:rsidR="00504A4D" w:rsidRPr="00EF66AC" w:rsidRDefault="00150B5E">
      <w:pPr>
        <w:numPr>
          <w:ilvl w:val="0"/>
          <w:numId w:val="1"/>
        </w:numPr>
        <w:spacing w:after="10"/>
        <w:ind w:left="903" w:right="128" w:hanging="269"/>
        <w:rPr>
          <w:sz w:val="22"/>
          <w:lang w:val="en-US"/>
        </w:rPr>
      </w:pPr>
      <w:r w:rsidRPr="00EF66AC">
        <w:rPr>
          <w:sz w:val="22"/>
          <w:lang w:val="en-US"/>
        </w:rPr>
        <w:t xml:space="preserve">Strike price range (minimum and maximum strike price) </w:t>
      </w:r>
    </w:p>
    <w:p w:rsidR="00504A4D" w:rsidRPr="00EF66AC" w:rsidRDefault="00150B5E">
      <w:pPr>
        <w:numPr>
          <w:ilvl w:val="0"/>
          <w:numId w:val="1"/>
        </w:numPr>
        <w:spacing w:after="10"/>
        <w:ind w:left="903" w:right="128" w:hanging="269"/>
        <w:rPr>
          <w:sz w:val="22"/>
        </w:rPr>
      </w:pPr>
      <w:proofErr w:type="spellStart"/>
      <w:r w:rsidRPr="00EF66AC">
        <w:rPr>
          <w:sz w:val="22"/>
        </w:rPr>
        <w:t>Price</w:t>
      </w:r>
      <w:proofErr w:type="spellEnd"/>
      <w:r w:rsidRPr="00EF66AC">
        <w:rPr>
          <w:sz w:val="22"/>
        </w:rPr>
        <w:t xml:space="preserve"> </w:t>
      </w:r>
      <w:proofErr w:type="spellStart"/>
      <w:r w:rsidRPr="00EF66AC">
        <w:rPr>
          <w:sz w:val="22"/>
        </w:rPr>
        <w:t>tick</w:t>
      </w:r>
      <w:proofErr w:type="spellEnd"/>
      <w:r w:rsidRPr="00EF66AC">
        <w:rPr>
          <w:sz w:val="22"/>
        </w:rPr>
        <w:t xml:space="preserve"> </w:t>
      </w:r>
    </w:p>
    <w:p w:rsidR="00504A4D" w:rsidRPr="00EF66AC" w:rsidRDefault="00150B5E">
      <w:pPr>
        <w:numPr>
          <w:ilvl w:val="0"/>
          <w:numId w:val="1"/>
        </w:numPr>
        <w:spacing w:after="10"/>
        <w:ind w:left="903" w:right="128" w:hanging="269"/>
        <w:rPr>
          <w:sz w:val="22"/>
          <w:lang w:val="en-US"/>
        </w:rPr>
      </w:pPr>
      <w:r w:rsidRPr="00EF66AC">
        <w:rPr>
          <w:sz w:val="22"/>
          <w:lang w:val="en-US"/>
        </w:rPr>
        <w:t xml:space="preserve">Date of the first trading day when the Contract may be entered into (hereinafter, “first trading day”) </w:t>
      </w:r>
    </w:p>
    <w:p w:rsidR="00504A4D" w:rsidRPr="00EF66AC" w:rsidRDefault="00150B5E">
      <w:pPr>
        <w:numPr>
          <w:ilvl w:val="0"/>
          <w:numId w:val="1"/>
        </w:numPr>
        <w:spacing w:after="88"/>
        <w:ind w:left="903" w:right="128" w:hanging="269"/>
        <w:rPr>
          <w:sz w:val="22"/>
          <w:lang w:val="en-US"/>
        </w:rPr>
      </w:pPr>
      <w:r w:rsidRPr="00EF66AC">
        <w:rPr>
          <w:sz w:val="22"/>
          <w:lang w:val="en-US"/>
        </w:rPr>
        <w:t xml:space="preserve">Opening time when the Contract may be entered into (i.e. the start of trading in the Contract) </w:t>
      </w:r>
    </w:p>
    <w:p w:rsidR="00504A4D" w:rsidRPr="00EF66AC" w:rsidRDefault="00150B5E">
      <w:pPr>
        <w:ind w:left="-5" w:right="128"/>
        <w:rPr>
          <w:sz w:val="22"/>
          <w:lang w:val="en-US"/>
        </w:rPr>
      </w:pPr>
      <w:r w:rsidRPr="00EF66AC">
        <w:rPr>
          <w:sz w:val="22"/>
          <w:lang w:val="en-US"/>
        </w:rPr>
        <w:t>1.2.</w:t>
      </w:r>
      <w:r w:rsidRPr="00EF66AC">
        <w:rPr>
          <w:rFonts w:eastAsia="Arial"/>
          <w:sz w:val="22"/>
          <w:lang w:val="en-US"/>
        </w:rPr>
        <w:t xml:space="preserve"> </w:t>
      </w:r>
      <w:r w:rsidRPr="00EF66AC">
        <w:rPr>
          <w:sz w:val="22"/>
          <w:lang w:val="en-US"/>
        </w:rPr>
        <w:t xml:space="preserve">The code (designation) of the Contract consists of the following: </w:t>
      </w:r>
    </w:p>
    <w:p w:rsidR="00504A4D" w:rsidRPr="00EF66AC" w:rsidRDefault="00150B5E">
      <w:pPr>
        <w:ind w:left="437" w:right="128"/>
        <w:rPr>
          <w:sz w:val="22"/>
          <w:lang w:val="en-US"/>
        </w:rPr>
      </w:pPr>
      <w:r w:rsidRPr="00EF66AC">
        <w:rPr>
          <w:sz w:val="22"/>
          <w:lang w:val="en-US"/>
        </w:rPr>
        <w:t xml:space="preserve">&lt;FCC&gt;M&lt;last trading day of the Contract&gt;&lt;Contract type&gt;&lt;Contract category&gt;&lt; &gt;*&lt;Strike&gt; </w:t>
      </w:r>
    </w:p>
    <w:p w:rsidR="00504A4D" w:rsidRPr="00EF66AC" w:rsidRDefault="00150B5E">
      <w:pPr>
        <w:numPr>
          <w:ilvl w:val="0"/>
          <w:numId w:val="1"/>
        </w:numPr>
        <w:spacing w:after="10"/>
        <w:ind w:left="903" w:right="128" w:hanging="269"/>
        <w:rPr>
          <w:sz w:val="22"/>
          <w:lang w:val="en-US"/>
        </w:rPr>
      </w:pPr>
      <w:r w:rsidRPr="00EF66AC">
        <w:rPr>
          <w:sz w:val="22"/>
          <w:lang w:val="en-US"/>
        </w:rPr>
        <w:t xml:space="preserve">“M” symbol shall mean that it is a futures-style option </w:t>
      </w:r>
    </w:p>
    <w:p w:rsidR="00504A4D" w:rsidRPr="00EF66AC" w:rsidRDefault="00150B5E">
      <w:pPr>
        <w:numPr>
          <w:ilvl w:val="0"/>
          <w:numId w:val="1"/>
        </w:numPr>
        <w:spacing w:after="10"/>
        <w:ind w:left="903" w:right="128" w:hanging="269"/>
        <w:rPr>
          <w:sz w:val="22"/>
          <w:lang w:val="en-US"/>
        </w:rPr>
      </w:pPr>
      <w:r w:rsidRPr="00EF66AC">
        <w:rPr>
          <w:sz w:val="22"/>
          <w:lang w:val="en-US"/>
        </w:rPr>
        <w:t xml:space="preserve">last trading day of the Contract is indicated in Arabic numerals in DDMMYY format </w:t>
      </w:r>
    </w:p>
    <w:p w:rsidR="00504A4D" w:rsidRPr="00EF66AC" w:rsidRDefault="00150B5E">
      <w:pPr>
        <w:numPr>
          <w:ilvl w:val="0"/>
          <w:numId w:val="1"/>
        </w:numPr>
        <w:spacing w:after="10"/>
        <w:ind w:left="903" w:right="128" w:hanging="269"/>
        <w:rPr>
          <w:sz w:val="22"/>
          <w:lang w:val="en-US"/>
        </w:rPr>
      </w:pPr>
      <w:r w:rsidRPr="00EF66AC">
        <w:rPr>
          <w:sz w:val="22"/>
          <w:lang w:val="en-US"/>
        </w:rPr>
        <w:t xml:space="preserve">Contract type is either the “C” (Call Option) or “P” (Put Option) </w:t>
      </w:r>
    </w:p>
    <w:p w:rsidR="00504A4D" w:rsidRPr="00EF66AC" w:rsidRDefault="00150B5E">
      <w:pPr>
        <w:numPr>
          <w:ilvl w:val="0"/>
          <w:numId w:val="1"/>
        </w:numPr>
        <w:spacing w:after="10"/>
        <w:ind w:left="903" w:right="128" w:hanging="269"/>
        <w:rPr>
          <w:sz w:val="22"/>
          <w:lang w:val="en-US"/>
        </w:rPr>
      </w:pPr>
      <w:r w:rsidRPr="00EF66AC">
        <w:rPr>
          <w:sz w:val="22"/>
          <w:lang w:val="en-US"/>
        </w:rPr>
        <w:t xml:space="preserve">Contract category is either the “A” (American Option) or “E” (European Option) </w:t>
      </w:r>
    </w:p>
    <w:p w:rsidR="00504A4D" w:rsidRPr="00EF66AC" w:rsidRDefault="00150B5E">
      <w:pPr>
        <w:numPr>
          <w:ilvl w:val="0"/>
          <w:numId w:val="1"/>
        </w:numPr>
        <w:ind w:left="903" w:right="128" w:hanging="269"/>
        <w:rPr>
          <w:sz w:val="22"/>
          <w:lang w:val="en-US"/>
        </w:rPr>
      </w:pPr>
      <w:r w:rsidRPr="00EF66AC">
        <w:rPr>
          <w:sz w:val="22"/>
          <w:lang w:val="en-US"/>
        </w:rPr>
        <w:t xml:space="preserve">*&lt; &gt; not added for Contracts with the first trading day after </w:t>
      </w:r>
      <w:r w:rsidR="00EF66AC" w:rsidRPr="00EF66AC">
        <w:rPr>
          <w:sz w:val="22"/>
          <w:lang w:val="en-US"/>
        </w:rPr>
        <w:t xml:space="preserve">6 </w:t>
      </w:r>
      <w:r w:rsidRPr="00EF66AC">
        <w:rPr>
          <w:sz w:val="22"/>
          <w:lang w:val="en-US"/>
        </w:rPr>
        <w:t xml:space="preserve">November 2016 </w:t>
      </w:r>
    </w:p>
    <w:p w:rsidR="00504A4D" w:rsidRPr="00EF66AC" w:rsidRDefault="00150B5E">
      <w:pPr>
        <w:numPr>
          <w:ilvl w:val="1"/>
          <w:numId w:val="4"/>
        </w:numPr>
        <w:ind w:right="128" w:hanging="427"/>
        <w:rPr>
          <w:sz w:val="22"/>
          <w:lang w:val="en-US"/>
        </w:rPr>
      </w:pPr>
      <w:r w:rsidRPr="00EF66AC">
        <w:rPr>
          <w:sz w:val="22"/>
          <w:lang w:val="en-US"/>
        </w:rPr>
        <w:lastRenderedPageBreak/>
        <w:t xml:space="preserve">The number of Futures Contracts used as the underlying asset of the Contract (hereinafter, “Lot”) is 1 (one) Futures Contract. </w:t>
      </w:r>
    </w:p>
    <w:p w:rsidR="00504A4D" w:rsidRPr="00EF66AC" w:rsidRDefault="00150B5E">
      <w:pPr>
        <w:numPr>
          <w:ilvl w:val="1"/>
          <w:numId w:val="4"/>
        </w:numPr>
        <w:ind w:right="128" w:hanging="427"/>
        <w:rPr>
          <w:sz w:val="22"/>
        </w:rPr>
      </w:pPr>
      <w:proofErr w:type="spellStart"/>
      <w:r w:rsidRPr="00EF66AC">
        <w:rPr>
          <w:sz w:val="22"/>
        </w:rPr>
        <w:t>The</w:t>
      </w:r>
      <w:proofErr w:type="spellEnd"/>
      <w:r w:rsidRPr="00EF66AC">
        <w:rPr>
          <w:sz w:val="22"/>
        </w:rPr>
        <w:t xml:space="preserve"> </w:t>
      </w:r>
      <w:proofErr w:type="spellStart"/>
      <w:r w:rsidRPr="00EF66AC">
        <w:rPr>
          <w:sz w:val="22"/>
        </w:rPr>
        <w:t>Contract</w:t>
      </w:r>
      <w:proofErr w:type="spellEnd"/>
      <w:r w:rsidRPr="00EF66AC">
        <w:rPr>
          <w:sz w:val="22"/>
        </w:rPr>
        <w:t xml:space="preserve"> </w:t>
      </w:r>
      <w:proofErr w:type="spellStart"/>
      <w:r w:rsidRPr="00EF66AC">
        <w:rPr>
          <w:sz w:val="22"/>
        </w:rPr>
        <w:t>price</w:t>
      </w:r>
      <w:proofErr w:type="spellEnd"/>
      <w:r w:rsidRPr="00EF66AC">
        <w:rPr>
          <w:sz w:val="22"/>
        </w:rPr>
        <w:t xml:space="preserve"> (</w:t>
      </w:r>
      <w:proofErr w:type="spellStart"/>
      <w:r w:rsidRPr="00EF66AC">
        <w:rPr>
          <w:sz w:val="22"/>
        </w:rPr>
        <w:t>Premium</w:t>
      </w:r>
      <w:proofErr w:type="spellEnd"/>
      <w:r w:rsidRPr="00EF66AC">
        <w:rPr>
          <w:sz w:val="22"/>
        </w:rPr>
        <w:t xml:space="preserve">). </w:t>
      </w:r>
    </w:p>
    <w:p w:rsidR="00504A4D" w:rsidRPr="00EF66AC" w:rsidRDefault="00150B5E">
      <w:pPr>
        <w:numPr>
          <w:ilvl w:val="2"/>
          <w:numId w:val="3"/>
        </w:numPr>
        <w:ind w:left="993" w:right="128" w:hanging="566"/>
        <w:rPr>
          <w:sz w:val="22"/>
          <w:lang w:val="en-US"/>
        </w:rPr>
      </w:pPr>
      <w:r w:rsidRPr="00EF66AC">
        <w:rPr>
          <w:sz w:val="22"/>
          <w:lang w:val="en-US"/>
        </w:rPr>
        <w:t xml:space="preserve">Upon entering into the Contract in the course of trading, the Contract price (Premium) will be denominated in points per 1 Lot. </w:t>
      </w:r>
    </w:p>
    <w:p w:rsidR="00504A4D" w:rsidRPr="00EF66AC" w:rsidRDefault="00150B5E">
      <w:pPr>
        <w:numPr>
          <w:ilvl w:val="2"/>
          <w:numId w:val="3"/>
        </w:numPr>
        <w:ind w:left="993" w:right="128" w:hanging="566"/>
        <w:rPr>
          <w:sz w:val="22"/>
          <w:lang w:val="en-US"/>
        </w:rPr>
      </w:pPr>
      <w:r w:rsidRPr="00EF66AC">
        <w:rPr>
          <w:sz w:val="22"/>
          <w:lang w:val="en-US"/>
        </w:rPr>
        <w:t>The Contract’s minimum price interval (hereinafter, “tick”) during the course of trading is 25 points</w:t>
      </w:r>
      <w:r w:rsidRPr="00EF66AC">
        <w:rPr>
          <w:rFonts w:eastAsia="Arial"/>
          <w:sz w:val="22"/>
          <w:lang w:val="en-US"/>
        </w:rPr>
        <w:t xml:space="preserve">. </w:t>
      </w:r>
    </w:p>
    <w:p w:rsidR="00504A4D" w:rsidRPr="00EF66AC" w:rsidRDefault="00150B5E">
      <w:pPr>
        <w:numPr>
          <w:ilvl w:val="2"/>
          <w:numId w:val="3"/>
        </w:numPr>
        <w:ind w:left="993" w:right="128" w:hanging="566"/>
        <w:rPr>
          <w:sz w:val="22"/>
          <w:lang w:val="en-US"/>
        </w:rPr>
      </w:pPr>
      <w:r w:rsidRPr="00EF66AC">
        <w:rPr>
          <w:sz w:val="22"/>
          <w:lang w:val="en-US"/>
        </w:rPr>
        <w:t xml:space="preserve">The value of the tick is RUB 25. </w:t>
      </w:r>
    </w:p>
    <w:p w:rsidR="00504A4D" w:rsidRPr="00EF66AC" w:rsidRDefault="00150B5E">
      <w:pPr>
        <w:numPr>
          <w:ilvl w:val="1"/>
          <w:numId w:val="2"/>
        </w:numPr>
        <w:ind w:right="128" w:hanging="427"/>
        <w:rPr>
          <w:sz w:val="22"/>
          <w:lang w:val="en-US"/>
        </w:rPr>
      </w:pPr>
      <w:r w:rsidRPr="00EF66AC">
        <w:rPr>
          <w:sz w:val="22"/>
          <w:lang w:val="en-US"/>
        </w:rPr>
        <w:t>The valid period of the Contract commence</w:t>
      </w:r>
      <w:r w:rsidR="00EF66AC" w:rsidRPr="00EF66AC">
        <w:rPr>
          <w:sz w:val="22"/>
          <w:lang w:val="en-US"/>
        </w:rPr>
        <w:t>s</w:t>
      </w:r>
      <w:r w:rsidRPr="00EF66AC">
        <w:rPr>
          <w:sz w:val="22"/>
          <w:lang w:val="en-US"/>
        </w:rPr>
        <w:t xml:space="preserve"> from the start of trading of the Contract and continues until the beginning of the evening clearing session of the Contract’s last trading day. </w:t>
      </w:r>
    </w:p>
    <w:p w:rsidR="00504A4D" w:rsidRPr="00EF66AC" w:rsidRDefault="00150B5E">
      <w:pPr>
        <w:numPr>
          <w:ilvl w:val="1"/>
          <w:numId w:val="2"/>
        </w:numPr>
        <w:ind w:right="128" w:hanging="427"/>
        <w:rPr>
          <w:sz w:val="22"/>
          <w:lang w:val="en-US"/>
        </w:rPr>
      </w:pPr>
      <w:r w:rsidRPr="00EF66AC">
        <w:rPr>
          <w:sz w:val="22"/>
          <w:lang w:val="en-US"/>
        </w:rPr>
        <w:t>The Contract’s last trading day is a 3</w:t>
      </w:r>
      <w:r w:rsidRPr="00EF66AC">
        <w:rPr>
          <w:sz w:val="22"/>
          <w:vertAlign w:val="superscript"/>
          <w:lang w:val="en-US"/>
        </w:rPr>
        <w:t>rd</w:t>
      </w:r>
      <w:r w:rsidRPr="00EF66AC">
        <w:rPr>
          <w:sz w:val="22"/>
          <w:lang w:val="en-US"/>
        </w:rPr>
        <w:t xml:space="preserve"> Thursday in the Contract’s expiration month (hereinafter, “last trading day”). The precise date is specified in the List of Options’ Last Trading Days (hereinafter, “Expiration Calendar”) and indicated in the Contract’s code.  </w:t>
      </w:r>
    </w:p>
    <w:p w:rsidR="00504A4D" w:rsidRPr="00EF66AC" w:rsidRDefault="00150B5E">
      <w:pPr>
        <w:ind w:left="437" w:right="128"/>
        <w:rPr>
          <w:sz w:val="22"/>
          <w:lang w:val="en-US"/>
        </w:rPr>
      </w:pPr>
      <w:r w:rsidRPr="00EF66AC">
        <w:rPr>
          <w:sz w:val="22"/>
          <w:lang w:val="en-US"/>
        </w:rPr>
        <w:t>If such 3</w:t>
      </w:r>
      <w:r w:rsidRPr="00EF66AC">
        <w:rPr>
          <w:sz w:val="22"/>
          <w:vertAlign w:val="superscript"/>
          <w:lang w:val="en-US"/>
        </w:rPr>
        <w:t>rd</w:t>
      </w:r>
      <w:r w:rsidRPr="00EF66AC">
        <w:rPr>
          <w:sz w:val="22"/>
          <w:lang w:val="en-US"/>
        </w:rPr>
        <w:t xml:space="preserve"> Thursday is a non-trading day, the last trading day is defined as the last trading day preceding such 3</w:t>
      </w:r>
      <w:r w:rsidRPr="00EF66AC">
        <w:rPr>
          <w:sz w:val="22"/>
          <w:vertAlign w:val="superscript"/>
          <w:lang w:val="en-US"/>
        </w:rPr>
        <w:t>rd</w:t>
      </w:r>
      <w:r w:rsidRPr="00EF66AC">
        <w:rPr>
          <w:sz w:val="22"/>
          <w:lang w:val="en-US"/>
        </w:rPr>
        <w:t xml:space="preserve"> Thursday and indicated in the Expiration Calendar. </w:t>
      </w:r>
    </w:p>
    <w:p w:rsidR="00504A4D" w:rsidRPr="00EF66AC" w:rsidRDefault="00150B5E">
      <w:pPr>
        <w:ind w:left="437" w:right="128"/>
        <w:rPr>
          <w:sz w:val="22"/>
          <w:lang w:val="en-US"/>
        </w:rPr>
      </w:pPr>
      <w:r w:rsidRPr="00EF66AC">
        <w:rPr>
          <w:sz w:val="22"/>
          <w:lang w:val="en-US"/>
        </w:rPr>
        <w:t xml:space="preserve">The Expiration Calendar is adopted by the Exchange, upon agreement with the NCC, and published on the Exchange’s website as produced for the current calendar year.  </w:t>
      </w:r>
    </w:p>
    <w:p w:rsidR="00504A4D" w:rsidRPr="00EF66AC" w:rsidRDefault="00150B5E">
      <w:pPr>
        <w:spacing w:after="225"/>
        <w:ind w:left="437" w:right="128"/>
        <w:rPr>
          <w:sz w:val="22"/>
          <w:lang w:val="en-US"/>
        </w:rPr>
      </w:pPr>
      <w:r w:rsidRPr="00EF66AC">
        <w:rPr>
          <w:sz w:val="22"/>
          <w:lang w:val="en-US"/>
        </w:rPr>
        <w:t xml:space="preserve">The Exchange is entitled to change the Expiration Calendar, upon agreement with the NCC. </w:t>
      </w:r>
    </w:p>
    <w:p w:rsidR="00504A4D" w:rsidRPr="00EF66AC" w:rsidRDefault="00150B5E">
      <w:pPr>
        <w:pStyle w:val="1"/>
        <w:ind w:left="268" w:right="0" w:hanging="283"/>
        <w:rPr>
          <w:sz w:val="22"/>
        </w:rPr>
      </w:pPr>
      <w:proofErr w:type="spellStart"/>
      <w:r w:rsidRPr="00EF66AC">
        <w:rPr>
          <w:sz w:val="22"/>
        </w:rPr>
        <w:t>Obligations</w:t>
      </w:r>
      <w:proofErr w:type="spellEnd"/>
      <w:r w:rsidRPr="00EF66AC">
        <w:rPr>
          <w:sz w:val="22"/>
        </w:rPr>
        <w:t xml:space="preserve"> </w:t>
      </w:r>
      <w:proofErr w:type="spellStart"/>
      <w:r w:rsidRPr="00EF66AC">
        <w:rPr>
          <w:sz w:val="22"/>
        </w:rPr>
        <w:t>under</w:t>
      </w:r>
      <w:proofErr w:type="spellEnd"/>
      <w:r w:rsidRPr="00EF66AC">
        <w:rPr>
          <w:sz w:val="22"/>
        </w:rPr>
        <w:t xml:space="preserve"> </w:t>
      </w:r>
      <w:proofErr w:type="spellStart"/>
      <w:r w:rsidRPr="00EF66AC">
        <w:rPr>
          <w:sz w:val="22"/>
        </w:rPr>
        <w:t>the</w:t>
      </w:r>
      <w:proofErr w:type="spellEnd"/>
      <w:r w:rsidRPr="00EF66AC">
        <w:rPr>
          <w:sz w:val="22"/>
        </w:rPr>
        <w:t xml:space="preserve"> </w:t>
      </w:r>
      <w:proofErr w:type="spellStart"/>
      <w:r w:rsidRPr="00EF66AC">
        <w:rPr>
          <w:sz w:val="22"/>
        </w:rPr>
        <w:t>Contract</w:t>
      </w:r>
      <w:proofErr w:type="spellEnd"/>
      <w:r w:rsidRPr="00EF66AC">
        <w:rPr>
          <w:sz w:val="22"/>
        </w:rPr>
        <w:t xml:space="preserve"> </w:t>
      </w:r>
    </w:p>
    <w:p w:rsidR="00504A4D" w:rsidRPr="00EF66AC" w:rsidRDefault="00150B5E">
      <w:pPr>
        <w:ind w:left="-5" w:right="128"/>
        <w:rPr>
          <w:sz w:val="22"/>
        </w:rPr>
      </w:pPr>
      <w:r w:rsidRPr="00EF66AC">
        <w:rPr>
          <w:sz w:val="22"/>
        </w:rPr>
        <w:t>2.1.</w:t>
      </w:r>
      <w:r w:rsidRPr="00EF66AC">
        <w:rPr>
          <w:rFonts w:eastAsia="Arial"/>
          <w:sz w:val="22"/>
        </w:rPr>
        <w:t xml:space="preserve"> </w:t>
      </w:r>
      <w:proofErr w:type="spellStart"/>
      <w:r w:rsidRPr="00EF66AC">
        <w:rPr>
          <w:sz w:val="22"/>
        </w:rPr>
        <w:t>Variation</w:t>
      </w:r>
      <w:proofErr w:type="spellEnd"/>
      <w:r w:rsidRPr="00EF66AC">
        <w:rPr>
          <w:sz w:val="22"/>
        </w:rPr>
        <w:t xml:space="preserve"> </w:t>
      </w:r>
      <w:proofErr w:type="spellStart"/>
      <w:r w:rsidRPr="00EF66AC">
        <w:rPr>
          <w:sz w:val="22"/>
        </w:rPr>
        <w:t>Margin</w:t>
      </w:r>
      <w:proofErr w:type="spellEnd"/>
      <w:r w:rsidRPr="00EF66AC">
        <w:rPr>
          <w:sz w:val="22"/>
        </w:rPr>
        <w:t xml:space="preserve"> </w:t>
      </w:r>
      <w:proofErr w:type="spellStart"/>
      <w:r w:rsidRPr="00EF66AC">
        <w:rPr>
          <w:sz w:val="22"/>
        </w:rPr>
        <w:t>obligation</w:t>
      </w:r>
      <w:proofErr w:type="spellEnd"/>
      <w:r w:rsidRPr="00EF66AC">
        <w:rPr>
          <w:sz w:val="22"/>
        </w:rPr>
        <w:t xml:space="preserve">. </w:t>
      </w:r>
    </w:p>
    <w:p w:rsidR="00504A4D" w:rsidRPr="00EF66AC" w:rsidRDefault="00150B5E">
      <w:pPr>
        <w:ind w:left="993" w:right="128" w:hanging="566"/>
        <w:rPr>
          <w:sz w:val="22"/>
          <w:lang w:val="en-US"/>
        </w:rPr>
      </w:pPr>
      <w:r w:rsidRPr="00EF66AC">
        <w:rPr>
          <w:sz w:val="22"/>
          <w:lang w:val="en-US"/>
        </w:rPr>
        <w:t>2.1.1.</w:t>
      </w:r>
      <w:r w:rsidRPr="00EF66AC">
        <w:rPr>
          <w:rFonts w:eastAsia="Arial"/>
          <w:sz w:val="22"/>
          <w:lang w:val="en-US"/>
        </w:rPr>
        <w:t xml:space="preserve"> </w:t>
      </w:r>
      <w:r w:rsidRPr="00EF66AC">
        <w:rPr>
          <w:sz w:val="22"/>
          <w:lang w:val="en-US"/>
        </w:rPr>
        <w:t xml:space="preserve">The Parties to the Contract must pay cash (variation margin) to each other in the amount depending on the changes in the value of the Futures Contract. </w:t>
      </w:r>
    </w:p>
    <w:p w:rsidR="00504A4D" w:rsidRPr="00EF66AC" w:rsidRDefault="00150B5E">
      <w:pPr>
        <w:ind w:left="993" w:right="128" w:hanging="566"/>
        <w:rPr>
          <w:sz w:val="22"/>
          <w:lang w:val="en-US"/>
        </w:rPr>
      </w:pPr>
      <w:r w:rsidRPr="00EF66AC">
        <w:rPr>
          <w:sz w:val="22"/>
          <w:lang w:val="en-US"/>
        </w:rPr>
        <w:t>2.1.2.</w:t>
      </w:r>
      <w:r w:rsidRPr="00EF66AC">
        <w:rPr>
          <w:rFonts w:eastAsia="Arial"/>
          <w:sz w:val="22"/>
          <w:lang w:val="en-US"/>
        </w:rPr>
        <w:t xml:space="preserve"> </w:t>
      </w:r>
      <w:r w:rsidRPr="00EF66AC">
        <w:rPr>
          <w:sz w:val="22"/>
          <w:lang w:val="en-US"/>
        </w:rPr>
        <w:t xml:space="preserve">The variation margin is calculated and paid throughout the period starting from the Contract’s first trading day to its last trading day. </w:t>
      </w:r>
    </w:p>
    <w:p w:rsidR="00504A4D" w:rsidRPr="00EF66AC" w:rsidRDefault="00150B5E">
      <w:pPr>
        <w:ind w:left="437" w:right="128"/>
        <w:rPr>
          <w:sz w:val="22"/>
          <w:lang w:val="en-US"/>
        </w:rPr>
      </w:pPr>
      <w:r w:rsidRPr="00EF66AC">
        <w:rPr>
          <w:sz w:val="22"/>
          <w:lang w:val="en-US"/>
        </w:rPr>
        <w:t>2.1.3.</w:t>
      </w:r>
      <w:r w:rsidRPr="00EF66AC">
        <w:rPr>
          <w:rFonts w:eastAsia="Arial"/>
          <w:sz w:val="22"/>
          <w:lang w:val="en-US"/>
        </w:rPr>
        <w:t xml:space="preserve"> </w:t>
      </w:r>
      <w:r w:rsidRPr="00EF66AC">
        <w:rPr>
          <w:sz w:val="22"/>
          <w:lang w:val="en-US"/>
        </w:rPr>
        <w:t>The variation margin is calculated according to the following formulas</w:t>
      </w:r>
      <w:r w:rsidRPr="00EF66AC">
        <w:rPr>
          <w:rFonts w:eastAsia="Arial"/>
          <w:sz w:val="22"/>
          <w:lang w:val="en-US"/>
        </w:rPr>
        <w:t xml:space="preserve">: </w:t>
      </w:r>
    </w:p>
    <w:p w:rsidR="00504A4D" w:rsidRPr="00EF66AC" w:rsidRDefault="00150B5E">
      <w:pPr>
        <w:pStyle w:val="1"/>
        <w:numPr>
          <w:ilvl w:val="0"/>
          <w:numId w:val="0"/>
        </w:numPr>
        <w:spacing w:after="0"/>
        <w:ind w:left="1004" w:right="0"/>
        <w:rPr>
          <w:sz w:val="22"/>
          <w:lang w:val="en-US"/>
        </w:rPr>
      </w:pPr>
      <w:r w:rsidRPr="00EF66AC">
        <w:rPr>
          <w:sz w:val="22"/>
          <w:lang w:val="en-US"/>
        </w:rPr>
        <w:t>V</w:t>
      </w:r>
      <w:r w:rsidRPr="00EF66AC">
        <w:rPr>
          <w:sz w:val="22"/>
        </w:rPr>
        <w:t>М</w:t>
      </w:r>
      <w:r w:rsidRPr="00EF66AC">
        <w:rPr>
          <w:sz w:val="22"/>
          <w:vertAlign w:val="subscript"/>
          <w:lang w:val="en-US"/>
        </w:rPr>
        <w:t>0</w:t>
      </w:r>
      <w:r w:rsidRPr="00EF66AC">
        <w:rPr>
          <w:sz w:val="22"/>
          <w:lang w:val="en-US"/>
        </w:rPr>
        <w:t xml:space="preserve"> = (SP</w:t>
      </w:r>
      <w:r w:rsidRPr="00EF66AC">
        <w:rPr>
          <w:sz w:val="22"/>
          <w:vertAlign w:val="subscript"/>
          <w:lang w:val="en-US"/>
        </w:rPr>
        <w:t>1</w:t>
      </w:r>
      <w:r w:rsidRPr="00EF66AC">
        <w:rPr>
          <w:sz w:val="22"/>
          <w:lang w:val="en-US"/>
        </w:rPr>
        <w:t xml:space="preserve"> – P</w:t>
      </w:r>
      <w:r w:rsidRPr="00EF66AC">
        <w:rPr>
          <w:sz w:val="22"/>
          <w:vertAlign w:val="subscript"/>
          <w:lang w:val="en-US"/>
        </w:rPr>
        <w:t>0</w:t>
      </w:r>
      <w:r w:rsidRPr="00EF66AC">
        <w:rPr>
          <w:sz w:val="22"/>
          <w:lang w:val="en-US"/>
        </w:rPr>
        <w:t>) * W / R</w:t>
      </w:r>
      <w:r w:rsidRPr="00EF66AC">
        <w:rPr>
          <w:b w:val="0"/>
          <w:sz w:val="22"/>
          <w:lang w:val="en-US"/>
        </w:rPr>
        <w:t xml:space="preserve"> </w:t>
      </w:r>
    </w:p>
    <w:p w:rsidR="00504A4D" w:rsidRPr="00EF66AC" w:rsidRDefault="00150B5E">
      <w:pPr>
        <w:spacing w:after="0" w:line="358" w:lineRule="auto"/>
        <w:ind w:left="1004" w:right="4960"/>
        <w:jc w:val="left"/>
        <w:rPr>
          <w:sz w:val="22"/>
          <w:lang w:val="en-US"/>
        </w:rPr>
      </w:pPr>
      <w:r w:rsidRPr="00EF66AC">
        <w:rPr>
          <w:b/>
          <w:sz w:val="22"/>
          <w:lang w:val="en-US"/>
        </w:rPr>
        <w:t>V</w:t>
      </w:r>
      <w:r w:rsidRPr="00EF66AC">
        <w:rPr>
          <w:b/>
          <w:sz w:val="22"/>
        </w:rPr>
        <w:t>М</w:t>
      </w:r>
      <w:r w:rsidRPr="00EF66AC">
        <w:rPr>
          <w:b/>
          <w:sz w:val="22"/>
          <w:vertAlign w:val="subscript"/>
          <w:lang w:val="en-US"/>
        </w:rPr>
        <w:t>1</w:t>
      </w:r>
      <w:r w:rsidRPr="00EF66AC">
        <w:rPr>
          <w:b/>
          <w:sz w:val="22"/>
          <w:lang w:val="en-US"/>
        </w:rPr>
        <w:t xml:space="preserve"> = (SP</w:t>
      </w:r>
      <w:r w:rsidRPr="00EF66AC">
        <w:rPr>
          <w:b/>
          <w:sz w:val="22"/>
          <w:vertAlign w:val="subscript"/>
          <w:lang w:val="en-US"/>
        </w:rPr>
        <w:t>1</w:t>
      </w:r>
      <w:r w:rsidRPr="00EF66AC">
        <w:rPr>
          <w:b/>
          <w:sz w:val="22"/>
          <w:lang w:val="en-US"/>
        </w:rPr>
        <w:t xml:space="preserve"> – </w:t>
      </w:r>
      <w:proofErr w:type="spellStart"/>
      <w:r w:rsidRPr="00EF66AC">
        <w:rPr>
          <w:b/>
          <w:sz w:val="22"/>
          <w:lang w:val="en-US"/>
        </w:rPr>
        <w:t>SP</w:t>
      </w:r>
      <w:r w:rsidRPr="00EF66AC">
        <w:rPr>
          <w:b/>
          <w:sz w:val="22"/>
          <w:vertAlign w:val="subscript"/>
          <w:lang w:val="en-US"/>
        </w:rPr>
        <w:t>p</w:t>
      </w:r>
      <w:proofErr w:type="spellEnd"/>
      <w:r w:rsidRPr="00EF66AC">
        <w:rPr>
          <w:b/>
          <w:sz w:val="22"/>
          <w:lang w:val="en-US"/>
        </w:rPr>
        <w:t>) * W / R</w:t>
      </w:r>
      <w:r w:rsidRPr="00EF66AC">
        <w:rPr>
          <w:sz w:val="22"/>
          <w:lang w:val="en-US"/>
        </w:rPr>
        <w:t xml:space="preserve"> </w:t>
      </w:r>
      <w:r w:rsidRPr="00EF66AC">
        <w:rPr>
          <w:sz w:val="22"/>
          <w:lang w:val="en-US"/>
        </w:rPr>
        <w:tab/>
        <w:t xml:space="preserve"> where: </w:t>
      </w:r>
    </w:p>
    <w:p w:rsidR="00504A4D" w:rsidRPr="00EF66AC" w:rsidRDefault="00150B5E">
      <w:pPr>
        <w:spacing w:after="0"/>
        <w:ind w:left="1004" w:right="128"/>
        <w:rPr>
          <w:sz w:val="22"/>
          <w:lang w:val="en-US"/>
        </w:rPr>
      </w:pPr>
      <w:r w:rsidRPr="00EF66AC">
        <w:rPr>
          <w:sz w:val="22"/>
          <w:lang w:val="en-US"/>
        </w:rPr>
        <w:t>VM</w:t>
      </w:r>
      <w:r w:rsidRPr="00EF66AC">
        <w:rPr>
          <w:sz w:val="22"/>
          <w:vertAlign w:val="subscript"/>
          <w:lang w:val="en-US"/>
        </w:rPr>
        <w:t>0</w:t>
      </w:r>
      <w:r w:rsidRPr="00EF66AC">
        <w:rPr>
          <w:sz w:val="22"/>
          <w:lang w:val="en-US"/>
        </w:rPr>
        <w:t xml:space="preserve"> – the variation margin for the Contract (in case the variation margin has not been calculated before) </w:t>
      </w:r>
    </w:p>
    <w:p w:rsidR="00504A4D" w:rsidRPr="00EF66AC" w:rsidRDefault="00150B5E">
      <w:pPr>
        <w:spacing w:after="0"/>
        <w:ind w:left="1004" w:right="128"/>
        <w:rPr>
          <w:sz w:val="22"/>
          <w:lang w:val="en-US"/>
        </w:rPr>
      </w:pPr>
      <w:r w:rsidRPr="00EF66AC">
        <w:rPr>
          <w:sz w:val="22"/>
          <w:lang w:val="en-US"/>
        </w:rPr>
        <w:t>V</w:t>
      </w:r>
      <w:r w:rsidRPr="00EF66AC">
        <w:rPr>
          <w:sz w:val="22"/>
        </w:rPr>
        <w:t>М</w:t>
      </w:r>
      <w:r w:rsidRPr="00EF66AC">
        <w:rPr>
          <w:sz w:val="22"/>
          <w:vertAlign w:val="subscript"/>
          <w:lang w:val="en-US"/>
        </w:rPr>
        <w:t>1</w:t>
      </w:r>
      <w:r w:rsidRPr="00EF66AC">
        <w:rPr>
          <w:sz w:val="22"/>
          <w:lang w:val="en-US"/>
        </w:rPr>
        <w:t xml:space="preserve"> – the variation Margin for the Contract (in case the variation margin has been calculated before) </w:t>
      </w:r>
    </w:p>
    <w:p w:rsidR="00504A4D" w:rsidRPr="00EF66AC" w:rsidRDefault="00150B5E">
      <w:pPr>
        <w:spacing w:after="10"/>
        <w:ind w:left="1004" w:right="128"/>
        <w:rPr>
          <w:sz w:val="22"/>
          <w:lang w:val="en-US"/>
        </w:rPr>
      </w:pPr>
      <w:r w:rsidRPr="00EF66AC">
        <w:rPr>
          <w:sz w:val="22"/>
          <w:lang w:val="en-US"/>
        </w:rPr>
        <w:t>P</w:t>
      </w:r>
      <w:r w:rsidRPr="00EF66AC">
        <w:rPr>
          <w:sz w:val="22"/>
          <w:vertAlign w:val="subscript"/>
          <w:lang w:val="en-US"/>
        </w:rPr>
        <w:t>0</w:t>
      </w:r>
      <w:r w:rsidRPr="00EF66AC">
        <w:rPr>
          <w:sz w:val="22"/>
          <w:lang w:val="en-US"/>
        </w:rPr>
        <w:t xml:space="preserve"> – execution price of the Contract </w:t>
      </w:r>
    </w:p>
    <w:p w:rsidR="00504A4D" w:rsidRPr="00EF66AC" w:rsidRDefault="00150B5E">
      <w:pPr>
        <w:spacing w:after="10"/>
        <w:ind w:left="1004" w:right="128"/>
        <w:rPr>
          <w:sz w:val="22"/>
          <w:lang w:val="en-US"/>
        </w:rPr>
      </w:pPr>
      <w:r w:rsidRPr="00EF66AC">
        <w:rPr>
          <w:sz w:val="22"/>
          <w:lang w:val="en-US"/>
        </w:rPr>
        <w:t>SP</w:t>
      </w:r>
      <w:r w:rsidRPr="00EF66AC">
        <w:rPr>
          <w:sz w:val="22"/>
          <w:vertAlign w:val="subscript"/>
          <w:lang w:val="en-US"/>
        </w:rPr>
        <w:t>1</w:t>
      </w:r>
      <w:r w:rsidRPr="00EF66AC">
        <w:rPr>
          <w:sz w:val="22"/>
          <w:lang w:val="en-US"/>
        </w:rPr>
        <w:t xml:space="preserve"> – current settlement price of the Contract </w:t>
      </w:r>
    </w:p>
    <w:p w:rsidR="00504A4D" w:rsidRPr="00EF66AC" w:rsidRDefault="00150B5E">
      <w:pPr>
        <w:spacing w:after="10"/>
        <w:ind w:left="1004" w:right="128"/>
        <w:rPr>
          <w:sz w:val="22"/>
          <w:lang w:val="en-US"/>
        </w:rPr>
      </w:pPr>
      <w:proofErr w:type="spellStart"/>
      <w:r w:rsidRPr="00EF66AC">
        <w:rPr>
          <w:sz w:val="22"/>
          <w:lang w:val="en-US"/>
        </w:rPr>
        <w:t>SP</w:t>
      </w:r>
      <w:r w:rsidRPr="00EF66AC">
        <w:rPr>
          <w:sz w:val="22"/>
          <w:vertAlign w:val="subscript"/>
          <w:lang w:val="en-US"/>
        </w:rPr>
        <w:t>p</w:t>
      </w:r>
      <w:proofErr w:type="spellEnd"/>
      <w:r w:rsidRPr="00EF66AC">
        <w:rPr>
          <w:sz w:val="22"/>
          <w:lang w:val="en-US"/>
        </w:rPr>
        <w:t xml:space="preserve"> – settlement price of the Contract calculated during the previous clearing session </w:t>
      </w:r>
    </w:p>
    <w:p w:rsidR="00504A4D" w:rsidRPr="00EF66AC" w:rsidRDefault="00150B5E">
      <w:pPr>
        <w:ind w:left="1004" w:right="7456"/>
        <w:rPr>
          <w:sz w:val="22"/>
          <w:lang w:val="en-US"/>
        </w:rPr>
      </w:pPr>
      <w:r w:rsidRPr="00EF66AC">
        <w:rPr>
          <w:sz w:val="22"/>
          <w:lang w:val="en-US"/>
        </w:rPr>
        <w:t xml:space="preserve">W – tick value R – tick size </w:t>
      </w:r>
    </w:p>
    <w:p w:rsidR="00504A4D" w:rsidRPr="00EF66AC" w:rsidRDefault="00150B5E">
      <w:pPr>
        <w:ind w:left="993" w:right="128" w:hanging="566"/>
        <w:rPr>
          <w:sz w:val="22"/>
          <w:lang w:val="en-US"/>
        </w:rPr>
      </w:pPr>
      <w:r w:rsidRPr="00EF66AC">
        <w:rPr>
          <w:sz w:val="22"/>
          <w:lang w:val="en-US"/>
        </w:rPr>
        <w:t>2.1.4.</w:t>
      </w:r>
      <w:r w:rsidRPr="00EF66AC">
        <w:rPr>
          <w:rFonts w:eastAsia="Arial"/>
          <w:sz w:val="22"/>
          <w:lang w:val="en-US"/>
        </w:rPr>
        <w:t xml:space="preserve"> </w:t>
      </w:r>
      <w:r w:rsidRPr="00EF66AC">
        <w:rPr>
          <w:sz w:val="22"/>
          <w:lang w:val="en-US"/>
        </w:rPr>
        <w:t xml:space="preserve">The Contract’s settlement price shall be determined by the Exchange in accordance with the procedure and within the timeframe set forth in the Trading Rules and this Specification. </w:t>
      </w:r>
    </w:p>
    <w:p w:rsidR="00504A4D" w:rsidRPr="00EF66AC" w:rsidRDefault="00150B5E">
      <w:pPr>
        <w:ind w:left="993" w:right="128" w:hanging="566"/>
        <w:rPr>
          <w:sz w:val="22"/>
          <w:lang w:val="en-US"/>
        </w:rPr>
      </w:pPr>
      <w:r w:rsidRPr="00EF66AC">
        <w:rPr>
          <w:sz w:val="22"/>
          <w:lang w:val="en-US"/>
        </w:rPr>
        <w:t>2.1.5.</w:t>
      </w:r>
      <w:r w:rsidRPr="00EF66AC">
        <w:rPr>
          <w:rFonts w:eastAsia="Arial"/>
          <w:sz w:val="22"/>
          <w:lang w:val="en-US"/>
        </w:rPr>
        <w:t xml:space="preserve"> </w:t>
      </w:r>
      <w:r w:rsidRPr="00EF66AC">
        <w:rPr>
          <w:sz w:val="22"/>
          <w:lang w:val="en-US"/>
        </w:rPr>
        <w:t>For the purpose of the variation margin calculation the Contract’s Settlement price (SP</w:t>
      </w:r>
      <w:r w:rsidRPr="00EF66AC">
        <w:rPr>
          <w:sz w:val="22"/>
          <w:vertAlign w:val="subscript"/>
          <w:lang w:val="en-US"/>
        </w:rPr>
        <w:t>1</w:t>
      </w:r>
      <w:r w:rsidRPr="00EF66AC">
        <w:rPr>
          <w:sz w:val="22"/>
          <w:lang w:val="en-US"/>
        </w:rPr>
        <w:t xml:space="preserve">) shall be equal to 0 (zero) in the following events: </w:t>
      </w:r>
    </w:p>
    <w:p w:rsidR="00504A4D" w:rsidRPr="00EF66AC" w:rsidRDefault="00150B5E">
      <w:pPr>
        <w:numPr>
          <w:ilvl w:val="0"/>
          <w:numId w:val="5"/>
        </w:numPr>
        <w:spacing w:after="10"/>
        <w:ind w:right="128" w:hanging="422"/>
        <w:rPr>
          <w:sz w:val="22"/>
          <w:lang w:val="en-US"/>
        </w:rPr>
      </w:pPr>
      <w:r w:rsidRPr="00EF66AC">
        <w:rPr>
          <w:sz w:val="22"/>
          <w:lang w:val="en-US"/>
        </w:rPr>
        <w:lastRenderedPageBreak/>
        <w:t xml:space="preserve">if the Contract was settled during the current clearing session </w:t>
      </w:r>
    </w:p>
    <w:p w:rsidR="00504A4D" w:rsidRPr="00EF66AC" w:rsidRDefault="00150B5E">
      <w:pPr>
        <w:numPr>
          <w:ilvl w:val="0"/>
          <w:numId w:val="5"/>
        </w:numPr>
        <w:spacing w:after="88"/>
        <w:ind w:right="128" w:hanging="422"/>
        <w:rPr>
          <w:sz w:val="22"/>
          <w:lang w:val="en-US"/>
        </w:rPr>
      </w:pPr>
      <w:r w:rsidRPr="00EF66AC">
        <w:rPr>
          <w:sz w:val="22"/>
          <w:lang w:val="en-US"/>
        </w:rPr>
        <w:t xml:space="preserve">during the evening clearing session of the Contract’s last trading day </w:t>
      </w:r>
    </w:p>
    <w:p w:rsidR="00504A4D" w:rsidRPr="00EF66AC" w:rsidRDefault="00150B5E">
      <w:pPr>
        <w:ind w:left="993" w:right="128" w:hanging="566"/>
        <w:rPr>
          <w:sz w:val="22"/>
          <w:lang w:val="en-US"/>
        </w:rPr>
      </w:pPr>
      <w:r w:rsidRPr="00EF66AC">
        <w:rPr>
          <w:sz w:val="22"/>
          <w:lang w:val="en-US"/>
        </w:rPr>
        <w:t>2.1.6.</w:t>
      </w:r>
      <w:r w:rsidRPr="00EF66AC">
        <w:rPr>
          <w:rFonts w:eastAsia="Arial"/>
          <w:sz w:val="22"/>
          <w:lang w:val="en-US"/>
        </w:rPr>
        <w:t xml:space="preserve"> </w:t>
      </w:r>
      <w:r w:rsidRPr="00EF66AC">
        <w:rPr>
          <w:sz w:val="22"/>
          <w:lang w:val="en-US"/>
        </w:rPr>
        <w:t xml:space="preserve">The variation margin for the Contract calculated according to the formula described in Clause 2.1.3 herein shall be rounded to kopecks as per the rules of mathematical rounding. </w:t>
      </w:r>
    </w:p>
    <w:p w:rsidR="00504A4D" w:rsidRPr="00EF66AC" w:rsidRDefault="00150B5E">
      <w:pPr>
        <w:ind w:left="993" w:right="128" w:hanging="566"/>
        <w:rPr>
          <w:sz w:val="22"/>
        </w:rPr>
      </w:pPr>
      <w:r w:rsidRPr="00EF66AC">
        <w:rPr>
          <w:sz w:val="22"/>
          <w:lang w:val="en-US"/>
        </w:rPr>
        <w:t>2.1.7.</w:t>
      </w:r>
      <w:r w:rsidRPr="00EF66AC">
        <w:rPr>
          <w:rFonts w:eastAsia="Arial"/>
          <w:sz w:val="22"/>
          <w:lang w:val="en-US"/>
        </w:rPr>
        <w:t xml:space="preserve"> </w:t>
      </w:r>
      <w:r w:rsidRPr="00EF66AC">
        <w:rPr>
          <w:sz w:val="22"/>
          <w:lang w:val="en-US"/>
        </w:rPr>
        <w:t xml:space="preserve">The obligation to pay the variation margin shall be fulfilled in accordance with the procedure and within the timeframe set forth in the Clearing Rules. </w:t>
      </w:r>
      <w:proofErr w:type="spellStart"/>
      <w:r w:rsidRPr="00EF66AC">
        <w:rPr>
          <w:sz w:val="22"/>
        </w:rPr>
        <w:t>Whereby</w:t>
      </w:r>
      <w:proofErr w:type="spellEnd"/>
      <w:r w:rsidRPr="00EF66AC">
        <w:rPr>
          <w:sz w:val="22"/>
        </w:rPr>
        <w:t xml:space="preserve">, </w:t>
      </w:r>
    </w:p>
    <w:p w:rsidR="00504A4D" w:rsidRPr="00EF66AC" w:rsidRDefault="00150B5E">
      <w:pPr>
        <w:numPr>
          <w:ilvl w:val="0"/>
          <w:numId w:val="5"/>
        </w:numPr>
        <w:spacing w:after="0"/>
        <w:ind w:right="128" w:hanging="422"/>
        <w:rPr>
          <w:sz w:val="22"/>
          <w:lang w:val="en-US"/>
        </w:rPr>
      </w:pPr>
      <w:r w:rsidRPr="00EF66AC">
        <w:rPr>
          <w:sz w:val="22"/>
          <w:lang w:val="en-US"/>
        </w:rPr>
        <w:t xml:space="preserve">if the variation margin value is positive, the Option Writer is obliged to pay the variation margin </w:t>
      </w:r>
    </w:p>
    <w:p w:rsidR="00504A4D" w:rsidRPr="00EF66AC" w:rsidRDefault="00150B5E">
      <w:pPr>
        <w:numPr>
          <w:ilvl w:val="0"/>
          <w:numId w:val="5"/>
        </w:numPr>
        <w:ind w:right="128" w:hanging="422"/>
        <w:rPr>
          <w:sz w:val="22"/>
          <w:lang w:val="en-US"/>
        </w:rPr>
      </w:pPr>
      <w:r w:rsidRPr="00EF66AC">
        <w:rPr>
          <w:sz w:val="22"/>
          <w:lang w:val="en-US"/>
        </w:rPr>
        <w:t xml:space="preserve">if the variation margin is negative, the Option Holder is obliged to pay the absolute value of the variation margin </w:t>
      </w:r>
    </w:p>
    <w:p w:rsidR="00504A4D" w:rsidRPr="00EF66AC" w:rsidRDefault="00150B5E">
      <w:pPr>
        <w:ind w:left="-5" w:right="128"/>
        <w:rPr>
          <w:sz w:val="22"/>
          <w:lang w:val="en-US"/>
        </w:rPr>
      </w:pPr>
      <w:r w:rsidRPr="00EF66AC">
        <w:rPr>
          <w:sz w:val="22"/>
          <w:lang w:val="en-US"/>
        </w:rPr>
        <w:t>2.2.</w:t>
      </w:r>
      <w:r w:rsidRPr="00EF66AC">
        <w:rPr>
          <w:rFonts w:eastAsia="Arial"/>
          <w:sz w:val="22"/>
          <w:lang w:val="en-US"/>
        </w:rPr>
        <w:t xml:space="preserve"> </w:t>
      </w:r>
      <w:r w:rsidRPr="00EF66AC">
        <w:rPr>
          <w:sz w:val="22"/>
          <w:lang w:val="en-US"/>
        </w:rPr>
        <w:t xml:space="preserve">Delivery obligation (obligation to enter into the Futures Contract). </w:t>
      </w:r>
    </w:p>
    <w:p w:rsidR="00504A4D" w:rsidRPr="00EF66AC" w:rsidRDefault="00150B5E">
      <w:pPr>
        <w:ind w:left="993" w:right="128" w:hanging="566"/>
        <w:rPr>
          <w:sz w:val="22"/>
          <w:lang w:val="en-US"/>
        </w:rPr>
      </w:pPr>
      <w:r w:rsidRPr="00EF66AC">
        <w:rPr>
          <w:sz w:val="22"/>
          <w:lang w:val="en-US"/>
        </w:rPr>
        <w:t>2.2.1.</w:t>
      </w:r>
      <w:r w:rsidRPr="00EF66AC">
        <w:rPr>
          <w:rFonts w:eastAsia="Arial"/>
          <w:sz w:val="22"/>
          <w:lang w:val="en-US"/>
        </w:rPr>
        <w:t xml:space="preserve"> </w:t>
      </w:r>
      <w:r w:rsidRPr="00EF66AC">
        <w:rPr>
          <w:sz w:val="22"/>
          <w:lang w:val="en-US"/>
        </w:rPr>
        <w:t xml:space="preserve">The Option Writer shall on request of the Option Holder enter into the Futures Contract meeting the following requirements: </w:t>
      </w:r>
    </w:p>
    <w:p w:rsidR="00504A4D" w:rsidRPr="00EF66AC" w:rsidRDefault="00150B5E">
      <w:pPr>
        <w:numPr>
          <w:ilvl w:val="0"/>
          <w:numId w:val="5"/>
        </w:numPr>
        <w:ind w:right="128" w:hanging="422"/>
        <w:rPr>
          <w:sz w:val="22"/>
          <w:lang w:val="en-US"/>
        </w:rPr>
      </w:pPr>
      <w:r w:rsidRPr="00EF66AC">
        <w:rPr>
          <w:sz w:val="22"/>
          <w:lang w:val="en-US"/>
        </w:rPr>
        <w:t xml:space="preserve">the Clearing Member code and the code(s) of the Clearing Member’s client(s) that are indicated when entering into the Futures Contract coincide with those that were specified when the Options Contract was made </w:t>
      </w:r>
    </w:p>
    <w:p w:rsidR="00504A4D" w:rsidRPr="00EF66AC" w:rsidRDefault="00150B5E">
      <w:pPr>
        <w:numPr>
          <w:ilvl w:val="0"/>
          <w:numId w:val="5"/>
        </w:numPr>
        <w:ind w:right="128" w:hanging="422"/>
        <w:rPr>
          <w:sz w:val="22"/>
          <w:lang w:val="en-US"/>
        </w:rPr>
      </w:pPr>
      <w:r w:rsidRPr="00EF66AC">
        <w:rPr>
          <w:sz w:val="22"/>
          <w:lang w:val="en-US"/>
        </w:rPr>
        <w:t xml:space="preserve">the Option Writer becomes the Seller of the Futures Contract, whereas the Option Holder becomes the Buyer of the Futures Contract, if it is a Call Option. If it is a Put Option, the Option Writer becomes the Buyer of the Futures Contract, whereas the Option Holder becomes the Seller of the Futures Contract </w:t>
      </w:r>
    </w:p>
    <w:p w:rsidR="00504A4D" w:rsidRPr="00EF66AC" w:rsidRDefault="00150B5E">
      <w:pPr>
        <w:numPr>
          <w:ilvl w:val="0"/>
          <w:numId w:val="5"/>
        </w:numPr>
        <w:ind w:right="128" w:hanging="422"/>
        <w:rPr>
          <w:sz w:val="22"/>
          <w:lang w:val="en-US"/>
        </w:rPr>
      </w:pPr>
      <w:r w:rsidRPr="00EF66AC">
        <w:rPr>
          <w:sz w:val="22"/>
          <w:lang w:val="en-US"/>
        </w:rPr>
        <w:t xml:space="preserve">the price at which the Futures Contract is entered into is equal to the Options Contract’s Settlement price </w:t>
      </w:r>
    </w:p>
    <w:p w:rsidR="00504A4D" w:rsidRPr="00EF66AC" w:rsidRDefault="00150B5E">
      <w:pPr>
        <w:numPr>
          <w:ilvl w:val="2"/>
          <w:numId w:val="6"/>
        </w:numPr>
        <w:ind w:left="993" w:right="128" w:hanging="566"/>
        <w:rPr>
          <w:sz w:val="22"/>
          <w:lang w:val="en-US"/>
        </w:rPr>
      </w:pPr>
      <w:r w:rsidRPr="00EF66AC">
        <w:rPr>
          <w:sz w:val="22"/>
          <w:lang w:val="en-US"/>
        </w:rPr>
        <w:t xml:space="preserve">The Option Holder can request the Option Writer to exercise the Contract by submitting a notice to the Clearing Center. </w:t>
      </w:r>
    </w:p>
    <w:p w:rsidR="00504A4D" w:rsidRPr="00EF66AC" w:rsidRDefault="00150B5E">
      <w:pPr>
        <w:numPr>
          <w:ilvl w:val="2"/>
          <w:numId w:val="6"/>
        </w:numPr>
        <w:ind w:left="993" w:right="128" w:hanging="566"/>
        <w:rPr>
          <w:sz w:val="22"/>
          <w:lang w:val="en-US"/>
        </w:rPr>
      </w:pPr>
      <w:r w:rsidRPr="00EF66AC">
        <w:rPr>
          <w:sz w:val="22"/>
          <w:lang w:val="en-US"/>
        </w:rPr>
        <w:t xml:space="preserve">The above-mentioned notice of the Option Holder is considered to submitted during the evening clearing session on the Contract’s last trading day provided that: </w:t>
      </w:r>
    </w:p>
    <w:p w:rsidR="00504A4D" w:rsidRPr="00EF66AC" w:rsidRDefault="00150B5E">
      <w:pPr>
        <w:tabs>
          <w:tab w:val="center" w:pos="1333"/>
          <w:tab w:val="center" w:pos="4370"/>
        </w:tabs>
        <w:spacing w:after="55"/>
        <w:ind w:left="0" w:firstLine="0"/>
        <w:jc w:val="left"/>
        <w:rPr>
          <w:sz w:val="22"/>
          <w:lang w:val="en-US"/>
        </w:rPr>
      </w:pPr>
      <w:r w:rsidRPr="00EF66AC">
        <w:rPr>
          <w:rFonts w:eastAsia="Calibri"/>
          <w:sz w:val="22"/>
          <w:lang w:val="en-US"/>
        </w:rPr>
        <w:tab/>
      </w:r>
      <w:r w:rsidRPr="00EF66AC">
        <w:rPr>
          <w:sz w:val="22"/>
          <w:lang w:val="en-US"/>
        </w:rPr>
        <w:t>2.2.3.1.</w:t>
      </w:r>
      <w:r w:rsidRPr="00EF66AC">
        <w:rPr>
          <w:rFonts w:eastAsia="Arial"/>
          <w:sz w:val="22"/>
          <w:lang w:val="en-US"/>
        </w:rPr>
        <w:t xml:space="preserve"> </w:t>
      </w:r>
      <w:r w:rsidRPr="00EF66AC">
        <w:rPr>
          <w:rFonts w:eastAsia="Arial"/>
          <w:sz w:val="22"/>
          <w:lang w:val="en-US"/>
        </w:rPr>
        <w:tab/>
      </w:r>
      <w:r w:rsidRPr="00EF66AC">
        <w:rPr>
          <w:sz w:val="22"/>
          <w:lang w:val="en-US"/>
        </w:rPr>
        <w:t xml:space="preserve">The Contract is </w:t>
      </w:r>
      <w:r w:rsidRPr="00EF66AC">
        <w:rPr>
          <w:b/>
          <w:sz w:val="22"/>
          <w:lang w:val="en-US"/>
        </w:rPr>
        <w:t>In-the-Money Option</w:t>
      </w:r>
      <w:r w:rsidRPr="00EF66AC">
        <w:rPr>
          <w:sz w:val="22"/>
          <w:lang w:val="en-US"/>
        </w:rPr>
        <w:t xml:space="preserve">, in particular:  </w:t>
      </w:r>
    </w:p>
    <w:p w:rsidR="00504A4D" w:rsidRPr="00EF66AC" w:rsidRDefault="00150B5E">
      <w:pPr>
        <w:numPr>
          <w:ilvl w:val="0"/>
          <w:numId w:val="5"/>
        </w:numPr>
        <w:spacing w:after="46"/>
        <w:ind w:right="128" w:hanging="422"/>
        <w:rPr>
          <w:sz w:val="22"/>
          <w:lang w:val="en-US"/>
        </w:rPr>
      </w:pPr>
      <w:r w:rsidRPr="00EF66AC">
        <w:rPr>
          <w:sz w:val="22"/>
          <w:lang w:val="en-US"/>
        </w:rPr>
        <w:t xml:space="preserve">a Call Option, if its Strike is below the Settlement Price of the underlying Futures Contract settled by results of the evening Settlement Period of the Contract’s last trading day, or </w:t>
      </w:r>
    </w:p>
    <w:p w:rsidR="00504A4D" w:rsidRPr="00EF66AC" w:rsidRDefault="00150B5E">
      <w:pPr>
        <w:numPr>
          <w:ilvl w:val="0"/>
          <w:numId w:val="5"/>
        </w:numPr>
        <w:ind w:right="128" w:hanging="422"/>
        <w:rPr>
          <w:sz w:val="22"/>
          <w:lang w:val="en-US"/>
        </w:rPr>
      </w:pPr>
      <w:r w:rsidRPr="00EF66AC">
        <w:rPr>
          <w:sz w:val="22"/>
          <w:lang w:val="en-US"/>
        </w:rPr>
        <w:t xml:space="preserve">a Put Option, if its Strike is the Settlement Price of the underlying Futures Contract settled by results of the evening Settlement Period of the Contract’s last trading day </w:t>
      </w:r>
    </w:p>
    <w:p w:rsidR="00504A4D" w:rsidRPr="00EF66AC" w:rsidRDefault="00150B5E">
      <w:pPr>
        <w:spacing w:after="62"/>
        <w:ind w:left="1988" w:right="128" w:hanging="994"/>
        <w:rPr>
          <w:sz w:val="22"/>
          <w:lang w:val="en-US"/>
        </w:rPr>
      </w:pPr>
      <w:r w:rsidRPr="00EF66AC">
        <w:rPr>
          <w:sz w:val="22"/>
          <w:lang w:val="en-US"/>
        </w:rPr>
        <w:t>2.2.3.2.</w:t>
      </w:r>
      <w:r w:rsidRPr="00EF66AC">
        <w:rPr>
          <w:rFonts w:eastAsia="Arial"/>
          <w:sz w:val="22"/>
          <w:lang w:val="en-US"/>
        </w:rPr>
        <w:t xml:space="preserve"> </w:t>
      </w:r>
      <w:r w:rsidRPr="00EF66AC">
        <w:rPr>
          <w:sz w:val="22"/>
          <w:lang w:val="en-US"/>
        </w:rPr>
        <w:t xml:space="preserve">The Contract is </w:t>
      </w:r>
      <w:r w:rsidRPr="00EF66AC">
        <w:rPr>
          <w:b/>
          <w:sz w:val="22"/>
          <w:lang w:val="en-US"/>
        </w:rPr>
        <w:t>At-the-Money Option</w:t>
      </w:r>
      <w:r w:rsidRPr="00EF66AC">
        <w:rPr>
          <w:sz w:val="22"/>
          <w:lang w:val="en-US"/>
        </w:rPr>
        <w:t xml:space="preserve">, in particular, a Call Option or a Put Option with the Strike equal to the Settlement Price of the underlying Futures Contract settled by results of the evening Settlement Period of the Contract’s last trading day. Herewith, the obligation to enter into the Futures Contract is fulfilled in the extent of 50% (fifty per cent) of the positions opened as At-the-Money Options and registered on the sections of Option Holder’s positions register with: </w:t>
      </w:r>
    </w:p>
    <w:p w:rsidR="00504A4D" w:rsidRPr="00EF66AC" w:rsidRDefault="00150B5E">
      <w:pPr>
        <w:numPr>
          <w:ilvl w:val="0"/>
          <w:numId w:val="5"/>
        </w:numPr>
        <w:spacing w:after="41"/>
        <w:ind w:right="128" w:hanging="422"/>
        <w:rPr>
          <w:sz w:val="22"/>
          <w:lang w:val="en-US"/>
        </w:rPr>
      </w:pPr>
      <w:r w:rsidRPr="00EF66AC">
        <w:rPr>
          <w:sz w:val="22"/>
          <w:lang w:val="en-US"/>
        </w:rPr>
        <w:t xml:space="preserve">rounding up to the integer – for Call Option </w:t>
      </w:r>
    </w:p>
    <w:p w:rsidR="00504A4D" w:rsidRPr="00EF66AC" w:rsidRDefault="00150B5E">
      <w:pPr>
        <w:numPr>
          <w:ilvl w:val="0"/>
          <w:numId w:val="5"/>
        </w:numPr>
        <w:ind w:right="128" w:hanging="422"/>
        <w:rPr>
          <w:sz w:val="22"/>
          <w:lang w:val="en-US"/>
        </w:rPr>
      </w:pPr>
      <w:r w:rsidRPr="00EF66AC">
        <w:rPr>
          <w:sz w:val="22"/>
          <w:lang w:val="en-US"/>
        </w:rPr>
        <w:t xml:space="preserve">rounding down to the integer – for Put Option </w:t>
      </w:r>
    </w:p>
    <w:p w:rsidR="00504A4D" w:rsidRPr="00EF66AC" w:rsidRDefault="00150B5E">
      <w:pPr>
        <w:numPr>
          <w:ilvl w:val="2"/>
          <w:numId w:val="7"/>
        </w:numPr>
        <w:ind w:left="1132" w:right="128" w:hanging="566"/>
        <w:rPr>
          <w:sz w:val="22"/>
          <w:lang w:val="en-US"/>
        </w:rPr>
      </w:pPr>
      <w:r w:rsidRPr="00EF66AC">
        <w:rPr>
          <w:sz w:val="22"/>
          <w:lang w:val="en-US"/>
        </w:rPr>
        <w:t xml:space="preserve">Entering into the Futures Contract is made in accordance with the Clearing Rules and the Trading Rules. </w:t>
      </w:r>
    </w:p>
    <w:p w:rsidR="00504A4D" w:rsidRPr="00EF66AC" w:rsidRDefault="00150B5E">
      <w:pPr>
        <w:numPr>
          <w:ilvl w:val="2"/>
          <w:numId w:val="7"/>
        </w:numPr>
        <w:spacing w:after="234"/>
        <w:ind w:left="1132" w:right="128" w:hanging="566"/>
        <w:rPr>
          <w:sz w:val="22"/>
          <w:lang w:val="en-US"/>
        </w:rPr>
      </w:pPr>
      <w:r w:rsidRPr="00EF66AC">
        <w:rPr>
          <w:sz w:val="22"/>
          <w:lang w:val="en-US"/>
        </w:rPr>
        <w:t xml:space="preserve">The Option Holder is eligible to submit a refusal to exercise the Contract on the Contract’s last trading.  </w:t>
      </w:r>
    </w:p>
    <w:p w:rsidR="00504A4D" w:rsidRPr="00EF66AC" w:rsidRDefault="00150B5E">
      <w:pPr>
        <w:pStyle w:val="1"/>
        <w:ind w:left="268" w:right="0" w:hanging="283"/>
        <w:rPr>
          <w:sz w:val="22"/>
          <w:lang w:val="en-US"/>
        </w:rPr>
      </w:pPr>
      <w:r w:rsidRPr="00EF66AC">
        <w:rPr>
          <w:sz w:val="22"/>
          <w:lang w:val="en-US"/>
        </w:rPr>
        <w:lastRenderedPageBreak/>
        <w:t xml:space="preserve">Grounds and procedure for the Contract termination </w:t>
      </w:r>
    </w:p>
    <w:p w:rsidR="00504A4D" w:rsidRPr="00EF66AC" w:rsidRDefault="00150B5E">
      <w:pPr>
        <w:ind w:left="-5" w:right="128"/>
        <w:rPr>
          <w:sz w:val="22"/>
          <w:lang w:val="en-US"/>
        </w:rPr>
      </w:pPr>
      <w:r w:rsidRPr="00EF66AC">
        <w:rPr>
          <w:sz w:val="22"/>
          <w:lang w:val="en-US"/>
        </w:rPr>
        <w:t>3.1.</w:t>
      </w:r>
      <w:r w:rsidRPr="00EF66AC">
        <w:rPr>
          <w:rFonts w:eastAsia="Arial"/>
          <w:sz w:val="22"/>
          <w:lang w:val="en-US"/>
        </w:rPr>
        <w:t xml:space="preserve"> </w:t>
      </w:r>
      <w:r w:rsidRPr="00EF66AC">
        <w:rPr>
          <w:sz w:val="22"/>
          <w:lang w:val="en-US"/>
        </w:rPr>
        <w:t xml:space="preserve">Obligations under the Contract are discharged in full after being properly fulfilled.  </w:t>
      </w:r>
      <w:r w:rsidRPr="00EF66AC">
        <w:rPr>
          <w:b/>
          <w:sz w:val="22"/>
          <w:lang w:val="en-US"/>
        </w:rPr>
        <w:t xml:space="preserve"> </w:t>
      </w:r>
    </w:p>
    <w:p w:rsidR="00504A4D" w:rsidRPr="00EF66AC" w:rsidRDefault="00150B5E">
      <w:pPr>
        <w:ind w:left="412" w:right="128" w:hanging="427"/>
        <w:rPr>
          <w:sz w:val="22"/>
          <w:lang w:val="en-US"/>
        </w:rPr>
      </w:pPr>
      <w:r w:rsidRPr="00EF66AC">
        <w:rPr>
          <w:sz w:val="22"/>
          <w:lang w:val="en-US"/>
        </w:rPr>
        <w:t>3.2.</w:t>
      </w:r>
      <w:r w:rsidRPr="00EF66AC">
        <w:rPr>
          <w:rFonts w:eastAsia="Arial"/>
          <w:sz w:val="22"/>
          <w:lang w:val="en-US"/>
        </w:rPr>
        <w:t xml:space="preserve"> </w:t>
      </w:r>
      <w:r w:rsidRPr="00EF66AC">
        <w:rPr>
          <w:sz w:val="22"/>
          <w:lang w:val="en-US"/>
        </w:rPr>
        <w:t xml:space="preserve">The obligations of a party to the Contract are discharged in full when the party takes opposing obligations under the Contract with the same code (designation). This means that the Seller has taken the Buyer’s obligations and vice versa, in accordance with the procedure and within the time frame set forth in the Clearing Rules.  </w:t>
      </w:r>
    </w:p>
    <w:p w:rsidR="00504A4D" w:rsidRPr="00EF66AC" w:rsidRDefault="00150B5E">
      <w:pPr>
        <w:spacing w:after="228"/>
        <w:ind w:left="412" w:right="128" w:hanging="427"/>
        <w:rPr>
          <w:sz w:val="22"/>
          <w:lang w:val="en-US"/>
        </w:rPr>
      </w:pPr>
      <w:r w:rsidRPr="00EF66AC">
        <w:rPr>
          <w:sz w:val="22"/>
          <w:lang w:val="en-US"/>
        </w:rPr>
        <w:t>3.3.</w:t>
      </w:r>
      <w:r w:rsidRPr="00EF66AC">
        <w:rPr>
          <w:rFonts w:eastAsia="Arial"/>
          <w:sz w:val="22"/>
          <w:lang w:val="en-US"/>
        </w:rPr>
        <w:t xml:space="preserve"> </w:t>
      </w:r>
      <w:r w:rsidRPr="00EF66AC">
        <w:rPr>
          <w:sz w:val="22"/>
          <w:lang w:val="en-US"/>
        </w:rPr>
        <w:t xml:space="preserve">Obligations under the Contract may be discharged on other grounds provided for in the Clearing Rules and in accordance with the procedure set forth in these rules. </w:t>
      </w:r>
    </w:p>
    <w:p w:rsidR="00504A4D" w:rsidRPr="00EF66AC" w:rsidRDefault="00150B5E">
      <w:pPr>
        <w:pStyle w:val="1"/>
        <w:ind w:left="268" w:right="0" w:hanging="283"/>
        <w:rPr>
          <w:sz w:val="22"/>
        </w:rPr>
      </w:pPr>
      <w:proofErr w:type="spellStart"/>
      <w:r w:rsidRPr="00EF66AC">
        <w:rPr>
          <w:sz w:val="22"/>
        </w:rPr>
        <w:t>Default</w:t>
      </w:r>
      <w:proofErr w:type="spellEnd"/>
      <w:r w:rsidRPr="00EF66AC">
        <w:rPr>
          <w:sz w:val="22"/>
        </w:rPr>
        <w:t xml:space="preserve"> </w:t>
      </w:r>
      <w:proofErr w:type="spellStart"/>
      <w:r w:rsidRPr="00EF66AC">
        <w:rPr>
          <w:sz w:val="22"/>
        </w:rPr>
        <w:t>Responsibility</w:t>
      </w:r>
      <w:proofErr w:type="spellEnd"/>
      <w:r w:rsidRPr="00EF66AC">
        <w:rPr>
          <w:sz w:val="22"/>
        </w:rPr>
        <w:t xml:space="preserve">  </w:t>
      </w:r>
    </w:p>
    <w:p w:rsidR="00504A4D" w:rsidRPr="00EF66AC" w:rsidRDefault="00150B5E">
      <w:pPr>
        <w:spacing w:after="239"/>
        <w:ind w:left="412" w:right="128" w:hanging="427"/>
        <w:rPr>
          <w:sz w:val="22"/>
          <w:lang w:val="en-US"/>
        </w:rPr>
      </w:pPr>
      <w:r w:rsidRPr="00EF66AC">
        <w:rPr>
          <w:sz w:val="22"/>
          <w:lang w:val="en-US"/>
        </w:rPr>
        <w:t>4.1.</w:t>
      </w:r>
      <w:r w:rsidRPr="00EF66AC">
        <w:rPr>
          <w:rFonts w:eastAsia="Arial"/>
          <w:sz w:val="22"/>
          <w:lang w:val="en-US"/>
        </w:rPr>
        <w:t xml:space="preserve"> </w:t>
      </w:r>
      <w:r w:rsidRPr="00EF66AC">
        <w:rPr>
          <w:sz w:val="22"/>
          <w:lang w:val="en-US"/>
        </w:rPr>
        <w:t xml:space="preserve">Parties shall be responsible for a failure to perform obligations under the Contract or improper performance thereof, in accordance with the legislation of the Russian Federation, the Clearing Rules, and the Trading Rules, and the Admission Rules. </w:t>
      </w:r>
    </w:p>
    <w:p w:rsidR="00504A4D" w:rsidRPr="00EF66AC" w:rsidRDefault="00150B5E">
      <w:pPr>
        <w:pStyle w:val="1"/>
        <w:ind w:left="412" w:right="0" w:hanging="427"/>
        <w:rPr>
          <w:sz w:val="22"/>
        </w:rPr>
      </w:pPr>
      <w:proofErr w:type="spellStart"/>
      <w:r w:rsidRPr="00EF66AC">
        <w:rPr>
          <w:sz w:val="22"/>
        </w:rPr>
        <w:t>Special</w:t>
      </w:r>
      <w:proofErr w:type="spellEnd"/>
      <w:r w:rsidRPr="00EF66AC">
        <w:rPr>
          <w:sz w:val="22"/>
        </w:rPr>
        <w:t xml:space="preserve"> </w:t>
      </w:r>
      <w:proofErr w:type="spellStart"/>
      <w:r w:rsidRPr="00EF66AC">
        <w:rPr>
          <w:sz w:val="22"/>
        </w:rPr>
        <w:t>Provisions</w:t>
      </w:r>
      <w:proofErr w:type="spellEnd"/>
      <w:r w:rsidRPr="00EF66AC">
        <w:rPr>
          <w:sz w:val="22"/>
        </w:rPr>
        <w:t xml:space="preserve"> </w:t>
      </w:r>
    </w:p>
    <w:p w:rsidR="00504A4D" w:rsidRPr="00EF66AC" w:rsidRDefault="00150B5E">
      <w:pPr>
        <w:ind w:left="412" w:right="128" w:hanging="427"/>
        <w:rPr>
          <w:sz w:val="22"/>
          <w:lang w:val="en-US"/>
        </w:rPr>
      </w:pPr>
      <w:r w:rsidRPr="00EF66AC">
        <w:rPr>
          <w:sz w:val="22"/>
          <w:lang w:val="en-US"/>
        </w:rPr>
        <w:t>5.1.</w:t>
      </w:r>
      <w:r w:rsidRPr="00EF66AC">
        <w:rPr>
          <w:rFonts w:eastAsia="Arial"/>
          <w:sz w:val="22"/>
          <w:lang w:val="en-US"/>
        </w:rPr>
        <w:t xml:space="preserve"> </w:t>
      </w:r>
      <w:r w:rsidRPr="00EF66AC">
        <w:rPr>
          <w:sz w:val="22"/>
          <w:lang w:val="en-US"/>
        </w:rPr>
        <w:t xml:space="preserve">The Exchange is entitled, as agreed with the Clearing Center, to change the last trading day for a Contract with a specific code if during the period of such Contract: </w:t>
      </w:r>
    </w:p>
    <w:p w:rsidR="00504A4D" w:rsidRPr="00EF66AC" w:rsidRDefault="00150B5E">
      <w:pPr>
        <w:ind w:left="993" w:right="128" w:hanging="566"/>
        <w:rPr>
          <w:sz w:val="22"/>
          <w:lang w:val="en-US"/>
        </w:rPr>
      </w:pPr>
      <w:r w:rsidRPr="00EF66AC">
        <w:rPr>
          <w:sz w:val="22"/>
          <w:lang w:val="en-US"/>
        </w:rPr>
        <w:t>5.1.1.</w:t>
      </w:r>
      <w:r w:rsidRPr="00EF66AC">
        <w:rPr>
          <w:rFonts w:eastAsia="Arial"/>
          <w:sz w:val="22"/>
          <w:lang w:val="en-US"/>
        </w:rPr>
        <w:t xml:space="preserve"> </w:t>
      </w:r>
      <w:r w:rsidRPr="00EF66AC">
        <w:rPr>
          <w:sz w:val="22"/>
          <w:lang w:val="en-US"/>
        </w:rPr>
        <w:t xml:space="preserve">decision to change the last trading day and/or settlement day for a Contract is made by the Exchange in accordance with the Contract’s specification; </w:t>
      </w:r>
    </w:p>
    <w:p w:rsidR="00504A4D" w:rsidRPr="00EF66AC" w:rsidRDefault="00150B5E">
      <w:pPr>
        <w:ind w:left="437" w:right="128"/>
        <w:rPr>
          <w:sz w:val="22"/>
          <w:lang w:val="en-US"/>
        </w:rPr>
      </w:pPr>
      <w:r w:rsidRPr="00EF66AC">
        <w:rPr>
          <w:sz w:val="22"/>
          <w:lang w:val="en-US"/>
        </w:rPr>
        <w:t>5.1.2.</w:t>
      </w:r>
      <w:r w:rsidRPr="00EF66AC">
        <w:rPr>
          <w:rFonts w:eastAsia="Arial"/>
          <w:sz w:val="22"/>
          <w:lang w:val="en-US"/>
        </w:rPr>
        <w:t xml:space="preserve"> </w:t>
      </w:r>
      <w:r w:rsidRPr="00EF66AC">
        <w:rPr>
          <w:sz w:val="22"/>
          <w:lang w:val="en-US"/>
        </w:rPr>
        <w:t xml:space="preserve">decision to change Expiration Calendar is made by the Exchange; </w:t>
      </w:r>
    </w:p>
    <w:p w:rsidR="00504A4D" w:rsidRPr="00EF66AC" w:rsidRDefault="00150B5E">
      <w:pPr>
        <w:ind w:left="993" w:right="128" w:hanging="566"/>
        <w:rPr>
          <w:sz w:val="22"/>
          <w:lang w:val="en-US"/>
        </w:rPr>
      </w:pPr>
      <w:r w:rsidRPr="00EF66AC">
        <w:rPr>
          <w:sz w:val="22"/>
          <w:lang w:val="en-US"/>
        </w:rPr>
        <w:t>5.1.3.</w:t>
      </w:r>
      <w:r w:rsidRPr="00EF66AC">
        <w:rPr>
          <w:rFonts w:eastAsia="Arial"/>
          <w:sz w:val="22"/>
          <w:lang w:val="en-US"/>
        </w:rPr>
        <w:t xml:space="preserve"> </w:t>
      </w:r>
      <w:r w:rsidRPr="00EF66AC">
        <w:rPr>
          <w:sz w:val="22"/>
          <w:lang w:val="en-US"/>
        </w:rPr>
        <w:t xml:space="preserve">the Contract’s last trading day is announced to be a non-business day by a Russian Government body. </w:t>
      </w:r>
    </w:p>
    <w:p w:rsidR="00504A4D" w:rsidRPr="00EF66AC" w:rsidRDefault="00150B5E">
      <w:pPr>
        <w:ind w:left="412" w:right="128" w:hanging="427"/>
        <w:rPr>
          <w:sz w:val="22"/>
          <w:lang w:val="en-US"/>
        </w:rPr>
      </w:pPr>
      <w:r w:rsidRPr="00EF66AC">
        <w:rPr>
          <w:sz w:val="22"/>
          <w:lang w:val="en-US"/>
        </w:rPr>
        <w:t>5.2.</w:t>
      </w:r>
      <w:r w:rsidRPr="00EF66AC">
        <w:rPr>
          <w:rFonts w:eastAsia="Arial"/>
          <w:sz w:val="22"/>
          <w:lang w:val="en-US"/>
        </w:rPr>
        <w:t xml:space="preserve"> </w:t>
      </w:r>
      <w:r w:rsidRPr="00EF66AC">
        <w:rPr>
          <w:sz w:val="22"/>
          <w:lang w:val="en-US"/>
        </w:rPr>
        <w:t>Trading members shall be notified of the decision(s) of the Exchange made in accordance with Clauses 5.1</w:t>
      </w:r>
      <w:r w:rsidR="00EF66AC">
        <w:rPr>
          <w:sz w:val="22"/>
          <w:lang w:val="en-US"/>
        </w:rPr>
        <w:t xml:space="preserve"> above</w:t>
      </w:r>
      <w:r w:rsidRPr="00EF66AC">
        <w:rPr>
          <w:sz w:val="22"/>
          <w:lang w:val="en-US"/>
        </w:rPr>
        <w:t xml:space="preserve"> by publishing them on the Exchange’s website no less than 3 (three) trading days before they come into force. If the grounds for taking such resolutions provided for in the Clause 5.1</w:t>
      </w:r>
      <w:r w:rsidR="00EF66AC">
        <w:rPr>
          <w:sz w:val="22"/>
          <w:lang w:val="en-US"/>
        </w:rPr>
        <w:t xml:space="preserve"> above</w:t>
      </w:r>
      <w:r w:rsidRPr="00EF66AC">
        <w:rPr>
          <w:sz w:val="22"/>
          <w:lang w:val="en-US"/>
        </w:rPr>
        <w:t xml:space="preserve"> appear less than 3 (three) trading days before the Contract’s last trading day, trading members shall be notified of this resolution(s) by way of the resolution being published on the Exchange’s website no later than the date of this resolution(s) coming into force.  </w:t>
      </w:r>
    </w:p>
    <w:p w:rsidR="00504A4D" w:rsidRPr="00EF66AC" w:rsidRDefault="00150B5E">
      <w:pPr>
        <w:spacing w:after="239"/>
        <w:ind w:left="412" w:right="128" w:hanging="427"/>
        <w:rPr>
          <w:sz w:val="22"/>
          <w:lang w:val="en-US"/>
        </w:rPr>
      </w:pPr>
      <w:r w:rsidRPr="00EF66AC">
        <w:rPr>
          <w:sz w:val="22"/>
          <w:lang w:val="en-US"/>
        </w:rPr>
        <w:t>5.3.</w:t>
      </w:r>
      <w:r w:rsidRPr="00EF66AC">
        <w:rPr>
          <w:rFonts w:eastAsia="Arial"/>
          <w:sz w:val="22"/>
          <w:lang w:val="en-US"/>
        </w:rPr>
        <w:t xml:space="preserve"> </w:t>
      </w:r>
      <w:r w:rsidRPr="00EF66AC">
        <w:rPr>
          <w:sz w:val="22"/>
          <w:lang w:val="en-US"/>
        </w:rPr>
        <w:t>As soon as the decision(s) made by the Exchange in accordance with Clauses 5.1</w:t>
      </w:r>
      <w:r w:rsidR="00EF66AC">
        <w:rPr>
          <w:sz w:val="22"/>
          <w:lang w:val="en-US"/>
        </w:rPr>
        <w:t xml:space="preserve"> above</w:t>
      </w:r>
      <w:r w:rsidRPr="00EF66AC">
        <w:rPr>
          <w:sz w:val="22"/>
          <w:lang w:val="en-US"/>
        </w:rPr>
        <w:t xml:space="preserve"> come(s) into effect, the terms of the obligations under the Contracts that were made previously shall be deemed changed with regard to the above-mentioned resolution(s). </w:t>
      </w:r>
    </w:p>
    <w:p w:rsidR="00504A4D" w:rsidRPr="00EF66AC" w:rsidRDefault="00150B5E">
      <w:pPr>
        <w:pStyle w:val="1"/>
        <w:ind w:left="412" w:right="0" w:hanging="427"/>
        <w:rPr>
          <w:sz w:val="22"/>
          <w:lang w:val="en-US"/>
        </w:rPr>
      </w:pPr>
      <w:r w:rsidRPr="00EF66AC">
        <w:rPr>
          <w:sz w:val="22"/>
          <w:lang w:val="en-US"/>
        </w:rPr>
        <w:t xml:space="preserve">Amendments and Supplements to the Specification </w:t>
      </w:r>
    </w:p>
    <w:p w:rsidR="00504A4D" w:rsidRPr="00EF66AC" w:rsidRDefault="00150B5E">
      <w:pPr>
        <w:ind w:left="412" w:right="128" w:hanging="427"/>
        <w:rPr>
          <w:sz w:val="22"/>
          <w:lang w:val="en-US"/>
        </w:rPr>
      </w:pPr>
      <w:r w:rsidRPr="00EF66AC">
        <w:rPr>
          <w:sz w:val="22"/>
          <w:lang w:val="en-US"/>
        </w:rPr>
        <w:t>6.1.</w:t>
      </w:r>
      <w:r w:rsidRPr="00EF66AC">
        <w:rPr>
          <w:rFonts w:eastAsia="Arial"/>
          <w:sz w:val="22"/>
          <w:lang w:val="en-US"/>
        </w:rPr>
        <w:t xml:space="preserve"> </w:t>
      </w:r>
      <w:r w:rsidRPr="00EF66AC">
        <w:rPr>
          <w:sz w:val="22"/>
          <w:lang w:val="en-US"/>
        </w:rPr>
        <w:t xml:space="preserve">The Exchange is entitled to introduce amendments and supplements hereto as agreed with the Clearing Center. </w:t>
      </w:r>
    </w:p>
    <w:p w:rsidR="00504A4D" w:rsidRPr="00EF66AC" w:rsidRDefault="00150B5E">
      <w:pPr>
        <w:ind w:left="412" w:right="128" w:hanging="427"/>
        <w:rPr>
          <w:sz w:val="22"/>
          <w:lang w:val="en-US"/>
        </w:rPr>
      </w:pPr>
      <w:r w:rsidRPr="00EF66AC">
        <w:rPr>
          <w:sz w:val="22"/>
          <w:lang w:val="en-US"/>
        </w:rPr>
        <w:t>6.2.</w:t>
      </w:r>
      <w:r w:rsidRPr="00EF66AC">
        <w:rPr>
          <w:rFonts w:eastAsia="Arial"/>
          <w:sz w:val="22"/>
          <w:lang w:val="en-US"/>
        </w:rPr>
        <w:t xml:space="preserve"> </w:t>
      </w:r>
      <w:r w:rsidRPr="00EF66AC">
        <w:rPr>
          <w:sz w:val="22"/>
          <w:lang w:val="en-US"/>
        </w:rPr>
        <w:t xml:space="preserve">The amendments and supplements hereto shall come into effect at the moment the Exchange enforces the Specification containing such amendments and supplements upon registration thereof in accordance with the procedure established by the Bank of Russia. </w:t>
      </w:r>
    </w:p>
    <w:p w:rsidR="00504A4D" w:rsidRPr="00EF66AC" w:rsidRDefault="00150B5E">
      <w:pPr>
        <w:ind w:left="412" w:right="128" w:hanging="427"/>
        <w:rPr>
          <w:sz w:val="22"/>
          <w:lang w:val="en-US"/>
        </w:rPr>
      </w:pPr>
      <w:r w:rsidRPr="00EF66AC">
        <w:rPr>
          <w:sz w:val="22"/>
          <w:lang w:val="en-US"/>
        </w:rPr>
        <w:t>6.3.</w:t>
      </w:r>
      <w:r w:rsidRPr="00EF66AC">
        <w:rPr>
          <w:rFonts w:eastAsia="Arial"/>
          <w:sz w:val="22"/>
          <w:lang w:val="en-US"/>
        </w:rPr>
        <w:t xml:space="preserve"> </w:t>
      </w:r>
      <w:r w:rsidRPr="00EF66AC">
        <w:rPr>
          <w:sz w:val="22"/>
          <w:lang w:val="en-US"/>
        </w:rPr>
        <w:t xml:space="preserve">The Exchange shall notify Trading Members of Specification containing any amendments and supplements to take effect by publishing the corresponding information on the Exchange’s website at least three (3) trading days prior to the day when the given Specification come into effect. </w:t>
      </w:r>
    </w:p>
    <w:p w:rsidR="00504A4D" w:rsidRPr="00EF66AC" w:rsidRDefault="00150B5E" w:rsidP="00EF66AC">
      <w:pPr>
        <w:ind w:left="412" w:right="128" w:hanging="427"/>
        <w:rPr>
          <w:sz w:val="22"/>
          <w:lang w:val="en-US"/>
        </w:rPr>
      </w:pPr>
      <w:r w:rsidRPr="00EF66AC">
        <w:rPr>
          <w:sz w:val="22"/>
          <w:lang w:val="en-US"/>
        </w:rPr>
        <w:t>6.4.</w:t>
      </w:r>
      <w:r w:rsidR="00EF66AC" w:rsidRPr="00EF66AC">
        <w:rPr>
          <w:rFonts w:eastAsia="Arial"/>
          <w:sz w:val="22"/>
          <w:lang w:val="en-US"/>
        </w:rPr>
        <w:t xml:space="preserve"> W</w:t>
      </w:r>
      <w:r w:rsidRPr="00EF66AC">
        <w:rPr>
          <w:sz w:val="22"/>
          <w:lang w:val="en-US"/>
        </w:rPr>
        <w:t>hen amendments and supplements come into effect, obligations under previously concluded Contracts shall be considered to have been altered to include such amendments and supplements</w:t>
      </w:r>
      <w:r w:rsidR="00EF66AC" w:rsidRPr="00EF66AC">
        <w:rPr>
          <w:rFonts w:eastAsia="Arial"/>
          <w:sz w:val="22"/>
          <w:lang w:val="en-US"/>
        </w:rPr>
        <w:t xml:space="preserve"> unless otherwise decided by the Exchange</w:t>
      </w:r>
      <w:r w:rsidRPr="00EF66AC">
        <w:rPr>
          <w:sz w:val="22"/>
          <w:lang w:val="en-US"/>
        </w:rPr>
        <w:t xml:space="preserve">. </w:t>
      </w:r>
    </w:p>
    <w:sectPr w:rsidR="00504A4D" w:rsidRPr="00EF66AC">
      <w:headerReference w:type="even" r:id="rId8"/>
      <w:headerReference w:type="default" r:id="rId9"/>
      <w:footerReference w:type="even" r:id="rId10"/>
      <w:footerReference w:type="default" r:id="rId11"/>
      <w:headerReference w:type="first" r:id="rId12"/>
      <w:footerReference w:type="first" r:id="rId13"/>
      <w:pgSz w:w="11900" w:h="16840"/>
      <w:pgMar w:top="1561" w:right="752" w:bottom="1331" w:left="1262" w:header="75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1C8" w:rsidRDefault="00C431C8">
      <w:pPr>
        <w:spacing w:after="0" w:line="240" w:lineRule="auto"/>
      </w:pPr>
      <w:r>
        <w:separator/>
      </w:r>
    </w:p>
  </w:endnote>
  <w:endnote w:type="continuationSeparator" w:id="0">
    <w:p w:rsidR="00C431C8" w:rsidRDefault="00C4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A4D" w:rsidRDefault="00150B5E">
    <w:pPr>
      <w:spacing w:after="0" w:line="259" w:lineRule="auto"/>
      <w:ind w:left="0" w:right="89" w:firstLine="0"/>
      <w:jc w:val="right"/>
    </w:pPr>
    <w:r>
      <w:fldChar w:fldCharType="begin"/>
    </w:r>
    <w:r>
      <w:instrText xml:space="preserve"> PAGE   \* MERGEFORMAT </w:instrText>
    </w:r>
    <w:r>
      <w:fldChar w:fldCharType="separate"/>
    </w:r>
    <w:r>
      <w:t>1</w:t>
    </w:r>
    <w:r>
      <w:fldChar w:fldCharType="end"/>
    </w:r>
    <w:r>
      <w:t xml:space="preserve"> </w:t>
    </w:r>
  </w:p>
  <w:p w:rsidR="00504A4D" w:rsidRDefault="00150B5E">
    <w:pPr>
      <w:spacing w:after="0" w:line="259" w:lineRule="auto"/>
      <w:ind w:left="0" w:right="393" w:firstLine="0"/>
      <w:jc w:val="right"/>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A4D" w:rsidRDefault="00150B5E">
    <w:pPr>
      <w:spacing w:after="0" w:line="259" w:lineRule="auto"/>
      <w:ind w:left="0" w:right="89" w:firstLine="0"/>
      <w:jc w:val="right"/>
    </w:pPr>
    <w:r>
      <w:fldChar w:fldCharType="begin"/>
    </w:r>
    <w:r>
      <w:instrText xml:space="preserve"> PAGE   \* MERGEFORMAT </w:instrText>
    </w:r>
    <w:r>
      <w:fldChar w:fldCharType="separate"/>
    </w:r>
    <w:r>
      <w:t>1</w:t>
    </w:r>
    <w:r>
      <w:fldChar w:fldCharType="end"/>
    </w:r>
    <w:r>
      <w:t xml:space="preserve"> </w:t>
    </w:r>
  </w:p>
  <w:p w:rsidR="00504A4D" w:rsidRDefault="00150B5E">
    <w:pPr>
      <w:spacing w:after="0" w:line="259" w:lineRule="auto"/>
      <w:ind w:left="0" w:right="393" w:firstLine="0"/>
      <w:jc w:val="right"/>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A4D" w:rsidRDefault="00150B5E">
    <w:pPr>
      <w:spacing w:after="0" w:line="259" w:lineRule="auto"/>
      <w:ind w:left="0" w:right="89" w:firstLine="0"/>
      <w:jc w:val="right"/>
    </w:pPr>
    <w:r>
      <w:fldChar w:fldCharType="begin"/>
    </w:r>
    <w:r>
      <w:instrText xml:space="preserve"> PAGE   \* MERGEFORMAT </w:instrText>
    </w:r>
    <w:r>
      <w:fldChar w:fldCharType="separate"/>
    </w:r>
    <w:r>
      <w:t>1</w:t>
    </w:r>
    <w:r>
      <w:fldChar w:fldCharType="end"/>
    </w:r>
    <w:r>
      <w:t xml:space="preserve"> </w:t>
    </w:r>
  </w:p>
  <w:p w:rsidR="00504A4D" w:rsidRDefault="00150B5E">
    <w:pPr>
      <w:spacing w:after="0" w:line="259" w:lineRule="auto"/>
      <w:ind w:left="0" w:right="393" w:firstLine="0"/>
      <w:jc w:val="right"/>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1C8" w:rsidRDefault="00C431C8">
      <w:pPr>
        <w:spacing w:after="0" w:line="240" w:lineRule="auto"/>
      </w:pPr>
      <w:r>
        <w:separator/>
      </w:r>
    </w:p>
  </w:footnote>
  <w:footnote w:type="continuationSeparator" w:id="0">
    <w:p w:rsidR="00C431C8" w:rsidRDefault="00C431C8">
      <w:pPr>
        <w:spacing w:after="0" w:line="240" w:lineRule="auto"/>
      </w:pPr>
      <w:r>
        <w:continuationSeparator/>
      </w:r>
    </w:p>
  </w:footnote>
  <w:footnote w:id="1">
    <w:p w:rsidR="00EF66AC" w:rsidRPr="00EF66AC" w:rsidRDefault="00EF66AC">
      <w:pPr>
        <w:pStyle w:val="a3"/>
        <w:rPr>
          <w:lang w:val="en-US"/>
        </w:rPr>
      </w:pPr>
      <w:r>
        <w:rPr>
          <w:rStyle w:val="a5"/>
        </w:rPr>
        <w:footnoteRef/>
      </w:r>
      <w:r w:rsidRPr="00EF66AC">
        <w:rPr>
          <w:lang w:val="en-US"/>
        </w:rPr>
        <w:t xml:space="preserve"> </w:t>
      </w:r>
      <w:r>
        <w:rPr>
          <w:lang w:val="en-US"/>
        </w:rPr>
        <w:t>Before 27 November 2017, the MOEX Russia Index was named the MICEX Index.  From</w:t>
      </w:r>
      <w:r w:rsidRPr="00EF66AC">
        <w:rPr>
          <w:lang w:val="en-US"/>
        </w:rPr>
        <w:t xml:space="preserve"> 27 </w:t>
      </w:r>
      <w:r>
        <w:rPr>
          <w:lang w:val="en-US"/>
        </w:rPr>
        <w:t>November</w:t>
      </w:r>
      <w:r w:rsidRPr="00EF66AC">
        <w:rPr>
          <w:lang w:val="en-US"/>
        </w:rPr>
        <w:t xml:space="preserve"> 2017 </w:t>
      </w:r>
      <w:r>
        <w:rPr>
          <w:lang w:val="en-US"/>
        </w:rPr>
        <w:t>to</w:t>
      </w:r>
      <w:r w:rsidRPr="00EF66AC">
        <w:rPr>
          <w:lang w:val="en-US"/>
        </w:rPr>
        <w:t xml:space="preserve"> 31 </w:t>
      </w:r>
      <w:r>
        <w:rPr>
          <w:lang w:val="en-US"/>
        </w:rPr>
        <w:t>December</w:t>
      </w:r>
      <w:r w:rsidRPr="00EF66AC">
        <w:rPr>
          <w:lang w:val="en-US"/>
        </w:rPr>
        <w:t xml:space="preserve"> 2018, </w:t>
      </w:r>
      <w:r>
        <w:rPr>
          <w:lang w:val="en-US"/>
        </w:rPr>
        <w:t>both</w:t>
      </w:r>
      <w:r w:rsidRPr="00EF66AC">
        <w:rPr>
          <w:lang w:val="en-US"/>
        </w:rPr>
        <w:t xml:space="preserve"> </w:t>
      </w:r>
      <w:r>
        <w:rPr>
          <w:lang w:val="en-US"/>
        </w:rPr>
        <w:t>names</w:t>
      </w:r>
      <w:r w:rsidRPr="00EF66AC">
        <w:rPr>
          <w:lang w:val="en-US"/>
        </w:rPr>
        <w:t xml:space="preserve">, </w:t>
      </w:r>
      <w:r>
        <w:rPr>
          <w:lang w:val="en-US"/>
        </w:rPr>
        <w:t>the</w:t>
      </w:r>
      <w:r w:rsidRPr="00EF66AC">
        <w:rPr>
          <w:lang w:val="en-US"/>
        </w:rPr>
        <w:t xml:space="preserve"> </w:t>
      </w:r>
      <w:r>
        <w:rPr>
          <w:lang w:val="en-US"/>
        </w:rPr>
        <w:t>MICEX</w:t>
      </w:r>
      <w:r w:rsidRPr="00EF66AC">
        <w:rPr>
          <w:lang w:val="en-US"/>
        </w:rPr>
        <w:t xml:space="preserve"> </w:t>
      </w:r>
      <w:r>
        <w:rPr>
          <w:lang w:val="en-US"/>
        </w:rPr>
        <w:t>Index</w:t>
      </w:r>
      <w:r w:rsidRPr="00EF66AC">
        <w:rPr>
          <w:lang w:val="en-US"/>
        </w:rPr>
        <w:t xml:space="preserve"> </w:t>
      </w:r>
      <w:r>
        <w:rPr>
          <w:lang w:val="en-US"/>
        </w:rPr>
        <w:t>and</w:t>
      </w:r>
      <w:r w:rsidRPr="00EF66AC">
        <w:rPr>
          <w:lang w:val="en-US"/>
        </w:rPr>
        <w:t xml:space="preserve"> </w:t>
      </w:r>
      <w:r>
        <w:rPr>
          <w:lang w:val="en-US"/>
        </w:rPr>
        <w:t>the</w:t>
      </w:r>
      <w:r w:rsidRPr="00EF66AC">
        <w:rPr>
          <w:lang w:val="en-US"/>
        </w:rPr>
        <w:t xml:space="preserve"> </w:t>
      </w:r>
      <w:r>
        <w:rPr>
          <w:lang w:val="en-US"/>
        </w:rPr>
        <w:t>MOEX</w:t>
      </w:r>
      <w:r w:rsidRPr="00EF66AC">
        <w:rPr>
          <w:lang w:val="en-US"/>
        </w:rPr>
        <w:t xml:space="preserve"> </w:t>
      </w:r>
      <w:r>
        <w:rPr>
          <w:lang w:val="en-US"/>
        </w:rPr>
        <w:t xml:space="preserve">Russia Index, were valid.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A4D" w:rsidRPr="00EF66AC" w:rsidRDefault="00150B5E">
    <w:pPr>
      <w:spacing w:after="0" w:line="259" w:lineRule="auto"/>
      <w:ind w:left="19" w:firstLine="0"/>
      <w:jc w:val="left"/>
      <w:rPr>
        <w:lang w:val="en-US"/>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783336</wp:posOffset>
              </wp:positionH>
              <wp:positionV relativeFrom="page">
                <wp:posOffset>772160</wp:posOffset>
              </wp:positionV>
              <wp:extent cx="6257545" cy="18288"/>
              <wp:effectExtent l="0" t="0" r="0" b="0"/>
              <wp:wrapSquare wrapText="bothSides"/>
              <wp:docPr id="6610" name="Group 6610"/>
              <wp:cNvGraphicFramePr/>
              <a:graphic xmlns:a="http://schemas.openxmlformats.org/drawingml/2006/main">
                <a:graphicData uri="http://schemas.microsoft.com/office/word/2010/wordprocessingGroup">
                  <wpg:wgp>
                    <wpg:cNvGrpSpPr/>
                    <wpg:grpSpPr>
                      <a:xfrm>
                        <a:off x="0" y="0"/>
                        <a:ext cx="6257545" cy="18288"/>
                        <a:chOff x="0" y="0"/>
                        <a:chExt cx="6257545" cy="18288"/>
                      </a:xfrm>
                    </wpg:grpSpPr>
                    <wps:wsp>
                      <wps:cNvPr id="6769" name="Shape 6769"/>
                      <wps:cNvSpPr/>
                      <wps:spPr>
                        <a:xfrm>
                          <a:off x="0" y="0"/>
                          <a:ext cx="6257545" cy="18288"/>
                        </a:xfrm>
                        <a:custGeom>
                          <a:avLst/>
                          <a:gdLst/>
                          <a:ahLst/>
                          <a:cxnLst/>
                          <a:rect l="0" t="0" r="0" b="0"/>
                          <a:pathLst>
                            <a:path w="6257545" h="18288">
                              <a:moveTo>
                                <a:pt x="0" y="0"/>
                              </a:moveTo>
                              <a:lnTo>
                                <a:pt x="6257545" y="0"/>
                              </a:lnTo>
                              <a:lnTo>
                                <a:pt x="625754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610" style="width:492.72pt;height:1.44pt;position:absolute;mso-position-horizontal-relative:page;mso-position-horizontal:absolute;margin-left:61.68pt;mso-position-vertical-relative:page;margin-top:60.8pt;" coordsize="62575,182">
              <v:shape id="Shape 6770" style="position:absolute;width:62575;height:182;left:0;top:0;" coordsize="6257545,18288" path="m0,0l6257545,0l6257545,18288l0,18288l0,0">
                <v:stroke weight="0pt" endcap="flat" joinstyle="miter" miterlimit="10" on="false" color="#000000" opacity="0"/>
                <v:fill on="true" color="#000000"/>
              </v:shape>
              <w10:wrap type="square"/>
            </v:group>
          </w:pict>
        </mc:Fallback>
      </mc:AlternateContent>
    </w:r>
    <w:r w:rsidRPr="00EF66AC">
      <w:rPr>
        <w:b/>
        <w:lang w:val="en-US"/>
      </w:rPr>
      <w:t xml:space="preserve">MICEX Index                                                                                                                             </w:t>
    </w:r>
    <w:r w:rsidRPr="00EF66AC">
      <w:rPr>
        <w:b/>
        <w:color w:val="FF0000"/>
        <w:lang w:val="en-US"/>
      </w:rPr>
      <w:t>Take effect</w:t>
    </w:r>
    <w:r w:rsidRPr="00EF66AC">
      <w:rPr>
        <w:b/>
        <w:lang w:val="en-US"/>
      </w:rPr>
      <w:t xml:space="preserve"> </w:t>
    </w:r>
  </w:p>
  <w:p w:rsidR="00504A4D" w:rsidRPr="00EF66AC" w:rsidRDefault="00150B5E">
    <w:pPr>
      <w:spacing w:after="47" w:line="259" w:lineRule="auto"/>
      <w:ind w:left="0" w:firstLine="0"/>
      <w:jc w:val="left"/>
      <w:rPr>
        <w:lang w:val="en-US"/>
      </w:rPr>
    </w:pPr>
    <w:r w:rsidRPr="00EF66AC">
      <w:rPr>
        <w:b/>
        <w:lang w:val="en-US"/>
      </w:rPr>
      <w:t xml:space="preserve">Futures-Style Options Contract Specification                                                </w:t>
    </w:r>
    <w:r w:rsidRPr="00EF66AC">
      <w:rPr>
        <w:b/>
        <w:color w:val="FF0000"/>
        <w:lang w:val="en-US"/>
      </w:rPr>
      <w:t xml:space="preserve">from November 11, 2016 </w:t>
    </w:r>
  </w:p>
  <w:p w:rsidR="00504A4D" w:rsidRPr="00EF66AC" w:rsidRDefault="00150B5E">
    <w:pPr>
      <w:spacing w:after="0" w:line="259" w:lineRule="auto"/>
      <w:ind w:left="0" w:firstLine="0"/>
      <w:jc w:val="left"/>
      <w:rPr>
        <w:lang w:val="en-US"/>
      </w:rPr>
    </w:pPr>
    <w:r w:rsidRPr="00EF66AC">
      <w:rPr>
        <w:rFonts w:ascii="Times New Roman" w:eastAsia="Times New Roman" w:hAnsi="Times New Roman" w:cs="Times New Roman"/>
        <w:sz w:val="24"/>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A4D" w:rsidRPr="00EF66AC" w:rsidRDefault="00EF66AC" w:rsidP="00EF66AC">
    <w:pPr>
      <w:spacing w:after="0" w:line="259" w:lineRule="auto"/>
      <w:ind w:left="19" w:firstLine="0"/>
      <w:jc w:val="left"/>
      <w:rPr>
        <w:lang w:val="en-US"/>
      </w:rPr>
    </w:pPr>
    <w:r>
      <w:rPr>
        <w:b/>
        <w:lang w:val="en-US"/>
      </w:rPr>
      <w:t xml:space="preserve">MOEX Russia </w:t>
    </w:r>
    <w:r w:rsidR="00150B5E" w:rsidRPr="00EF66AC">
      <w:rPr>
        <w:b/>
        <w:lang w:val="en-US"/>
      </w:rPr>
      <w:t>Index</w:t>
    </w:r>
    <w:r w:rsidRPr="00EF66AC">
      <w:rPr>
        <w:b/>
        <w:lang w:val="en-US"/>
      </w:rPr>
      <w:t xml:space="preserve"> </w: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ge">
                <wp:posOffset>899381</wp:posOffset>
              </wp:positionV>
              <wp:extent cx="6257545" cy="18288"/>
              <wp:effectExtent l="0" t="0" r="0" b="0"/>
              <wp:wrapSquare wrapText="bothSides"/>
              <wp:docPr id="6572" name="Group 6572"/>
              <wp:cNvGraphicFramePr/>
              <a:graphic xmlns:a="http://schemas.openxmlformats.org/drawingml/2006/main">
                <a:graphicData uri="http://schemas.microsoft.com/office/word/2010/wordprocessingGroup">
                  <wpg:wgp>
                    <wpg:cNvGrpSpPr/>
                    <wpg:grpSpPr>
                      <a:xfrm>
                        <a:off x="0" y="0"/>
                        <a:ext cx="6257545" cy="18288"/>
                        <a:chOff x="0" y="0"/>
                        <a:chExt cx="6257545" cy="18288"/>
                      </a:xfrm>
                    </wpg:grpSpPr>
                    <wps:wsp>
                      <wps:cNvPr id="6767" name="Shape 6767"/>
                      <wps:cNvSpPr/>
                      <wps:spPr>
                        <a:xfrm>
                          <a:off x="0" y="0"/>
                          <a:ext cx="6257545" cy="18288"/>
                        </a:xfrm>
                        <a:custGeom>
                          <a:avLst/>
                          <a:gdLst/>
                          <a:ahLst/>
                          <a:cxnLst/>
                          <a:rect l="0" t="0" r="0" b="0"/>
                          <a:pathLst>
                            <a:path w="6257545" h="18288">
                              <a:moveTo>
                                <a:pt x="0" y="0"/>
                              </a:moveTo>
                              <a:lnTo>
                                <a:pt x="6257545" y="0"/>
                              </a:lnTo>
                              <a:lnTo>
                                <a:pt x="625754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8560563" id="Group 6572" o:spid="_x0000_s1026" style="position:absolute;margin-left:441.5pt;margin-top:70.8pt;width:492.7pt;height:1.45pt;z-index:251659264;mso-position-horizontal:right;mso-position-horizontal-relative:margin;mso-position-vertical-relative:page" coordsize="6257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">
              <v:shape id="Shape 6767" o:spid="_x0000_s1027" style="position:absolute;width:62575;height:182;visibility:visible;mso-wrap-style:square;v-text-anchor:top" coordsize="625754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" path="m,l6257545,r,18288l,18288,,e" fillcolor="black" stroked="f" strokeweight="0">
                <v:stroke miterlimit="83231f" joinstyle="miter"/>
                <v:path arrowok="t" textboxrect="0,0,6257545,18288"/>
              </v:shape>
              <w10:wrap type="square" anchorx="margin" anchory="page"/>
            </v:group>
          </w:pict>
        </mc:Fallback>
      </mc:AlternateContent>
    </w:r>
    <w:r w:rsidR="00150B5E" w:rsidRPr="00EF66AC">
      <w:rPr>
        <w:b/>
        <w:lang w:val="en-US"/>
      </w:rPr>
      <w:t xml:space="preserve">Futures-Style Options Contract Specification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A4D" w:rsidRPr="00EF66AC" w:rsidRDefault="00150B5E">
    <w:pPr>
      <w:spacing w:after="0" w:line="259" w:lineRule="auto"/>
      <w:ind w:left="19" w:firstLine="0"/>
      <w:jc w:val="left"/>
      <w:rPr>
        <w:lang w:val="en-US"/>
      </w:rP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783336</wp:posOffset>
              </wp:positionH>
              <wp:positionV relativeFrom="page">
                <wp:posOffset>772160</wp:posOffset>
              </wp:positionV>
              <wp:extent cx="6257545" cy="18288"/>
              <wp:effectExtent l="0" t="0" r="0" b="0"/>
              <wp:wrapSquare wrapText="bothSides"/>
              <wp:docPr id="6534" name="Group 6534"/>
              <wp:cNvGraphicFramePr/>
              <a:graphic xmlns:a="http://schemas.openxmlformats.org/drawingml/2006/main">
                <a:graphicData uri="http://schemas.microsoft.com/office/word/2010/wordprocessingGroup">
                  <wpg:wgp>
                    <wpg:cNvGrpSpPr/>
                    <wpg:grpSpPr>
                      <a:xfrm>
                        <a:off x="0" y="0"/>
                        <a:ext cx="6257545" cy="18288"/>
                        <a:chOff x="0" y="0"/>
                        <a:chExt cx="6257545" cy="18288"/>
                      </a:xfrm>
                    </wpg:grpSpPr>
                    <wps:wsp>
                      <wps:cNvPr id="6765" name="Shape 6765"/>
                      <wps:cNvSpPr/>
                      <wps:spPr>
                        <a:xfrm>
                          <a:off x="0" y="0"/>
                          <a:ext cx="6257545" cy="18288"/>
                        </a:xfrm>
                        <a:custGeom>
                          <a:avLst/>
                          <a:gdLst/>
                          <a:ahLst/>
                          <a:cxnLst/>
                          <a:rect l="0" t="0" r="0" b="0"/>
                          <a:pathLst>
                            <a:path w="6257545" h="18288">
                              <a:moveTo>
                                <a:pt x="0" y="0"/>
                              </a:moveTo>
                              <a:lnTo>
                                <a:pt x="6257545" y="0"/>
                              </a:lnTo>
                              <a:lnTo>
                                <a:pt x="625754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534" style="width:492.72pt;height:1.44pt;position:absolute;mso-position-horizontal-relative:page;mso-position-horizontal:absolute;margin-left:61.68pt;mso-position-vertical-relative:page;margin-top:60.8pt;" coordsize="62575,182">
              <v:shape id="Shape 6766" style="position:absolute;width:62575;height:182;left:0;top:0;" coordsize="6257545,18288" path="m0,0l6257545,0l6257545,18288l0,18288l0,0">
                <v:stroke weight="0pt" endcap="flat" joinstyle="miter" miterlimit="10" on="false" color="#000000" opacity="0"/>
                <v:fill on="true" color="#000000"/>
              </v:shape>
              <w10:wrap type="square"/>
            </v:group>
          </w:pict>
        </mc:Fallback>
      </mc:AlternateContent>
    </w:r>
    <w:r w:rsidRPr="00EF66AC">
      <w:rPr>
        <w:b/>
        <w:lang w:val="en-US"/>
      </w:rPr>
      <w:t xml:space="preserve">MICEX Index                                                                                                                             </w:t>
    </w:r>
    <w:r w:rsidRPr="00EF66AC">
      <w:rPr>
        <w:b/>
        <w:color w:val="FF0000"/>
        <w:lang w:val="en-US"/>
      </w:rPr>
      <w:t>Take effect</w:t>
    </w:r>
    <w:r w:rsidRPr="00EF66AC">
      <w:rPr>
        <w:b/>
        <w:lang w:val="en-US"/>
      </w:rPr>
      <w:t xml:space="preserve"> </w:t>
    </w:r>
  </w:p>
  <w:p w:rsidR="00504A4D" w:rsidRPr="00EF66AC" w:rsidRDefault="00150B5E">
    <w:pPr>
      <w:spacing w:after="47" w:line="259" w:lineRule="auto"/>
      <w:ind w:left="0" w:firstLine="0"/>
      <w:jc w:val="left"/>
      <w:rPr>
        <w:lang w:val="en-US"/>
      </w:rPr>
    </w:pPr>
    <w:r w:rsidRPr="00EF66AC">
      <w:rPr>
        <w:b/>
        <w:lang w:val="en-US"/>
      </w:rPr>
      <w:t xml:space="preserve">Futures-Style Options Contract Specification                                                </w:t>
    </w:r>
    <w:r w:rsidRPr="00EF66AC">
      <w:rPr>
        <w:b/>
        <w:color w:val="FF0000"/>
        <w:lang w:val="en-US"/>
      </w:rPr>
      <w:t xml:space="preserve">from November 11, 2016 </w:t>
    </w:r>
  </w:p>
  <w:p w:rsidR="00504A4D" w:rsidRPr="00EF66AC" w:rsidRDefault="00150B5E">
    <w:pPr>
      <w:spacing w:after="0" w:line="259" w:lineRule="auto"/>
      <w:ind w:left="0" w:firstLine="0"/>
      <w:jc w:val="left"/>
      <w:rPr>
        <w:lang w:val="en-US"/>
      </w:rPr>
    </w:pPr>
    <w:r w:rsidRPr="00EF66AC">
      <w:rPr>
        <w:rFonts w:ascii="Times New Roman" w:eastAsia="Times New Roman" w:hAnsi="Times New Roman" w:cs="Times New Roman"/>
        <w:sz w:val="2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93DF7"/>
    <w:multiLevelType w:val="multilevel"/>
    <w:tmpl w:val="F9D898A0"/>
    <w:lvl w:ilvl="0">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11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3275ADA"/>
    <w:multiLevelType w:val="hybridMultilevel"/>
    <w:tmpl w:val="50F8ADA0"/>
    <w:lvl w:ilvl="0" w:tplc="7F58E578">
      <w:start w:val="1"/>
      <w:numFmt w:val="decimal"/>
      <w:pStyle w:val="1"/>
      <w:lvlText w:val="%1."/>
      <w:lvlJc w:val="left"/>
      <w:pPr>
        <w:ind w:left="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DC5E8732">
      <w:start w:val="1"/>
      <w:numFmt w:val="lowerLetter"/>
      <w:lvlText w:val="%2"/>
      <w:lvlJc w:val="left"/>
      <w:pPr>
        <w:ind w:left="108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23E08B4C">
      <w:start w:val="1"/>
      <w:numFmt w:val="lowerRoman"/>
      <w:lvlText w:val="%3"/>
      <w:lvlJc w:val="left"/>
      <w:pPr>
        <w:ind w:left="180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88768F60">
      <w:start w:val="1"/>
      <w:numFmt w:val="decimal"/>
      <w:lvlText w:val="%4"/>
      <w:lvlJc w:val="left"/>
      <w:pPr>
        <w:ind w:left="252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C42096BC">
      <w:start w:val="1"/>
      <w:numFmt w:val="lowerLetter"/>
      <w:lvlText w:val="%5"/>
      <w:lvlJc w:val="left"/>
      <w:pPr>
        <w:ind w:left="324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1646CBC4">
      <w:start w:val="1"/>
      <w:numFmt w:val="lowerRoman"/>
      <w:lvlText w:val="%6"/>
      <w:lvlJc w:val="left"/>
      <w:pPr>
        <w:ind w:left="396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B8B8E120">
      <w:start w:val="1"/>
      <w:numFmt w:val="decimal"/>
      <w:lvlText w:val="%7"/>
      <w:lvlJc w:val="left"/>
      <w:pPr>
        <w:ind w:left="468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2E105FDC">
      <w:start w:val="1"/>
      <w:numFmt w:val="lowerLetter"/>
      <w:lvlText w:val="%8"/>
      <w:lvlJc w:val="left"/>
      <w:pPr>
        <w:ind w:left="540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CEF2D92E">
      <w:start w:val="1"/>
      <w:numFmt w:val="lowerRoman"/>
      <w:lvlText w:val="%9"/>
      <w:lvlJc w:val="left"/>
      <w:pPr>
        <w:ind w:left="612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931398D"/>
    <w:multiLevelType w:val="multilevel"/>
    <w:tmpl w:val="1D582CDA"/>
    <w:lvl w:ilvl="0">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5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9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9A709C6"/>
    <w:multiLevelType w:val="multilevel"/>
    <w:tmpl w:val="456A430C"/>
    <w:lvl w:ilvl="0">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1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3A00C42"/>
    <w:multiLevelType w:val="hybridMultilevel"/>
    <w:tmpl w:val="DDC67758"/>
    <w:lvl w:ilvl="0" w:tplc="E8DE1738">
      <w:start w:val="1"/>
      <w:numFmt w:val="bullet"/>
      <w:lvlText w:val="•"/>
      <w:lvlJc w:val="left"/>
      <w:pPr>
        <w:ind w:left="9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DAAA108">
      <w:start w:val="1"/>
      <w:numFmt w:val="bullet"/>
      <w:lvlText w:val="o"/>
      <w:lvlJc w:val="left"/>
      <w:pPr>
        <w:ind w:left="17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98EB12">
      <w:start w:val="1"/>
      <w:numFmt w:val="bullet"/>
      <w:lvlText w:val="▪"/>
      <w:lvlJc w:val="left"/>
      <w:pPr>
        <w:ind w:left="24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11C291A">
      <w:start w:val="1"/>
      <w:numFmt w:val="bullet"/>
      <w:lvlText w:val="•"/>
      <w:lvlJc w:val="left"/>
      <w:pPr>
        <w:ind w:left="3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5416F8">
      <w:start w:val="1"/>
      <w:numFmt w:val="bullet"/>
      <w:lvlText w:val="o"/>
      <w:lvlJc w:val="left"/>
      <w:pPr>
        <w:ind w:left="38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B6BB9C">
      <w:start w:val="1"/>
      <w:numFmt w:val="bullet"/>
      <w:lvlText w:val="▪"/>
      <w:lvlJc w:val="left"/>
      <w:pPr>
        <w:ind w:left="45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C28056">
      <w:start w:val="1"/>
      <w:numFmt w:val="bullet"/>
      <w:lvlText w:val="•"/>
      <w:lvlJc w:val="left"/>
      <w:pPr>
        <w:ind w:left="53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1C4E76">
      <w:start w:val="1"/>
      <w:numFmt w:val="bullet"/>
      <w:lvlText w:val="o"/>
      <w:lvlJc w:val="left"/>
      <w:pPr>
        <w:ind w:left="60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1C81B4">
      <w:start w:val="1"/>
      <w:numFmt w:val="bullet"/>
      <w:lvlText w:val="▪"/>
      <w:lvlJc w:val="left"/>
      <w:pPr>
        <w:ind w:left="67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AEF79C6"/>
    <w:multiLevelType w:val="multilevel"/>
    <w:tmpl w:val="EE2A54D4"/>
    <w:lvl w:ilvl="0">
      <w:start w:val="2"/>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5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2"/>
      <w:numFmt w:val="decimal"/>
      <w:lvlRestart w:val="0"/>
      <w:lvlText w:val="%1.%2.%3."/>
      <w:lvlJc w:val="left"/>
      <w:pPr>
        <w:ind w:left="9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D845DDF"/>
    <w:multiLevelType w:val="hybridMultilevel"/>
    <w:tmpl w:val="01767770"/>
    <w:lvl w:ilvl="0" w:tplc="7D44F6C4">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C8750A">
      <w:start w:val="1"/>
      <w:numFmt w:val="bullet"/>
      <w:lvlText w:val="o"/>
      <w:lvlJc w:val="left"/>
      <w:pPr>
        <w:ind w:left="2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616C868">
      <w:start w:val="1"/>
      <w:numFmt w:val="bullet"/>
      <w:lvlText w:val="▪"/>
      <w:lvlJc w:val="left"/>
      <w:pPr>
        <w:ind w:left="3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3EF2F0">
      <w:start w:val="1"/>
      <w:numFmt w:val="bullet"/>
      <w:lvlText w:val="•"/>
      <w:lvlJc w:val="left"/>
      <w:pPr>
        <w:ind w:left="3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30A314">
      <w:start w:val="1"/>
      <w:numFmt w:val="bullet"/>
      <w:lvlText w:val="o"/>
      <w:lvlJc w:val="left"/>
      <w:pPr>
        <w:ind w:left="46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D2E57C">
      <w:start w:val="1"/>
      <w:numFmt w:val="bullet"/>
      <w:lvlText w:val="▪"/>
      <w:lvlJc w:val="left"/>
      <w:pPr>
        <w:ind w:left="53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A65EF0">
      <w:start w:val="1"/>
      <w:numFmt w:val="bullet"/>
      <w:lvlText w:val="•"/>
      <w:lvlJc w:val="left"/>
      <w:pPr>
        <w:ind w:left="6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C69B00">
      <w:start w:val="1"/>
      <w:numFmt w:val="bullet"/>
      <w:lvlText w:val="o"/>
      <w:lvlJc w:val="left"/>
      <w:pPr>
        <w:ind w:left="67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3AFED4">
      <w:start w:val="1"/>
      <w:numFmt w:val="bullet"/>
      <w:lvlText w:val="▪"/>
      <w:lvlJc w:val="left"/>
      <w:pPr>
        <w:ind w:left="75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F447074"/>
    <w:multiLevelType w:val="multilevel"/>
    <w:tmpl w:val="B5E0D692"/>
    <w:lvl w:ilvl="0">
      <w:start w:val="2"/>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6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4"/>
      <w:numFmt w:val="decimal"/>
      <w:lvlRestart w:val="0"/>
      <w:lvlText w:val="%1.%2.%3."/>
      <w:lvlJc w:val="left"/>
      <w:pPr>
        <w:ind w:left="11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3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0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A4D"/>
    <w:rsid w:val="000C45BE"/>
    <w:rsid w:val="00150B5E"/>
    <w:rsid w:val="00504A4D"/>
    <w:rsid w:val="00C431C8"/>
    <w:rsid w:val="00EF6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216F1B-894C-4C22-9B30-D2D444A26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10" w:line="248" w:lineRule="auto"/>
      <w:ind w:left="10" w:hanging="10"/>
      <w:jc w:val="both"/>
    </w:pPr>
    <w:rPr>
      <w:rFonts w:ascii="Tahoma" w:eastAsia="Tahoma" w:hAnsi="Tahoma" w:cs="Tahoma"/>
      <w:color w:val="000000"/>
      <w:sz w:val="20"/>
    </w:rPr>
  </w:style>
  <w:style w:type="paragraph" w:styleId="1">
    <w:name w:val="heading 1"/>
    <w:next w:val="a"/>
    <w:link w:val="10"/>
    <w:uiPriority w:val="9"/>
    <w:qFormat/>
    <w:pPr>
      <w:keepNext/>
      <w:keepLines/>
      <w:numPr>
        <w:numId w:val="8"/>
      </w:numPr>
      <w:spacing w:after="99"/>
      <w:ind w:left="10" w:right="4" w:hanging="10"/>
      <w:outlineLvl w:val="0"/>
    </w:pPr>
    <w:rPr>
      <w:rFonts w:ascii="Tahoma" w:eastAsia="Tahoma" w:hAnsi="Tahoma" w:cs="Tahoma"/>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ahoma" w:eastAsia="Tahoma" w:hAnsi="Tahoma" w:cs="Tahoma"/>
      <w:b/>
      <w:color w:val="000000"/>
      <w:sz w:val="20"/>
    </w:rPr>
  </w:style>
  <w:style w:type="paragraph" w:styleId="a3">
    <w:name w:val="footnote text"/>
    <w:basedOn w:val="a"/>
    <w:link w:val="a4"/>
    <w:semiHidden/>
    <w:unhideWhenUsed/>
    <w:rsid w:val="00EF66AC"/>
    <w:pPr>
      <w:spacing w:after="0" w:line="240" w:lineRule="auto"/>
    </w:pPr>
    <w:rPr>
      <w:szCs w:val="20"/>
    </w:rPr>
  </w:style>
  <w:style w:type="character" w:customStyle="1" w:styleId="a4">
    <w:name w:val="Текст сноски Знак"/>
    <w:basedOn w:val="a0"/>
    <w:link w:val="a3"/>
    <w:uiPriority w:val="99"/>
    <w:semiHidden/>
    <w:rsid w:val="00EF66AC"/>
    <w:rPr>
      <w:rFonts w:ascii="Tahoma" w:eastAsia="Tahoma" w:hAnsi="Tahoma" w:cs="Tahoma"/>
      <w:color w:val="000000"/>
      <w:sz w:val="20"/>
      <w:szCs w:val="20"/>
    </w:rPr>
  </w:style>
  <w:style w:type="character" w:styleId="a5">
    <w:name w:val="footnote reference"/>
    <w:basedOn w:val="a0"/>
    <w:uiPriority w:val="99"/>
    <w:semiHidden/>
    <w:unhideWhenUsed/>
    <w:rsid w:val="00EF66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E78E4-017A-4100-9508-71BDD7E25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1664</Words>
  <Characters>9488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cp:lastModifiedBy>Лошкарева Кристина Викторовна</cp:lastModifiedBy>
  <cp:revision>2</cp:revision>
  <dcterms:created xsi:type="dcterms:W3CDTF">2019-03-14T09:29:00Z</dcterms:created>
  <dcterms:modified xsi:type="dcterms:W3CDTF">2019-03-14T09:29:00Z</dcterms:modified>
</cp:coreProperties>
</file>