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F77D9" w14:textId="77777777" w:rsidR="005A7166" w:rsidRPr="00C05E86" w:rsidRDefault="005A7166" w:rsidP="00C05E86">
      <w:pPr>
        <w:autoSpaceDE w:val="0"/>
        <w:autoSpaceDN w:val="0"/>
        <w:adjustRightInd w:val="0"/>
        <w:spacing w:before="120" w:after="120"/>
        <w:rPr>
          <w:rFonts w:cs="Tahoma"/>
          <w:color w:val="000000"/>
          <w:sz w:val="22"/>
          <w:szCs w:val="22"/>
        </w:rPr>
      </w:pPr>
      <w:r w:rsidRPr="00C05E86">
        <w:rPr>
          <w:rFonts w:cs="Tahoma"/>
          <w:b/>
          <w:color w:val="000000"/>
          <w:sz w:val="22"/>
        </w:rPr>
        <w:t xml:space="preserve">APPROVED </w:t>
      </w:r>
    </w:p>
    <w:p w14:paraId="23D595C7" w14:textId="77777777" w:rsidR="005A7166" w:rsidRPr="00C05E86" w:rsidRDefault="005A7166" w:rsidP="00C05E86">
      <w:pPr>
        <w:autoSpaceDE w:val="0"/>
        <w:autoSpaceDN w:val="0"/>
        <w:adjustRightInd w:val="0"/>
        <w:spacing w:before="120" w:after="120"/>
        <w:rPr>
          <w:rFonts w:cs="Tahoma"/>
          <w:color w:val="000000"/>
          <w:sz w:val="22"/>
          <w:szCs w:val="22"/>
        </w:rPr>
      </w:pPr>
      <w:r w:rsidRPr="00C05E86">
        <w:rPr>
          <w:rFonts w:cs="Tahoma"/>
          <w:color w:val="000000"/>
          <w:sz w:val="22"/>
        </w:rPr>
        <w:t xml:space="preserve">By the Moscow Exchange Executive Board </w:t>
      </w:r>
    </w:p>
    <w:p w14:paraId="53DFB3E1" w14:textId="7B8B8DE5" w:rsidR="005A7166" w:rsidRPr="00C05E86" w:rsidRDefault="002F0237" w:rsidP="00C05E86">
      <w:pPr>
        <w:autoSpaceDE w:val="0"/>
        <w:autoSpaceDN w:val="0"/>
        <w:adjustRightInd w:val="0"/>
        <w:spacing w:before="120" w:after="120"/>
        <w:rPr>
          <w:rFonts w:cs="Tahoma"/>
          <w:color w:val="000000"/>
          <w:sz w:val="22"/>
          <w:szCs w:val="22"/>
        </w:rPr>
      </w:pPr>
      <w:r w:rsidRPr="00C05E86">
        <w:rPr>
          <w:rFonts w:cs="Tahoma"/>
          <w:color w:val="000000"/>
          <w:sz w:val="22"/>
        </w:rPr>
        <w:t>__ February 2026, Minutes No. __</w:t>
      </w:r>
    </w:p>
    <w:p w14:paraId="1EB2A1E2" w14:textId="77777777" w:rsidR="005A7166" w:rsidRPr="00C05E86" w:rsidRDefault="005A7166" w:rsidP="00C05E86">
      <w:pPr>
        <w:spacing w:before="120" w:after="120"/>
        <w:rPr>
          <w:rFonts w:cs="Tahoma"/>
          <w:sz w:val="22"/>
          <w:szCs w:val="22"/>
        </w:rPr>
      </w:pPr>
    </w:p>
    <w:p w14:paraId="3983CFC6" w14:textId="77DAF99D" w:rsidR="006A257E" w:rsidRPr="00C05E86" w:rsidRDefault="006A257E" w:rsidP="00C05E86">
      <w:pPr>
        <w:spacing w:before="120" w:after="120"/>
        <w:rPr>
          <w:rFonts w:cs="Tahoma"/>
          <w:szCs w:val="20"/>
        </w:rPr>
      </w:pPr>
    </w:p>
    <w:p w14:paraId="26A701EF" w14:textId="137DD4C4" w:rsidR="006A257E" w:rsidRPr="00C05E86" w:rsidRDefault="006A257E" w:rsidP="00C05E86">
      <w:pPr>
        <w:spacing w:before="120" w:after="120"/>
        <w:rPr>
          <w:rFonts w:cs="Tahoma"/>
          <w:szCs w:val="20"/>
        </w:rPr>
      </w:pPr>
    </w:p>
    <w:p w14:paraId="5D5816AD" w14:textId="683BBE34" w:rsidR="006A257E" w:rsidRPr="00C05E86" w:rsidRDefault="006A257E" w:rsidP="00C05E86">
      <w:pPr>
        <w:spacing w:before="120" w:after="120"/>
        <w:rPr>
          <w:rFonts w:cs="Tahoma"/>
          <w:szCs w:val="20"/>
        </w:rPr>
      </w:pPr>
    </w:p>
    <w:p w14:paraId="56FCB25F" w14:textId="29E13A08" w:rsidR="006A257E" w:rsidRPr="00C05E86" w:rsidRDefault="006A257E" w:rsidP="00C05E86">
      <w:pPr>
        <w:spacing w:before="120" w:after="120"/>
        <w:rPr>
          <w:rFonts w:cs="Tahoma"/>
          <w:szCs w:val="20"/>
        </w:rPr>
      </w:pPr>
    </w:p>
    <w:p w14:paraId="407C112F" w14:textId="2FC68313" w:rsidR="006A257E" w:rsidRPr="00C05E86" w:rsidRDefault="006A257E" w:rsidP="00C05E86">
      <w:pPr>
        <w:spacing w:before="120" w:after="120"/>
        <w:rPr>
          <w:rFonts w:cs="Tahoma"/>
          <w:szCs w:val="20"/>
        </w:rPr>
      </w:pPr>
    </w:p>
    <w:p w14:paraId="6D9F3D13" w14:textId="77777777" w:rsidR="006A257E" w:rsidRPr="00C05E86" w:rsidRDefault="006A257E" w:rsidP="00C05E86">
      <w:pPr>
        <w:spacing w:before="120" w:after="120"/>
        <w:rPr>
          <w:rFonts w:cs="Tahoma"/>
          <w:szCs w:val="20"/>
        </w:rPr>
      </w:pPr>
    </w:p>
    <w:p w14:paraId="7B483E92" w14:textId="77777777" w:rsidR="00E212F7" w:rsidRPr="00C05E86" w:rsidRDefault="00E212F7" w:rsidP="00C05E86">
      <w:pPr>
        <w:spacing w:before="120" w:after="120"/>
        <w:rPr>
          <w:rFonts w:cs="Tahoma"/>
          <w:szCs w:val="20"/>
        </w:rPr>
      </w:pPr>
    </w:p>
    <w:p w14:paraId="1D95696B" w14:textId="77777777" w:rsidR="00E212F7" w:rsidRPr="00C05E86" w:rsidRDefault="00E212F7" w:rsidP="00C05E86">
      <w:pPr>
        <w:spacing w:before="120" w:after="120"/>
        <w:rPr>
          <w:rFonts w:cs="Tahoma"/>
          <w:szCs w:val="20"/>
        </w:rPr>
      </w:pPr>
    </w:p>
    <w:p w14:paraId="07F9E373" w14:textId="77777777" w:rsidR="00E212F7" w:rsidRPr="00C05E86" w:rsidRDefault="00E212F7" w:rsidP="00C05E86">
      <w:pPr>
        <w:spacing w:before="120" w:after="120"/>
        <w:rPr>
          <w:rFonts w:cs="Tahoma"/>
          <w:szCs w:val="20"/>
        </w:rPr>
      </w:pPr>
    </w:p>
    <w:p w14:paraId="18976163" w14:textId="77777777" w:rsidR="00E212F7" w:rsidRPr="00C05E86" w:rsidRDefault="00E212F7" w:rsidP="00C05E86">
      <w:pPr>
        <w:spacing w:before="120" w:after="120"/>
        <w:rPr>
          <w:rFonts w:cs="Tahoma"/>
          <w:szCs w:val="20"/>
        </w:rPr>
      </w:pPr>
    </w:p>
    <w:p w14:paraId="05F2E610" w14:textId="77777777" w:rsidR="003A4FD0" w:rsidRPr="00C05E86" w:rsidRDefault="003A4FD0" w:rsidP="00C05E86">
      <w:pPr>
        <w:spacing w:before="120" w:after="120"/>
        <w:rPr>
          <w:rFonts w:cs="Tahoma"/>
          <w:szCs w:val="20"/>
        </w:rPr>
      </w:pPr>
    </w:p>
    <w:p w14:paraId="5270B8AC" w14:textId="77777777" w:rsidR="003A4FD0" w:rsidRPr="00C05E86" w:rsidRDefault="003A4FD0" w:rsidP="00C05E86">
      <w:pPr>
        <w:spacing w:before="120" w:after="120"/>
        <w:rPr>
          <w:rFonts w:cs="Tahoma"/>
          <w:szCs w:val="20"/>
        </w:rPr>
      </w:pPr>
    </w:p>
    <w:p w14:paraId="4969758D" w14:textId="77777777" w:rsidR="003A4FD0" w:rsidRPr="00C05E86" w:rsidRDefault="003A4FD0" w:rsidP="00C05E86">
      <w:pPr>
        <w:spacing w:before="120" w:after="120"/>
        <w:rPr>
          <w:rFonts w:cs="Tahoma"/>
          <w:szCs w:val="20"/>
        </w:rPr>
      </w:pPr>
    </w:p>
    <w:p w14:paraId="6DCF7E9B" w14:textId="77777777" w:rsidR="003A4FD0" w:rsidRPr="00C05E86" w:rsidRDefault="003A4FD0" w:rsidP="00C05E86">
      <w:pPr>
        <w:spacing w:before="120" w:after="120"/>
        <w:rPr>
          <w:rFonts w:cs="Tahoma"/>
          <w:szCs w:val="20"/>
        </w:rPr>
      </w:pPr>
    </w:p>
    <w:p w14:paraId="4C38FF16" w14:textId="77777777" w:rsidR="003A4FD0" w:rsidRPr="00C05E86" w:rsidRDefault="003A4FD0" w:rsidP="00C05E86">
      <w:pPr>
        <w:spacing w:before="120" w:after="120"/>
        <w:rPr>
          <w:rFonts w:cs="Tahoma"/>
          <w:szCs w:val="20"/>
        </w:rPr>
      </w:pPr>
    </w:p>
    <w:p w14:paraId="419ED5B8" w14:textId="77777777" w:rsidR="003A4FD0" w:rsidRPr="00C05E86" w:rsidRDefault="003A4FD0" w:rsidP="00C05E86">
      <w:pPr>
        <w:spacing w:before="120" w:after="120"/>
        <w:rPr>
          <w:rFonts w:cs="Tahoma"/>
          <w:szCs w:val="20"/>
        </w:rPr>
      </w:pPr>
    </w:p>
    <w:p w14:paraId="0579CED0" w14:textId="77777777" w:rsidR="003A4FD0" w:rsidRPr="00C05E86" w:rsidRDefault="003A4FD0" w:rsidP="00C05E86">
      <w:pPr>
        <w:spacing w:before="120" w:after="120"/>
        <w:rPr>
          <w:rFonts w:cs="Tahoma"/>
          <w:szCs w:val="20"/>
        </w:rPr>
      </w:pPr>
    </w:p>
    <w:p w14:paraId="2CFFA24F" w14:textId="77F76476" w:rsidR="00E212F7" w:rsidRPr="00C05E86" w:rsidRDefault="00E212F7" w:rsidP="00C05E86">
      <w:pPr>
        <w:spacing w:before="120" w:after="120"/>
        <w:jc w:val="center"/>
        <w:rPr>
          <w:rFonts w:cs="Tahoma"/>
          <w:b/>
          <w:sz w:val="28"/>
          <w:szCs w:val="28"/>
        </w:rPr>
      </w:pPr>
      <w:r w:rsidRPr="00C05E86">
        <w:rPr>
          <w:rFonts w:cs="Tahoma"/>
          <w:b/>
          <w:sz w:val="28"/>
        </w:rPr>
        <w:t xml:space="preserve">Moscow Real Estate </w:t>
      </w:r>
      <w:proofErr w:type="spellStart"/>
      <w:r w:rsidRPr="00C05E86">
        <w:rPr>
          <w:rFonts w:cs="Tahoma"/>
          <w:b/>
          <w:sz w:val="28"/>
        </w:rPr>
        <w:t>Dom</w:t>
      </w:r>
      <w:r w:rsidR="00C05E86" w:rsidRPr="00C05E86">
        <w:rPr>
          <w:rFonts w:cs="Tahoma"/>
          <w:b/>
          <w:sz w:val="28"/>
        </w:rPr>
        <w:t>c</w:t>
      </w:r>
      <w:r w:rsidRPr="00C05E86">
        <w:rPr>
          <w:rFonts w:cs="Tahoma"/>
          <w:b/>
          <w:sz w:val="28"/>
        </w:rPr>
        <w:t>lick</w:t>
      </w:r>
      <w:proofErr w:type="spellEnd"/>
      <w:r w:rsidRPr="00C05E86">
        <w:rPr>
          <w:rFonts w:cs="Tahoma"/>
          <w:b/>
          <w:sz w:val="28"/>
        </w:rPr>
        <w:t xml:space="preserve"> Index Methodology</w:t>
      </w:r>
    </w:p>
    <w:p w14:paraId="660272A2" w14:textId="77777777" w:rsidR="00E212F7" w:rsidRPr="00C05E86" w:rsidRDefault="00E212F7" w:rsidP="00C05E86">
      <w:pPr>
        <w:spacing w:before="120" w:after="120"/>
        <w:rPr>
          <w:rFonts w:cs="Tahoma"/>
          <w:szCs w:val="20"/>
        </w:rPr>
      </w:pPr>
    </w:p>
    <w:p w14:paraId="06F4AB10" w14:textId="77777777" w:rsidR="00E212F7" w:rsidRPr="00C05E86" w:rsidRDefault="00E212F7" w:rsidP="00C05E86">
      <w:pPr>
        <w:spacing w:before="120" w:after="120"/>
        <w:rPr>
          <w:rFonts w:cs="Tahoma"/>
          <w:szCs w:val="20"/>
        </w:rPr>
      </w:pPr>
    </w:p>
    <w:p w14:paraId="5AA9F675" w14:textId="77777777" w:rsidR="00E212F7" w:rsidRPr="00C05E86" w:rsidRDefault="00E212F7" w:rsidP="00C05E86">
      <w:pPr>
        <w:spacing w:before="120" w:after="120"/>
        <w:rPr>
          <w:rFonts w:cs="Tahoma"/>
          <w:szCs w:val="20"/>
        </w:rPr>
      </w:pPr>
    </w:p>
    <w:p w14:paraId="4560D313" w14:textId="77777777" w:rsidR="00E212F7" w:rsidRPr="00C05E86" w:rsidRDefault="00E212F7" w:rsidP="00C05E86">
      <w:pPr>
        <w:spacing w:before="120" w:after="120"/>
        <w:rPr>
          <w:rFonts w:cs="Tahoma"/>
          <w:szCs w:val="20"/>
        </w:rPr>
      </w:pPr>
    </w:p>
    <w:p w14:paraId="270F2047" w14:textId="0A5603B6" w:rsidR="002F0237" w:rsidRPr="00C05E86" w:rsidRDefault="002F0237" w:rsidP="00C05E86">
      <w:pPr>
        <w:spacing w:before="120" w:after="120"/>
        <w:rPr>
          <w:rFonts w:cs="Tahoma"/>
          <w:szCs w:val="20"/>
        </w:rPr>
      </w:pPr>
      <w:bookmarkStart w:id="0" w:name="_GoBack"/>
      <w:bookmarkEnd w:id="0"/>
    </w:p>
    <w:p w14:paraId="20D90E46" w14:textId="42054CE6" w:rsidR="002F0237" w:rsidRPr="00C05E86" w:rsidRDefault="002F0237" w:rsidP="00C05E86">
      <w:pPr>
        <w:spacing w:before="120" w:after="120"/>
        <w:rPr>
          <w:rFonts w:cs="Tahoma"/>
          <w:szCs w:val="20"/>
        </w:rPr>
      </w:pPr>
    </w:p>
    <w:p w14:paraId="6063F99B" w14:textId="766B9848" w:rsidR="002F0237" w:rsidRPr="00C05E86" w:rsidRDefault="002F0237" w:rsidP="00C05E86">
      <w:pPr>
        <w:spacing w:before="120" w:after="120"/>
        <w:rPr>
          <w:rFonts w:cs="Tahoma"/>
          <w:szCs w:val="20"/>
        </w:rPr>
      </w:pPr>
    </w:p>
    <w:p w14:paraId="18BDEE5B" w14:textId="496DD7A0" w:rsidR="002F0237" w:rsidRPr="00C05E86" w:rsidRDefault="002F0237" w:rsidP="00C05E86">
      <w:pPr>
        <w:spacing w:before="120" w:after="120"/>
        <w:rPr>
          <w:rFonts w:cs="Tahoma"/>
          <w:szCs w:val="20"/>
        </w:rPr>
      </w:pPr>
    </w:p>
    <w:p w14:paraId="15F5E24E" w14:textId="14F78143" w:rsidR="002F0237" w:rsidRPr="00C05E86" w:rsidRDefault="002F0237" w:rsidP="00C05E86">
      <w:pPr>
        <w:spacing w:before="120" w:after="120"/>
        <w:rPr>
          <w:rFonts w:cs="Tahoma"/>
          <w:szCs w:val="20"/>
        </w:rPr>
      </w:pPr>
    </w:p>
    <w:p w14:paraId="7626A048" w14:textId="42DFEC28" w:rsidR="002F0237" w:rsidRPr="00C05E86" w:rsidRDefault="002F0237" w:rsidP="00C05E86">
      <w:pPr>
        <w:spacing w:before="120" w:after="120"/>
        <w:rPr>
          <w:rFonts w:cs="Tahoma"/>
          <w:szCs w:val="20"/>
        </w:rPr>
      </w:pPr>
    </w:p>
    <w:p w14:paraId="23739A11" w14:textId="24EA485B" w:rsidR="002F0237" w:rsidRPr="00C05E86" w:rsidRDefault="002F0237" w:rsidP="00C05E86">
      <w:pPr>
        <w:spacing w:before="120" w:after="120"/>
        <w:rPr>
          <w:rFonts w:cs="Tahoma"/>
          <w:szCs w:val="20"/>
        </w:rPr>
      </w:pPr>
    </w:p>
    <w:p w14:paraId="718D4334" w14:textId="77777777" w:rsidR="00E212F7" w:rsidRPr="00C05E86" w:rsidRDefault="00E212F7" w:rsidP="00C05E86">
      <w:pPr>
        <w:spacing w:before="120" w:after="120"/>
        <w:rPr>
          <w:rFonts w:cs="Tahoma"/>
          <w:szCs w:val="20"/>
        </w:rPr>
      </w:pPr>
    </w:p>
    <w:p w14:paraId="5BD56910" w14:textId="77777777" w:rsidR="00902485" w:rsidRPr="00C05E86" w:rsidRDefault="00902485" w:rsidP="00C05E86">
      <w:pPr>
        <w:spacing w:before="120" w:after="120"/>
        <w:jc w:val="center"/>
        <w:rPr>
          <w:rFonts w:cs="Tahoma"/>
          <w:b/>
          <w:sz w:val="24"/>
        </w:rPr>
      </w:pPr>
    </w:p>
    <w:p w14:paraId="252C6EEB" w14:textId="77777777" w:rsidR="00902485" w:rsidRPr="00C05E86" w:rsidRDefault="00902485" w:rsidP="00C05E86">
      <w:pPr>
        <w:spacing w:before="120" w:after="120"/>
        <w:jc w:val="center"/>
        <w:rPr>
          <w:rFonts w:cs="Tahoma"/>
          <w:b/>
          <w:sz w:val="24"/>
        </w:rPr>
      </w:pPr>
    </w:p>
    <w:p w14:paraId="34A7FAA0" w14:textId="77777777" w:rsidR="00902485" w:rsidRPr="00C05E86" w:rsidRDefault="00902485" w:rsidP="00C05E86">
      <w:pPr>
        <w:spacing w:before="120" w:after="120"/>
        <w:jc w:val="center"/>
        <w:rPr>
          <w:rFonts w:cs="Tahoma"/>
          <w:b/>
          <w:sz w:val="24"/>
        </w:rPr>
      </w:pPr>
    </w:p>
    <w:p w14:paraId="535812E2" w14:textId="2D82994D" w:rsidR="00596498" w:rsidRPr="00C05E86" w:rsidRDefault="00902485" w:rsidP="00C05E86">
      <w:pPr>
        <w:spacing w:before="120" w:after="120"/>
        <w:jc w:val="center"/>
        <w:rPr>
          <w:rFonts w:cs="Tahoma"/>
          <w:b/>
          <w:sz w:val="24"/>
        </w:rPr>
        <w:sectPr w:rsidR="00596498" w:rsidRPr="00C05E86" w:rsidSect="00466FC1">
          <w:footerReference w:type="even" r:id="rId8"/>
          <w:footerReference w:type="default" r:id="rId9"/>
          <w:pgSz w:w="11906" w:h="16838"/>
          <w:pgMar w:top="1077" w:right="1134" w:bottom="1077" w:left="1418" w:header="709" w:footer="709" w:gutter="0"/>
          <w:cols w:space="708"/>
          <w:titlePg/>
          <w:docGrid w:linePitch="360"/>
        </w:sectPr>
      </w:pPr>
      <w:r w:rsidRPr="00C05E86">
        <w:rPr>
          <w:rFonts w:cs="Tahoma"/>
          <w:b/>
          <w:sz w:val="24"/>
        </w:rPr>
        <w:t>Moscow 2026</w:t>
      </w:r>
    </w:p>
    <w:p w14:paraId="74D93EA4" w14:textId="77777777" w:rsidR="00DF65DB" w:rsidRPr="00C05E86" w:rsidRDefault="00047157" w:rsidP="00C05E86">
      <w:pPr>
        <w:spacing w:before="120" w:after="120"/>
        <w:jc w:val="center"/>
        <w:rPr>
          <w:rFonts w:cs="Tahoma"/>
          <w:b/>
        </w:rPr>
      </w:pPr>
      <w:r w:rsidRPr="00C05E86">
        <w:rPr>
          <w:rFonts w:cs="Tahoma"/>
          <w:b/>
        </w:rPr>
        <w:lastRenderedPageBreak/>
        <w:t>CONTENTS</w:t>
      </w:r>
    </w:p>
    <w:p w14:paraId="2057F86B" w14:textId="5D7551F6" w:rsidR="00C05E86" w:rsidRPr="00C05E86" w:rsidRDefault="00047157" w:rsidP="00C05E86">
      <w:pPr>
        <w:pStyle w:val="14"/>
        <w:rPr>
          <w:rFonts w:eastAsiaTheme="minorEastAsia" w:cs="Tahoma"/>
          <w:b w:val="0"/>
          <w:bCs w:val="0"/>
          <w:caps w:val="0"/>
          <w:noProof/>
          <w:sz w:val="22"/>
          <w:szCs w:val="22"/>
          <w:lang w:val="ru-RU"/>
        </w:rPr>
      </w:pPr>
      <w:r w:rsidRPr="00C05E86">
        <w:rPr>
          <w:rFonts w:cs="Tahoma"/>
        </w:rPr>
        <w:fldChar w:fldCharType="begin"/>
      </w:r>
      <w:r w:rsidRPr="00C05E86">
        <w:rPr>
          <w:rFonts w:cs="Tahoma"/>
        </w:rPr>
        <w:instrText xml:space="preserve"> TOC \o "2-3" \h \z \t "Заголовок 1;1;Название;2" </w:instrText>
      </w:r>
      <w:r w:rsidRPr="00C05E86">
        <w:rPr>
          <w:rFonts w:cs="Tahoma"/>
        </w:rPr>
        <w:fldChar w:fldCharType="separate"/>
      </w:r>
      <w:hyperlink w:anchor="_Toc223536970" w:history="1">
        <w:r w:rsidR="00C05E86" w:rsidRPr="00C05E86">
          <w:rPr>
            <w:rStyle w:val="a8"/>
            <w:rFonts w:cs="Tahoma"/>
            <w:noProof/>
          </w:rPr>
          <w:t>1.</w:t>
        </w:r>
        <w:r w:rsidR="00C05E86" w:rsidRPr="00C05E86">
          <w:rPr>
            <w:rFonts w:eastAsiaTheme="minorEastAsia" w:cs="Tahoma"/>
            <w:b w:val="0"/>
            <w:bCs w:val="0"/>
            <w:caps w:val="0"/>
            <w:noProof/>
            <w:sz w:val="22"/>
            <w:szCs w:val="22"/>
            <w:lang w:val="ru-RU"/>
          </w:rPr>
          <w:tab/>
        </w:r>
        <w:r w:rsidR="00C05E86" w:rsidRPr="00C05E86">
          <w:rPr>
            <w:rStyle w:val="a8"/>
            <w:rFonts w:cs="Tahoma"/>
            <w:noProof/>
          </w:rPr>
          <w:t>Introduction</w:t>
        </w:r>
        <w:r w:rsidR="00C05E86" w:rsidRPr="00C05E86">
          <w:rPr>
            <w:rFonts w:cs="Tahoma"/>
            <w:noProof/>
            <w:webHidden/>
          </w:rPr>
          <w:tab/>
        </w:r>
        <w:r w:rsidR="00C05E86" w:rsidRPr="00C05E86">
          <w:rPr>
            <w:rFonts w:cs="Tahoma"/>
            <w:noProof/>
            <w:webHidden/>
          </w:rPr>
          <w:fldChar w:fldCharType="begin"/>
        </w:r>
        <w:r w:rsidR="00C05E86" w:rsidRPr="00C05E86">
          <w:rPr>
            <w:rFonts w:cs="Tahoma"/>
            <w:noProof/>
            <w:webHidden/>
          </w:rPr>
          <w:instrText xml:space="preserve"> PAGEREF _Toc223536970 \h </w:instrText>
        </w:r>
        <w:r w:rsidR="00C05E86" w:rsidRPr="00C05E86">
          <w:rPr>
            <w:rFonts w:cs="Tahoma"/>
            <w:noProof/>
            <w:webHidden/>
          </w:rPr>
        </w:r>
        <w:r w:rsidR="00C05E86" w:rsidRPr="00C05E86">
          <w:rPr>
            <w:rFonts w:cs="Tahoma"/>
            <w:noProof/>
            <w:webHidden/>
          </w:rPr>
          <w:fldChar w:fldCharType="separate"/>
        </w:r>
        <w:r w:rsidR="00C05E86" w:rsidRPr="00C05E86">
          <w:rPr>
            <w:rFonts w:cs="Tahoma"/>
            <w:noProof/>
            <w:webHidden/>
          </w:rPr>
          <w:t>3</w:t>
        </w:r>
        <w:r w:rsidR="00C05E86" w:rsidRPr="00C05E86">
          <w:rPr>
            <w:rFonts w:cs="Tahoma"/>
            <w:noProof/>
            <w:webHidden/>
          </w:rPr>
          <w:fldChar w:fldCharType="end"/>
        </w:r>
      </w:hyperlink>
    </w:p>
    <w:p w14:paraId="69E1DE03" w14:textId="72B2BC7F" w:rsidR="00C05E86" w:rsidRPr="00C05E86" w:rsidRDefault="00C05E86" w:rsidP="00C05E86">
      <w:pPr>
        <w:pStyle w:val="23"/>
        <w:spacing w:before="120" w:after="120"/>
        <w:rPr>
          <w:rFonts w:eastAsiaTheme="minorEastAsia" w:cs="Tahoma"/>
          <w:noProof/>
          <w:sz w:val="22"/>
          <w:szCs w:val="22"/>
          <w:lang w:val="ru-RU"/>
        </w:rPr>
      </w:pPr>
      <w:hyperlink w:anchor="_Toc223536971" w:history="1">
        <w:r w:rsidRPr="00C05E86">
          <w:rPr>
            <w:rStyle w:val="a8"/>
            <w:rFonts w:cs="Tahoma"/>
            <w:noProof/>
          </w:rPr>
          <w:t>1.1.</w:t>
        </w:r>
        <w:r w:rsidRPr="00C05E86">
          <w:rPr>
            <w:rFonts w:eastAsiaTheme="minorEastAsia" w:cs="Tahoma"/>
            <w:noProof/>
            <w:sz w:val="22"/>
            <w:szCs w:val="22"/>
            <w:lang w:val="ru-RU"/>
          </w:rPr>
          <w:tab/>
        </w:r>
        <w:r w:rsidRPr="00C05E86">
          <w:rPr>
            <w:rStyle w:val="a8"/>
            <w:rFonts w:cs="Tahoma"/>
            <w:noProof/>
          </w:rPr>
          <w:t>Terms and definitions</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_Toc223536971 \h </w:instrText>
        </w:r>
        <w:r w:rsidRPr="00C05E86">
          <w:rPr>
            <w:rFonts w:cs="Tahoma"/>
            <w:noProof/>
            <w:webHidden/>
          </w:rPr>
        </w:r>
        <w:r w:rsidRPr="00C05E86">
          <w:rPr>
            <w:rFonts w:cs="Tahoma"/>
            <w:noProof/>
            <w:webHidden/>
          </w:rPr>
          <w:fldChar w:fldCharType="separate"/>
        </w:r>
        <w:r w:rsidRPr="00C05E86">
          <w:rPr>
            <w:rFonts w:cs="Tahoma"/>
            <w:noProof/>
            <w:webHidden/>
          </w:rPr>
          <w:t>3</w:t>
        </w:r>
        <w:r w:rsidRPr="00C05E86">
          <w:rPr>
            <w:rFonts w:cs="Tahoma"/>
            <w:noProof/>
            <w:webHidden/>
          </w:rPr>
          <w:fldChar w:fldCharType="end"/>
        </w:r>
      </w:hyperlink>
    </w:p>
    <w:p w14:paraId="190EFB53" w14:textId="1D6BBCB1" w:rsidR="00C05E86" w:rsidRPr="00C05E86" w:rsidRDefault="00C05E86" w:rsidP="00C05E86">
      <w:pPr>
        <w:pStyle w:val="23"/>
        <w:spacing w:before="120" w:after="120"/>
        <w:rPr>
          <w:rFonts w:eastAsiaTheme="minorEastAsia" w:cs="Tahoma"/>
          <w:noProof/>
          <w:sz w:val="22"/>
          <w:szCs w:val="22"/>
          <w:lang w:val="ru-RU"/>
        </w:rPr>
      </w:pPr>
      <w:hyperlink w:anchor="_Toc223536972" w:history="1">
        <w:r w:rsidRPr="00C05E86">
          <w:rPr>
            <w:rStyle w:val="a8"/>
            <w:rFonts w:cs="Tahoma"/>
            <w:noProof/>
          </w:rPr>
          <w:t>1.2.</w:t>
        </w:r>
        <w:r w:rsidRPr="00C05E86">
          <w:rPr>
            <w:rFonts w:eastAsiaTheme="minorEastAsia" w:cs="Tahoma"/>
            <w:noProof/>
            <w:sz w:val="22"/>
            <w:szCs w:val="22"/>
            <w:lang w:val="ru-RU"/>
          </w:rPr>
          <w:tab/>
        </w:r>
        <w:r w:rsidRPr="00C05E86">
          <w:rPr>
            <w:rStyle w:val="a8"/>
            <w:rFonts w:cs="Tahoma"/>
            <w:noProof/>
          </w:rPr>
          <w:t>Overview</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_Toc223536972 \h </w:instrText>
        </w:r>
        <w:r w:rsidRPr="00C05E86">
          <w:rPr>
            <w:rFonts w:cs="Tahoma"/>
            <w:noProof/>
            <w:webHidden/>
          </w:rPr>
        </w:r>
        <w:r w:rsidRPr="00C05E86">
          <w:rPr>
            <w:rFonts w:cs="Tahoma"/>
            <w:noProof/>
            <w:webHidden/>
          </w:rPr>
          <w:fldChar w:fldCharType="separate"/>
        </w:r>
        <w:r w:rsidRPr="00C05E86">
          <w:rPr>
            <w:rFonts w:cs="Tahoma"/>
            <w:noProof/>
            <w:webHidden/>
          </w:rPr>
          <w:t>3</w:t>
        </w:r>
        <w:r w:rsidRPr="00C05E86">
          <w:rPr>
            <w:rFonts w:cs="Tahoma"/>
            <w:noProof/>
            <w:webHidden/>
          </w:rPr>
          <w:fldChar w:fldCharType="end"/>
        </w:r>
      </w:hyperlink>
    </w:p>
    <w:p w14:paraId="6ECC57A5" w14:textId="2DBD4E34" w:rsidR="00C05E86" w:rsidRPr="00C05E86" w:rsidRDefault="00C05E86" w:rsidP="00C05E86">
      <w:pPr>
        <w:pStyle w:val="14"/>
        <w:rPr>
          <w:rFonts w:eastAsiaTheme="minorEastAsia" w:cs="Tahoma"/>
          <w:b w:val="0"/>
          <w:bCs w:val="0"/>
          <w:caps w:val="0"/>
          <w:noProof/>
          <w:sz w:val="22"/>
          <w:szCs w:val="22"/>
          <w:lang w:val="ru-RU"/>
        </w:rPr>
      </w:pPr>
      <w:hyperlink w:anchor="_Toc223536973" w:history="1">
        <w:r w:rsidRPr="00C05E86">
          <w:rPr>
            <w:rStyle w:val="a8"/>
            <w:rFonts w:cs="Tahoma"/>
            <w:noProof/>
          </w:rPr>
          <w:t>2.</w:t>
        </w:r>
        <w:r w:rsidRPr="00C05E86">
          <w:rPr>
            <w:rFonts w:eastAsiaTheme="minorEastAsia" w:cs="Tahoma"/>
            <w:b w:val="0"/>
            <w:bCs w:val="0"/>
            <w:caps w:val="0"/>
            <w:noProof/>
            <w:sz w:val="22"/>
            <w:szCs w:val="22"/>
            <w:lang w:val="ru-RU"/>
          </w:rPr>
          <w:tab/>
        </w:r>
        <w:r w:rsidRPr="00C05E86">
          <w:rPr>
            <w:rStyle w:val="a8"/>
            <w:rFonts w:cs="Tahoma"/>
            <w:noProof/>
          </w:rPr>
          <w:t>Index Calculation</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_Toc223536973 \h </w:instrText>
        </w:r>
        <w:r w:rsidRPr="00C05E86">
          <w:rPr>
            <w:rFonts w:cs="Tahoma"/>
            <w:noProof/>
            <w:webHidden/>
          </w:rPr>
        </w:r>
        <w:r w:rsidRPr="00C05E86">
          <w:rPr>
            <w:rFonts w:cs="Tahoma"/>
            <w:noProof/>
            <w:webHidden/>
          </w:rPr>
          <w:fldChar w:fldCharType="separate"/>
        </w:r>
        <w:r w:rsidRPr="00C05E86">
          <w:rPr>
            <w:rFonts w:cs="Tahoma"/>
            <w:noProof/>
            <w:webHidden/>
          </w:rPr>
          <w:t>3</w:t>
        </w:r>
        <w:r w:rsidRPr="00C05E86">
          <w:rPr>
            <w:rFonts w:cs="Tahoma"/>
            <w:noProof/>
            <w:webHidden/>
          </w:rPr>
          <w:fldChar w:fldCharType="end"/>
        </w:r>
      </w:hyperlink>
    </w:p>
    <w:p w14:paraId="304B537F" w14:textId="5F99A296" w:rsidR="00C05E86" w:rsidRPr="00C05E86" w:rsidRDefault="00C05E86" w:rsidP="00C05E86">
      <w:pPr>
        <w:pStyle w:val="23"/>
        <w:spacing w:before="120" w:after="120"/>
        <w:rPr>
          <w:rFonts w:eastAsiaTheme="minorEastAsia" w:cs="Tahoma"/>
          <w:noProof/>
          <w:sz w:val="22"/>
          <w:szCs w:val="22"/>
          <w:lang w:val="ru-RU"/>
        </w:rPr>
      </w:pPr>
      <w:hyperlink w:anchor="_Toc223536974" w:history="1">
        <w:r w:rsidRPr="00C05E86">
          <w:rPr>
            <w:rStyle w:val="a8"/>
            <w:rFonts w:cs="Tahoma"/>
            <w:noProof/>
          </w:rPr>
          <w:t>2.1.</w:t>
        </w:r>
        <w:r w:rsidRPr="00C05E86">
          <w:rPr>
            <w:rFonts w:eastAsiaTheme="minorEastAsia" w:cs="Tahoma"/>
            <w:noProof/>
            <w:sz w:val="22"/>
            <w:szCs w:val="22"/>
            <w:lang w:val="ru-RU"/>
          </w:rPr>
          <w:tab/>
        </w:r>
        <w:r w:rsidRPr="00C05E86">
          <w:rPr>
            <w:rStyle w:val="a8"/>
            <w:rFonts w:cs="Tahoma"/>
            <w:noProof/>
          </w:rPr>
          <w:t>Source Data for Index Calculation</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_Toc223536974 \h </w:instrText>
        </w:r>
        <w:r w:rsidRPr="00C05E86">
          <w:rPr>
            <w:rFonts w:cs="Tahoma"/>
            <w:noProof/>
            <w:webHidden/>
          </w:rPr>
        </w:r>
        <w:r w:rsidRPr="00C05E86">
          <w:rPr>
            <w:rFonts w:cs="Tahoma"/>
            <w:noProof/>
            <w:webHidden/>
          </w:rPr>
          <w:fldChar w:fldCharType="separate"/>
        </w:r>
        <w:r w:rsidRPr="00C05E86">
          <w:rPr>
            <w:rFonts w:cs="Tahoma"/>
            <w:noProof/>
            <w:webHidden/>
          </w:rPr>
          <w:t>3</w:t>
        </w:r>
        <w:r w:rsidRPr="00C05E86">
          <w:rPr>
            <w:rFonts w:cs="Tahoma"/>
            <w:noProof/>
            <w:webHidden/>
          </w:rPr>
          <w:fldChar w:fldCharType="end"/>
        </w:r>
      </w:hyperlink>
    </w:p>
    <w:p w14:paraId="54CF0108" w14:textId="4D540811" w:rsidR="00C05E86" w:rsidRPr="00C05E86" w:rsidRDefault="00C05E86" w:rsidP="00C05E86">
      <w:pPr>
        <w:pStyle w:val="23"/>
        <w:spacing w:before="120" w:after="120"/>
        <w:rPr>
          <w:rFonts w:eastAsiaTheme="minorEastAsia" w:cs="Tahoma"/>
          <w:noProof/>
          <w:sz w:val="22"/>
          <w:szCs w:val="22"/>
          <w:lang w:val="ru-RU"/>
        </w:rPr>
      </w:pPr>
      <w:hyperlink w:anchor="_Toc223536975" w:history="1">
        <w:r w:rsidRPr="00C05E86">
          <w:rPr>
            <w:rStyle w:val="a8"/>
            <w:rFonts w:cs="Tahoma"/>
            <w:noProof/>
          </w:rPr>
          <w:t>2.2.</w:t>
        </w:r>
        <w:r w:rsidRPr="00C05E86">
          <w:rPr>
            <w:rFonts w:eastAsiaTheme="minorEastAsia" w:cs="Tahoma"/>
            <w:noProof/>
            <w:sz w:val="22"/>
            <w:szCs w:val="22"/>
            <w:lang w:val="ru-RU"/>
          </w:rPr>
          <w:tab/>
        </w:r>
        <w:r w:rsidRPr="00C05E86">
          <w:rPr>
            <w:rStyle w:val="a8"/>
            <w:rFonts w:cs="Tahoma"/>
            <w:noProof/>
          </w:rPr>
          <w:t>Procedure for Index Calculation</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_Toc223536975 \h </w:instrText>
        </w:r>
        <w:r w:rsidRPr="00C05E86">
          <w:rPr>
            <w:rFonts w:cs="Tahoma"/>
            <w:noProof/>
            <w:webHidden/>
          </w:rPr>
        </w:r>
        <w:r w:rsidRPr="00C05E86">
          <w:rPr>
            <w:rFonts w:cs="Tahoma"/>
            <w:noProof/>
            <w:webHidden/>
          </w:rPr>
          <w:fldChar w:fldCharType="separate"/>
        </w:r>
        <w:r w:rsidRPr="00C05E86">
          <w:rPr>
            <w:rFonts w:cs="Tahoma"/>
            <w:noProof/>
            <w:webHidden/>
          </w:rPr>
          <w:t>4</w:t>
        </w:r>
        <w:r w:rsidRPr="00C05E86">
          <w:rPr>
            <w:rFonts w:cs="Tahoma"/>
            <w:noProof/>
            <w:webHidden/>
          </w:rPr>
          <w:fldChar w:fldCharType="end"/>
        </w:r>
      </w:hyperlink>
    </w:p>
    <w:p w14:paraId="24677E34" w14:textId="6125E9CA" w:rsidR="00C05E86" w:rsidRPr="00C05E86" w:rsidRDefault="00C05E86" w:rsidP="00C05E86">
      <w:pPr>
        <w:pStyle w:val="23"/>
        <w:spacing w:before="120" w:after="120"/>
        <w:rPr>
          <w:rFonts w:eastAsiaTheme="minorEastAsia" w:cs="Tahoma"/>
          <w:noProof/>
          <w:sz w:val="22"/>
          <w:szCs w:val="22"/>
          <w:lang w:val="ru-RU"/>
        </w:rPr>
      </w:pPr>
      <w:hyperlink w:anchor="_Toc223536976" w:history="1">
        <w:r w:rsidRPr="00C05E86">
          <w:rPr>
            <w:rStyle w:val="a8"/>
            <w:rFonts w:cs="Tahoma"/>
            <w:noProof/>
          </w:rPr>
          <w:t>2.3.</w:t>
        </w:r>
        <w:r w:rsidRPr="00C05E86">
          <w:rPr>
            <w:rFonts w:eastAsiaTheme="minorEastAsia" w:cs="Tahoma"/>
            <w:noProof/>
            <w:sz w:val="22"/>
            <w:szCs w:val="22"/>
            <w:lang w:val="ru-RU"/>
          </w:rPr>
          <w:tab/>
        </w:r>
        <w:r w:rsidRPr="00C05E86">
          <w:rPr>
            <w:rStyle w:val="a8"/>
            <w:rFonts w:cs="Tahoma"/>
            <w:noProof/>
          </w:rPr>
          <w:t>How the Weight of a Real Estate Segment in the Index (Wᵢ) is Determined</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_Toc223536976 \h </w:instrText>
        </w:r>
        <w:r w:rsidRPr="00C05E86">
          <w:rPr>
            <w:rFonts w:cs="Tahoma"/>
            <w:noProof/>
            <w:webHidden/>
          </w:rPr>
        </w:r>
        <w:r w:rsidRPr="00C05E86">
          <w:rPr>
            <w:rFonts w:cs="Tahoma"/>
            <w:noProof/>
            <w:webHidden/>
          </w:rPr>
          <w:fldChar w:fldCharType="separate"/>
        </w:r>
        <w:r w:rsidRPr="00C05E86">
          <w:rPr>
            <w:rFonts w:cs="Tahoma"/>
            <w:noProof/>
            <w:webHidden/>
          </w:rPr>
          <w:t>4</w:t>
        </w:r>
        <w:r w:rsidRPr="00C05E86">
          <w:rPr>
            <w:rFonts w:cs="Tahoma"/>
            <w:noProof/>
            <w:webHidden/>
          </w:rPr>
          <w:fldChar w:fldCharType="end"/>
        </w:r>
      </w:hyperlink>
    </w:p>
    <w:p w14:paraId="316152C1" w14:textId="1C90382C" w:rsidR="00C05E86" w:rsidRPr="00C05E86" w:rsidRDefault="00C05E86" w:rsidP="00C05E86">
      <w:pPr>
        <w:pStyle w:val="14"/>
        <w:rPr>
          <w:rFonts w:eastAsiaTheme="minorEastAsia" w:cs="Tahoma"/>
          <w:b w:val="0"/>
          <w:bCs w:val="0"/>
          <w:caps w:val="0"/>
          <w:noProof/>
          <w:sz w:val="22"/>
          <w:szCs w:val="22"/>
          <w:lang w:val="ru-RU"/>
        </w:rPr>
      </w:pPr>
      <w:hyperlink w:anchor="_Toc223536977" w:history="1">
        <w:r w:rsidRPr="00C05E86">
          <w:rPr>
            <w:rStyle w:val="a8"/>
            <w:rFonts w:cs="Tahoma"/>
            <w:noProof/>
          </w:rPr>
          <w:t>3.</w:t>
        </w:r>
        <w:r w:rsidRPr="00C05E86">
          <w:rPr>
            <w:rFonts w:eastAsiaTheme="minorEastAsia" w:cs="Tahoma"/>
            <w:b w:val="0"/>
            <w:bCs w:val="0"/>
            <w:caps w:val="0"/>
            <w:noProof/>
            <w:sz w:val="22"/>
            <w:szCs w:val="22"/>
            <w:lang w:val="ru-RU"/>
          </w:rPr>
          <w:tab/>
        </w:r>
        <w:r w:rsidRPr="00C05E86">
          <w:rPr>
            <w:rStyle w:val="a8"/>
            <w:rFonts w:cs="Tahoma"/>
            <w:noProof/>
          </w:rPr>
          <w:t>Index Construction and Review</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_Toc223536977 \h </w:instrText>
        </w:r>
        <w:r w:rsidRPr="00C05E86">
          <w:rPr>
            <w:rFonts w:cs="Tahoma"/>
            <w:noProof/>
            <w:webHidden/>
          </w:rPr>
        </w:r>
        <w:r w:rsidRPr="00C05E86">
          <w:rPr>
            <w:rFonts w:cs="Tahoma"/>
            <w:noProof/>
            <w:webHidden/>
          </w:rPr>
          <w:fldChar w:fldCharType="separate"/>
        </w:r>
        <w:r w:rsidRPr="00C05E86">
          <w:rPr>
            <w:rFonts w:cs="Tahoma"/>
            <w:noProof/>
            <w:webHidden/>
          </w:rPr>
          <w:t>5</w:t>
        </w:r>
        <w:r w:rsidRPr="00C05E86">
          <w:rPr>
            <w:rFonts w:cs="Tahoma"/>
            <w:noProof/>
            <w:webHidden/>
          </w:rPr>
          <w:fldChar w:fldCharType="end"/>
        </w:r>
      </w:hyperlink>
    </w:p>
    <w:p w14:paraId="7DB082FC" w14:textId="1F99AABB" w:rsidR="00C05E86" w:rsidRPr="00C05E86" w:rsidRDefault="00C05E86" w:rsidP="00C05E86">
      <w:pPr>
        <w:pStyle w:val="23"/>
        <w:spacing w:before="120" w:after="120"/>
        <w:rPr>
          <w:rFonts w:eastAsiaTheme="minorEastAsia" w:cs="Tahoma"/>
          <w:noProof/>
          <w:sz w:val="22"/>
          <w:szCs w:val="22"/>
          <w:lang w:val="ru-RU"/>
        </w:rPr>
      </w:pPr>
      <w:hyperlink w:anchor="_Toc223536978" w:history="1">
        <w:r w:rsidRPr="00C05E86">
          <w:rPr>
            <w:rStyle w:val="a8"/>
            <w:rFonts w:cs="Tahoma"/>
            <w:noProof/>
          </w:rPr>
          <w:t>3.1.</w:t>
        </w:r>
        <w:r w:rsidRPr="00C05E86">
          <w:rPr>
            <w:rFonts w:eastAsiaTheme="minorEastAsia" w:cs="Tahoma"/>
            <w:noProof/>
            <w:sz w:val="22"/>
            <w:szCs w:val="22"/>
            <w:lang w:val="ru-RU"/>
          </w:rPr>
          <w:tab/>
        </w:r>
        <w:r w:rsidRPr="00C05E86">
          <w:rPr>
            <w:rStyle w:val="a8"/>
            <w:rFonts w:cs="Tahoma"/>
            <w:noProof/>
          </w:rPr>
          <w:t>Index Construction Principles</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_Toc223536978 \h </w:instrText>
        </w:r>
        <w:r w:rsidRPr="00C05E86">
          <w:rPr>
            <w:rFonts w:cs="Tahoma"/>
            <w:noProof/>
            <w:webHidden/>
          </w:rPr>
        </w:r>
        <w:r w:rsidRPr="00C05E86">
          <w:rPr>
            <w:rFonts w:cs="Tahoma"/>
            <w:noProof/>
            <w:webHidden/>
          </w:rPr>
          <w:fldChar w:fldCharType="separate"/>
        </w:r>
        <w:r w:rsidRPr="00C05E86">
          <w:rPr>
            <w:rFonts w:cs="Tahoma"/>
            <w:noProof/>
            <w:webHidden/>
          </w:rPr>
          <w:t>5</w:t>
        </w:r>
        <w:r w:rsidRPr="00C05E86">
          <w:rPr>
            <w:rFonts w:cs="Tahoma"/>
            <w:noProof/>
            <w:webHidden/>
          </w:rPr>
          <w:fldChar w:fldCharType="end"/>
        </w:r>
      </w:hyperlink>
    </w:p>
    <w:p w14:paraId="779E0BAF" w14:textId="6EC8A565" w:rsidR="00C05E86" w:rsidRPr="00C05E86" w:rsidRDefault="00C05E86" w:rsidP="00C05E86">
      <w:pPr>
        <w:pStyle w:val="23"/>
        <w:spacing w:before="120" w:after="120"/>
        <w:rPr>
          <w:rFonts w:eastAsiaTheme="minorEastAsia" w:cs="Tahoma"/>
          <w:noProof/>
          <w:sz w:val="22"/>
          <w:szCs w:val="22"/>
          <w:lang w:val="ru-RU"/>
        </w:rPr>
      </w:pPr>
      <w:hyperlink w:anchor="_Toc223536979" w:history="1">
        <w:r w:rsidRPr="00C05E86">
          <w:rPr>
            <w:rStyle w:val="a8"/>
            <w:rFonts w:cs="Tahoma"/>
            <w:noProof/>
          </w:rPr>
          <w:t>3.2.</w:t>
        </w:r>
        <w:r w:rsidRPr="00C05E86">
          <w:rPr>
            <w:rFonts w:eastAsiaTheme="minorEastAsia" w:cs="Tahoma"/>
            <w:noProof/>
            <w:sz w:val="22"/>
            <w:szCs w:val="22"/>
            <w:lang w:val="ru-RU"/>
          </w:rPr>
          <w:tab/>
        </w:r>
        <w:r w:rsidRPr="00C05E86">
          <w:rPr>
            <w:rStyle w:val="a8"/>
            <w:rFonts w:cs="Tahoma"/>
            <w:noProof/>
          </w:rPr>
          <w:t>Index Review</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_Toc223536979 \h </w:instrText>
        </w:r>
        <w:r w:rsidRPr="00C05E86">
          <w:rPr>
            <w:rFonts w:cs="Tahoma"/>
            <w:noProof/>
            <w:webHidden/>
          </w:rPr>
        </w:r>
        <w:r w:rsidRPr="00C05E86">
          <w:rPr>
            <w:rFonts w:cs="Tahoma"/>
            <w:noProof/>
            <w:webHidden/>
          </w:rPr>
          <w:fldChar w:fldCharType="separate"/>
        </w:r>
        <w:r w:rsidRPr="00C05E86">
          <w:rPr>
            <w:rFonts w:cs="Tahoma"/>
            <w:noProof/>
            <w:webHidden/>
          </w:rPr>
          <w:t>5</w:t>
        </w:r>
        <w:r w:rsidRPr="00C05E86">
          <w:rPr>
            <w:rFonts w:cs="Tahoma"/>
            <w:noProof/>
            <w:webHidden/>
          </w:rPr>
          <w:fldChar w:fldCharType="end"/>
        </w:r>
      </w:hyperlink>
    </w:p>
    <w:p w14:paraId="05332872" w14:textId="23F3071A" w:rsidR="00C05E86" w:rsidRPr="00C05E86" w:rsidRDefault="00C05E86" w:rsidP="00C05E86">
      <w:pPr>
        <w:pStyle w:val="14"/>
        <w:rPr>
          <w:rFonts w:eastAsiaTheme="minorEastAsia" w:cs="Tahoma"/>
          <w:b w:val="0"/>
          <w:bCs w:val="0"/>
          <w:caps w:val="0"/>
          <w:noProof/>
          <w:sz w:val="22"/>
          <w:szCs w:val="22"/>
          <w:lang w:val="ru-RU"/>
        </w:rPr>
      </w:pPr>
      <w:hyperlink w:anchor="_Toc223536980" w:history="1">
        <w:r w:rsidRPr="00C05E86">
          <w:rPr>
            <w:rStyle w:val="a8"/>
            <w:rFonts w:cs="Tahoma"/>
            <w:noProof/>
          </w:rPr>
          <w:t>4.</w:t>
        </w:r>
        <w:r w:rsidRPr="00C05E86">
          <w:rPr>
            <w:rFonts w:eastAsiaTheme="minorEastAsia" w:cs="Tahoma"/>
            <w:b w:val="0"/>
            <w:bCs w:val="0"/>
            <w:caps w:val="0"/>
            <w:noProof/>
            <w:sz w:val="22"/>
            <w:szCs w:val="22"/>
            <w:lang w:val="ru-RU"/>
          </w:rPr>
          <w:tab/>
        </w:r>
        <w:r w:rsidRPr="00C05E86">
          <w:rPr>
            <w:rStyle w:val="a8"/>
            <w:rFonts w:cs="Tahoma"/>
            <w:noProof/>
          </w:rPr>
          <w:t>Index Calculation Frequency and Disclosure</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_Toc223536980 \h </w:instrText>
        </w:r>
        <w:r w:rsidRPr="00C05E86">
          <w:rPr>
            <w:rFonts w:cs="Tahoma"/>
            <w:noProof/>
            <w:webHidden/>
          </w:rPr>
        </w:r>
        <w:r w:rsidRPr="00C05E86">
          <w:rPr>
            <w:rFonts w:cs="Tahoma"/>
            <w:noProof/>
            <w:webHidden/>
          </w:rPr>
          <w:fldChar w:fldCharType="separate"/>
        </w:r>
        <w:r w:rsidRPr="00C05E86">
          <w:rPr>
            <w:rFonts w:cs="Tahoma"/>
            <w:noProof/>
            <w:webHidden/>
          </w:rPr>
          <w:t>5</w:t>
        </w:r>
        <w:r w:rsidRPr="00C05E86">
          <w:rPr>
            <w:rFonts w:cs="Tahoma"/>
            <w:noProof/>
            <w:webHidden/>
          </w:rPr>
          <w:fldChar w:fldCharType="end"/>
        </w:r>
      </w:hyperlink>
    </w:p>
    <w:p w14:paraId="16A3583C" w14:textId="6663A2D4" w:rsidR="00C05E86" w:rsidRPr="00C05E86" w:rsidRDefault="00C05E86" w:rsidP="00C05E86">
      <w:pPr>
        <w:pStyle w:val="23"/>
        <w:spacing w:before="120" w:after="120"/>
        <w:rPr>
          <w:rFonts w:eastAsiaTheme="minorEastAsia" w:cs="Tahoma"/>
          <w:noProof/>
          <w:sz w:val="22"/>
          <w:szCs w:val="22"/>
          <w:lang w:val="ru-RU"/>
        </w:rPr>
      </w:pPr>
      <w:hyperlink w:anchor="_Toc223536981" w:history="1">
        <w:r w:rsidRPr="00C05E86">
          <w:rPr>
            <w:rStyle w:val="a8"/>
            <w:rFonts w:cs="Tahoma"/>
            <w:noProof/>
          </w:rPr>
          <w:t>4.1.</w:t>
        </w:r>
        <w:r w:rsidRPr="00C05E86">
          <w:rPr>
            <w:rFonts w:eastAsiaTheme="minorEastAsia" w:cs="Tahoma"/>
            <w:noProof/>
            <w:sz w:val="22"/>
            <w:szCs w:val="22"/>
            <w:lang w:val="ru-RU"/>
          </w:rPr>
          <w:tab/>
        </w:r>
        <w:r w:rsidRPr="00C05E86">
          <w:rPr>
            <w:rStyle w:val="a8"/>
            <w:rFonts w:cs="Tahoma"/>
            <w:noProof/>
          </w:rPr>
          <w:t>Expert Council</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_Toc223536981 \h </w:instrText>
        </w:r>
        <w:r w:rsidRPr="00C05E86">
          <w:rPr>
            <w:rFonts w:cs="Tahoma"/>
            <w:noProof/>
            <w:webHidden/>
          </w:rPr>
        </w:r>
        <w:r w:rsidRPr="00C05E86">
          <w:rPr>
            <w:rFonts w:cs="Tahoma"/>
            <w:noProof/>
            <w:webHidden/>
          </w:rPr>
          <w:fldChar w:fldCharType="separate"/>
        </w:r>
        <w:r w:rsidRPr="00C05E86">
          <w:rPr>
            <w:rFonts w:cs="Tahoma"/>
            <w:noProof/>
            <w:webHidden/>
          </w:rPr>
          <w:t>5</w:t>
        </w:r>
        <w:r w:rsidRPr="00C05E86">
          <w:rPr>
            <w:rFonts w:cs="Tahoma"/>
            <w:noProof/>
            <w:webHidden/>
          </w:rPr>
          <w:fldChar w:fldCharType="end"/>
        </w:r>
      </w:hyperlink>
    </w:p>
    <w:p w14:paraId="137CBFD4" w14:textId="4FBCFB95" w:rsidR="00C05E86" w:rsidRPr="00C05E86" w:rsidRDefault="00C05E86" w:rsidP="00C05E86">
      <w:pPr>
        <w:pStyle w:val="23"/>
        <w:spacing w:before="120" w:after="120"/>
        <w:rPr>
          <w:rFonts w:eastAsiaTheme="minorEastAsia" w:cs="Tahoma"/>
          <w:noProof/>
          <w:sz w:val="22"/>
          <w:szCs w:val="22"/>
          <w:lang w:val="ru-RU"/>
        </w:rPr>
      </w:pPr>
      <w:hyperlink w:anchor="_Toc223536982" w:history="1">
        <w:r w:rsidRPr="00C05E86">
          <w:rPr>
            <w:rStyle w:val="a8"/>
            <w:rFonts w:cs="Tahoma"/>
            <w:noProof/>
          </w:rPr>
          <w:t>4.2.</w:t>
        </w:r>
        <w:r w:rsidRPr="00C05E86">
          <w:rPr>
            <w:rFonts w:eastAsiaTheme="minorEastAsia" w:cs="Tahoma"/>
            <w:noProof/>
            <w:sz w:val="22"/>
            <w:szCs w:val="22"/>
            <w:lang w:val="ru-RU"/>
          </w:rPr>
          <w:tab/>
        </w:r>
        <w:r w:rsidRPr="00C05E86">
          <w:rPr>
            <w:rStyle w:val="a8"/>
            <w:rFonts w:cs="Tahoma"/>
            <w:noProof/>
          </w:rPr>
          <w:t>Schedule of Index Calculation</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_Toc223536982 \h </w:instrText>
        </w:r>
        <w:r w:rsidRPr="00C05E86">
          <w:rPr>
            <w:rFonts w:cs="Tahoma"/>
            <w:noProof/>
            <w:webHidden/>
          </w:rPr>
        </w:r>
        <w:r w:rsidRPr="00C05E86">
          <w:rPr>
            <w:rFonts w:cs="Tahoma"/>
            <w:noProof/>
            <w:webHidden/>
          </w:rPr>
          <w:fldChar w:fldCharType="separate"/>
        </w:r>
        <w:r w:rsidRPr="00C05E86">
          <w:rPr>
            <w:rFonts w:cs="Tahoma"/>
            <w:noProof/>
            <w:webHidden/>
          </w:rPr>
          <w:t>5</w:t>
        </w:r>
        <w:r w:rsidRPr="00C05E86">
          <w:rPr>
            <w:rFonts w:cs="Tahoma"/>
            <w:noProof/>
            <w:webHidden/>
          </w:rPr>
          <w:fldChar w:fldCharType="end"/>
        </w:r>
      </w:hyperlink>
    </w:p>
    <w:p w14:paraId="33D7ED2D" w14:textId="5EBF8C7C" w:rsidR="00C05E86" w:rsidRPr="00C05E86" w:rsidRDefault="00C05E86" w:rsidP="00C05E86">
      <w:pPr>
        <w:pStyle w:val="23"/>
        <w:spacing w:before="120" w:after="120"/>
        <w:rPr>
          <w:rFonts w:eastAsiaTheme="minorEastAsia" w:cs="Tahoma"/>
          <w:noProof/>
          <w:sz w:val="22"/>
          <w:szCs w:val="22"/>
          <w:lang w:val="ru-RU"/>
        </w:rPr>
      </w:pPr>
      <w:hyperlink w:anchor="_Toc223536983" w:history="1">
        <w:r w:rsidRPr="00C05E86">
          <w:rPr>
            <w:rStyle w:val="a8"/>
            <w:rFonts w:cs="Tahoma"/>
            <w:noProof/>
          </w:rPr>
          <w:t>4.3.</w:t>
        </w:r>
        <w:r w:rsidRPr="00C05E86">
          <w:rPr>
            <w:rFonts w:eastAsiaTheme="minorEastAsia" w:cs="Tahoma"/>
            <w:noProof/>
            <w:sz w:val="22"/>
            <w:szCs w:val="22"/>
            <w:lang w:val="ru-RU"/>
          </w:rPr>
          <w:tab/>
        </w:r>
        <w:r w:rsidRPr="00C05E86">
          <w:rPr>
            <w:rStyle w:val="a8"/>
            <w:rFonts w:cs="Tahoma"/>
            <w:noProof/>
          </w:rPr>
          <w:t>Index Calculation Supervision</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_Toc223536983 \h </w:instrText>
        </w:r>
        <w:r w:rsidRPr="00C05E86">
          <w:rPr>
            <w:rFonts w:cs="Tahoma"/>
            <w:noProof/>
            <w:webHidden/>
          </w:rPr>
        </w:r>
        <w:r w:rsidRPr="00C05E86">
          <w:rPr>
            <w:rFonts w:cs="Tahoma"/>
            <w:noProof/>
            <w:webHidden/>
          </w:rPr>
          <w:fldChar w:fldCharType="separate"/>
        </w:r>
        <w:r w:rsidRPr="00C05E86">
          <w:rPr>
            <w:rFonts w:cs="Tahoma"/>
            <w:noProof/>
            <w:webHidden/>
          </w:rPr>
          <w:t>5</w:t>
        </w:r>
        <w:r w:rsidRPr="00C05E86">
          <w:rPr>
            <w:rFonts w:cs="Tahoma"/>
            <w:noProof/>
            <w:webHidden/>
          </w:rPr>
          <w:fldChar w:fldCharType="end"/>
        </w:r>
      </w:hyperlink>
    </w:p>
    <w:p w14:paraId="7DB2A3EC" w14:textId="37984A09" w:rsidR="00C05E86" w:rsidRPr="00C05E86" w:rsidRDefault="00C05E86" w:rsidP="00C05E86">
      <w:pPr>
        <w:pStyle w:val="23"/>
        <w:spacing w:before="120" w:after="120"/>
        <w:rPr>
          <w:rFonts w:eastAsiaTheme="minorEastAsia" w:cs="Tahoma"/>
          <w:noProof/>
          <w:sz w:val="22"/>
          <w:szCs w:val="22"/>
          <w:lang w:val="ru-RU"/>
        </w:rPr>
      </w:pPr>
      <w:hyperlink w:anchor="_Toc223536984" w:history="1">
        <w:r w:rsidRPr="00C05E86">
          <w:rPr>
            <w:rStyle w:val="a8"/>
            <w:rFonts w:cs="Tahoma"/>
            <w:noProof/>
          </w:rPr>
          <w:t>4.4.</w:t>
        </w:r>
        <w:r w:rsidRPr="00C05E86">
          <w:rPr>
            <w:rFonts w:eastAsiaTheme="minorEastAsia" w:cs="Tahoma"/>
            <w:noProof/>
            <w:sz w:val="22"/>
            <w:szCs w:val="22"/>
            <w:lang w:val="ru-RU"/>
          </w:rPr>
          <w:tab/>
        </w:r>
        <w:r w:rsidRPr="00C05E86">
          <w:rPr>
            <w:rStyle w:val="a8"/>
            <w:rFonts w:cs="Tahoma"/>
            <w:noProof/>
          </w:rPr>
          <w:t>Publication</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_Toc223536984 \h </w:instrText>
        </w:r>
        <w:r w:rsidRPr="00C05E86">
          <w:rPr>
            <w:rFonts w:cs="Tahoma"/>
            <w:noProof/>
            <w:webHidden/>
          </w:rPr>
        </w:r>
        <w:r w:rsidRPr="00C05E86">
          <w:rPr>
            <w:rFonts w:cs="Tahoma"/>
            <w:noProof/>
            <w:webHidden/>
          </w:rPr>
          <w:fldChar w:fldCharType="separate"/>
        </w:r>
        <w:r w:rsidRPr="00C05E86">
          <w:rPr>
            <w:rFonts w:cs="Tahoma"/>
            <w:noProof/>
            <w:webHidden/>
          </w:rPr>
          <w:t>6</w:t>
        </w:r>
        <w:r w:rsidRPr="00C05E86">
          <w:rPr>
            <w:rFonts w:cs="Tahoma"/>
            <w:noProof/>
            <w:webHidden/>
          </w:rPr>
          <w:fldChar w:fldCharType="end"/>
        </w:r>
      </w:hyperlink>
    </w:p>
    <w:p w14:paraId="49478700" w14:textId="61C94436" w:rsidR="00C05E86" w:rsidRPr="00C05E86" w:rsidRDefault="00C05E86" w:rsidP="00C05E86">
      <w:pPr>
        <w:pStyle w:val="14"/>
        <w:rPr>
          <w:rFonts w:eastAsiaTheme="minorEastAsia" w:cs="Tahoma"/>
          <w:b w:val="0"/>
          <w:bCs w:val="0"/>
          <w:caps w:val="0"/>
          <w:noProof/>
          <w:sz w:val="22"/>
          <w:szCs w:val="22"/>
          <w:lang w:val="ru-RU"/>
        </w:rPr>
      </w:pPr>
      <w:hyperlink w:anchor="_Toc223536985" w:history="1">
        <w:r w:rsidRPr="00C05E86">
          <w:rPr>
            <w:rStyle w:val="a8"/>
            <w:rFonts w:cs="Tahoma"/>
            <w:noProof/>
          </w:rPr>
          <w:t>Appendix 1</w:t>
        </w:r>
        <w:r w:rsidRPr="00C05E86">
          <w:rPr>
            <w:rFonts w:cs="Tahoma"/>
            <w:noProof/>
            <w:webHidden/>
          </w:rPr>
          <w:tab/>
        </w:r>
        <w:r w:rsidRPr="00C05E86">
          <w:rPr>
            <w:rFonts w:cs="Tahoma"/>
            <w:noProof/>
            <w:webHidden/>
          </w:rPr>
          <w:fldChar w:fldCharType="begin"/>
        </w:r>
        <w:r w:rsidRPr="00C05E86">
          <w:rPr>
            <w:rFonts w:cs="Tahoma"/>
            <w:noProof/>
            <w:webHidden/>
          </w:rPr>
          <w:instrText xml:space="preserve"> PAGEREF _Toc223536985 \h </w:instrText>
        </w:r>
        <w:r w:rsidRPr="00C05E86">
          <w:rPr>
            <w:rFonts w:cs="Tahoma"/>
            <w:noProof/>
            <w:webHidden/>
          </w:rPr>
        </w:r>
        <w:r w:rsidRPr="00C05E86">
          <w:rPr>
            <w:rFonts w:cs="Tahoma"/>
            <w:noProof/>
            <w:webHidden/>
          </w:rPr>
          <w:fldChar w:fldCharType="separate"/>
        </w:r>
        <w:r w:rsidRPr="00C05E86">
          <w:rPr>
            <w:rFonts w:cs="Tahoma"/>
            <w:noProof/>
            <w:webHidden/>
          </w:rPr>
          <w:t>7</w:t>
        </w:r>
        <w:r w:rsidRPr="00C05E86">
          <w:rPr>
            <w:rFonts w:cs="Tahoma"/>
            <w:noProof/>
            <w:webHidden/>
          </w:rPr>
          <w:fldChar w:fldCharType="end"/>
        </w:r>
      </w:hyperlink>
    </w:p>
    <w:p w14:paraId="3DEF2CE1" w14:textId="237A27DC" w:rsidR="00047157" w:rsidRPr="00C05E86" w:rsidRDefault="00047157" w:rsidP="00C05E86">
      <w:pPr>
        <w:spacing w:before="120" w:after="120"/>
        <w:rPr>
          <w:rFonts w:cs="Tahoma"/>
        </w:rPr>
      </w:pPr>
      <w:r w:rsidRPr="00C05E86">
        <w:rPr>
          <w:rFonts w:cs="Tahoma"/>
        </w:rPr>
        <w:fldChar w:fldCharType="end"/>
      </w:r>
    </w:p>
    <w:p w14:paraId="1B997F6B" w14:textId="77777777" w:rsidR="00A916CD" w:rsidRPr="00C05E86" w:rsidRDefault="00A916CD" w:rsidP="00C05E86">
      <w:pPr>
        <w:spacing w:before="120" w:after="120"/>
        <w:rPr>
          <w:rFonts w:cs="Tahoma"/>
        </w:rPr>
      </w:pPr>
    </w:p>
    <w:p w14:paraId="6AB9FC58" w14:textId="5DF13A56" w:rsidR="00E17B1E" w:rsidRPr="00C05E86" w:rsidRDefault="00DC523B" w:rsidP="00C05E86">
      <w:pPr>
        <w:pStyle w:val="10"/>
        <w:spacing w:before="120" w:after="120"/>
        <w:rPr>
          <w:rFonts w:cs="Tahoma"/>
        </w:rPr>
      </w:pPr>
      <w:r w:rsidRPr="00C05E86">
        <w:rPr>
          <w:rFonts w:cs="Tahoma"/>
        </w:rPr>
        <w:br w:type="page"/>
      </w:r>
      <w:bookmarkStart w:id="1" w:name="_Ref5027138"/>
      <w:bookmarkStart w:id="2" w:name="_Toc223536970"/>
      <w:r w:rsidRPr="00C05E86">
        <w:rPr>
          <w:rFonts w:cs="Tahoma"/>
        </w:rPr>
        <w:lastRenderedPageBreak/>
        <w:t>Introduction</w:t>
      </w:r>
      <w:bookmarkEnd w:id="1"/>
      <w:bookmarkEnd w:id="2"/>
    </w:p>
    <w:p w14:paraId="7C1298F4" w14:textId="57BEFB6C" w:rsidR="00AF15EE" w:rsidRPr="00C05E86" w:rsidRDefault="00CB6ACD" w:rsidP="00C05E86">
      <w:pPr>
        <w:pStyle w:val="a"/>
        <w:spacing w:before="120" w:after="120"/>
        <w:rPr>
          <w:rFonts w:cs="Tahoma"/>
        </w:rPr>
      </w:pPr>
      <w:bookmarkStart w:id="3" w:name="_Toc424122347"/>
      <w:bookmarkStart w:id="4" w:name="_Toc438206723"/>
      <w:bookmarkStart w:id="5" w:name="_Toc438206759"/>
      <w:bookmarkStart w:id="6" w:name="_Toc438206979"/>
      <w:bookmarkStart w:id="7" w:name="_Toc433902895"/>
      <w:bookmarkStart w:id="8" w:name="_Toc463443749"/>
      <w:bookmarkStart w:id="9" w:name="_Toc488065462"/>
      <w:bookmarkStart w:id="10" w:name="_Toc223536971"/>
      <w:r w:rsidRPr="00C05E86">
        <w:rPr>
          <w:rFonts w:cs="Tahoma"/>
        </w:rPr>
        <w:t>Terms and definitions</w:t>
      </w:r>
      <w:bookmarkEnd w:id="3"/>
      <w:bookmarkEnd w:id="4"/>
      <w:bookmarkEnd w:id="5"/>
      <w:bookmarkEnd w:id="6"/>
      <w:bookmarkEnd w:id="7"/>
      <w:bookmarkEnd w:id="8"/>
      <w:bookmarkEnd w:id="9"/>
      <w:bookmarkEnd w:id="10"/>
    </w:p>
    <w:p w14:paraId="7082B270" w14:textId="2CCD90B9" w:rsidR="007C42B0" w:rsidRPr="00C05E86" w:rsidRDefault="001D1A32" w:rsidP="00C05E86">
      <w:pPr>
        <w:pStyle w:val="30"/>
        <w:spacing w:before="120" w:after="120"/>
        <w:rPr>
          <w:rStyle w:val="af7"/>
          <w:rFonts w:ascii="Tahoma" w:hAnsi="Tahoma" w:cs="Tahoma"/>
        </w:rPr>
      </w:pPr>
      <w:bookmarkStart w:id="11" w:name="_Ref424309154"/>
      <w:r w:rsidRPr="00C05E86">
        <w:rPr>
          <w:rStyle w:val="af7"/>
          <w:rFonts w:ascii="Tahoma" w:hAnsi="Tahoma" w:cs="Tahoma"/>
        </w:rPr>
        <w:t xml:space="preserve">The following terms and definitions shall apply in this Methodology for calculating the Moscow Real Estate </w:t>
      </w:r>
      <w:proofErr w:type="spellStart"/>
      <w:r w:rsidRPr="00C05E86">
        <w:rPr>
          <w:rStyle w:val="af7"/>
          <w:rFonts w:ascii="Tahoma" w:hAnsi="Tahoma" w:cs="Tahoma"/>
        </w:rPr>
        <w:t>Dom</w:t>
      </w:r>
      <w:r w:rsidR="00C05E86" w:rsidRPr="00C05E86">
        <w:rPr>
          <w:rStyle w:val="af7"/>
          <w:rFonts w:ascii="Tahoma" w:hAnsi="Tahoma" w:cs="Tahoma"/>
        </w:rPr>
        <w:t>c</w:t>
      </w:r>
      <w:r w:rsidRPr="00C05E86">
        <w:rPr>
          <w:rStyle w:val="af7"/>
          <w:rFonts w:ascii="Tahoma" w:hAnsi="Tahoma" w:cs="Tahoma"/>
        </w:rPr>
        <w:t>lick</w:t>
      </w:r>
      <w:proofErr w:type="spellEnd"/>
      <w:r w:rsidRPr="00C05E86">
        <w:rPr>
          <w:rStyle w:val="af7"/>
          <w:rFonts w:ascii="Tahoma" w:hAnsi="Tahoma" w:cs="Tahoma"/>
        </w:rPr>
        <w:t xml:space="preserve"> Index by Public Joint-Stock Company Moscow Exchange MICEX-RTS (the "Methodology"):</w:t>
      </w:r>
      <w:bookmarkEnd w:id="11"/>
    </w:p>
    <w:p w14:paraId="7FB6093B" w14:textId="3EB715A8" w:rsidR="00D16E10" w:rsidRPr="00C05E86" w:rsidRDefault="00A8347F" w:rsidP="00C05E86">
      <w:pPr>
        <w:pStyle w:val="11"/>
        <w:spacing w:before="120" w:after="120"/>
        <w:rPr>
          <w:rStyle w:val="af7"/>
          <w:rFonts w:ascii="Tahoma" w:hAnsi="Tahoma" w:cs="Tahoma"/>
        </w:rPr>
      </w:pPr>
      <w:r w:rsidRPr="00C05E86">
        <w:rPr>
          <w:rStyle w:val="af7"/>
          <w:rFonts w:ascii="Tahoma" w:hAnsi="Tahoma" w:cs="Tahoma"/>
          <w:u w:val="single"/>
        </w:rPr>
        <w:t>Index Constituents</w:t>
      </w:r>
      <w:r w:rsidRPr="00C05E86">
        <w:rPr>
          <w:rStyle w:val="af7"/>
          <w:rFonts w:ascii="Tahoma" w:hAnsi="Tahoma" w:cs="Tahoma"/>
        </w:rPr>
        <w:t xml:space="preserve"> means the established Segments of the Moscow real estate market used to calculate the Index.</w:t>
      </w:r>
    </w:p>
    <w:p w14:paraId="058D1B11" w14:textId="34210BE3" w:rsidR="001D1A32" w:rsidRPr="00C05E86" w:rsidRDefault="001D1A32" w:rsidP="00C05E86">
      <w:pPr>
        <w:pStyle w:val="11"/>
        <w:spacing w:before="120" w:after="120"/>
        <w:rPr>
          <w:rStyle w:val="af7"/>
          <w:rFonts w:ascii="Tahoma" w:hAnsi="Tahoma" w:cs="Tahoma"/>
        </w:rPr>
      </w:pPr>
      <w:r w:rsidRPr="00C05E86">
        <w:rPr>
          <w:rStyle w:val="af7"/>
          <w:rFonts w:ascii="Tahoma" w:hAnsi="Tahoma" w:cs="Tahoma"/>
          <w:u w:val="single"/>
        </w:rPr>
        <w:t>The Exchange, Moscow Exchange</w:t>
      </w:r>
      <w:r w:rsidRPr="00C05E86">
        <w:rPr>
          <w:rStyle w:val="af7"/>
          <w:rFonts w:ascii="Tahoma" w:hAnsi="Tahoma" w:cs="Tahoma"/>
        </w:rPr>
        <w:t xml:space="preserve"> means Public Joint-Stock Company Moscow Exchange MICEX-RTS.</w:t>
      </w:r>
    </w:p>
    <w:p w14:paraId="72D1DA74" w14:textId="4DDD50F0" w:rsidR="00817A01" w:rsidRPr="00C05E86" w:rsidRDefault="00364453" w:rsidP="00C05E86">
      <w:pPr>
        <w:pStyle w:val="11"/>
        <w:spacing w:before="120" w:after="120"/>
        <w:rPr>
          <w:rStyle w:val="af7"/>
          <w:rFonts w:ascii="Tahoma" w:hAnsi="Tahoma" w:cs="Tahoma"/>
        </w:rPr>
      </w:pPr>
      <w:r w:rsidRPr="00C05E86">
        <w:rPr>
          <w:rFonts w:cs="Tahoma"/>
          <w:u w:val="single"/>
        </w:rPr>
        <w:t>Index Review Date</w:t>
      </w:r>
      <w:r w:rsidRPr="00C05E86">
        <w:rPr>
          <w:rFonts w:cs="Tahoma"/>
        </w:rPr>
        <w:t xml:space="preserve"> means the day on which the statistics used to determine the parameters of the Constituents are calculated. This is the last Monday preceding 1 March, 1 June, 1 September and 1 December. </w:t>
      </w:r>
    </w:p>
    <w:p w14:paraId="5359E4AA" w14:textId="4A0313E5" w:rsidR="00D86FDC" w:rsidRPr="00C05E86" w:rsidRDefault="00D86FDC" w:rsidP="00C05E86">
      <w:pPr>
        <w:pStyle w:val="11"/>
        <w:spacing w:before="120" w:after="120"/>
        <w:rPr>
          <w:rStyle w:val="af7"/>
          <w:rFonts w:ascii="Tahoma" w:hAnsi="Tahoma" w:cs="Tahoma"/>
        </w:rPr>
      </w:pPr>
      <w:proofErr w:type="spellStart"/>
      <w:r w:rsidRPr="00C05E86">
        <w:rPr>
          <w:rFonts w:cs="Tahoma"/>
          <w:u w:val="single"/>
        </w:rPr>
        <w:t>Domclick</w:t>
      </w:r>
      <w:proofErr w:type="spellEnd"/>
      <w:r w:rsidRPr="00C05E86">
        <w:rPr>
          <w:rFonts w:cs="Tahoma"/>
        </w:rPr>
        <w:t xml:space="preserve"> means </w:t>
      </w:r>
      <w:proofErr w:type="spellStart"/>
      <w:r w:rsidRPr="00C05E86">
        <w:rPr>
          <w:rFonts w:cs="Tahoma"/>
        </w:rPr>
        <w:t>Domclick</w:t>
      </w:r>
      <w:proofErr w:type="spellEnd"/>
      <w:r w:rsidRPr="00C05E86">
        <w:rPr>
          <w:rFonts w:cs="Tahoma"/>
        </w:rPr>
        <w:t xml:space="preserve"> (</w:t>
      </w:r>
      <w:proofErr w:type="spellStart"/>
      <w:r w:rsidRPr="00C05E86">
        <w:rPr>
          <w:rFonts w:cs="Tahoma"/>
        </w:rPr>
        <w:t>Obshchestvo</w:t>
      </w:r>
      <w:proofErr w:type="spellEnd"/>
      <w:r w:rsidRPr="00C05E86">
        <w:rPr>
          <w:rFonts w:cs="Tahoma"/>
        </w:rPr>
        <w:t xml:space="preserve"> s </w:t>
      </w:r>
      <w:proofErr w:type="spellStart"/>
      <w:r w:rsidRPr="00C05E86">
        <w:rPr>
          <w:rFonts w:cs="Tahoma"/>
        </w:rPr>
        <w:t>Ogranichennoy</w:t>
      </w:r>
      <w:proofErr w:type="spellEnd"/>
      <w:r w:rsidRPr="00C05E86">
        <w:rPr>
          <w:rFonts w:cs="Tahoma"/>
        </w:rPr>
        <w:t xml:space="preserve"> </w:t>
      </w:r>
      <w:proofErr w:type="spellStart"/>
      <w:r w:rsidRPr="00C05E86">
        <w:rPr>
          <w:rFonts w:cs="Tahoma"/>
        </w:rPr>
        <w:t>Otvetstvennostyu</w:t>
      </w:r>
      <w:proofErr w:type="spellEnd"/>
      <w:r w:rsidRPr="00C05E86">
        <w:rPr>
          <w:rFonts w:cs="Tahoma"/>
        </w:rPr>
        <w:t>).</w:t>
      </w:r>
    </w:p>
    <w:p w14:paraId="60A06FE4" w14:textId="731F1DDE" w:rsidR="00565F71" w:rsidRPr="00C05E86" w:rsidRDefault="00A8347F" w:rsidP="00C05E86">
      <w:pPr>
        <w:pStyle w:val="11"/>
        <w:spacing w:before="120" w:after="120"/>
        <w:rPr>
          <w:rFonts w:cs="Tahoma"/>
        </w:rPr>
      </w:pPr>
      <w:r w:rsidRPr="00C05E86">
        <w:rPr>
          <w:rFonts w:cs="Tahoma"/>
          <w:u w:val="single"/>
        </w:rPr>
        <w:t>Index</w:t>
      </w:r>
      <w:r w:rsidRPr="00C05E86">
        <w:rPr>
          <w:rFonts w:cs="Tahoma"/>
        </w:rPr>
        <w:t xml:space="preserve"> means a measure of the average price per square meter of residential real estate in Moscow (in Russian roubles), calculated by the Exchange based on aggregated data on mortgage agreements ("mortgage transactions") provided by </w:t>
      </w:r>
      <w:proofErr w:type="spellStart"/>
      <w:r w:rsidRPr="00C05E86">
        <w:rPr>
          <w:rFonts w:cs="Tahoma"/>
        </w:rPr>
        <w:t>Domclick</w:t>
      </w:r>
      <w:proofErr w:type="spellEnd"/>
      <w:r w:rsidRPr="00C05E86">
        <w:rPr>
          <w:rFonts w:cs="Tahoma"/>
        </w:rPr>
        <w:t>.</w:t>
      </w:r>
    </w:p>
    <w:p w14:paraId="3129B913" w14:textId="3E76D45D" w:rsidR="009D56B3" w:rsidRPr="00C05E86" w:rsidRDefault="00387455" w:rsidP="00C05E86">
      <w:pPr>
        <w:pStyle w:val="11"/>
        <w:spacing w:before="120" w:after="120"/>
        <w:rPr>
          <w:rStyle w:val="af7"/>
          <w:rFonts w:ascii="Tahoma" w:hAnsi="Tahoma" w:cs="Tahoma"/>
        </w:rPr>
      </w:pPr>
      <w:r w:rsidRPr="00C05E86">
        <w:rPr>
          <w:rFonts w:cs="Tahoma"/>
          <w:u w:val="single"/>
        </w:rPr>
        <w:t>Segment of the Moscow Real Estate Market, Segment</w:t>
      </w:r>
      <w:r w:rsidRPr="00C05E86">
        <w:rPr>
          <w:rFonts w:cs="Tahoma"/>
        </w:rPr>
        <w:t xml:space="preserve"> means a group of real estate properties compiled based on the indicators that most influence the price per square meter of residential real estate in Moscow.</w:t>
      </w:r>
      <w:r w:rsidRPr="00C05E86">
        <w:rPr>
          <w:rFonts w:cs="Tahoma"/>
        </w:rPr>
        <w:br/>
      </w:r>
      <w:r w:rsidRPr="00C05E86">
        <w:rPr>
          <w:rStyle w:val="af7"/>
          <w:rFonts w:ascii="Tahoma" w:hAnsi="Tahoma" w:cs="Tahoma"/>
        </w:rPr>
        <w:t xml:space="preserve"> </w:t>
      </w:r>
      <w:r w:rsidRPr="00C05E86">
        <w:rPr>
          <w:rFonts w:cs="Tahoma"/>
        </w:rPr>
        <w:t>Unless otherwise established by the Exchange, the Segments set out in the Appendix, determined on the basis of the characteristics of the building in which the property is located and the distance from the property to the nearest metro station, are used to calculate the Index.</w:t>
      </w:r>
    </w:p>
    <w:p w14:paraId="227ED5F3" w14:textId="6CC7AF5E" w:rsidR="009C0A68" w:rsidRPr="00C05E86" w:rsidRDefault="00EB71FA" w:rsidP="00C05E86">
      <w:pPr>
        <w:pStyle w:val="11"/>
        <w:spacing w:before="120" w:after="120"/>
        <w:rPr>
          <w:rStyle w:val="af7"/>
          <w:rFonts w:ascii="Tahoma" w:hAnsi="Tahoma" w:cs="Tahoma"/>
        </w:rPr>
      </w:pPr>
      <w:r w:rsidRPr="00C05E86">
        <w:rPr>
          <w:rStyle w:val="af7"/>
          <w:rFonts w:ascii="Tahoma" w:hAnsi="Tahoma" w:cs="Tahoma"/>
          <w:u w:val="single"/>
        </w:rPr>
        <w:t>Expert Council</w:t>
      </w:r>
      <w:r w:rsidRPr="00C05E86">
        <w:rPr>
          <w:rStyle w:val="af7"/>
          <w:rFonts w:ascii="Tahoma" w:hAnsi="Tahoma" w:cs="Tahoma"/>
        </w:rPr>
        <w:t xml:space="preserve"> means an advisory and consultative body of the Exchange acting on a permanent basis.</w:t>
      </w:r>
    </w:p>
    <w:p w14:paraId="5C8DD66C" w14:textId="77777777" w:rsidR="001D1A32" w:rsidRPr="00C05E86" w:rsidRDefault="001D1A32" w:rsidP="00C05E86">
      <w:pPr>
        <w:pStyle w:val="30"/>
        <w:spacing w:before="120" w:after="120"/>
        <w:rPr>
          <w:rStyle w:val="af7"/>
          <w:rFonts w:ascii="Tahoma" w:hAnsi="Tahoma" w:cs="Tahoma"/>
        </w:rPr>
      </w:pPr>
      <w:r w:rsidRPr="00C05E86">
        <w:rPr>
          <w:rStyle w:val="af7"/>
          <w:rFonts w:ascii="Tahoma" w:hAnsi="Tahoma" w:cs="Tahoma"/>
        </w:rPr>
        <w:t>Terms not specifically defined herein shall be construed in accordance with other documents of the Exchange as well as the law and regulatory acts of the Bank of Russia.</w:t>
      </w:r>
    </w:p>
    <w:p w14:paraId="4867C3C7" w14:textId="77777777" w:rsidR="00657BF4" w:rsidRPr="00C05E86" w:rsidRDefault="00657BF4" w:rsidP="00C05E86">
      <w:pPr>
        <w:spacing w:before="120" w:after="120"/>
        <w:rPr>
          <w:rFonts w:cs="Tahoma"/>
        </w:rPr>
      </w:pPr>
    </w:p>
    <w:p w14:paraId="4FCE7B44" w14:textId="1A58CD56" w:rsidR="00DF7C2D" w:rsidRPr="00C05E86" w:rsidRDefault="005271C8" w:rsidP="00C05E86">
      <w:pPr>
        <w:pStyle w:val="a"/>
        <w:spacing w:before="120" w:after="120"/>
        <w:rPr>
          <w:rStyle w:val="af7"/>
          <w:rFonts w:ascii="Tahoma" w:hAnsi="Tahoma" w:cs="Tahoma"/>
        </w:rPr>
      </w:pPr>
      <w:bookmarkStart w:id="12" w:name="_Toc223536972"/>
      <w:r w:rsidRPr="00C05E86">
        <w:rPr>
          <w:rFonts w:cs="Tahoma"/>
        </w:rPr>
        <w:t>Overview</w:t>
      </w:r>
      <w:bookmarkEnd w:id="12"/>
    </w:p>
    <w:p w14:paraId="3F5BAE9A" w14:textId="0BC9BA26" w:rsidR="00657BF4" w:rsidRPr="00C05E86" w:rsidRDefault="003B244D" w:rsidP="00C05E86">
      <w:pPr>
        <w:pStyle w:val="30"/>
        <w:spacing w:before="120" w:after="120"/>
        <w:rPr>
          <w:rFonts w:cs="Tahoma"/>
        </w:rPr>
      </w:pPr>
      <w:r w:rsidRPr="00C05E86">
        <w:rPr>
          <w:rFonts w:cs="Tahoma"/>
        </w:rPr>
        <w:t xml:space="preserve">The Index is a composite index of the Moscow real estate market, calculated by the Exchange based on aggregated data on mortgage transactions provided by </w:t>
      </w:r>
      <w:proofErr w:type="spellStart"/>
      <w:r w:rsidRPr="00C05E86">
        <w:rPr>
          <w:rFonts w:cs="Tahoma"/>
        </w:rPr>
        <w:t>Domclick</w:t>
      </w:r>
      <w:proofErr w:type="spellEnd"/>
      <w:r w:rsidRPr="00C05E86">
        <w:rPr>
          <w:rFonts w:cs="Tahoma"/>
        </w:rPr>
        <w:t xml:space="preserve">, reflecting the average cost per square meter of residential real estate in Moscow, expressed in Russian </w:t>
      </w:r>
      <w:proofErr w:type="spellStart"/>
      <w:r w:rsidRPr="00C05E86">
        <w:rPr>
          <w:rFonts w:cs="Tahoma"/>
        </w:rPr>
        <w:t>rubles</w:t>
      </w:r>
      <w:proofErr w:type="spellEnd"/>
      <w:r w:rsidRPr="00C05E86">
        <w:rPr>
          <w:rFonts w:cs="Tahoma"/>
        </w:rPr>
        <w:t>.</w:t>
      </w:r>
    </w:p>
    <w:p w14:paraId="70DA9B3B" w14:textId="219055CC" w:rsidR="005E2100" w:rsidRPr="00C05E86" w:rsidRDefault="005E2100" w:rsidP="00C05E86">
      <w:pPr>
        <w:pStyle w:val="30"/>
        <w:spacing w:before="120" w:after="120"/>
        <w:rPr>
          <w:rFonts w:cs="Tahoma"/>
        </w:rPr>
      </w:pPr>
      <w:r w:rsidRPr="00C05E86">
        <w:rPr>
          <w:rFonts w:cs="Tahoma"/>
        </w:rPr>
        <w:t>The Index's name in Russian: "</w:t>
      </w:r>
      <w:proofErr w:type="spellStart"/>
      <w:r w:rsidRPr="00C05E86">
        <w:rPr>
          <w:rFonts w:cs="Tahoma"/>
        </w:rPr>
        <w:t>Индекс</w:t>
      </w:r>
      <w:proofErr w:type="spellEnd"/>
      <w:r w:rsidRPr="00C05E86">
        <w:rPr>
          <w:rFonts w:cs="Tahoma"/>
        </w:rPr>
        <w:t xml:space="preserve"> </w:t>
      </w:r>
      <w:proofErr w:type="spellStart"/>
      <w:r w:rsidRPr="00C05E86">
        <w:rPr>
          <w:rFonts w:cs="Tahoma"/>
        </w:rPr>
        <w:t>московской</w:t>
      </w:r>
      <w:proofErr w:type="spellEnd"/>
      <w:r w:rsidRPr="00C05E86">
        <w:rPr>
          <w:rFonts w:cs="Tahoma"/>
        </w:rPr>
        <w:t xml:space="preserve"> </w:t>
      </w:r>
      <w:proofErr w:type="spellStart"/>
      <w:r w:rsidRPr="00C05E86">
        <w:rPr>
          <w:rFonts w:cs="Tahoma"/>
        </w:rPr>
        <w:t>недвижимости</w:t>
      </w:r>
      <w:proofErr w:type="spellEnd"/>
      <w:r w:rsidRPr="00C05E86">
        <w:rPr>
          <w:rFonts w:cs="Tahoma"/>
        </w:rPr>
        <w:t xml:space="preserve"> </w:t>
      </w:r>
      <w:proofErr w:type="spellStart"/>
      <w:r w:rsidRPr="00C05E86">
        <w:rPr>
          <w:rFonts w:cs="Tahoma"/>
        </w:rPr>
        <w:t>Домклик</w:t>
      </w:r>
      <w:proofErr w:type="spellEnd"/>
      <w:r w:rsidRPr="00C05E86">
        <w:rPr>
          <w:rFonts w:cs="Tahoma"/>
        </w:rPr>
        <w:t xml:space="preserve">". The Index's name in English: "Moscow Real Estate </w:t>
      </w:r>
      <w:proofErr w:type="spellStart"/>
      <w:r w:rsidRPr="00C05E86">
        <w:rPr>
          <w:rFonts w:cs="Tahoma"/>
        </w:rPr>
        <w:t>Domclick</w:t>
      </w:r>
      <w:proofErr w:type="spellEnd"/>
      <w:r w:rsidRPr="00C05E86">
        <w:rPr>
          <w:rFonts w:cs="Tahoma"/>
        </w:rPr>
        <w:t xml:space="preserve"> Index". The Index code is "MREDC".</w:t>
      </w:r>
    </w:p>
    <w:p w14:paraId="0E21932E" w14:textId="2D0114D5" w:rsidR="00704BCC" w:rsidRPr="00C05E86" w:rsidRDefault="00704BCC" w:rsidP="00C05E86">
      <w:pPr>
        <w:pStyle w:val="30"/>
        <w:spacing w:before="120" w:after="120"/>
        <w:rPr>
          <w:rFonts w:cs="Tahoma"/>
        </w:rPr>
      </w:pPr>
      <w:r w:rsidRPr="00C05E86">
        <w:rPr>
          <w:rFonts w:cs="Tahoma"/>
        </w:rPr>
        <w:t>The words "</w:t>
      </w:r>
      <w:proofErr w:type="spellStart"/>
      <w:r w:rsidRPr="00C05E86">
        <w:rPr>
          <w:rFonts w:cs="Tahoma"/>
        </w:rPr>
        <w:t>Domclick</w:t>
      </w:r>
      <w:proofErr w:type="spellEnd"/>
      <w:r w:rsidRPr="00C05E86">
        <w:rPr>
          <w:rFonts w:cs="Tahoma"/>
        </w:rPr>
        <w:t>" and "</w:t>
      </w:r>
      <w:proofErr w:type="spellStart"/>
      <w:r w:rsidRPr="00C05E86">
        <w:rPr>
          <w:rFonts w:cs="Tahoma"/>
        </w:rPr>
        <w:t>Домклик</w:t>
      </w:r>
      <w:proofErr w:type="spellEnd"/>
      <w:r w:rsidRPr="00C05E86">
        <w:rPr>
          <w:rFonts w:cs="Tahoma"/>
        </w:rPr>
        <w:t xml:space="preserve">" used in the Index name are registered trademarks of </w:t>
      </w:r>
      <w:proofErr w:type="spellStart"/>
      <w:r w:rsidRPr="00C05E86">
        <w:rPr>
          <w:rFonts w:cs="Tahoma"/>
        </w:rPr>
        <w:t>Domclick</w:t>
      </w:r>
      <w:proofErr w:type="spellEnd"/>
      <w:r w:rsidRPr="00C05E86">
        <w:rPr>
          <w:rFonts w:cs="Tahoma"/>
        </w:rPr>
        <w:t>, registered in the State Register of Trademarks and Service Marks of the Russian Federation on 13 September 2017 (Trademark Certificates No. 630064 (''</w:t>
      </w:r>
      <w:proofErr w:type="spellStart"/>
      <w:r w:rsidRPr="00C05E86">
        <w:rPr>
          <w:rFonts w:cs="Tahoma"/>
        </w:rPr>
        <w:t>Домклик</w:t>
      </w:r>
      <w:proofErr w:type="spellEnd"/>
      <w:r w:rsidRPr="00C05E86">
        <w:rPr>
          <w:rFonts w:cs="Tahoma"/>
        </w:rPr>
        <w:t>") and No. 630063 ("</w:t>
      </w:r>
      <w:proofErr w:type="spellStart"/>
      <w:r w:rsidRPr="00C05E86">
        <w:rPr>
          <w:rFonts w:cs="Tahoma"/>
        </w:rPr>
        <w:t>Domclick</w:t>
      </w:r>
      <w:proofErr w:type="spellEnd"/>
      <w:r w:rsidRPr="00C05E86">
        <w:rPr>
          <w:rFonts w:cs="Tahoma"/>
        </w:rPr>
        <w:t>")).</w:t>
      </w:r>
    </w:p>
    <w:p w14:paraId="00BF2208" w14:textId="595950DA" w:rsidR="00EB71FA" w:rsidRPr="00C05E86" w:rsidRDefault="00EB71FA" w:rsidP="00C05E86">
      <w:pPr>
        <w:pStyle w:val="30"/>
        <w:spacing w:before="120" w:after="120"/>
        <w:rPr>
          <w:rFonts w:cs="Tahoma"/>
        </w:rPr>
      </w:pPr>
      <w:r w:rsidRPr="00C05E86">
        <w:rPr>
          <w:rFonts w:cs="Tahoma"/>
        </w:rPr>
        <w:t>This Methodology as amended from time to time is subject to recommendations of the Expert Council.</w:t>
      </w:r>
    </w:p>
    <w:p w14:paraId="69CB6598" w14:textId="2939E8CC" w:rsidR="00202804" w:rsidRPr="00C05E86" w:rsidRDefault="00657BF4" w:rsidP="00C05E86">
      <w:pPr>
        <w:pStyle w:val="30"/>
        <w:spacing w:before="120" w:after="120"/>
        <w:rPr>
          <w:rFonts w:cs="Tahoma"/>
        </w:rPr>
      </w:pPr>
      <w:r w:rsidRPr="00C05E86">
        <w:rPr>
          <w:rFonts w:cs="Tahoma"/>
        </w:rPr>
        <w:t>This Methodology as amended from time to time is subject to approval by the Exchange and come into effect on the date determined by the Exchange.</w:t>
      </w:r>
    </w:p>
    <w:p w14:paraId="7EB0A658" w14:textId="165BEFF2" w:rsidR="00657BF4" w:rsidRPr="00C05E86" w:rsidRDefault="00657BF4" w:rsidP="00C05E86">
      <w:pPr>
        <w:pStyle w:val="30"/>
        <w:spacing w:before="120" w:after="120"/>
        <w:rPr>
          <w:rFonts w:cs="Tahoma"/>
        </w:rPr>
      </w:pPr>
      <w:r w:rsidRPr="00C05E86">
        <w:rPr>
          <w:rFonts w:cs="Tahoma"/>
        </w:rPr>
        <w:t>It may be amended and supplemented no more frequently than once a quarter. Information on changes introduced, including in the form of a new version of the Methodology, shall be disclosed by the Exchange not later than seven days prior to the effective date.</w:t>
      </w:r>
    </w:p>
    <w:p w14:paraId="59EA8045" w14:textId="77777777" w:rsidR="00747A59" w:rsidRPr="00C05E86" w:rsidRDefault="00747A59" w:rsidP="00C05E86">
      <w:pPr>
        <w:pStyle w:val="30"/>
        <w:numPr>
          <w:ilvl w:val="0"/>
          <w:numId w:val="0"/>
        </w:numPr>
        <w:spacing w:before="120" w:after="120"/>
        <w:ind w:left="340"/>
        <w:rPr>
          <w:rFonts w:cs="Tahoma"/>
        </w:rPr>
      </w:pPr>
    </w:p>
    <w:p w14:paraId="1447AC1D" w14:textId="74E7E259" w:rsidR="00960720" w:rsidRPr="00C05E86" w:rsidRDefault="009D567F" w:rsidP="00C05E86">
      <w:pPr>
        <w:pStyle w:val="10"/>
        <w:spacing w:before="120" w:after="120"/>
        <w:rPr>
          <w:rFonts w:cs="Tahoma"/>
        </w:rPr>
      </w:pPr>
      <w:bookmarkStart w:id="13" w:name="_Toc424906484"/>
      <w:bookmarkStart w:id="14" w:name="_Toc424906555"/>
      <w:bookmarkStart w:id="15" w:name="_Toc424906587"/>
      <w:bookmarkStart w:id="16" w:name="_Toc424906631"/>
      <w:bookmarkStart w:id="17" w:name="_Toc424906675"/>
      <w:bookmarkStart w:id="18" w:name="_Toc424906713"/>
      <w:bookmarkStart w:id="19" w:name="_Toc424909130"/>
      <w:bookmarkStart w:id="20" w:name="_Toc425425252"/>
      <w:bookmarkStart w:id="21" w:name="_Toc424906485"/>
      <w:bookmarkStart w:id="22" w:name="_Toc424906556"/>
      <w:bookmarkStart w:id="23" w:name="_Toc424906588"/>
      <w:bookmarkStart w:id="24" w:name="_Toc424906632"/>
      <w:bookmarkStart w:id="25" w:name="_Toc424906676"/>
      <w:bookmarkStart w:id="26" w:name="_Toc424906714"/>
      <w:bookmarkStart w:id="27" w:name="_Toc424909131"/>
      <w:bookmarkStart w:id="28" w:name="_Toc425425253"/>
      <w:bookmarkStart w:id="29" w:name="_Toc22353697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05E86">
        <w:rPr>
          <w:rFonts w:cs="Tahoma"/>
        </w:rPr>
        <w:lastRenderedPageBreak/>
        <w:t>Index Calculation</w:t>
      </w:r>
      <w:bookmarkEnd w:id="29"/>
    </w:p>
    <w:p w14:paraId="0DE2F9FE" w14:textId="582DDDCB" w:rsidR="00FA5910" w:rsidRPr="00C05E86" w:rsidRDefault="00FA5910" w:rsidP="00C05E86">
      <w:pPr>
        <w:pStyle w:val="a"/>
        <w:spacing w:before="120" w:after="120"/>
        <w:rPr>
          <w:rFonts w:cs="Tahoma"/>
        </w:rPr>
      </w:pPr>
      <w:bookmarkStart w:id="30" w:name="_Ref4680872"/>
      <w:bookmarkStart w:id="31" w:name="_Toc223536974"/>
      <w:r w:rsidRPr="00C05E86">
        <w:rPr>
          <w:rFonts w:cs="Tahoma"/>
        </w:rPr>
        <w:t>Source Data for Index Calculation</w:t>
      </w:r>
      <w:bookmarkEnd w:id="30"/>
      <w:bookmarkEnd w:id="31"/>
    </w:p>
    <w:p w14:paraId="579D403E" w14:textId="22AF41EB" w:rsidR="00FA5910" w:rsidRPr="00C05E86" w:rsidRDefault="00FA5910" w:rsidP="00C05E86">
      <w:pPr>
        <w:pStyle w:val="30"/>
        <w:spacing w:before="120" w:after="120"/>
        <w:rPr>
          <w:rFonts w:cs="Tahoma"/>
        </w:rPr>
      </w:pPr>
      <w:bookmarkStart w:id="32" w:name="_Ref4668911"/>
      <w:r w:rsidRPr="00C05E86">
        <w:rPr>
          <w:rFonts w:cs="Tahoma"/>
        </w:rPr>
        <w:t xml:space="preserve">In calculating the Index, Sberbank mortgage transaction data shall be used, which contains all the necessary information about the transaction price and the qualitative characteristics of the property, available to </w:t>
      </w:r>
      <w:proofErr w:type="spellStart"/>
      <w:r w:rsidRPr="00C05E86">
        <w:rPr>
          <w:rFonts w:cs="Tahoma"/>
        </w:rPr>
        <w:t>Domclick</w:t>
      </w:r>
      <w:proofErr w:type="spellEnd"/>
      <w:r w:rsidRPr="00C05E86">
        <w:rPr>
          <w:rFonts w:cs="Tahoma"/>
        </w:rPr>
        <w:t>. The following characteristics apply:</w:t>
      </w:r>
      <w:bookmarkEnd w:id="32"/>
    </w:p>
    <w:p w14:paraId="4E61AD8A" w14:textId="7BB5D26E" w:rsidR="00FA5910" w:rsidRPr="00C05E86" w:rsidRDefault="00B205BA" w:rsidP="00C05E86">
      <w:pPr>
        <w:pStyle w:val="4"/>
        <w:numPr>
          <w:ilvl w:val="3"/>
          <w:numId w:val="8"/>
        </w:numPr>
        <w:spacing w:before="120" w:after="120"/>
        <w:ind w:hanging="425"/>
        <w:rPr>
          <w:rFonts w:cs="Tahoma"/>
        </w:rPr>
      </w:pPr>
      <w:r w:rsidRPr="00C05E86">
        <w:rPr>
          <w:rFonts w:cs="Tahoma"/>
        </w:rPr>
        <w:t>the mortgage secures obligations arising from the purchase of the real estate property;</w:t>
      </w:r>
    </w:p>
    <w:p w14:paraId="144B6BC4" w14:textId="5F6F46C1" w:rsidR="00FA5910" w:rsidRPr="00C05E86" w:rsidRDefault="00075FFE" w:rsidP="00C05E86">
      <w:pPr>
        <w:pStyle w:val="4"/>
        <w:numPr>
          <w:ilvl w:val="3"/>
          <w:numId w:val="8"/>
        </w:numPr>
        <w:spacing w:before="120" w:after="120"/>
        <w:ind w:hanging="425"/>
        <w:rPr>
          <w:rFonts w:cs="Tahoma"/>
        </w:rPr>
      </w:pPr>
      <w:r w:rsidRPr="00C05E86">
        <w:rPr>
          <w:rFonts w:cs="Tahoma"/>
        </w:rPr>
        <w:t>the mortgaged property is a residential property, i.e. an apartment in a commissioned multi-unit dwelling, with the exception of properties sold by developers under a purchase and sale agreement;</w:t>
      </w:r>
    </w:p>
    <w:p w14:paraId="2C71EF82" w14:textId="1D665873" w:rsidR="00FA5910" w:rsidRPr="00C05E86" w:rsidRDefault="00FA5910" w:rsidP="00C05E86">
      <w:pPr>
        <w:pStyle w:val="4"/>
        <w:numPr>
          <w:ilvl w:val="3"/>
          <w:numId w:val="8"/>
        </w:numPr>
        <w:spacing w:before="120" w:after="120"/>
        <w:ind w:hanging="425"/>
        <w:rPr>
          <w:rFonts w:cs="Tahoma"/>
        </w:rPr>
      </w:pPr>
      <w:r w:rsidRPr="00C05E86">
        <w:rPr>
          <w:rFonts w:cs="Tahoma"/>
        </w:rPr>
        <w:t xml:space="preserve">The property is located in one of the following administrative districts of Moscow: Central, Northern, North-Eastern, Eastern, South-Eastern, Southern, South-Western, Western, North-Western, and </w:t>
      </w:r>
      <w:proofErr w:type="spellStart"/>
      <w:r w:rsidRPr="00C05E86">
        <w:rPr>
          <w:rFonts w:cs="Tahoma"/>
        </w:rPr>
        <w:t>Novomoskovsky</w:t>
      </w:r>
      <w:proofErr w:type="spellEnd"/>
      <w:r w:rsidRPr="00C05E86">
        <w:rPr>
          <w:rFonts w:cs="Tahoma"/>
        </w:rPr>
        <w:t>;</w:t>
      </w:r>
    </w:p>
    <w:p w14:paraId="29FE15A3" w14:textId="42F5F8A2" w:rsidR="00FA5910" w:rsidRPr="00C05E86" w:rsidRDefault="00FA5910" w:rsidP="00C05E86">
      <w:pPr>
        <w:pStyle w:val="4"/>
        <w:numPr>
          <w:ilvl w:val="3"/>
          <w:numId w:val="8"/>
        </w:numPr>
        <w:spacing w:before="120" w:after="120"/>
        <w:ind w:hanging="425"/>
        <w:rPr>
          <w:rFonts w:cs="Tahoma"/>
        </w:rPr>
      </w:pPr>
      <w:r w:rsidRPr="00C05E86">
        <w:rPr>
          <w:rFonts w:cs="Tahoma"/>
        </w:rPr>
        <w:t xml:space="preserve">the value of the property must not exceed 30,000,000 (thirty million) Russian </w:t>
      </w:r>
      <w:r w:rsidR="00C05E86" w:rsidRPr="00C05E86">
        <w:rPr>
          <w:rFonts w:cs="Tahoma"/>
        </w:rPr>
        <w:t>roubles</w:t>
      </w:r>
      <w:r w:rsidRPr="00C05E86">
        <w:rPr>
          <w:rFonts w:cs="Tahoma"/>
        </w:rPr>
        <w:t>;</w:t>
      </w:r>
    </w:p>
    <w:p w14:paraId="1390C5AA" w14:textId="1EDABB7F" w:rsidR="00FA5910" w:rsidRPr="00C05E86" w:rsidRDefault="00FA5910" w:rsidP="00C05E86">
      <w:pPr>
        <w:pStyle w:val="4"/>
        <w:numPr>
          <w:ilvl w:val="3"/>
          <w:numId w:val="8"/>
        </w:numPr>
        <w:spacing w:before="120" w:after="120"/>
        <w:ind w:hanging="425"/>
        <w:rPr>
          <w:rFonts w:cs="Tahoma"/>
        </w:rPr>
      </w:pPr>
      <w:r w:rsidRPr="00C05E86">
        <w:rPr>
          <w:rFonts w:cs="Tahoma"/>
        </w:rPr>
        <w:t>the property is not sold as part of marketing campaigns by developers;</w:t>
      </w:r>
    </w:p>
    <w:p w14:paraId="33FBCE1F" w14:textId="77777777" w:rsidR="00FA5910" w:rsidRPr="00C05E86" w:rsidRDefault="00FA5910" w:rsidP="00C05E86">
      <w:pPr>
        <w:pStyle w:val="4"/>
        <w:numPr>
          <w:ilvl w:val="3"/>
          <w:numId w:val="8"/>
        </w:numPr>
        <w:spacing w:before="120" w:after="120"/>
        <w:ind w:hanging="425"/>
        <w:rPr>
          <w:rFonts w:cs="Tahoma"/>
        </w:rPr>
      </w:pPr>
      <w:r w:rsidRPr="00C05E86">
        <w:rPr>
          <w:rFonts w:cs="Tahoma"/>
        </w:rPr>
        <w:t>the total area of the property is between 20 and 200 square meters, with one to four rooms;</w:t>
      </w:r>
    </w:p>
    <w:p w14:paraId="4BFE5F60" w14:textId="2F3E0E9C" w:rsidR="00AE5212" w:rsidRPr="00C05E86" w:rsidRDefault="00AE5212" w:rsidP="00C05E86">
      <w:pPr>
        <w:pStyle w:val="4"/>
        <w:numPr>
          <w:ilvl w:val="3"/>
          <w:numId w:val="8"/>
        </w:numPr>
        <w:spacing w:before="120" w:after="120"/>
        <w:ind w:hanging="425"/>
        <w:rPr>
          <w:rFonts w:cs="Tahoma"/>
        </w:rPr>
      </w:pPr>
      <w:r w:rsidRPr="00C05E86">
        <w:rPr>
          <w:rFonts w:cs="Tahoma"/>
        </w:rPr>
        <w:t>the property is located in a panel, brick, or monolithic multi-unit dwelling built no earlier than 1901, with no more than 26 floors.</w:t>
      </w:r>
    </w:p>
    <w:p w14:paraId="1AF6013C" w14:textId="35172749" w:rsidR="00FA5910" w:rsidRPr="00C05E86" w:rsidRDefault="00300B1F" w:rsidP="00C05E86">
      <w:pPr>
        <w:pStyle w:val="30"/>
        <w:spacing w:before="120" w:after="120"/>
        <w:rPr>
          <w:rFonts w:cs="Tahoma"/>
        </w:rPr>
      </w:pPr>
      <w:r w:rsidRPr="00C05E86">
        <w:rPr>
          <w:rFonts w:cs="Tahoma"/>
        </w:rPr>
        <w:t xml:space="preserve">Transactions with a price per square meter exceeding 300% or falling below 30% of the average price per square meter in the respective administrative district, calculated based on all transactions over the preceding four weeks that meet requirements set out in Clause </w:t>
      </w:r>
      <w:r w:rsidR="00373B28" w:rsidRPr="00C05E86">
        <w:rPr>
          <w:rFonts w:cs="Tahoma"/>
        </w:rPr>
        <w:fldChar w:fldCharType="begin"/>
      </w:r>
      <w:r w:rsidR="00373B28" w:rsidRPr="00C05E86">
        <w:rPr>
          <w:rFonts w:cs="Tahoma"/>
        </w:rPr>
        <w:instrText xml:space="preserve"> REF _Ref4668911 \r \h </w:instrText>
      </w:r>
      <w:r w:rsidR="00373B28" w:rsidRPr="00C05E86">
        <w:rPr>
          <w:rFonts w:cs="Tahoma"/>
        </w:rPr>
      </w:r>
      <w:r w:rsidR="00C05E86">
        <w:rPr>
          <w:rFonts w:cs="Tahoma"/>
        </w:rPr>
        <w:instrText xml:space="preserve"> \* MERGEFORMAT </w:instrText>
      </w:r>
      <w:r w:rsidR="00373B28" w:rsidRPr="00C05E86">
        <w:rPr>
          <w:rFonts w:cs="Tahoma"/>
        </w:rPr>
        <w:fldChar w:fldCharType="separate"/>
      </w:r>
      <w:r w:rsidR="00572F46" w:rsidRPr="00C05E86">
        <w:rPr>
          <w:rFonts w:cs="Tahoma"/>
        </w:rPr>
        <w:t>2.1.1</w:t>
      </w:r>
      <w:r w:rsidR="00373B28" w:rsidRPr="00C05E86">
        <w:rPr>
          <w:rFonts w:cs="Tahoma"/>
        </w:rPr>
        <w:fldChar w:fldCharType="end"/>
      </w:r>
      <w:r w:rsidRPr="00C05E86">
        <w:rPr>
          <w:rFonts w:cs="Tahoma"/>
        </w:rPr>
        <w:t>, shall be excluded from the Index calculation.</w:t>
      </w:r>
      <w:r w:rsidRPr="00C05E86">
        <w:rPr>
          <w:rFonts w:cs="Tahoma"/>
        </w:rPr>
        <w:br/>
      </w:r>
    </w:p>
    <w:p w14:paraId="0873331C" w14:textId="77777777" w:rsidR="00FA5910" w:rsidRPr="00C05E86" w:rsidRDefault="00FA5910" w:rsidP="00C05E86">
      <w:pPr>
        <w:spacing w:before="120" w:after="120"/>
        <w:rPr>
          <w:rFonts w:cs="Tahoma"/>
        </w:rPr>
      </w:pPr>
    </w:p>
    <w:p w14:paraId="1CA28E3C" w14:textId="00E0A565" w:rsidR="009D567F" w:rsidRPr="00C05E86" w:rsidRDefault="004C20C3" w:rsidP="00C05E86">
      <w:pPr>
        <w:pStyle w:val="a"/>
        <w:spacing w:before="120" w:after="120"/>
        <w:rPr>
          <w:rFonts w:cs="Tahoma"/>
        </w:rPr>
      </w:pPr>
      <w:bookmarkStart w:id="33" w:name="_Toc424291531"/>
      <w:bookmarkStart w:id="34" w:name="_Toc424641373"/>
      <w:bookmarkStart w:id="35" w:name="_Toc424811488"/>
      <w:bookmarkStart w:id="36" w:name="_Toc424291532"/>
      <w:bookmarkStart w:id="37" w:name="_Toc424641374"/>
      <w:bookmarkStart w:id="38" w:name="_Toc424811489"/>
      <w:bookmarkStart w:id="39" w:name="_Toc424291533"/>
      <w:bookmarkStart w:id="40" w:name="_Toc424641375"/>
      <w:bookmarkStart w:id="41" w:name="_Toc424811490"/>
      <w:bookmarkStart w:id="42" w:name="_Toc424641376"/>
      <w:bookmarkStart w:id="43" w:name="_Toc424811491"/>
      <w:bookmarkStart w:id="44" w:name="_Toc424291535"/>
      <w:bookmarkStart w:id="45" w:name="_Toc424641377"/>
      <w:bookmarkStart w:id="46" w:name="_Toc424811492"/>
      <w:bookmarkStart w:id="47" w:name="_Ref272311215"/>
      <w:bookmarkStart w:id="48" w:name="_Ref335645386"/>
      <w:bookmarkStart w:id="49" w:name="_Ref410391505"/>
      <w:bookmarkStart w:id="50" w:name="п_2_3"/>
      <w:bookmarkStart w:id="51" w:name="_Toc223536975"/>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C05E86">
        <w:rPr>
          <w:rFonts w:cs="Tahoma"/>
        </w:rPr>
        <w:t>Procedure for Index Calculation</w:t>
      </w:r>
      <w:bookmarkEnd w:id="51"/>
    </w:p>
    <w:bookmarkEnd w:id="47"/>
    <w:bookmarkEnd w:id="48"/>
    <w:bookmarkEnd w:id="49"/>
    <w:bookmarkEnd w:id="50"/>
    <w:p w14:paraId="23374208" w14:textId="3313AC85" w:rsidR="00657BF4" w:rsidRPr="00C05E86" w:rsidRDefault="00916CA0" w:rsidP="00C05E86">
      <w:pPr>
        <w:pStyle w:val="30"/>
        <w:spacing w:before="120" w:after="120"/>
        <w:ind w:left="1078" w:hanging="794"/>
        <w:rPr>
          <w:rFonts w:cs="Tahoma"/>
        </w:rPr>
      </w:pPr>
      <w:r w:rsidRPr="00C05E86">
        <w:rPr>
          <w:rFonts w:cs="Tahoma"/>
        </w:rPr>
        <w:t xml:space="preserve">The Index value is calculated as a weighted average of the price per square meter across Moscow administrative districts and the Segments of </w:t>
      </w:r>
      <w:proofErr w:type="spellStart"/>
      <w:r w:rsidRPr="00C05E86">
        <w:rPr>
          <w:rFonts w:cs="Tahoma"/>
        </w:rPr>
        <w:t>of</w:t>
      </w:r>
      <w:proofErr w:type="spellEnd"/>
      <w:r w:rsidRPr="00C05E86">
        <w:rPr>
          <w:rFonts w:cs="Tahoma"/>
        </w:rPr>
        <w:t xml:space="preserve"> the Moscow Real Estate Market specified in Appendix 1 to this Methodology:</w:t>
      </w:r>
    </w:p>
    <w:p w14:paraId="77BF595E" w14:textId="77777777" w:rsidR="00916CA0" w:rsidRPr="00C05E86" w:rsidRDefault="00C05E86" w:rsidP="00C05E86">
      <w:pPr>
        <w:pStyle w:val="af9"/>
        <w:spacing w:before="120"/>
        <w:contextualSpacing w:val="0"/>
        <w:rPr>
          <w:rFonts w:cs="Tahoma"/>
        </w:rPr>
      </w:pPr>
      <m:oMathPara>
        <m:oMath>
          <m:sSub>
            <m:sSubPr>
              <m:ctrlPr>
                <w:rPr>
                  <w:rFonts w:ascii="Cambria Math" w:hAnsi="Cambria Math" w:cs="Tahoma"/>
                </w:rPr>
              </m:ctrlPr>
            </m:sSubPr>
            <m:e>
              <m:r>
                <w:rPr>
                  <w:rFonts w:ascii="Cambria Math" w:hAnsi="Cambria Math" w:cs="Tahoma"/>
                </w:rPr>
                <m:t>I</m:t>
              </m:r>
            </m:e>
            <m:sub>
              <m:r>
                <w:rPr>
                  <w:rFonts w:ascii="Cambria Math" w:hAnsi="Cambria Math" w:cs="Tahoma"/>
                </w:rPr>
                <m:t>n</m:t>
              </m:r>
            </m:sub>
          </m:sSub>
          <m:r>
            <m:rPr>
              <m:sty m:val="p"/>
            </m:rPr>
            <w:rPr>
              <w:rFonts w:ascii="Cambria Math" w:hAnsi="Cambria Math" w:cs="Tahoma"/>
            </w:rPr>
            <m:t>=</m:t>
          </m:r>
          <m:nary>
            <m:naryPr>
              <m:chr m:val="∑"/>
              <m:limLoc m:val="undOvr"/>
              <m:ctrlPr>
                <w:rPr>
                  <w:rFonts w:ascii="Cambria Math" w:hAnsi="Cambria Math" w:cs="Tahoma"/>
                </w:rPr>
              </m:ctrlPr>
            </m:naryPr>
            <m:sub>
              <m:r>
                <w:rPr>
                  <w:rFonts w:ascii="Cambria Math" w:hAnsi="Cambria Math" w:cs="Tahoma"/>
                </w:rPr>
                <m:t>i</m:t>
              </m:r>
              <m:r>
                <m:rPr>
                  <m:sty m:val="p"/>
                </m:rPr>
                <w:rPr>
                  <w:rFonts w:ascii="Cambria Math" w:hAnsi="Cambria Math" w:cs="Tahoma"/>
                </w:rPr>
                <m:t>=1</m:t>
              </m:r>
            </m:sub>
            <m:sup>
              <m:r>
                <m:rPr>
                  <m:sty m:val="p"/>
                </m:rPr>
                <w:rPr>
                  <w:rFonts w:ascii="Cambria Math" w:hAnsi="Cambria Math" w:cs="Tahoma"/>
                </w:rPr>
                <m:t>10</m:t>
              </m:r>
            </m:sup>
            <m:e>
              <m:sSub>
                <m:sSubPr>
                  <m:ctrlPr>
                    <w:rPr>
                      <w:rFonts w:ascii="Cambria Math" w:hAnsi="Cambria Math" w:cs="Tahoma"/>
                    </w:rPr>
                  </m:ctrlPr>
                </m:sSubPr>
                <m:e>
                  <m:r>
                    <w:rPr>
                      <w:rFonts w:ascii="Cambria Math" w:hAnsi="Cambria Math" w:cs="Tahoma"/>
                    </w:rPr>
                    <m:t>P</m:t>
                  </m:r>
                </m:e>
                <m:sub>
                  <m:r>
                    <w:rPr>
                      <w:rFonts w:ascii="Cambria Math" w:hAnsi="Cambria Math" w:cs="Tahoma"/>
                    </w:rPr>
                    <m:t>in</m:t>
                  </m:r>
                </m:sub>
              </m:sSub>
              <m:r>
                <m:rPr>
                  <m:sty m:val="p"/>
                </m:rPr>
                <w:rPr>
                  <w:rFonts w:ascii="Cambria Math" w:hAnsi="Cambria Math" w:cs="Tahoma"/>
                </w:rPr>
                <m:t>∙</m:t>
              </m:r>
              <m:sSub>
                <m:sSubPr>
                  <m:ctrlPr>
                    <w:rPr>
                      <w:rFonts w:ascii="Cambria Math" w:hAnsi="Cambria Math" w:cs="Tahoma"/>
                    </w:rPr>
                  </m:ctrlPr>
                </m:sSubPr>
                <m:e>
                  <m:r>
                    <w:rPr>
                      <w:rFonts w:ascii="Cambria Math" w:hAnsi="Cambria Math" w:cs="Tahoma"/>
                    </w:rPr>
                    <m:t>W</m:t>
                  </m:r>
                </m:e>
                <m:sub>
                  <m:r>
                    <w:rPr>
                      <w:rFonts w:ascii="Cambria Math" w:hAnsi="Cambria Math" w:cs="Tahoma"/>
                    </w:rPr>
                    <m:t>in</m:t>
                  </m:r>
                </m:sub>
              </m:sSub>
              <m:r>
                <m:rPr>
                  <m:sty m:val="p"/>
                </m:rPr>
                <w:rPr>
                  <w:rFonts w:ascii="Cambria Math" w:hAnsi="Cambria Math" w:cs="Tahoma"/>
                </w:rPr>
                <m:t xml:space="preserve"> </m:t>
              </m:r>
            </m:e>
          </m:nary>
        </m:oMath>
      </m:oMathPara>
    </w:p>
    <w:p w14:paraId="02D47459" w14:textId="77777777" w:rsidR="00916CA0" w:rsidRPr="00C05E86" w:rsidRDefault="00916CA0" w:rsidP="00C05E86">
      <w:pPr>
        <w:pStyle w:val="af9"/>
        <w:spacing w:before="120"/>
        <w:contextualSpacing w:val="0"/>
        <w:rPr>
          <w:rFonts w:cs="Tahoma"/>
        </w:rPr>
      </w:pPr>
      <w:r w:rsidRPr="00C05E86">
        <w:rPr>
          <w:rFonts w:cs="Tahoma"/>
        </w:rPr>
        <w:t>where:</w:t>
      </w:r>
    </w:p>
    <w:p w14:paraId="2B801DED" w14:textId="755D4214" w:rsidR="00916CA0" w:rsidRPr="00C05E86" w:rsidRDefault="00916CA0" w:rsidP="00C05E86">
      <w:pPr>
        <w:pStyle w:val="af9"/>
        <w:spacing w:before="120"/>
        <w:contextualSpacing w:val="0"/>
        <w:rPr>
          <w:rFonts w:cs="Tahoma"/>
        </w:rPr>
      </w:pPr>
      <w:r w:rsidRPr="00C05E86">
        <w:rPr>
          <w:rFonts w:cs="Tahoma"/>
        </w:rPr>
        <w:t>I</w:t>
      </w:r>
      <w:r w:rsidRPr="00C05E86">
        <w:rPr>
          <w:rFonts w:cs="Tahoma"/>
          <w:vertAlign w:val="subscript"/>
        </w:rPr>
        <w:t>n</w:t>
      </w:r>
      <w:r w:rsidRPr="00C05E86">
        <w:rPr>
          <w:rFonts w:cs="Tahoma"/>
        </w:rPr>
        <w:t xml:space="preserve"> </w:t>
      </w:r>
      <w:r w:rsidR="00C05E86" w:rsidRPr="00C05E86">
        <w:rPr>
          <w:rFonts w:cs="Tahoma"/>
        </w:rPr>
        <w:t xml:space="preserve">– </w:t>
      </w:r>
      <w:r w:rsidR="00C05E86">
        <w:rPr>
          <w:rFonts w:cs="Tahoma"/>
        </w:rPr>
        <w:t xml:space="preserve">the </w:t>
      </w:r>
      <w:r w:rsidR="00C05E86" w:rsidRPr="00C05E86">
        <w:rPr>
          <w:rFonts w:cs="Tahoma"/>
        </w:rPr>
        <w:t>value</w:t>
      </w:r>
      <w:r w:rsidRPr="00C05E86">
        <w:rPr>
          <w:rFonts w:cs="Tahoma"/>
        </w:rPr>
        <w:t xml:space="preserve"> of the Index as of the n</w:t>
      </w:r>
      <w:r w:rsidRPr="00C05E86">
        <w:rPr>
          <w:rFonts w:cs="Tahoma"/>
          <w:vertAlign w:val="superscript"/>
        </w:rPr>
        <w:t>th</w:t>
      </w:r>
      <w:r w:rsidRPr="00C05E86">
        <w:rPr>
          <w:rFonts w:cs="Tahoma"/>
        </w:rPr>
        <w:t xml:space="preserve"> moment;</w:t>
      </w:r>
    </w:p>
    <w:p w14:paraId="6D08CB4A" w14:textId="6FBDD111" w:rsidR="00916CA0" w:rsidRPr="00C05E86" w:rsidRDefault="00916CA0" w:rsidP="00C05E86">
      <w:pPr>
        <w:pStyle w:val="af9"/>
        <w:spacing w:before="120"/>
        <w:contextualSpacing w:val="0"/>
        <w:rPr>
          <w:rFonts w:cs="Tahoma"/>
        </w:rPr>
      </w:pPr>
      <w:r w:rsidRPr="00C05E86">
        <w:rPr>
          <w:rFonts w:cs="Tahoma"/>
        </w:rPr>
        <w:t>P</w:t>
      </w:r>
      <w:r w:rsidRPr="00C05E86">
        <w:rPr>
          <w:rFonts w:cs="Tahoma"/>
          <w:vertAlign w:val="subscript"/>
        </w:rPr>
        <w:t>in</w:t>
      </w:r>
      <w:r w:rsidRPr="00C05E86">
        <w:rPr>
          <w:rFonts w:cs="Tahoma"/>
        </w:rPr>
        <w:t xml:space="preserve"> – the average price per square meter of total area, calculated based on transactions involving real estate properties within the Segment over the preceding four weeks; and</w:t>
      </w:r>
    </w:p>
    <w:p w14:paraId="056BBD96" w14:textId="544AFA27" w:rsidR="00916CA0" w:rsidRPr="00C05E86" w:rsidRDefault="00916CA0" w:rsidP="00C05E86">
      <w:pPr>
        <w:pStyle w:val="af9"/>
        <w:spacing w:before="120"/>
        <w:contextualSpacing w:val="0"/>
        <w:rPr>
          <w:rFonts w:cs="Tahoma"/>
        </w:rPr>
      </w:pPr>
      <w:r w:rsidRPr="00C05E86">
        <w:rPr>
          <w:rFonts w:cs="Tahoma"/>
        </w:rPr>
        <w:t>W</w:t>
      </w:r>
      <w:r w:rsidRPr="00C05E86">
        <w:rPr>
          <w:rFonts w:cs="Tahoma"/>
          <w:vertAlign w:val="subscript"/>
        </w:rPr>
        <w:t>in</w:t>
      </w:r>
      <w:r w:rsidRPr="00C05E86">
        <w:rPr>
          <w:rFonts w:cs="Tahoma"/>
        </w:rPr>
        <w:t xml:space="preserve"> – the weight of the </w:t>
      </w:r>
      <w:proofErr w:type="spellStart"/>
      <w:r w:rsidRPr="00C05E86">
        <w:rPr>
          <w:rFonts w:cs="Tahoma"/>
        </w:rPr>
        <w:t>i</w:t>
      </w:r>
      <w:r w:rsidRPr="00C05E86">
        <w:rPr>
          <w:rFonts w:cs="Tahoma"/>
          <w:vertAlign w:val="superscript"/>
        </w:rPr>
        <w:t>th</w:t>
      </w:r>
      <w:proofErr w:type="spellEnd"/>
      <w:r w:rsidRPr="00C05E86">
        <w:rPr>
          <w:rFonts w:cs="Tahoma"/>
        </w:rPr>
        <w:t xml:space="preserve"> Segment in the Index, determined in accordance with Clause </w:t>
      </w:r>
      <w:r w:rsidR="00C36F56" w:rsidRPr="00C05E86">
        <w:rPr>
          <w:rFonts w:cs="Tahoma"/>
        </w:rPr>
        <w:fldChar w:fldCharType="begin"/>
      </w:r>
      <w:r w:rsidR="00C36F56" w:rsidRPr="00C05E86">
        <w:rPr>
          <w:rFonts w:cs="Tahoma"/>
        </w:rPr>
        <w:instrText xml:space="preserve"> REF _Ref38280893 \r \h </w:instrText>
      </w:r>
      <w:r w:rsidR="00C36F56" w:rsidRPr="00C05E86">
        <w:rPr>
          <w:rFonts w:cs="Tahoma"/>
        </w:rPr>
      </w:r>
      <w:r w:rsidR="00C05E86">
        <w:rPr>
          <w:rFonts w:cs="Tahoma"/>
        </w:rPr>
        <w:instrText xml:space="preserve"> \* MERGEFORMAT </w:instrText>
      </w:r>
      <w:r w:rsidR="00C36F56" w:rsidRPr="00C05E86">
        <w:rPr>
          <w:rFonts w:cs="Tahoma"/>
        </w:rPr>
        <w:fldChar w:fldCharType="separate"/>
      </w:r>
      <w:r w:rsidR="00572F46" w:rsidRPr="00C05E86">
        <w:rPr>
          <w:rFonts w:cs="Tahoma"/>
        </w:rPr>
        <w:t>2.3</w:t>
      </w:r>
      <w:r w:rsidR="00C36F56" w:rsidRPr="00C05E86">
        <w:rPr>
          <w:rFonts w:cs="Tahoma"/>
        </w:rPr>
        <w:fldChar w:fldCharType="end"/>
      </w:r>
      <w:r w:rsidRPr="00C05E86">
        <w:rPr>
          <w:rFonts w:cs="Tahoma"/>
        </w:rPr>
        <w:t xml:space="preserve"> of this Methodology.</w:t>
      </w:r>
    </w:p>
    <w:p w14:paraId="1447280B" w14:textId="5B6B93D1" w:rsidR="00645A95" w:rsidRPr="00C05E86" w:rsidRDefault="00645A95" w:rsidP="00C05E86">
      <w:pPr>
        <w:pStyle w:val="30"/>
        <w:spacing w:before="120" w:after="120"/>
        <w:rPr>
          <w:rFonts w:cs="Tahoma"/>
        </w:rPr>
      </w:pPr>
      <w:bookmarkStart w:id="52" w:name="_Ref5023624"/>
      <w:bookmarkStart w:id="53" w:name="_Ref332015395"/>
      <w:r w:rsidRPr="00C05E86">
        <w:rPr>
          <w:rFonts w:cs="Tahoma"/>
        </w:rPr>
        <w:t xml:space="preserve">The average price per square meter for each Segment is calculated as the arithmetic mean of transaction prices for real estate properties of the Segment that meet requirements set out in Clause </w:t>
      </w:r>
      <w:r w:rsidR="00D73E4E" w:rsidRPr="00C05E86">
        <w:rPr>
          <w:rFonts w:cs="Tahoma"/>
        </w:rPr>
        <w:fldChar w:fldCharType="begin"/>
      </w:r>
      <w:r w:rsidR="00D73E4E" w:rsidRPr="00C05E86">
        <w:rPr>
          <w:rFonts w:cs="Tahoma"/>
        </w:rPr>
        <w:instrText xml:space="preserve"> REF _Ref4680872 \r \h </w:instrText>
      </w:r>
      <w:r w:rsidR="00D73E4E" w:rsidRPr="00C05E86">
        <w:rPr>
          <w:rFonts w:cs="Tahoma"/>
        </w:rPr>
      </w:r>
      <w:r w:rsidR="00C05E86">
        <w:rPr>
          <w:rFonts w:cs="Tahoma"/>
        </w:rPr>
        <w:instrText xml:space="preserve"> \* MERGEFORMAT </w:instrText>
      </w:r>
      <w:r w:rsidR="00D73E4E" w:rsidRPr="00C05E86">
        <w:rPr>
          <w:rFonts w:cs="Tahoma"/>
        </w:rPr>
        <w:fldChar w:fldCharType="separate"/>
      </w:r>
      <w:r w:rsidR="00572F46" w:rsidRPr="00C05E86">
        <w:rPr>
          <w:rFonts w:cs="Tahoma"/>
        </w:rPr>
        <w:t>2.1</w:t>
      </w:r>
      <w:r w:rsidR="00D73E4E" w:rsidRPr="00C05E86">
        <w:rPr>
          <w:rFonts w:cs="Tahoma"/>
        </w:rPr>
        <w:fldChar w:fldCharType="end"/>
      </w:r>
      <w:r w:rsidRPr="00C05E86">
        <w:rPr>
          <w:rFonts w:cs="Tahoma"/>
        </w:rPr>
        <w:t xml:space="preserve"> over the preceding four weeks. </w:t>
      </w:r>
    </w:p>
    <w:p w14:paraId="1CFF9348" w14:textId="4919DC3F" w:rsidR="00645A95" w:rsidRPr="00C05E86" w:rsidRDefault="00645A95" w:rsidP="00C05E86">
      <w:pPr>
        <w:pStyle w:val="30"/>
        <w:spacing w:before="120" w:after="120"/>
        <w:rPr>
          <w:rFonts w:cs="Tahoma"/>
        </w:rPr>
      </w:pPr>
      <w:r w:rsidRPr="00C05E86">
        <w:rPr>
          <w:rFonts w:cs="Tahoma"/>
        </w:rPr>
        <w:t xml:space="preserve">The average price per square meter for each Segment is calculated by </w:t>
      </w:r>
      <w:proofErr w:type="spellStart"/>
      <w:r w:rsidRPr="00C05E86">
        <w:rPr>
          <w:rFonts w:cs="Tahoma"/>
        </w:rPr>
        <w:t>Domclick</w:t>
      </w:r>
      <w:proofErr w:type="spellEnd"/>
      <w:r w:rsidRPr="00C05E86">
        <w:rPr>
          <w:rFonts w:cs="Tahoma"/>
        </w:rPr>
        <w:t xml:space="preserve"> and transmitted to the Exchange no later than the first trading day following the transaction period used for Index calculation.</w:t>
      </w:r>
    </w:p>
    <w:p w14:paraId="6784481E" w14:textId="4A13B975" w:rsidR="009E351C" w:rsidRPr="00C05E86" w:rsidRDefault="009E351C" w:rsidP="00C05E86">
      <w:pPr>
        <w:pStyle w:val="30"/>
        <w:spacing w:before="120" w:after="120"/>
        <w:rPr>
          <w:rFonts w:cs="Tahoma"/>
        </w:rPr>
      </w:pPr>
      <w:r w:rsidRPr="00C05E86">
        <w:rPr>
          <w:rFonts w:cs="Tahoma"/>
        </w:rPr>
        <w:t>The average price per square meter of total area for each Segment is determined with an accuracy of two decimal places.</w:t>
      </w:r>
    </w:p>
    <w:p w14:paraId="3A18D01C" w14:textId="2F4169B1" w:rsidR="00B31774" w:rsidRPr="00C05E86" w:rsidRDefault="00B31774" w:rsidP="00C05E86">
      <w:pPr>
        <w:pStyle w:val="30"/>
        <w:spacing w:before="120" w:after="120"/>
        <w:rPr>
          <w:rFonts w:cs="Tahoma"/>
        </w:rPr>
      </w:pPr>
      <w:r w:rsidRPr="00C05E86">
        <w:rPr>
          <w:rFonts w:cs="Tahoma"/>
        </w:rPr>
        <w:t>If fewer than ten transactions meeting the criteria of Clause 2.1 occur within a Segment over the preceding four weeks, the average price per square meter for that Segment is calculated using the prices of the last ten transactions available over the entire available period.</w:t>
      </w:r>
    </w:p>
    <w:bookmarkEnd w:id="52"/>
    <w:p w14:paraId="49E8AB3C" w14:textId="16184979" w:rsidR="00051F6A" w:rsidRPr="00C05E86" w:rsidRDefault="00A91DEC" w:rsidP="00C05E86">
      <w:pPr>
        <w:pStyle w:val="30"/>
        <w:spacing w:before="120" w:after="120"/>
        <w:rPr>
          <w:rFonts w:cs="Tahoma"/>
        </w:rPr>
      </w:pPr>
      <w:r w:rsidRPr="00C05E86">
        <w:rPr>
          <w:rFonts w:cs="Tahoma"/>
        </w:rPr>
        <w:t>The initial value of the Index: I</w:t>
      </w:r>
      <w:r w:rsidRPr="00C05E86">
        <w:rPr>
          <w:rFonts w:cs="Tahoma"/>
          <w:vertAlign w:val="subscript"/>
        </w:rPr>
        <w:t>1 </w:t>
      </w:r>
      <w:r w:rsidRPr="00C05E86">
        <w:rPr>
          <w:rFonts w:cs="Tahoma"/>
        </w:rPr>
        <w:t>= 159 646.69 as of 28 December 2016.</w:t>
      </w:r>
    </w:p>
    <w:bookmarkEnd w:id="53"/>
    <w:p w14:paraId="7B294C80" w14:textId="15BCE923" w:rsidR="00B61B3D" w:rsidRPr="00C05E86" w:rsidRDefault="003C6629" w:rsidP="00C05E86">
      <w:pPr>
        <w:pStyle w:val="30"/>
        <w:spacing w:before="120" w:after="120"/>
        <w:rPr>
          <w:rFonts w:cs="Tahoma"/>
        </w:rPr>
      </w:pPr>
      <w:r w:rsidRPr="00C05E86">
        <w:rPr>
          <w:rFonts w:cs="Tahoma"/>
        </w:rPr>
        <w:lastRenderedPageBreak/>
        <w:t>Index values are expressed in r</w:t>
      </w:r>
      <w:r w:rsidR="00C05E86">
        <w:rPr>
          <w:rFonts w:cs="Tahoma"/>
        </w:rPr>
        <w:t>o</w:t>
      </w:r>
      <w:r w:rsidRPr="00C05E86">
        <w:rPr>
          <w:rFonts w:cs="Tahoma"/>
        </w:rPr>
        <w:t>ubles and calculated with precision to two decimal places.</w:t>
      </w:r>
    </w:p>
    <w:p w14:paraId="7A68BBDD" w14:textId="77777777" w:rsidR="00033217" w:rsidRPr="00C05E86" w:rsidRDefault="00033217" w:rsidP="00C05E86">
      <w:pPr>
        <w:pStyle w:val="30"/>
        <w:numPr>
          <w:ilvl w:val="0"/>
          <w:numId w:val="0"/>
        </w:numPr>
        <w:spacing w:before="120" w:after="120"/>
        <w:ind w:left="1077"/>
        <w:rPr>
          <w:rFonts w:cs="Tahoma"/>
        </w:rPr>
      </w:pPr>
    </w:p>
    <w:p w14:paraId="3A957571" w14:textId="30B755A0" w:rsidR="00BE3022" w:rsidRPr="00C05E86" w:rsidRDefault="00BE3022" w:rsidP="00C05E86">
      <w:pPr>
        <w:pStyle w:val="a"/>
        <w:spacing w:before="120" w:after="120"/>
        <w:jc w:val="both"/>
        <w:rPr>
          <w:rFonts w:cs="Tahoma"/>
        </w:rPr>
      </w:pPr>
      <w:bookmarkStart w:id="54" w:name="_Ref38283448"/>
      <w:bookmarkStart w:id="55" w:name="_Toc424122352"/>
      <w:bookmarkStart w:id="56" w:name="_Toc438206727"/>
      <w:bookmarkStart w:id="57" w:name="_Toc438206763"/>
      <w:bookmarkStart w:id="58" w:name="_Toc438206983"/>
      <w:bookmarkStart w:id="59" w:name="_Toc433902899"/>
      <w:bookmarkStart w:id="60" w:name="_Toc463443756"/>
      <w:bookmarkStart w:id="61" w:name="_Toc488065469"/>
      <w:bookmarkStart w:id="62" w:name="_Ref38280893"/>
      <w:bookmarkStart w:id="63" w:name="_Toc223536976"/>
      <w:r w:rsidRPr="00C05E86">
        <w:rPr>
          <w:rFonts w:cs="Tahoma"/>
        </w:rPr>
        <w:t>How the Weight of a Real Estate Segment in the Index (Wᵢ) is Determined</w:t>
      </w:r>
      <w:bookmarkEnd w:id="54"/>
      <w:bookmarkEnd w:id="63"/>
    </w:p>
    <w:p w14:paraId="4DA10B2F" w14:textId="55A05BB5" w:rsidR="00C9664E" w:rsidRPr="00C05E86" w:rsidRDefault="00C9664E" w:rsidP="00C05E86">
      <w:pPr>
        <w:pStyle w:val="30"/>
        <w:spacing w:before="120" w:after="120"/>
        <w:rPr>
          <w:rFonts w:cs="Tahoma"/>
        </w:rPr>
      </w:pPr>
      <w:bookmarkStart w:id="64" w:name="_Ref4684678"/>
      <w:bookmarkStart w:id="65" w:name="_Ref323385773"/>
      <w:bookmarkStart w:id="66" w:name="_Ref323388095"/>
      <w:bookmarkStart w:id="67" w:name="п_3_2"/>
      <w:bookmarkStart w:id="68" w:name="_Ref235351856"/>
      <w:bookmarkStart w:id="69" w:name="_Ref306365601"/>
      <w:bookmarkStart w:id="70" w:name="_Ref306199762"/>
      <w:bookmarkEnd w:id="55"/>
      <w:bookmarkEnd w:id="56"/>
      <w:bookmarkEnd w:id="57"/>
      <w:bookmarkEnd w:id="58"/>
      <w:bookmarkEnd w:id="59"/>
      <w:bookmarkEnd w:id="60"/>
      <w:bookmarkEnd w:id="61"/>
      <w:bookmarkEnd w:id="62"/>
      <w:r w:rsidRPr="00C05E86">
        <w:rPr>
          <w:rFonts w:cs="Tahoma"/>
        </w:rPr>
        <w:t xml:space="preserve">The weight of the </w:t>
      </w:r>
      <w:proofErr w:type="spellStart"/>
      <w:r w:rsidRPr="00C05E86">
        <w:rPr>
          <w:rFonts w:cs="Tahoma"/>
        </w:rPr>
        <w:t>i</w:t>
      </w:r>
      <w:r w:rsidRPr="00C05E86">
        <w:rPr>
          <w:rFonts w:cs="Tahoma"/>
          <w:vertAlign w:val="superscript"/>
        </w:rPr>
        <w:t>th</w:t>
      </w:r>
      <w:proofErr w:type="spellEnd"/>
      <w:r w:rsidRPr="00C05E86">
        <w:rPr>
          <w:rFonts w:cs="Tahoma"/>
        </w:rPr>
        <w:t xml:space="preserve"> Segment in the Index, Wᵢ, is calculated as the product of:</w:t>
      </w:r>
      <w:r w:rsidRPr="00C05E86">
        <w:rPr>
          <w:rFonts w:cs="Tahoma"/>
        </w:rPr>
        <w:br/>
        <w:t>W₁ᵢ – the weighting factor of the administrative district of Moscow; and</w:t>
      </w:r>
      <w:r w:rsidRPr="00C05E86">
        <w:rPr>
          <w:rFonts w:cs="Tahoma"/>
        </w:rPr>
        <w:br/>
        <w:t>W₂ᵢ – the weighting factor of the Segment, determined by the category of the building in which the transacted property is located and the distance from the property to the nearest metro station, within each administrative district of Moscow used in the Index calculation.</w:t>
      </w:r>
    </w:p>
    <w:p w14:paraId="1EDD4F8A" w14:textId="7FC9594E" w:rsidR="00C9664E" w:rsidRPr="00C05E86" w:rsidRDefault="000A534B" w:rsidP="00C05E86">
      <w:pPr>
        <w:pStyle w:val="30"/>
        <w:spacing w:before="120" w:after="120"/>
        <w:rPr>
          <w:rFonts w:cs="Tahoma"/>
        </w:rPr>
      </w:pPr>
      <w:r w:rsidRPr="00C05E86">
        <w:rPr>
          <w:rFonts w:cs="Tahoma"/>
        </w:rPr>
        <w:t xml:space="preserve">The weight of the </w:t>
      </w:r>
      <w:proofErr w:type="spellStart"/>
      <w:r w:rsidRPr="00C05E86">
        <w:rPr>
          <w:rFonts w:cs="Tahoma"/>
        </w:rPr>
        <w:t>i</w:t>
      </w:r>
      <w:r w:rsidRPr="00C05E86">
        <w:rPr>
          <w:rFonts w:cs="Tahoma"/>
          <w:vertAlign w:val="superscript"/>
        </w:rPr>
        <w:t>th</w:t>
      </w:r>
      <w:proofErr w:type="spellEnd"/>
      <w:r w:rsidRPr="00C05E86">
        <w:rPr>
          <w:rFonts w:cs="Tahoma"/>
        </w:rPr>
        <w:t xml:space="preserve"> Segment in the Index, Wᵢ, is calculated with precision to nine decimal places.</w:t>
      </w:r>
    </w:p>
    <w:p w14:paraId="6A740144" w14:textId="11BD9194" w:rsidR="008C376D" w:rsidRPr="00C05E86" w:rsidRDefault="008C376D" w:rsidP="00C05E86">
      <w:pPr>
        <w:pStyle w:val="30"/>
        <w:spacing w:before="120" w:after="120"/>
        <w:rPr>
          <w:rFonts w:cs="Tahoma"/>
        </w:rPr>
      </w:pPr>
      <w:r w:rsidRPr="00C05E86">
        <w:rPr>
          <w:rFonts w:cs="Tahoma"/>
        </w:rPr>
        <w:t xml:space="preserve">The weighting factor of the administrative district of Moscow (W₁ᵢ) is determined based on the ratio of the population of the respective administrative district to the total population of all administrative districts included in the Index calculation. To calculate the weighting factors of administrative districts, the most recent official data published by </w:t>
      </w:r>
      <w:proofErr w:type="spellStart"/>
      <w:r w:rsidRPr="00C05E86">
        <w:rPr>
          <w:rFonts w:cs="Tahoma"/>
        </w:rPr>
        <w:t>Rosstat</w:t>
      </w:r>
      <w:proofErr w:type="spellEnd"/>
      <w:r w:rsidRPr="00C05E86">
        <w:rPr>
          <w:rFonts w:cs="Tahoma"/>
        </w:rPr>
        <w:t xml:space="preserve"> on its official website as of the Index Revie Date is used. In the absence of up-to-date population data for Moscow's administrative districts within the last 18 months, the Exchange may determine weights based on expert opinion, including recommendations from the Expert Council, such as using the ratio of mortgage transactions in each district over the preceding 12 months.</w:t>
      </w:r>
      <w:r w:rsidRPr="00C05E86">
        <w:rPr>
          <w:rFonts w:cs="Tahoma"/>
        </w:rPr>
        <w:br/>
      </w:r>
    </w:p>
    <w:p w14:paraId="1E243B6F" w14:textId="687AA496" w:rsidR="00C9664E" w:rsidRPr="00C05E86" w:rsidRDefault="007A3DAD" w:rsidP="00C05E86">
      <w:pPr>
        <w:pStyle w:val="30"/>
        <w:spacing w:before="120" w:after="120"/>
        <w:rPr>
          <w:rFonts w:cs="Tahoma"/>
        </w:rPr>
      </w:pPr>
      <w:r w:rsidRPr="00C05E86">
        <w:rPr>
          <w:rFonts w:cs="Tahoma"/>
        </w:rPr>
        <w:t>The weighting factor of the Segment within an administrative district (W₂ᵢ) is determined based on the ratio of the number of mortgage transactions involving real estate properties in the given Segment to the total number of transactions across all Segments within the respective administrative district over the 52 weeks preceding the Index Review Date.</w:t>
      </w:r>
    </w:p>
    <w:bookmarkEnd w:id="64"/>
    <w:bookmarkEnd w:id="65"/>
    <w:bookmarkEnd w:id="66"/>
    <w:bookmarkEnd w:id="67"/>
    <w:bookmarkEnd w:id="68"/>
    <w:bookmarkEnd w:id="69"/>
    <w:bookmarkEnd w:id="70"/>
    <w:p w14:paraId="57234364" w14:textId="77777777" w:rsidR="0060547F" w:rsidRPr="00C05E86" w:rsidRDefault="0060547F" w:rsidP="00C05E86">
      <w:pPr>
        <w:pStyle w:val="a4"/>
        <w:spacing w:before="120"/>
        <w:jc w:val="both"/>
        <w:rPr>
          <w:rFonts w:cs="Tahoma"/>
        </w:rPr>
      </w:pPr>
    </w:p>
    <w:p w14:paraId="01FD59B1" w14:textId="53679753" w:rsidR="0045247E" w:rsidRPr="00C05E86" w:rsidRDefault="00877E85" w:rsidP="00C05E86">
      <w:pPr>
        <w:pStyle w:val="10"/>
        <w:spacing w:before="120" w:after="120"/>
        <w:rPr>
          <w:rFonts w:cs="Tahoma"/>
        </w:rPr>
      </w:pPr>
      <w:bookmarkStart w:id="71" w:name="_Toc424122354"/>
      <w:bookmarkStart w:id="72" w:name="_Toc223536977"/>
      <w:r w:rsidRPr="00C05E86">
        <w:rPr>
          <w:rFonts w:cs="Tahoma"/>
        </w:rPr>
        <w:t>Index Construction</w:t>
      </w:r>
      <w:bookmarkEnd w:id="71"/>
      <w:r w:rsidRPr="00C05E86">
        <w:rPr>
          <w:rFonts w:cs="Tahoma"/>
        </w:rPr>
        <w:t xml:space="preserve"> and Review</w:t>
      </w:r>
      <w:bookmarkEnd w:id="72"/>
    </w:p>
    <w:p w14:paraId="6F6687BB" w14:textId="53E4344C" w:rsidR="00F45DB8" w:rsidRPr="00C05E86" w:rsidRDefault="00F45DB8" w:rsidP="00C05E86">
      <w:pPr>
        <w:pStyle w:val="a"/>
        <w:spacing w:before="120" w:after="120"/>
        <w:rPr>
          <w:rFonts w:cs="Tahoma"/>
        </w:rPr>
      </w:pPr>
      <w:bookmarkStart w:id="73" w:name="_Ref423512999"/>
      <w:bookmarkStart w:id="74" w:name="_Ref423518818"/>
      <w:bookmarkStart w:id="75" w:name="_Toc424122355"/>
      <w:bookmarkStart w:id="76" w:name="_Toc438206730"/>
      <w:bookmarkStart w:id="77" w:name="_Toc438206766"/>
      <w:bookmarkStart w:id="78" w:name="_Toc438206986"/>
      <w:bookmarkStart w:id="79" w:name="_Toc433902902"/>
      <w:bookmarkStart w:id="80" w:name="_Toc463443760"/>
      <w:bookmarkStart w:id="81" w:name="_Toc488065475"/>
      <w:bookmarkStart w:id="82" w:name="_Toc223536978"/>
      <w:r w:rsidRPr="00C05E86">
        <w:rPr>
          <w:rFonts w:cs="Tahoma"/>
        </w:rPr>
        <w:t>Index Construction Principles</w:t>
      </w:r>
      <w:bookmarkEnd w:id="73"/>
      <w:bookmarkEnd w:id="74"/>
      <w:bookmarkEnd w:id="75"/>
      <w:bookmarkEnd w:id="76"/>
      <w:bookmarkEnd w:id="77"/>
      <w:bookmarkEnd w:id="78"/>
      <w:bookmarkEnd w:id="79"/>
      <w:bookmarkEnd w:id="80"/>
      <w:bookmarkEnd w:id="81"/>
      <w:bookmarkEnd w:id="82"/>
    </w:p>
    <w:p w14:paraId="386A9535" w14:textId="42C8C3DD" w:rsidR="00A30A5A" w:rsidRPr="00C05E86" w:rsidRDefault="00D77A37" w:rsidP="00C05E86">
      <w:pPr>
        <w:pStyle w:val="30"/>
        <w:spacing w:before="120" w:after="120"/>
        <w:rPr>
          <w:rFonts w:cs="Tahoma"/>
        </w:rPr>
      </w:pPr>
      <w:r w:rsidRPr="00C05E86">
        <w:rPr>
          <w:rFonts w:cs="Tahoma"/>
        </w:rPr>
        <w:t>The Index Constituents list contains codes and names of the Segments of the Moscow Real Estate Market.</w:t>
      </w:r>
    </w:p>
    <w:p w14:paraId="722E6297" w14:textId="4912971C" w:rsidR="00D77A37" w:rsidRPr="00C05E86" w:rsidRDefault="00A30A5A" w:rsidP="00C05E86">
      <w:pPr>
        <w:pStyle w:val="30"/>
        <w:spacing w:before="120" w:after="120"/>
        <w:rPr>
          <w:rFonts w:cs="Tahoma"/>
        </w:rPr>
      </w:pPr>
      <w:r w:rsidRPr="00C05E86">
        <w:rPr>
          <w:rFonts w:cs="Tahoma"/>
        </w:rPr>
        <w:t>The list of Segments of the Moscow Real Estate Market (Index Constituents) is established in accordance with Appendix 1.</w:t>
      </w:r>
      <w:r w:rsidRPr="00C05E86">
        <w:rPr>
          <w:rStyle w:val="af7"/>
          <w:rFonts w:ascii="Tahoma" w:hAnsi="Tahoma" w:cs="Tahoma"/>
        </w:rPr>
        <w:t xml:space="preserve"> Upon recommendation of the Expert Council, the Exchange may decide to redefine Index Constituents in accordance with the procedure set out in clause </w:t>
      </w:r>
      <w:r w:rsidRPr="00C05E86">
        <w:rPr>
          <w:rStyle w:val="af7"/>
          <w:rFonts w:ascii="Tahoma" w:hAnsi="Tahoma" w:cs="Tahoma"/>
        </w:rPr>
        <w:fldChar w:fldCharType="begin"/>
      </w:r>
      <w:r w:rsidRPr="00C05E86">
        <w:rPr>
          <w:rStyle w:val="af7"/>
          <w:rFonts w:ascii="Tahoma" w:hAnsi="Tahoma" w:cs="Tahoma"/>
        </w:rPr>
        <w:instrText xml:space="preserve"> REF _Ref5095354 \r \h </w:instrText>
      </w:r>
      <w:r w:rsidRPr="00C05E86">
        <w:rPr>
          <w:rStyle w:val="af7"/>
          <w:rFonts w:ascii="Tahoma" w:hAnsi="Tahoma" w:cs="Tahoma"/>
        </w:rPr>
      </w:r>
      <w:r w:rsidR="00C05E86">
        <w:rPr>
          <w:rStyle w:val="af7"/>
          <w:rFonts w:ascii="Tahoma" w:hAnsi="Tahoma" w:cs="Tahoma"/>
        </w:rPr>
        <w:instrText xml:space="preserve"> \* MERGEFORMAT </w:instrText>
      </w:r>
      <w:r w:rsidRPr="00C05E86">
        <w:rPr>
          <w:rStyle w:val="af7"/>
          <w:rFonts w:ascii="Tahoma" w:hAnsi="Tahoma" w:cs="Tahoma"/>
        </w:rPr>
        <w:fldChar w:fldCharType="separate"/>
      </w:r>
      <w:r w:rsidR="00572F46" w:rsidRPr="00C05E86">
        <w:rPr>
          <w:rStyle w:val="af7"/>
          <w:rFonts w:ascii="Tahoma" w:hAnsi="Tahoma" w:cs="Tahoma"/>
        </w:rPr>
        <w:t>3.2</w:t>
      </w:r>
      <w:r w:rsidRPr="00C05E86">
        <w:rPr>
          <w:rStyle w:val="af7"/>
          <w:rFonts w:ascii="Tahoma" w:hAnsi="Tahoma" w:cs="Tahoma"/>
        </w:rPr>
        <w:fldChar w:fldCharType="end"/>
      </w:r>
      <w:r w:rsidRPr="00C05E86">
        <w:rPr>
          <w:rStyle w:val="af7"/>
          <w:rFonts w:ascii="Tahoma" w:hAnsi="Tahoma" w:cs="Tahoma"/>
        </w:rPr>
        <w:t xml:space="preserve"> of this Methodology.</w:t>
      </w:r>
    </w:p>
    <w:p w14:paraId="6F6279FF" w14:textId="693BF35F" w:rsidR="00912036" w:rsidRPr="00C05E86" w:rsidRDefault="00912036" w:rsidP="00C05E86">
      <w:pPr>
        <w:pStyle w:val="30"/>
        <w:spacing w:before="120" w:after="120"/>
        <w:rPr>
          <w:rFonts w:cs="Tahoma"/>
        </w:rPr>
      </w:pPr>
      <w:r w:rsidRPr="00C05E86">
        <w:rPr>
          <w:rFonts w:cs="Tahoma"/>
        </w:rPr>
        <w:t xml:space="preserve">The parameters of the Index Constituents are the weights of the Segments in the Index. The parameters of the Constituents are determined in accordance with the procedure set forth in Clause </w:t>
      </w:r>
      <w:r w:rsidR="000A566B" w:rsidRPr="00C05E86">
        <w:rPr>
          <w:rFonts w:cs="Tahoma"/>
        </w:rPr>
        <w:fldChar w:fldCharType="begin"/>
      </w:r>
      <w:r w:rsidR="000A566B" w:rsidRPr="00C05E86">
        <w:rPr>
          <w:rFonts w:cs="Tahoma"/>
        </w:rPr>
        <w:instrText xml:space="preserve"> REF _Ref38283448 \r \h </w:instrText>
      </w:r>
      <w:r w:rsidR="000A566B" w:rsidRPr="00C05E86">
        <w:rPr>
          <w:rFonts w:cs="Tahoma"/>
        </w:rPr>
      </w:r>
      <w:r w:rsidR="00C05E86">
        <w:rPr>
          <w:rFonts w:cs="Tahoma"/>
        </w:rPr>
        <w:instrText xml:space="preserve"> \* MERGEFORMAT </w:instrText>
      </w:r>
      <w:r w:rsidR="000A566B" w:rsidRPr="00C05E86">
        <w:rPr>
          <w:rFonts w:cs="Tahoma"/>
        </w:rPr>
        <w:fldChar w:fldCharType="separate"/>
      </w:r>
      <w:r w:rsidR="000A566B" w:rsidRPr="00C05E86">
        <w:rPr>
          <w:rFonts w:cs="Tahoma"/>
        </w:rPr>
        <w:t>2.3</w:t>
      </w:r>
      <w:r w:rsidR="000A566B" w:rsidRPr="00C05E86">
        <w:rPr>
          <w:rFonts w:cs="Tahoma"/>
        </w:rPr>
        <w:fldChar w:fldCharType="end"/>
      </w:r>
      <w:r w:rsidRPr="00C05E86">
        <w:rPr>
          <w:rFonts w:cs="Tahoma"/>
        </w:rPr>
        <w:t xml:space="preserve"> as of the Index Revie Date.</w:t>
      </w:r>
    </w:p>
    <w:p w14:paraId="76616D8E" w14:textId="5A4D9DE3" w:rsidR="00EA10CD" w:rsidRPr="00C05E86" w:rsidRDefault="00EA10CD" w:rsidP="00C05E86">
      <w:pPr>
        <w:pStyle w:val="30"/>
        <w:spacing w:before="120" w:after="120"/>
        <w:rPr>
          <w:rFonts w:cs="Tahoma"/>
        </w:rPr>
      </w:pPr>
      <w:r w:rsidRPr="00C05E86">
        <w:rPr>
          <w:rFonts w:cs="Tahoma"/>
        </w:rPr>
        <w:t xml:space="preserve">Upon the scheduled Index Review, parameters of the Index Constituents are determined on the basis of data sent by </w:t>
      </w:r>
      <w:proofErr w:type="spellStart"/>
      <w:r w:rsidRPr="00C05E86">
        <w:rPr>
          <w:rFonts w:cs="Tahoma"/>
        </w:rPr>
        <w:t>Domclick</w:t>
      </w:r>
      <w:proofErr w:type="spellEnd"/>
      <w:r w:rsidRPr="00C05E86">
        <w:rPr>
          <w:rFonts w:cs="Tahoma"/>
        </w:rPr>
        <w:t xml:space="preserve"> to the Exchange not later than the date of the Index Review date.</w:t>
      </w:r>
    </w:p>
    <w:p w14:paraId="40CF2723" w14:textId="4DB75C65" w:rsidR="000E48CF" w:rsidRPr="00C05E86" w:rsidRDefault="000E48CF" w:rsidP="00C05E86">
      <w:pPr>
        <w:pStyle w:val="a"/>
        <w:spacing w:before="120" w:after="120"/>
        <w:rPr>
          <w:rFonts w:cs="Tahoma"/>
        </w:rPr>
      </w:pPr>
      <w:bookmarkStart w:id="83" w:name="_Toc424122372"/>
      <w:bookmarkStart w:id="84" w:name="_Toc438206738"/>
      <w:bookmarkStart w:id="85" w:name="_Toc438206774"/>
      <w:bookmarkStart w:id="86" w:name="_Toc438206994"/>
      <w:bookmarkStart w:id="87" w:name="_Toc433902910"/>
      <w:bookmarkStart w:id="88" w:name="_Toc463443768"/>
      <w:bookmarkStart w:id="89" w:name="_Toc488065483"/>
      <w:bookmarkStart w:id="90" w:name="_Ref5095354"/>
      <w:bookmarkStart w:id="91" w:name="_Toc223536979"/>
      <w:r w:rsidRPr="00C05E86">
        <w:rPr>
          <w:rFonts w:cs="Tahoma"/>
        </w:rPr>
        <w:t>Index Review</w:t>
      </w:r>
      <w:bookmarkEnd w:id="83"/>
      <w:bookmarkEnd w:id="84"/>
      <w:bookmarkEnd w:id="85"/>
      <w:bookmarkEnd w:id="86"/>
      <w:bookmarkEnd w:id="87"/>
      <w:bookmarkEnd w:id="88"/>
      <w:bookmarkEnd w:id="89"/>
      <w:bookmarkEnd w:id="90"/>
      <w:bookmarkEnd w:id="91"/>
    </w:p>
    <w:p w14:paraId="661D4EA4" w14:textId="15D311F1" w:rsidR="00D27107" w:rsidRPr="00C05E86" w:rsidRDefault="00937F3C" w:rsidP="00C05E86">
      <w:pPr>
        <w:pStyle w:val="30"/>
        <w:spacing w:before="120" w:after="120"/>
        <w:rPr>
          <w:rFonts w:cs="Tahoma"/>
        </w:rPr>
      </w:pPr>
      <w:r w:rsidRPr="00C05E86">
        <w:rPr>
          <w:rFonts w:cs="Tahoma"/>
        </w:rPr>
        <w:t>Changes in the list of Segments of the Moscow Real Estate Market (Index Constituents), as well as in the weighting factors used in the calculation of the Index (parameters of the Index Constituents), are made at the Index Review.</w:t>
      </w:r>
    </w:p>
    <w:p w14:paraId="0D5EDD1F" w14:textId="2BA1C6BC" w:rsidR="00D27107" w:rsidRPr="00C05E86" w:rsidRDefault="00B63D82" w:rsidP="00C05E86">
      <w:pPr>
        <w:pStyle w:val="30"/>
        <w:spacing w:before="120" w:after="120"/>
        <w:rPr>
          <w:rFonts w:cs="Tahoma"/>
        </w:rPr>
      </w:pPr>
      <w:bookmarkStart w:id="92" w:name="_Ref511664437"/>
      <w:r w:rsidRPr="00C05E86">
        <w:rPr>
          <w:rFonts w:cs="Tahoma"/>
        </w:rPr>
        <w:t xml:space="preserve">Regular Index Reviews and review of parameters of the Index </w:t>
      </w:r>
      <w:r w:rsidR="00C05E86" w:rsidRPr="00C05E86">
        <w:rPr>
          <w:rFonts w:cs="Tahoma"/>
        </w:rPr>
        <w:t>Constituents</w:t>
      </w:r>
      <w:r w:rsidRPr="00C05E86">
        <w:rPr>
          <w:rFonts w:cs="Tahoma"/>
        </w:rPr>
        <w:t xml:space="preserve"> shall be carried out no more frequently than once a quarter, except as provided for in this Methodology. </w:t>
      </w:r>
      <w:bookmarkEnd w:id="92"/>
      <w:r w:rsidRPr="00C05E86">
        <w:rPr>
          <w:rFonts w:cs="Tahoma"/>
        </w:rPr>
        <w:t>Implementation of the reviewed Index is effective on the fourth Monday of March, June, September, and December. The Exchange may decide to set other dates of coming into effect of the Index Constituents after review.</w:t>
      </w:r>
    </w:p>
    <w:p w14:paraId="5258F3E2" w14:textId="76E0ABD8" w:rsidR="00A632E8" w:rsidRPr="00C05E86" w:rsidRDefault="00B63D82" w:rsidP="00C05E86">
      <w:pPr>
        <w:pStyle w:val="30"/>
        <w:spacing w:before="120" w:after="120"/>
        <w:rPr>
          <w:rFonts w:cs="Tahoma"/>
        </w:rPr>
      </w:pPr>
      <w:bookmarkStart w:id="93" w:name="_Ref422320984"/>
      <w:r w:rsidRPr="00C05E86">
        <w:rPr>
          <w:rFonts w:cs="Tahoma"/>
        </w:rPr>
        <w:t>An extraordinary Index Review and review of Constituents' parameters may be carried out in cases that may have a significant impact on the calculation of the Index and require an immediate Index Review or the parameters.</w:t>
      </w:r>
    </w:p>
    <w:bookmarkEnd w:id="93"/>
    <w:p w14:paraId="1ED13B03" w14:textId="67E0CD8E" w:rsidR="00D27107" w:rsidRPr="00C05E86" w:rsidRDefault="00B63D82" w:rsidP="00C05E86">
      <w:pPr>
        <w:pStyle w:val="30"/>
        <w:spacing w:before="120" w:after="120"/>
        <w:rPr>
          <w:rFonts w:cs="Tahoma"/>
        </w:rPr>
      </w:pPr>
      <w:r w:rsidRPr="00C05E86">
        <w:rPr>
          <w:rFonts w:cs="Tahoma"/>
        </w:rPr>
        <w:lastRenderedPageBreak/>
        <w:t xml:space="preserve">Regular review of the Index Constituents and their parameters is notified at least two weeks before the new Constituents </w:t>
      </w:r>
      <w:proofErr w:type="gramStart"/>
      <w:r w:rsidR="00C05E86" w:rsidRPr="00C05E86">
        <w:rPr>
          <w:rFonts w:cs="Tahoma"/>
        </w:rPr>
        <w:t>take</w:t>
      </w:r>
      <w:proofErr w:type="gramEnd"/>
      <w:r w:rsidRPr="00C05E86">
        <w:rPr>
          <w:rFonts w:cs="Tahoma"/>
        </w:rPr>
        <w:t xml:space="preserve"> effect.</w:t>
      </w:r>
    </w:p>
    <w:p w14:paraId="5BD1AEBD" w14:textId="35119DF1" w:rsidR="00B63D82" w:rsidRPr="00C05E86" w:rsidRDefault="00B63D82" w:rsidP="00C05E86">
      <w:pPr>
        <w:pStyle w:val="30"/>
        <w:spacing w:before="120" w:after="120"/>
        <w:rPr>
          <w:rFonts w:cs="Tahoma"/>
        </w:rPr>
      </w:pPr>
      <w:r w:rsidRPr="00C05E86">
        <w:rPr>
          <w:rFonts w:cs="Tahoma"/>
        </w:rPr>
        <w:t>Notice of an extraordinary review of the Index and the parameters is given no later than the day preceding the effective date of the new Constituents.</w:t>
      </w:r>
    </w:p>
    <w:p w14:paraId="3105E8BF" w14:textId="77777777" w:rsidR="00700330" w:rsidRPr="00C05E86" w:rsidRDefault="00700330" w:rsidP="00C05E86">
      <w:pPr>
        <w:spacing w:before="120" w:after="120"/>
        <w:rPr>
          <w:rFonts w:cs="Tahoma"/>
        </w:rPr>
      </w:pPr>
    </w:p>
    <w:p w14:paraId="4ABEAFD8" w14:textId="2F7B053A" w:rsidR="00096A43" w:rsidRPr="00C05E86" w:rsidRDefault="00877E85" w:rsidP="00C05E86">
      <w:pPr>
        <w:pStyle w:val="10"/>
        <w:spacing w:before="120" w:after="120"/>
        <w:rPr>
          <w:rFonts w:cs="Tahoma"/>
        </w:rPr>
      </w:pPr>
      <w:bookmarkStart w:id="94" w:name="_Toc424906503"/>
      <w:bookmarkStart w:id="95" w:name="_Toc424906574"/>
      <w:bookmarkStart w:id="96" w:name="_Toc424906606"/>
      <w:bookmarkStart w:id="97" w:name="_Toc424906650"/>
      <w:bookmarkStart w:id="98" w:name="_Toc424906694"/>
      <w:bookmarkStart w:id="99" w:name="_Toc424906732"/>
      <w:bookmarkStart w:id="100" w:name="_Toc424909149"/>
      <w:bookmarkStart w:id="101" w:name="_Toc425425272"/>
      <w:bookmarkStart w:id="102" w:name="_Ref272826482"/>
      <w:bookmarkStart w:id="103" w:name="п_6_1"/>
      <w:bookmarkStart w:id="104" w:name="_Toc223536980"/>
      <w:bookmarkEnd w:id="94"/>
      <w:bookmarkEnd w:id="95"/>
      <w:bookmarkEnd w:id="96"/>
      <w:bookmarkEnd w:id="97"/>
      <w:bookmarkEnd w:id="98"/>
      <w:bookmarkEnd w:id="99"/>
      <w:bookmarkEnd w:id="100"/>
      <w:bookmarkEnd w:id="101"/>
      <w:r w:rsidRPr="00C05E86">
        <w:rPr>
          <w:rFonts w:cs="Tahoma"/>
        </w:rPr>
        <w:t>Index Calculation Frequency and Disclosure</w:t>
      </w:r>
      <w:bookmarkEnd w:id="104"/>
    </w:p>
    <w:p w14:paraId="36CD8344" w14:textId="2DC185D8" w:rsidR="009C0A68" w:rsidRPr="00C05E86" w:rsidRDefault="009C0A68" w:rsidP="00C05E86">
      <w:pPr>
        <w:pStyle w:val="a"/>
        <w:spacing w:before="120" w:after="120"/>
        <w:rPr>
          <w:rFonts w:cs="Tahoma"/>
        </w:rPr>
      </w:pPr>
      <w:bookmarkStart w:id="105" w:name="_Toc424122379"/>
      <w:bookmarkStart w:id="106" w:name="_Toc438206744"/>
      <w:bookmarkStart w:id="107" w:name="_Toc438206780"/>
      <w:bookmarkStart w:id="108" w:name="_Toc438207000"/>
      <w:bookmarkStart w:id="109" w:name="_Toc433902916"/>
      <w:bookmarkStart w:id="110" w:name="_Toc463443774"/>
      <w:bookmarkStart w:id="111" w:name="_Toc488065487"/>
      <w:bookmarkStart w:id="112" w:name="_Toc223536981"/>
      <w:r w:rsidRPr="00C05E86">
        <w:rPr>
          <w:rFonts w:cs="Tahoma"/>
        </w:rPr>
        <w:t>Expert Council</w:t>
      </w:r>
      <w:bookmarkEnd w:id="112"/>
    </w:p>
    <w:p w14:paraId="5AFE3C63" w14:textId="69841DCE" w:rsidR="009C0A68" w:rsidRPr="00C05E86" w:rsidRDefault="00C33D7B" w:rsidP="00C05E86">
      <w:pPr>
        <w:pStyle w:val="30"/>
        <w:spacing w:before="120" w:after="120"/>
        <w:rPr>
          <w:rFonts w:cs="Tahoma"/>
        </w:rPr>
      </w:pPr>
      <w:r w:rsidRPr="00C05E86">
        <w:rPr>
          <w:rFonts w:cs="Tahoma"/>
        </w:rPr>
        <w:t>Overall supervision and amendments to the Methodology is conducted by the Exchange based on recommendations from the Expert Council. The functions and powers of the Expert Council is determined in accordance with the Expert Council Regulation.</w:t>
      </w:r>
    </w:p>
    <w:p w14:paraId="665F8A0A" w14:textId="41C0B424" w:rsidR="009C0A68" w:rsidRPr="00C05E86" w:rsidRDefault="009C0A68" w:rsidP="00C05E86">
      <w:pPr>
        <w:pStyle w:val="30"/>
        <w:spacing w:before="120" w:after="120"/>
        <w:rPr>
          <w:rFonts w:cs="Tahoma"/>
        </w:rPr>
      </w:pPr>
      <w:r w:rsidRPr="00C05E86">
        <w:rPr>
          <w:rFonts w:cs="Tahoma"/>
        </w:rPr>
        <w:t>The business of creating, calculating, revising and updating the Index as well as this Methodology is based on a set of administrative principles and rules described in the Moscow Exchange Index Management Policy.</w:t>
      </w:r>
    </w:p>
    <w:p w14:paraId="574EDCA4" w14:textId="77777777" w:rsidR="00096A43" w:rsidRPr="00C05E86" w:rsidRDefault="00096A43" w:rsidP="00C05E86">
      <w:pPr>
        <w:pStyle w:val="a"/>
        <w:spacing w:before="120" w:after="120"/>
        <w:rPr>
          <w:rFonts w:cs="Tahoma"/>
        </w:rPr>
      </w:pPr>
      <w:bookmarkStart w:id="113" w:name="_Toc223536982"/>
      <w:r w:rsidRPr="00C05E86">
        <w:rPr>
          <w:rFonts w:cs="Tahoma"/>
        </w:rPr>
        <w:t>Schedule of Index Calculation</w:t>
      </w:r>
      <w:bookmarkEnd w:id="105"/>
      <w:bookmarkEnd w:id="106"/>
      <w:bookmarkEnd w:id="107"/>
      <w:bookmarkEnd w:id="108"/>
      <w:bookmarkEnd w:id="109"/>
      <w:bookmarkEnd w:id="110"/>
      <w:bookmarkEnd w:id="111"/>
      <w:bookmarkEnd w:id="113"/>
    </w:p>
    <w:p w14:paraId="07735394" w14:textId="1F75057A" w:rsidR="00096A43" w:rsidRPr="00C05E86" w:rsidRDefault="00096A43" w:rsidP="00C05E86">
      <w:pPr>
        <w:pStyle w:val="30"/>
        <w:spacing w:before="120" w:after="120"/>
        <w:rPr>
          <w:rFonts w:cs="Tahoma"/>
        </w:rPr>
      </w:pPr>
      <w:bookmarkStart w:id="114" w:name="_Ref422320147"/>
      <w:r w:rsidRPr="00C05E86">
        <w:rPr>
          <w:rFonts w:cs="Tahoma"/>
        </w:rPr>
        <w:t>Index values are calculated once a week.</w:t>
      </w:r>
      <w:r w:rsidRPr="00C05E86">
        <w:rPr>
          <w:rFonts w:cs="Tahoma"/>
          <w:color w:val="000000"/>
        </w:rPr>
        <w:t xml:space="preserve"> </w:t>
      </w:r>
      <w:r w:rsidRPr="00C05E86">
        <w:rPr>
          <w:rFonts w:cs="Tahoma"/>
        </w:rPr>
        <w:t>The single weekly Index value serves simultaneously as both the current value and the closing value until the next week's calculation. The frequency of Index calculation may be changed by decision of the Exchange.</w:t>
      </w:r>
      <w:bookmarkEnd w:id="114"/>
    </w:p>
    <w:p w14:paraId="675FCB85" w14:textId="1EE286E9" w:rsidR="00C564F7" w:rsidRPr="00C05E86" w:rsidRDefault="00C564F7" w:rsidP="00C05E86">
      <w:pPr>
        <w:pStyle w:val="30"/>
        <w:spacing w:before="120" w:after="120"/>
        <w:rPr>
          <w:rFonts w:cs="Tahoma"/>
        </w:rPr>
      </w:pPr>
      <w:r w:rsidRPr="00C05E86">
        <w:rPr>
          <w:rFonts w:cs="Tahoma"/>
        </w:rPr>
        <w:t>The Index value is published no later than three working days following the date of calculation.</w:t>
      </w:r>
    </w:p>
    <w:p w14:paraId="045B9D25" w14:textId="3DA6D317" w:rsidR="00096A43" w:rsidRPr="00C05E86" w:rsidRDefault="00096A43" w:rsidP="00C05E86">
      <w:pPr>
        <w:pStyle w:val="30"/>
        <w:spacing w:before="120" w:after="120"/>
        <w:rPr>
          <w:rFonts w:cs="Tahoma"/>
        </w:rPr>
      </w:pPr>
      <w:r w:rsidRPr="00C05E86">
        <w:rPr>
          <w:rFonts w:cs="Tahoma"/>
        </w:rPr>
        <w:t>Unless otherwise specified by the Bank of Russia regulations, the Exchange is entitled to change the frequency of Index calculation. Information on the decisions taken by the Exchange pursuant to this Clause shall be made available to the trading members of the Exchange at least five business days before the date of entry into force of the respective changes, unless the Exchange sets a different deadline, by publishing the respective information.</w:t>
      </w:r>
    </w:p>
    <w:p w14:paraId="49A85840" w14:textId="77777777" w:rsidR="00502FD7" w:rsidRPr="00C05E86" w:rsidRDefault="00502FD7" w:rsidP="00C05E86">
      <w:pPr>
        <w:spacing w:before="120" w:after="120"/>
        <w:jc w:val="both"/>
        <w:rPr>
          <w:rFonts w:cs="Tahoma"/>
          <w:szCs w:val="20"/>
        </w:rPr>
      </w:pPr>
    </w:p>
    <w:p w14:paraId="5A4E77D9" w14:textId="6A11E50E" w:rsidR="007A619B" w:rsidRPr="00C05E86" w:rsidRDefault="007A619B" w:rsidP="00C05E86">
      <w:pPr>
        <w:pStyle w:val="a"/>
        <w:spacing w:before="120" w:after="120"/>
        <w:rPr>
          <w:rFonts w:cs="Tahoma"/>
        </w:rPr>
      </w:pPr>
      <w:bookmarkStart w:id="115" w:name="_Toc424122380"/>
      <w:bookmarkStart w:id="116" w:name="_Toc223536983"/>
      <w:bookmarkEnd w:id="115"/>
      <w:r w:rsidRPr="00C05E86">
        <w:rPr>
          <w:rFonts w:cs="Tahoma"/>
        </w:rPr>
        <w:t>Index Calculation Supervision</w:t>
      </w:r>
      <w:bookmarkEnd w:id="116"/>
    </w:p>
    <w:p w14:paraId="0F58AF8E" w14:textId="2B3ACABF" w:rsidR="00096A43" w:rsidRPr="00C05E86" w:rsidRDefault="00096A43" w:rsidP="00C05E86">
      <w:pPr>
        <w:pStyle w:val="30"/>
        <w:spacing w:before="120" w:after="120"/>
        <w:rPr>
          <w:rFonts w:cs="Tahoma"/>
        </w:rPr>
      </w:pPr>
      <w:r w:rsidRPr="00C05E86">
        <w:rPr>
          <w:rFonts w:cs="Tahoma"/>
        </w:rPr>
        <w:t>In the event of a technical failure during Index calculation or during the aggregation of mortgage transaction data, resulting in distorted data used for Index calculation, a recalculation of previously calculated Index values is permitted, but not earlier than for the preceding week. This recalculation is carried out within the shortest possible time from the moment of detection of the technical failure. Upon recalculation of the Index, the Exchange posts the relevant announcement on its website.</w:t>
      </w:r>
    </w:p>
    <w:p w14:paraId="58538764" w14:textId="6EAEE714" w:rsidR="00096A43" w:rsidRPr="00C05E86" w:rsidRDefault="00096A43" w:rsidP="00C05E86">
      <w:pPr>
        <w:pStyle w:val="30"/>
        <w:spacing w:before="120" w:after="120"/>
        <w:rPr>
          <w:rFonts w:cs="Tahoma"/>
        </w:rPr>
      </w:pPr>
      <w:r w:rsidRPr="00C05E86">
        <w:rPr>
          <w:rFonts w:cs="Tahoma"/>
        </w:rPr>
        <w:t xml:space="preserve">In the event of circumstances arising that may negatively impact the validity of the Index in reflecting the actual state of the Moscow real estate market, the Exchange has the right to take any actions necessary to ensure the representativeness of the Index, including requesting from </w:t>
      </w:r>
      <w:proofErr w:type="spellStart"/>
      <w:r w:rsidRPr="00C05E86">
        <w:rPr>
          <w:rFonts w:cs="Tahoma"/>
        </w:rPr>
        <w:t>Domclick</w:t>
      </w:r>
      <w:proofErr w:type="spellEnd"/>
      <w:r w:rsidRPr="00C05E86">
        <w:rPr>
          <w:rFonts w:cs="Tahoma"/>
        </w:rPr>
        <w:t xml:space="preserve"> the initial data for an audit of the calculation of the parameters, as well as establishing the values ​​of the parameters used to calculate the indicators provided for in this Methodology, etc.</w:t>
      </w:r>
    </w:p>
    <w:p w14:paraId="177DF8FF" w14:textId="77777777" w:rsidR="00562BF9" w:rsidRPr="00C05E86" w:rsidRDefault="00562BF9" w:rsidP="00C05E86">
      <w:pPr>
        <w:spacing w:before="120" w:after="120"/>
        <w:rPr>
          <w:rFonts w:cs="Tahoma"/>
        </w:rPr>
      </w:pPr>
      <w:bookmarkStart w:id="117" w:name="_Ref423537260"/>
      <w:bookmarkEnd w:id="102"/>
      <w:bookmarkEnd w:id="103"/>
    </w:p>
    <w:p w14:paraId="56C6172B" w14:textId="1AC7BEB8" w:rsidR="00657BF4" w:rsidRPr="00C05E86" w:rsidRDefault="00657BF4" w:rsidP="00C05E86">
      <w:pPr>
        <w:pStyle w:val="a"/>
        <w:spacing w:before="120" w:after="120"/>
        <w:rPr>
          <w:rFonts w:cs="Tahoma"/>
        </w:rPr>
      </w:pPr>
      <w:bookmarkStart w:id="118" w:name="_Toc424122381"/>
      <w:bookmarkStart w:id="119" w:name="_Ref424288365"/>
      <w:bookmarkStart w:id="120" w:name="_Toc438206746"/>
      <w:bookmarkStart w:id="121" w:name="_Toc438206782"/>
      <w:bookmarkStart w:id="122" w:name="_Toc438207002"/>
      <w:bookmarkStart w:id="123" w:name="_Toc433902918"/>
      <w:bookmarkStart w:id="124" w:name="_Toc463443776"/>
      <w:bookmarkStart w:id="125" w:name="_Toc488065489"/>
      <w:bookmarkStart w:id="126" w:name="_Toc223536984"/>
      <w:r w:rsidRPr="00C05E86">
        <w:rPr>
          <w:rFonts w:cs="Tahoma"/>
        </w:rPr>
        <w:t>Publication</w:t>
      </w:r>
      <w:bookmarkEnd w:id="117"/>
      <w:bookmarkEnd w:id="118"/>
      <w:bookmarkEnd w:id="119"/>
      <w:bookmarkEnd w:id="120"/>
      <w:bookmarkEnd w:id="121"/>
      <w:bookmarkEnd w:id="122"/>
      <w:bookmarkEnd w:id="123"/>
      <w:bookmarkEnd w:id="124"/>
      <w:bookmarkEnd w:id="125"/>
      <w:bookmarkEnd w:id="126"/>
    </w:p>
    <w:p w14:paraId="08739FDF" w14:textId="77777777" w:rsidR="00805FBD" w:rsidRPr="00C05E86" w:rsidRDefault="00657BF4" w:rsidP="00C05E86">
      <w:pPr>
        <w:pStyle w:val="30"/>
        <w:spacing w:before="120" w:after="120"/>
        <w:rPr>
          <w:rFonts w:cs="Tahoma"/>
        </w:rPr>
      </w:pPr>
      <w:r w:rsidRPr="00C05E86">
        <w:rPr>
          <w:rFonts w:cs="Tahoma"/>
        </w:rPr>
        <w:t>Information provided for by the Methodology and regulations of the Bank of Russia is disclosed on the Exchange's official website.</w:t>
      </w:r>
    </w:p>
    <w:p w14:paraId="56C8D9EB" w14:textId="14FA8A00" w:rsidR="00657BF4" w:rsidRPr="00C05E86" w:rsidRDefault="008111D7" w:rsidP="00C05E86">
      <w:pPr>
        <w:pStyle w:val="30"/>
        <w:spacing w:before="120" w:after="120"/>
        <w:rPr>
          <w:rFonts w:cs="Tahoma"/>
        </w:rPr>
      </w:pPr>
      <w:r w:rsidRPr="00C05E86">
        <w:rPr>
          <w:rFonts w:cs="Tahoma"/>
        </w:rPr>
        <w:t xml:space="preserve">In case of changes in factors used in the calculation of the Index based on judgment (expert opinion), the Exchange discloses on the official website circumstances </w:t>
      </w:r>
      <w:proofErr w:type="gramStart"/>
      <w:r w:rsidRPr="00C05E86">
        <w:rPr>
          <w:rFonts w:cs="Tahoma"/>
        </w:rPr>
        <w:t>taken into account</w:t>
      </w:r>
      <w:proofErr w:type="gramEnd"/>
      <w:r w:rsidRPr="00C05E86">
        <w:rPr>
          <w:rFonts w:cs="Tahoma"/>
        </w:rPr>
        <w:t xml:space="preserve"> in changing these factors and justification of such changes not later than the day following the day of their change.</w:t>
      </w:r>
    </w:p>
    <w:p w14:paraId="725CF724" w14:textId="137DD9D4" w:rsidR="006E0BB7" w:rsidRPr="00C05E86" w:rsidRDefault="00657BF4" w:rsidP="00C05E86">
      <w:pPr>
        <w:pStyle w:val="30"/>
        <w:spacing w:before="120" w:after="120"/>
        <w:rPr>
          <w:rFonts w:cs="Tahoma"/>
        </w:rPr>
      </w:pPr>
      <w:r w:rsidRPr="00C05E86">
        <w:rPr>
          <w:rFonts w:cs="Tahoma"/>
        </w:rPr>
        <w:t>In addition to the information disclosed according to this Methodology, the Exchange discloses the closing value of the Index on a weekly basis.</w:t>
      </w:r>
    </w:p>
    <w:p w14:paraId="641C10CA" w14:textId="6F865210" w:rsidR="00657BF4" w:rsidRPr="00C05E86" w:rsidRDefault="00657BF4" w:rsidP="00C05E86">
      <w:pPr>
        <w:pStyle w:val="30"/>
        <w:spacing w:before="120" w:after="120"/>
        <w:rPr>
          <w:rFonts w:cs="Tahoma"/>
        </w:rPr>
      </w:pPr>
      <w:r w:rsidRPr="00C05E86">
        <w:rPr>
          <w:rFonts w:cs="Tahoma"/>
        </w:rPr>
        <w:t>This Methodology and closing values of the Index for the past year is available to any interested person on the Exchange official website.</w:t>
      </w:r>
    </w:p>
    <w:p w14:paraId="23BCF90A" w14:textId="77777777" w:rsidR="00657BF4" w:rsidRPr="00C05E86" w:rsidRDefault="00657BF4" w:rsidP="00C05E86">
      <w:pPr>
        <w:pStyle w:val="30"/>
        <w:spacing w:before="120" w:after="120"/>
        <w:rPr>
          <w:rFonts w:cs="Tahoma"/>
        </w:rPr>
      </w:pPr>
      <w:r w:rsidRPr="00C05E86">
        <w:rPr>
          <w:rFonts w:cs="Tahoma"/>
        </w:rPr>
        <w:lastRenderedPageBreak/>
        <w:t>Information subject to disclosure under this Methodology may also be disseminated by other means, including through information agencies that distribute MOEX's market data.</w:t>
      </w:r>
    </w:p>
    <w:p w14:paraId="6A659E5B" w14:textId="2735048A" w:rsidR="00EC5E09" w:rsidRPr="00C05E86" w:rsidRDefault="00EC5E09" w:rsidP="00C05E86">
      <w:pPr>
        <w:spacing w:before="120" w:after="120"/>
        <w:rPr>
          <w:rFonts w:cs="Tahoma"/>
        </w:rPr>
      </w:pPr>
      <w:r w:rsidRPr="00C05E86">
        <w:rPr>
          <w:rFonts w:cs="Tahoma"/>
        </w:rPr>
        <w:br w:type="page"/>
      </w:r>
    </w:p>
    <w:p w14:paraId="4312378D" w14:textId="77777777" w:rsidR="00B358FD" w:rsidRPr="00C05E86" w:rsidRDefault="00B358FD" w:rsidP="00C05E86">
      <w:pPr>
        <w:pStyle w:val="10"/>
        <w:numPr>
          <w:ilvl w:val="0"/>
          <w:numId w:val="0"/>
        </w:numPr>
        <w:spacing w:before="120" w:after="120"/>
        <w:rPr>
          <w:rFonts w:cs="Tahoma"/>
        </w:rPr>
      </w:pPr>
      <w:bookmarkStart w:id="127" w:name="_Ref5014805"/>
      <w:bookmarkStart w:id="128" w:name="_Toc223536985"/>
      <w:r w:rsidRPr="00C05E86">
        <w:rPr>
          <w:rFonts w:cs="Tahoma"/>
        </w:rPr>
        <w:lastRenderedPageBreak/>
        <w:t>Appendix 1</w:t>
      </w:r>
      <w:bookmarkEnd w:id="127"/>
      <w:bookmarkEnd w:id="128"/>
    </w:p>
    <w:p w14:paraId="2CE9FE88" w14:textId="363AA8BD" w:rsidR="00B358FD" w:rsidRPr="00C05E86" w:rsidRDefault="00B358FD" w:rsidP="00C05E86">
      <w:pPr>
        <w:spacing w:before="120" w:after="120"/>
        <w:jc w:val="center"/>
        <w:rPr>
          <w:rFonts w:cs="Tahoma"/>
          <w:b/>
        </w:rPr>
      </w:pPr>
      <w:r w:rsidRPr="00C05E86">
        <w:rPr>
          <w:rFonts w:cs="Tahoma"/>
          <w:b/>
        </w:rPr>
        <w:t>List of Segments of the Mosco</w:t>
      </w:r>
      <w:r w:rsidR="00C05E86">
        <w:rPr>
          <w:rFonts w:cs="Tahoma"/>
          <w:b/>
        </w:rPr>
        <w:t>w</w:t>
      </w:r>
      <w:r w:rsidRPr="00C05E86">
        <w:rPr>
          <w:rFonts w:cs="Tahoma"/>
          <w:b/>
        </w:rPr>
        <w:t xml:space="preserve"> Real Estate Market used to construct the Index</w:t>
      </w:r>
    </w:p>
    <w:p w14:paraId="0241041D" w14:textId="77777777" w:rsidR="00265F5A" w:rsidRPr="00C05E86" w:rsidRDefault="00265F5A" w:rsidP="00C05E86">
      <w:pPr>
        <w:spacing w:before="120" w:after="120"/>
        <w:rPr>
          <w:rFonts w:cs="Tahoma"/>
        </w:rPr>
      </w:pPr>
    </w:p>
    <w:tbl>
      <w:tblPr>
        <w:tblStyle w:val="a6"/>
        <w:tblW w:w="10774" w:type="dxa"/>
        <w:tblInd w:w="-714" w:type="dxa"/>
        <w:tblLook w:val="04A0" w:firstRow="1" w:lastRow="0" w:firstColumn="1" w:lastColumn="0" w:noHBand="0" w:noVBand="1"/>
      </w:tblPr>
      <w:tblGrid>
        <w:gridCol w:w="1538"/>
        <w:gridCol w:w="2265"/>
        <w:gridCol w:w="3285"/>
        <w:gridCol w:w="3686"/>
      </w:tblGrid>
      <w:tr w:rsidR="008541BC" w:rsidRPr="00C05E86" w14:paraId="06AC0A40" w14:textId="77777777" w:rsidTr="00265F5A">
        <w:trPr>
          <w:tblHeader/>
        </w:trPr>
        <w:tc>
          <w:tcPr>
            <w:tcW w:w="1538" w:type="dxa"/>
          </w:tcPr>
          <w:p w14:paraId="67354D14" w14:textId="77777777" w:rsidR="008541BC" w:rsidRPr="00C05E86" w:rsidRDefault="008541BC" w:rsidP="00C05E86">
            <w:pPr>
              <w:spacing w:before="120" w:after="120"/>
              <w:jc w:val="center"/>
              <w:rPr>
                <w:rFonts w:cs="Tahoma"/>
                <w:b/>
              </w:rPr>
            </w:pPr>
            <w:r w:rsidRPr="00C05E86">
              <w:rPr>
                <w:rFonts w:cs="Tahoma"/>
                <w:b/>
              </w:rPr>
              <w:t>Segment Code</w:t>
            </w:r>
          </w:p>
        </w:tc>
        <w:tc>
          <w:tcPr>
            <w:tcW w:w="2265" w:type="dxa"/>
          </w:tcPr>
          <w:p w14:paraId="02DAF0D4" w14:textId="448DCD48" w:rsidR="008541BC" w:rsidRPr="00C05E86" w:rsidRDefault="008541BC" w:rsidP="00C05E86">
            <w:pPr>
              <w:spacing w:before="120" w:after="120"/>
              <w:jc w:val="center"/>
              <w:rPr>
                <w:rFonts w:cs="Tahoma"/>
                <w:b/>
              </w:rPr>
            </w:pPr>
            <w:r w:rsidRPr="00C05E86">
              <w:rPr>
                <w:rFonts w:cs="Tahoma"/>
                <w:b/>
              </w:rPr>
              <w:t>Moscow Administrative District</w:t>
            </w:r>
          </w:p>
        </w:tc>
        <w:tc>
          <w:tcPr>
            <w:tcW w:w="3285" w:type="dxa"/>
          </w:tcPr>
          <w:p w14:paraId="54B11986" w14:textId="5CE15D6F" w:rsidR="008541BC" w:rsidRPr="00C05E86" w:rsidRDefault="008541BC" w:rsidP="00C05E86">
            <w:pPr>
              <w:spacing w:before="120" w:after="120"/>
              <w:jc w:val="center"/>
              <w:rPr>
                <w:rFonts w:cs="Tahoma"/>
                <w:b/>
              </w:rPr>
            </w:pPr>
            <w:r w:rsidRPr="00C05E86">
              <w:rPr>
                <w:rFonts w:cs="Tahoma"/>
                <w:b/>
              </w:rPr>
              <w:t>Segments based on distance to the nearest metro station</w:t>
            </w:r>
          </w:p>
        </w:tc>
        <w:tc>
          <w:tcPr>
            <w:tcW w:w="3686" w:type="dxa"/>
          </w:tcPr>
          <w:p w14:paraId="2455B275" w14:textId="7D7CF9E0" w:rsidR="008541BC" w:rsidRPr="00C05E86" w:rsidRDefault="00F74593" w:rsidP="00C05E86">
            <w:pPr>
              <w:spacing w:before="120" w:after="120"/>
              <w:jc w:val="center"/>
              <w:rPr>
                <w:rFonts w:cs="Tahoma"/>
                <w:b/>
              </w:rPr>
            </w:pPr>
            <w:r w:rsidRPr="00C05E86">
              <w:rPr>
                <w:rFonts w:cs="Tahoma"/>
                <w:b/>
              </w:rPr>
              <w:t>Segments based on the residential building category in which the property is located</w:t>
            </w:r>
          </w:p>
        </w:tc>
      </w:tr>
      <w:tr w:rsidR="00900811" w:rsidRPr="00C05E86" w14:paraId="7DAE6A88" w14:textId="77777777" w:rsidTr="00CD3A09">
        <w:tc>
          <w:tcPr>
            <w:tcW w:w="1538" w:type="dxa"/>
          </w:tcPr>
          <w:p w14:paraId="1111F845" w14:textId="7C6AA800" w:rsidR="00900811" w:rsidRPr="00C05E86" w:rsidRDefault="009F2574" w:rsidP="00C05E86">
            <w:pPr>
              <w:spacing w:before="120" w:after="120"/>
              <w:rPr>
                <w:rFonts w:cs="Tahoma"/>
              </w:rPr>
            </w:pPr>
            <w:r w:rsidRPr="00C05E86">
              <w:rPr>
                <w:rFonts w:cs="Tahoma"/>
              </w:rPr>
              <w:t>CNALLEC</w:t>
            </w:r>
          </w:p>
        </w:tc>
        <w:tc>
          <w:tcPr>
            <w:tcW w:w="2265" w:type="dxa"/>
            <w:vMerge w:val="restart"/>
            <w:vAlign w:val="center"/>
          </w:tcPr>
          <w:p w14:paraId="796E1953" w14:textId="3DAEDD9E" w:rsidR="00900811" w:rsidRPr="00C05E86" w:rsidRDefault="00900811" w:rsidP="00C05E86">
            <w:pPr>
              <w:spacing w:before="120" w:after="120"/>
              <w:rPr>
                <w:rFonts w:cs="Tahoma"/>
              </w:rPr>
            </w:pPr>
            <w:r w:rsidRPr="00C05E86">
              <w:rPr>
                <w:rFonts w:cs="Tahoma"/>
              </w:rPr>
              <w:t>Central</w:t>
            </w:r>
          </w:p>
        </w:tc>
        <w:tc>
          <w:tcPr>
            <w:tcW w:w="3285" w:type="dxa"/>
            <w:vMerge w:val="restart"/>
            <w:vAlign w:val="center"/>
          </w:tcPr>
          <w:p w14:paraId="3E855BA5" w14:textId="04DD2FD1" w:rsidR="00900811" w:rsidRPr="00C05E86" w:rsidRDefault="00900811" w:rsidP="00C05E86">
            <w:pPr>
              <w:spacing w:before="120" w:after="120"/>
              <w:rPr>
                <w:rFonts w:cs="Tahoma"/>
              </w:rPr>
            </w:pPr>
            <w:r w:rsidRPr="00C05E86">
              <w:rPr>
                <w:rFonts w:cs="Tahoma"/>
              </w:rPr>
              <w:t>-</w:t>
            </w:r>
          </w:p>
        </w:tc>
        <w:tc>
          <w:tcPr>
            <w:tcW w:w="3686" w:type="dxa"/>
          </w:tcPr>
          <w:p w14:paraId="0FCE7014" w14:textId="6A849CAE" w:rsidR="00900811" w:rsidRPr="00C05E86" w:rsidRDefault="00900811" w:rsidP="00C05E86">
            <w:pPr>
              <w:spacing w:before="120" w:after="120"/>
              <w:rPr>
                <w:rFonts w:cs="Tahoma"/>
              </w:rPr>
            </w:pPr>
            <w:r w:rsidRPr="00C05E86">
              <w:rPr>
                <w:rFonts w:cs="Tahoma"/>
              </w:rPr>
              <w:t>Brick building ≤5 floors or panel building</w:t>
            </w:r>
          </w:p>
        </w:tc>
      </w:tr>
      <w:tr w:rsidR="00900811" w:rsidRPr="00C05E86" w14:paraId="69A5A24B" w14:textId="77777777" w:rsidTr="00CD3A09">
        <w:tc>
          <w:tcPr>
            <w:tcW w:w="1538" w:type="dxa"/>
          </w:tcPr>
          <w:p w14:paraId="6DE7E5A4" w14:textId="0183D26B" w:rsidR="00900811" w:rsidRPr="00C05E86" w:rsidRDefault="009F2574" w:rsidP="00C05E86">
            <w:pPr>
              <w:spacing w:before="120" w:after="120"/>
              <w:rPr>
                <w:rFonts w:cs="Tahoma"/>
              </w:rPr>
            </w:pPr>
            <w:r w:rsidRPr="00C05E86">
              <w:rPr>
                <w:rFonts w:cs="Tahoma"/>
              </w:rPr>
              <w:t>CNALLCM</w:t>
            </w:r>
          </w:p>
        </w:tc>
        <w:tc>
          <w:tcPr>
            <w:tcW w:w="2265" w:type="dxa"/>
            <w:vMerge/>
            <w:vAlign w:val="center"/>
          </w:tcPr>
          <w:p w14:paraId="7461A7C8" w14:textId="77777777" w:rsidR="00900811" w:rsidRPr="00C05E86" w:rsidRDefault="00900811" w:rsidP="00C05E86">
            <w:pPr>
              <w:spacing w:before="120" w:after="120"/>
              <w:rPr>
                <w:rFonts w:cs="Tahoma"/>
              </w:rPr>
            </w:pPr>
          </w:p>
        </w:tc>
        <w:tc>
          <w:tcPr>
            <w:tcW w:w="3285" w:type="dxa"/>
            <w:vMerge/>
            <w:vAlign w:val="center"/>
          </w:tcPr>
          <w:p w14:paraId="0E499AFA" w14:textId="77777777" w:rsidR="00900811" w:rsidRPr="00C05E86" w:rsidRDefault="00900811" w:rsidP="00C05E86">
            <w:pPr>
              <w:spacing w:before="120" w:after="120"/>
              <w:rPr>
                <w:rFonts w:cs="Tahoma"/>
              </w:rPr>
            </w:pPr>
          </w:p>
        </w:tc>
        <w:tc>
          <w:tcPr>
            <w:tcW w:w="3686" w:type="dxa"/>
          </w:tcPr>
          <w:p w14:paraId="616E9060" w14:textId="792A25CD" w:rsidR="00900811" w:rsidRPr="00C05E86" w:rsidRDefault="00900811" w:rsidP="00C05E86">
            <w:pPr>
              <w:spacing w:before="120" w:after="120"/>
              <w:rPr>
                <w:rFonts w:cs="Tahoma"/>
              </w:rPr>
            </w:pPr>
            <w:r w:rsidRPr="00C05E86">
              <w:rPr>
                <w:rFonts w:cs="Tahoma"/>
              </w:rPr>
              <w:t>Brick building &gt;5 floors or monolithic building</w:t>
            </w:r>
          </w:p>
        </w:tc>
      </w:tr>
      <w:tr w:rsidR="00102068" w:rsidRPr="00C05E86" w14:paraId="0B6C1B60" w14:textId="77777777" w:rsidTr="00CD3A09">
        <w:tc>
          <w:tcPr>
            <w:tcW w:w="1538" w:type="dxa"/>
          </w:tcPr>
          <w:p w14:paraId="124FF4E9" w14:textId="1109C0EC" w:rsidR="00102068" w:rsidRPr="00C05E86" w:rsidRDefault="009F2574" w:rsidP="00C05E86">
            <w:pPr>
              <w:spacing w:before="120" w:after="120"/>
              <w:rPr>
                <w:rFonts w:cs="Tahoma"/>
              </w:rPr>
            </w:pPr>
            <w:r w:rsidRPr="00C05E86">
              <w:rPr>
                <w:rFonts w:cs="Tahoma"/>
              </w:rPr>
              <w:t>NRMETEC</w:t>
            </w:r>
          </w:p>
        </w:tc>
        <w:tc>
          <w:tcPr>
            <w:tcW w:w="2265" w:type="dxa"/>
            <w:vMerge w:val="restart"/>
            <w:vAlign w:val="center"/>
          </w:tcPr>
          <w:p w14:paraId="20734412" w14:textId="3F0BF44C" w:rsidR="00102068" w:rsidRPr="00C05E86" w:rsidRDefault="00102068" w:rsidP="00C05E86">
            <w:pPr>
              <w:spacing w:before="120" w:after="120"/>
              <w:rPr>
                <w:rFonts w:cs="Tahoma"/>
              </w:rPr>
            </w:pPr>
            <w:r w:rsidRPr="00C05E86">
              <w:rPr>
                <w:rFonts w:cs="Tahoma"/>
              </w:rPr>
              <w:t>Northern</w:t>
            </w:r>
          </w:p>
        </w:tc>
        <w:tc>
          <w:tcPr>
            <w:tcW w:w="3285" w:type="dxa"/>
            <w:vMerge w:val="restart"/>
            <w:vAlign w:val="center"/>
          </w:tcPr>
          <w:p w14:paraId="665F1ADF" w14:textId="7C787237" w:rsidR="00102068" w:rsidRPr="00C05E86" w:rsidRDefault="00102068" w:rsidP="00C05E86">
            <w:pPr>
              <w:spacing w:before="120" w:after="120"/>
              <w:rPr>
                <w:rFonts w:cs="Tahoma"/>
              </w:rPr>
            </w:pPr>
            <w:r w:rsidRPr="00C05E86">
              <w:rPr>
                <w:rFonts w:cs="Tahoma"/>
              </w:rPr>
              <w:t>≤1,100 m</w:t>
            </w:r>
          </w:p>
        </w:tc>
        <w:tc>
          <w:tcPr>
            <w:tcW w:w="3686" w:type="dxa"/>
          </w:tcPr>
          <w:p w14:paraId="01072D93" w14:textId="170A7742" w:rsidR="00102068" w:rsidRPr="00C05E86" w:rsidRDefault="00102068" w:rsidP="00C05E86">
            <w:pPr>
              <w:spacing w:before="120" w:after="120"/>
              <w:rPr>
                <w:rFonts w:cs="Tahoma"/>
              </w:rPr>
            </w:pPr>
            <w:r w:rsidRPr="00C05E86">
              <w:rPr>
                <w:rFonts w:cs="Tahoma"/>
              </w:rPr>
              <w:t>Brick building ≤5 floors or panel building</w:t>
            </w:r>
          </w:p>
        </w:tc>
      </w:tr>
      <w:tr w:rsidR="00102068" w:rsidRPr="00C05E86" w14:paraId="48DEC9A9" w14:textId="77777777" w:rsidTr="00CD3A09">
        <w:tc>
          <w:tcPr>
            <w:tcW w:w="1538" w:type="dxa"/>
          </w:tcPr>
          <w:p w14:paraId="16C59C7B" w14:textId="619A9FC5" w:rsidR="00102068" w:rsidRPr="00C05E86" w:rsidRDefault="009F2574" w:rsidP="00C05E86">
            <w:pPr>
              <w:spacing w:before="120" w:after="120"/>
              <w:rPr>
                <w:rFonts w:cs="Tahoma"/>
              </w:rPr>
            </w:pPr>
            <w:r w:rsidRPr="00C05E86">
              <w:rPr>
                <w:rFonts w:cs="Tahoma"/>
              </w:rPr>
              <w:t>NRMETCM</w:t>
            </w:r>
          </w:p>
        </w:tc>
        <w:tc>
          <w:tcPr>
            <w:tcW w:w="2265" w:type="dxa"/>
            <w:vMerge/>
            <w:vAlign w:val="center"/>
          </w:tcPr>
          <w:p w14:paraId="3610CFCF" w14:textId="77777777" w:rsidR="00102068" w:rsidRPr="00C05E86" w:rsidRDefault="00102068" w:rsidP="00C05E86">
            <w:pPr>
              <w:spacing w:before="120" w:after="120"/>
              <w:rPr>
                <w:rFonts w:cs="Tahoma"/>
              </w:rPr>
            </w:pPr>
          </w:p>
        </w:tc>
        <w:tc>
          <w:tcPr>
            <w:tcW w:w="3285" w:type="dxa"/>
            <w:vMerge/>
            <w:vAlign w:val="center"/>
          </w:tcPr>
          <w:p w14:paraId="566D354E" w14:textId="77777777" w:rsidR="00102068" w:rsidRPr="00C05E86" w:rsidRDefault="00102068" w:rsidP="00C05E86">
            <w:pPr>
              <w:spacing w:before="120" w:after="120"/>
              <w:rPr>
                <w:rFonts w:cs="Tahoma"/>
              </w:rPr>
            </w:pPr>
          </w:p>
        </w:tc>
        <w:tc>
          <w:tcPr>
            <w:tcW w:w="3686" w:type="dxa"/>
          </w:tcPr>
          <w:p w14:paraId="3E0109B9" w14:textId="078DE304" w:rsidR="00102068" w:rsidRPr="00C05E86" w:rsidRDefault="00102068" w:rsidP="00C05E86">
            <w:pPr>
              <w:spacing w:before="120" w:after="120"/>
              <w:rPr>
                <w:rFonts w:cs="Tahoma"/>
              </w:rPr>
            </w:pPr>
            <w:r w:rsidRPr="00C05E86">
              <w:rPr>
                <w:rFonts w:cs="Tahoma"/>
              </w:rPr>
              <w:t>Brick building &gt;5 floors or monolithic building</w:t>
            </w:r>
          </w:p>
        </w:tc>
      </w:tr>
      <w:tr w:rsidR="00102068" w:rsidRPr="00C05E86" w14:paraId="760DFDA5" w14:textId="77777777" w:rsidTr="00CD3A09">
        <w:tc>
          <w:tcPr>
            <w:tcW w:w="1538" w:type="dxa"/>
          </w:tcPr>
          <w:p w14:paraId="25EB2EDD" w14:textId="10BD5695" w:rsidR="00102068" w:rsidRPr="00C05E86" w:rsidRDefault="009F2574" w:rsidP="00C05E86">
            <w:pPr>
              <w:spacing w:before="120" w:after="120"/>
              <w:rPr>
                <w:rFonts w:cs="Tahoma"/>
              </w:rPr>
            </w:pPr>
            <w:r w:rsidRPr="00C05E86">
              <w:rPr>
                <w:rFonts w:cs="Tahoma"/>
              </w:rPr>
              <w:t>NRNOMEC</w:t>
            </w:r>
          </w:p>
        </w:tc>
        <w:tc>
          <w:tcPr>
            <w:tcW w:w="2265" w:type="dxa"/>
            <w:vMerge/>
            <w:vAlign w:val="center"/>
          </w:tcPr>
          <w:p w14:paraId="4A719F4A" w14:textId="77777777" w:rsidR="00102068" w:rsidRPr="00C05E86" w:rsidRDefault="00102068" w:rsidP="00C05E86">
            <w:pPr>
              <w:spacing w:before="120" w:after="120"/>
              <w:rPr>
                <w:rFonts w:cs="Tahoma"/>
              </w:rPr>
            </w:pPr>
          </w:p>
        </w:tc>
        <w:tc>
          <w:tcPr>
            <w:tcW w:w="3285" w:type="dxa"/>
            <w:vMerge w:val="restart"/>
            <w:vAlign w:val="center"/>
          </w:tcPr>
          <w:p w14:paraId="20789694" w14:textId="33C29FCB" w:rsidR="00102068" w:rsidRPr="00C05E86" w:rsidRDefault="00102068" w:rsidP="00C05E86">
            <w:pPr>
              <w:spacing w:before="120" w:after="120"/>
              <w:rPr>
                <w:rFonts w:cs="Tahoma"/>
              </w:rPr>
            </w:pPr>
            <w:r w:rsidRPr="00C05E86">
              <w:rPr>
                <w:rFonts w:cs="Tahoma"/>
              </w:rPr>
              <w:t>&gt;1,100 m</w:t>
            </w:r>
          </w:p>
        </w:tc>
        <w:tc>
          <w:tcPr>
            <w:tcW w:w="3686" w:type="dxa"/>
          </w:tcPr>
          <w:p w14:paraId="03F8ACE8" w14:textId="7DE88B07" w:rsidR="00102068" w:rsidRPr="00C05E86" w:rsidRDefault="00102068" w:rsidP="00C05E86">
            <w:pPr>
              <w:spacing w:before="120" w:after="120"/>
              <w:rPr>
                <w:rFonts w:cs="Tahoma"/>
              </w:rPr>
            </w:pPr>
            <w:r w:rsidRPr="00C05E86">
              <w:rPr>
                <w:rFonts w:cs="Tahoma"/>
              </w:rPr>
              <w:t>Brick building ≤5 floors or panel building</w:t>
            </w:r>
          </w:p>
        </w:tc>
      </w:tr>
      <w:tr w:rsidR="00102068" w:rsidRPr="00C05E86" w14:paraId="6F873E91" w14:textId="77777777" w:rsidTr="00CD3A09">
        <w:tc>
          <w:tcPr>
            <w:tcW w:w="1538" w:type="dxa"/>
          </w:tcPr>
          <w:p w14:paraId="11C89A15" w14:textId="268BF584" w:rsidR="00102068" w:rsidRPr="00C05E86" w:rsidRDefault="009F2574" w:rsidP="00C05E86">
            <w:pPr>
              <w:spacing w:before="120" w:after="120"/>
              <w:rPr>
                <w:rFonts w:cs="Tahoma"/>
              </w:rPr>
            </w:pPr>
            <w:r w:rsidRPr="00C05E86">
              <w:rPr>
                <w:rFonts w:cs="Tahoma"/>
              </w:rPr>
              <w:t>NRNOMCM</w:t>
            </w:r>
          </w:p>
        </w:tc>
        <w:tc>
          <w:tcPr>
            <w:tcW w:w="2265" w:type="dxa"/>
            <w:vMerge/>
            <w:vAlign w:val="center"/>
          </w:tcPr>
          <w:p w14:paraId="57CBC3E9" w14:textId="77777777" w:rsidR="00102068" w:rsidRPr="00C05E86" w:rsidRDefault="00102068" w:rsidP="00C05E86">
            <w:pPr>
              <w:spacing w:before="120" w:after="120"/>
              <w:rPr>
                <w:rFonts w:cs="Tahoma"/>
              </w:rPr>
            </w:pPr>
          </w:p>
        </w:tc>
        <w:tc>
          <w:tcPr>
            <w:tcW w:w="3285" w:type="dxa"/>
            <w:vMerge/>
            <w:vAlign w:val="center"/>
          </w:tcPr>
          <w:p w14:paraId="178491CE" w14:textId="77777777" w:rsidR="00102068" w:rsidRPr="00C05E86" w:rsidRDefault="00102068" w:rsidP="00C05E86">
            <w:pPr>
              <w:spacing w:before="120" w:after="120"/>
              <w:rPr>
                <w:rFonts w:cs="Tahoma"/>
              </w:rPr>
            </w:pPr>
          </w:p>
        </w:tc>
        <w:tc>
          <w:tcPr>
            <w:tcW w:w="3686" w:type="dxa"/>
          </w:tcPr>
          <w:p w14:paraId="3F27A8E5" w14:textId="5D2A847A" w:rsidR="00102068" w:rsidRPr="00C05E86" w:rsidRDefault="00102068" w:rsidP="00C05E86">
            <w:pPr>
              <w:spacing w:before="120" w:after="120"/>
              <w:rPr>
                <w:rFonts w:cs="Tahoma"/>
              </w:rPr>
            </w:pPr>
            <w:r w:rsidRPr="00C05E86">
              <w:rPr>
                <w:rFonts w:cs="Tahoma"/>
              </w:rPr>
              <w:t>Brick building &gt;5 floors or monolithic building</w:t>
            </w:r>
          </w:p>
        </w:tc>
      </w:tr>
      <w:tr w:rsidR="00102068" w:rsidRPr="00C05E86" w14:paraId="34FEBF0E" w14:textId="77777777" w:rsidTr="00CD3A09">
        <w:tc>
          <w:tcPr>
            <w:tcW w:w="1538" w:type="dxa"/>
          </w:tcPr>
          <w:p w14:paraId="327837AA" w14:textId="0BA475E8" w:rsidR="00102068" w:rsidRPr="00C05E86" w:rsidRDefault="009F2574" w:rsidP="00C05E86">
            <w:pPr>
              <w:spacing w:before="120" w:after="120"/>
              <w:rPr>
                <w:rFonts w:cs="Tahoma"/>
              </w:rPr>
            </w:pPr>
            <w:r w:rsidRPr="00C05E86">
              <w:rPr>
                <w:rFonts w:cs="Tahoma"/>
              </w:rPr>
              <w:t>NEMETEC</w:t>
            </w:r>
          </w:p>
        </w:tc>
        <w:tc>
          <w:tcPr>
            <w:tcW w:w="2265" w:type="dxa"/>
            <w:vMerge w:val="restart"/>
            <w:vAlign w:val="center"/>
          </w:tcPr>
          <w:p w14:paraId="48FC3951" w14:textId="5CFFAEB2" w:rsidR="00102068" w:rsidRPr="00C05E86" w:rsidRDefault="00102068" w:rsidP="00C05E86">
            <w:pPr>
              <w:spacing w:before="120" w:after="120"/>
              <w:rPr>
                <w:rFonts w:cs="Tahoma"/>
              </w:rPr>
            </w:pPr>
            <w:r w:rsidRPr="00C05E86">
              <w:rPr>
                <w:rFonts w:cs="Tahoma"/>
              </w:rPr>
              <w:t>North-Eastern</w:t>
            </w:r>
          </w:p>
        </w:tc>
        <w:tc>
          <w:tcPr>
            <w:tcW w:w="3285" w:type="dxa"/>
            <w:vMerge w:val="restart"/>
            <w:vAlign w:val="center"/>
          </w:tcPr>
          <w:p w14:paraId="785C7EFB" w14:textId="4C78F34E" w:rsidR="00102068" w:rsidRPr="00C05E86" w:rsidRDefault="00102068" w:rsidP="00C05E86">
            <w:pPr>
              <w:spacing w:before="120" w:after="120"/>
              <w:rPr>
                <w:rFonts w:cs="Tahoma"/>
              </w:rPr>
            </w:pPr>
            <w:r w:rsidRPr="00C05E86">
              <w:rPr>
                <w:rFonts w:cs="Tahoma"/>
              </w:rPr>
              <w:t>≤1,100 m</w:t>
            </w:r>
          </w:p>
        </w:tc>
        <w:tc>
          <w:tcPr>
            <w:tcW w:w="3686" w:type="dxa"/>
          </w:tcPr>
          <w:p w14:paraId="0F2FB9FC" w14:textId="3E175360" w:rsidR="00102068" w:rsidRPr="00C05E86" w:rsidRDefault="00102068" w:rsidP="00C05E86">
            <w:pPr>
              <w:spacing w:before="120" w:after="120"/>
              <w:rPr>
                <w:rFonts w:cs="Tahoma"/>
              </w:rPr>
            </w:pPr>
            <w:r w:rsidRPr="00C05E86">
              <w:rPr>
                <w:rFonts w:cs="Tahoma"/>
              </w:rPr>
              <w:t>Brick building ≤5 floors or panel building</w:t>
            </w:r>
          </w:p>
        </w:tc>
      </w:tr>
      <w:tr w:rsidR="00102068" w:rsidRPr="00C05E86" w14:paraId="12CDB035" w14:textId="77777777" w:rsidTr="00CD3A09">
        <w:tc>
          <w:tcPr>
            <w:tcW w:w="1538" w:type="dxa"/>
          </w:tcPr>
          <w:p w14:paraId="3942CA5A" w14:textId="30DFEAE8" w:rsidR="00102068" w:rsidRPr="00C05E86" w:rsidRDefault="009F2574" w:rsidP="00C05E86">
            <w:pPr>
              <w:spacing w:before="120" w:after="120"/>
              <w:rPr>
                <w:rFonts w:cs="Tahoma"/>
              </w:rPr>
            </w:pPr>
            <w:r w:rsidRPr="00C05E86">
              <w:rPr>
                <w:rFonts w:cs="Tahoma"/>
              </w:rPr>
              <w:t>NEMETCM</w:t>
            </w:r>
          </w:p>
        </w:tc>
        <w:tc>
          <w:tcPr>
            <w:tcW w:w="2265" w:type="dxa"/>
            <w:vMerge/>
            <w:vAlign w:val="center"/>
          </w:tcPr>
          <w:p w14:paraId="5259B802" w14:textId="77777777" w:rsidR="00102068" w:rsidRPr="00C05E86" w:rsidRDefault="00102068" w:rsidP="00C05E86">
            <w:pPr>
              <w:spacing w:before="120" w:after="120"/>
              <w:rPr>
                <w:rFonts w:cs="Tahoma"/>
              </w:rPr>
            </w:pPr>
          </w:p>
        </w:tc>
        <w:tc>
          <w:tcPr>
            <w:tcW w:w="3285" w:type="dxa"/>
            <w:vMerge/>
            <w:vAlign w:val="center"/>
          </w:tcPr>
          <w:p w14:paraId="481065B7" w14:textId="77777777" w:rsidR="00102068" w:rsidRPr="00C05E86" w:rsidRDefault="00102068" w:rsidP="00C05E86">
            <w:pPr>
              <w:spacing w:before="120" w:after="120"/>
              <w:rPr>
                <w:rFonts w:cs="Tahoma"/>
              </w:rPr>
            </w:pPr>
          </w:p>
        </w:tc>
        <w:tc>
          <w:tcPr>
            <w:tcW w:w="3686" w:type="dxa"/>
          </w:tcPr>
          <w:p w14:paraId="56F51258" w14:textId="1FE65089" w:rsidR="00102068" w:rsidRPr="00C05E86" w:rsidRDefault="00102068" w:rsidP="00C05E86">
            <w:pPr>
              <w:spacing w:before="120" w:after="120"/>
              <w:rPr>
                <w:rFonts w:cs="Tahoma"/>
              </w:rPr>
            </w:pPr>
            <w:r w:rsidRPr="00C05E86">
              <w:rPr>
                <w:rFonts w:cs="Tahoma"/>
              </w:rPr>
              <w:t>Brick building &gt;5 floors or monolithic building</w:t>
            </w:r>
          </w:p>
        </w:tc>
      </w:tr>
      <w:tr w:rsidR="00102068" w:rsidRPr="00C05E86" w14:paraId="4A211C9E" w14:textId="77777777" w:rsidTr="00CD3A09">
        <w:tc>
          <w:tcPr>
            <w:tcW w:w="1538" w:type="dxa"/>
          </w:tcPr>
          <w:p w14:paraId="77EDACDA" w14:textId="62CC54BD" w:rsidR="00102068" w:rsidRPr="00C05E86" w:rsidRDefault="009F2574" w:rsidP="00C05E86">
            <w:pPr>
              <w:spacing w:before="120" w:after="120"/>
              <w:rPr>
                <w:rFonts w:cs="Tahoma"/>
              </w:rPr>
            </w:pPr>
            <w:r w:rsidRPr="00C05E86">
              <w:rPr>
                <w:rFonts w:cs="Tahoma"/>
              </w:rPr>
              <w:t>NENOMEC</w:t>
            </w:r>
          </w:p>
        </w:tc>
        <w:tc>
          <w:tcPr>
            <w:tcW w:w="2265" w:type="dxa"/>
            <w:vMerge/>
            <w:vAlign w:val="center"/>
          </w:tcPr>
          <w:p w14:paraId="740D31F6" w14:textId="77777777" w:rsidR="00102068" w:rsidRPr="00C05E86" w:rsidRDefault="00102068" w:rsidP="00C05E86">
            <w:pPr>
              <w:spacing w:before="120" w:after="120"/>
              <w:rPr>
                <w:rFonts w:cs="Tahoma"/>
              </w:rPr>
            </w:pPr>
          </w:p>
        </w:tc>
        <w:tc>
          <w:tcPr>
            <w:tcW w:w="3285" w:type="dxa"/>
            <w:vMerge w:val="restart"/>
            <w:vAlign w:val="center"/>
          </w:tcPr>
          <w:p w14:paraId="7BC00B47" w14:textId="571AD8E4" w:rsidR="00102068" w:rsidRPr="00C05E86" w:rsidRDefault="00102068" w:rsidP="00C05E86">
            <w:pPr>
              <w:spacing w:before="120" w:after="120"/>
              <w:rPr>
                <w:rFonts w:cs="Tahoma"/>
              </w:rPr>
            </w:pPr>
            <w:r w:rsidRPr="00C05E86">
              <w:rPr>
                <w:rFonts w:cs="Tahoma"/>
              </w:rPr>
              <w:t>&gt;1,100 m</w:t>
            </w:r>
          </w:p>
        </w:tc>
        <w:tc>
          <w:tcPr>
            <w:tcW w:w="3686" w:type="dxa"/>
          </w:tcPr>
          <w:p w14:paraId="3942937E" w14:textId="438027BB" w:rsidR="00102068" w:rsidRPr="00C05E86" w:rsidRDefault="00102068" w:rsidP="00C05E86">
            <w:pPr>
              <w:spacing w:before="120" w:after="120"/>
              <w:rPr>
                <w:rFonts w:cs="Tahoma"/>
              </w:rPr>
            </w:pPr>
            <w:r w:rsidRPr="00C05E86">
              <w:rPr>
                <w:rFonts w:cs="Tahoma"/>
              </w:rPr>
              <w:t>Brick building ≤5 floors or panel building</w:t>
            </w:r>
          </w:p>
        </w:tc>
      </w:tr>
      <w:tr w:rsidR="00102068" w:rsidRPr="00C05E86" w14:paraId="422E4E4D" w14:textId="77777777" w:rsidTr="00CD3A09">
        <w:tc>
          <w:tcPr>
            <w:tcW w:w="1538" w:type="dxa"/>
          </w:tcPr>
          <w:p w14:paraId="7353BD0D" w14:textId="6D59A0FB" w:rsidR="00102068" w:rsidRPr="00C05E86" w:rsidRDefault="009F2574" w:rsidP="00C05E86">
            <w:pPr>
              <w:spacing w:before="120" w:after="120"/>
              <w:rPr>
                <w:rFonts w:cs="Tahoma"/>
              </w:rPr>
            </w:pPr>
            <w:r w:rsidRPr="00C05E86">
              <w:rPr>
                <w:rFonts w:cs="Tahoma"/>
              </w:rPr>
              <w:t>NENOMCM</w:t>
            </w:r>
          </w:p>
        </w:tc>
        <w:tc>
          <w:tcPr>
            <w:tcW w:w="2265" w:type="dxa"/>
            <w:vMerge/>
            <w:vAlign w:val="center"/>
          </w:tcPr>
          <w:p w14:paraId="6E888BE3" w14:textId="77777777" w:rsidR="00102068" w:rsidRPr="00C05E86" w:rsidRDefault="00102068" w:rsidP="00C05E86">
            <w:pPr>
              <w:spacing w:before="120" w:after="120"/>
              <w:rPr>
                <w:rFonts w:cs="Tahoma"/>
              </w:rPr>
            </w:pPr>
          </w:p>
        </w:tc>
        <w:tc>
          <w:tcPr>
            <w:tcW w:w="3285" w:type="dxa"/>
            <w:vMerge/>
            <w:vAlign w:val="center"/>
          </w:tcPr>
          <w:p w14:paraId="1D83AF8F" w14:textId="77777777" w:rsidR="00102068" w:rsidRPr="00C05E86" w:rsidRDefault="00102068" w:rsidP="00C05E86">
            <w:pPr>
              <w:spacing w:before="120" w:after="120"/>
              <w:rPr>
                <w:rFonts w:cs="Tahoma"/>
              </w:rPr>
            </w:pPr>
          </w:p>
        </w:tc>
        <w:tc>
          <w:tcPr>
            <w:tcW w:w="3686" w:type="dxa"/>
          </w:tcPr>
          <w:p w14:paraId="076B8086" w14:textId="2680FEF0" w:rsidR="00102068" w:rsidRPr="00C05E86" w:rsidRDefault="00102068" w:rsidP="00C05E86">
            <w:pPr>
              <w:spacing w:before="120" w:after="120"/>
              <w:rPr>
                <w:rFonts w:cs="Tahoma"/>
              </w:rPr>
            </w:pPr>
            <w:r w:rsidRPr="00C05E86">
              <w:rPr>
                <w:rFonts w:cs="Tahoma"/>
              </w:rPr>
              <w:t>Brick building &gt;5 floors or monolithic building</w:t>
            </w:r>
          </w:p>
        </w:tc>
      </w:tr>
      <w:tr w:rsidR="00102068" w:rsidRPr="00C05E86" w14:paraId="3FAA4B9D" w14:textId="77777777" w:rsidTr="00CD3A09">
        <w:tc>
          <w:tcPr>
            <w:tcW w:w="1538" w:type="dxa"/>
          </w:tcPr>
          <w:p w14:paraId="057EAD9A" w14:textId="1BD95E2E" w:rsidR="009F2574" w:rsidRPr="00C05E86" w:rsidRDefault="009F2574" w:rsidP="00C05E86">
            <w:pPr>
              <w:spacing w:before="120" w:after="120"/>
              <w:rPr>
                <w:rFonts w:cs="Tahoma"/>
              </w:rPr>
            </w:pPr>
            <w:r w:rsidRPr="00C05E86">
              <w:rPr>
                <w:rFonts w:cs="Tahoma"/>
              </w:rPr>
              <w:t>ESMETEC</w:t>
            </w:r>
          </w:p>
        </w:tc>
        <w:tc>
          <w:tcPr>
            <w:tcW w:w="2265" w:type="dxa"/>
            <w:vMerge w:val="restart"/>
            <w:vAlign w:val="center"/>
          </w:tcPr>
          <w:p w14:paraId="67D6A750" w14:textId="29773B2E" w:rsidR="00102068" w:rsidRPr="00C05E86" w:rsidRDefault="00102068" w:rsidP="00C05E86">
            <w:pPr>
              <w:spacing w:before="120" w:after="120"/>
              <w:rPr>
                <w:rFonts w:cs="Tahoma"/>
              </w:rPr>
            </w:pPr>
            <w:r w:rsidRPr="00C05E86">
              <w:rPr>
                <w:rFonts w:cs="Tahoma"/>
              </w:rPr>
              <w:t>Eastern</w:t>
            </w:r>
          </w:p>
        </w:tc>
        <w:tc>
          <w:tcPr>
            <w:tcW w:w="3285" w:type="dxa"/>
            <w:vMerge w:val="restart"/>
            <w:vAlign w:val="center"/>
          </w:tcPr>
          <w:p w14:paraId="7F5F0FFA" w14:textId="3BFF8FB3" w:rsidR="00102068" w:rsidRPr="00C05E86" w:rsidRDefault="00102068" w:rsidP="00C05E86">
            <w:pPr>
              <w:spacing w:before="120" w:after="120"/>
              <w:rPr>
                <w:rFonts w:cs="Tahoma"/>
              </w:rPr>
            </w:pPr>
            <w:r w:rsidRPr="00C05E86">
              <w:rPr>
                <w:rFonts w:cs="Tahoma"/>
              </w:rPr>
              <w:t>≤1,100 m</w:t>
            </w:r>
          </w:p>
        </w:tc>
        <w:tc>
          <w:tcPr>
            <w:tcW w:w="3686" w:type="dxa"/>
          </w:tcPr>
          <w:p w14:paraId="30DD9502" w14:textId="4D38B860" w:rsidR="00102068" w:rsidRPr="00C05E86" w:rsidRDefault="00102068" w:rsidP="00C05E86">
            <w:pPr>
              <w:spacing w:before="120" w:after="120"/>
              <w:rPr>
                <w:rFonts w:cs="Tahoma"/>
              </w:rPr>
            </w:pPr>
            <w:r w:rsidRPr="00C05E86">
              <w:rPr>
                <w:rFonts w:cs="Tahoma"/>
              </w:rPr>
              <w:t>Brick building ≤5 floors or panel building</w:t>
            </w:r>
          </w:p>
        </w:tc>
      </w:tr>
      <w:tr w:rsidR="00102068" w:rsidRPr="00C05E86" w14:paraId="3D2FF68A" w14:textId="77777777" w:rsidTr="00CD3A09">
        <w:tc>
          <w:tcPr>
            <w:tcW w:w="1538" w:type="dxa"/>
          </w:tcPr>
          <w:p w14:paraId="01EA123C" w14:textId="6407083C" w:rsidR="00102068" w:rsidRPr="00C05E86" w:rsidRDefault="009F2574" w:rsidP="00C05E86">
            <w:pPr>
              <w:spacing w:before="120" w:after="120"/>
              <w:rPr>
                <w:rFonts w:cs="Tahoma"/>
              </w:rPr>
            </w:pPr>
            <w:r w:rsidRPr="00C05E86">
              <w:rPr>
                <w:rFonts w:cs="Tahoma"/>
              </w:rPr>
              <w:t>ESMETCM</w:t>
            </w:r>
          </w:p>
        </w:tc>
        <w:tc>
          <w:tcPr>
            <w:tcW w:w="2265" w:type="dxa"/>
            <w:vMerge/>
            <w:vAlign w:val="center"/>
          </w:tcPr>
          <w:p w14:paraId="0BCA4B3C" w14:textId="77777777" w:rsidR="00102068" w:rsidRPr="00C05E86" w:rsidRDefault="00102068" w:rsidP="00C05E86">
            <w:pPr>
              <w:spacing w:before="120" w:after="120"/>
              <w:rPr>
                <w:rFonts w:cs="Tahoma"/>
              </w:rPr>
            </w:pPr>
          </w:p>
        </w:tc>
        <w:tc>
          <w:tcPr>
            <w:tcW w:w="3285" w:type="dxa"/>
            <w:vMerge/>
            <w:vAlign w:val="center"/>
          </w:tcPr>
          <w:p w14:paraId="5C9D0483" w14:textId="77777777" w:rsidR="00102068" w:rsidRPr="00C05E86" w:rsidRDefault="00102068" w:rsidP="00C05E86">
            <w:pPr>
              <w:spacing w:before="120" w:after="120"/>
              <w:rPr>
                <w:rFonts w:cs="Tahoma"/>
              </w:rPr>
            </w:pPr>
          </w:p>
        </w:tc>
        <w:tc>
          <w:tcPr>
            <w:tcW w:w="3686" w:type="dxa"/>
          </w:tcPr>
          <w:p w14:paraId="6AB5028E" w14:textId="14060894" w:rsidR="00102068" w:rsidRPr="00C05E86" w:rsidRDefault="00102068" w:rsidP="00C05E86">
            <w:pPr>
              <w:spacing w:before="120" w:after="120"/>
              <w:rPr>
                <w:rFonts w:cs="Tahoma"/>
              </w:rPr>
            </w:pPr>
            <w:r w:rsidRPr="00C05E86">
              <w:rPr>
                <w:rFonts w:cs="Tahoma"/>
              </w:rPr>
              <w:t>Brick building &gt;5 floors or monolithic building</w:t>
            </w:r>
          </w:p>
        </w:tc>
      </w:tr>
      <w:tr w:rsidR="00102068" w:rsidRPr="00C05E86" w14:paraId="3F320036" w14:textId="77777777" w:rsidTr="00CD3A09">
        <w:tc>
          <w:tcPr>
            <w:tcW w:w="1538" w:type="dxa"/>
          </w:tcPr>
          <w:p w14:paraId="7411EB70" w14:textId="1D32ED66" w:rsidR="00102068" w:rsidRPr="00C05E86" w:rsidRDefault="009F2574" w:rsidP="00C05E86">
            <w:pPr>
              <w:spacing w:before="120" w:after="120"/>
              <w:rPr>
                <w:rFonts w:cs="Tahoma"/>
              </w:rPr>
            </w:pPr>
            <w:r w:rsidRPr="00C05E86">
              <w:rPr>
                <w:rFonts w:cs="Tahoma"/>
              </w:rPr>
              <w:t>ESNOMEC</w:t>
            </w:r>
          </w:p>
        </w:tc>
        <w:tc>
          <w:tcPr>
            <w:tcW w:w="2265" w:type="dxa"/>
            <w:vMerge/>
            <w:vAlign w:val="center"/>
          </w:tcPr>
          <w:p w14:paraId="6E8229B0" w14:textId="77777777" w:rsidR="00102068" w:rsidRPr="00C05E86" w:rsidRDefault="00102068" w:rsidP="00C05E86">
            <w:pPr>
              <w:spacing w:before="120" w:after="120"/>
              <w:rPr>
                <w:rFonts w:cs="Tahoma"/>
              </w:rPr>
            </w:pPr>
          </w:p>
        </w:tc>
        <w:tc>
          <w:tcPr>
            <w:tcW w:w="3285" w:type="dxa"/>
            <w:vMerge w:val="restart"/>
            <w:vAlign w:val="center"/>
          </w:tcPr>
          <w:p w14:paraId="68EF0F0B" w14:textId="56389CF1" w:rsidR="00102068" w:rsidRPr="00C05E86" w:rsidRDefault="00102068" w:rsidP="00C05E86">
            <w:pPr>
              <w:spacing w:before="120" w:after="120"/>
              <w:rPr>
                <w:rFonts w:cs="Tahoma"/>
              </w:rPr>
            </w:pPr>
            <w:r w:rsidRPr="00C05E86">
              <w:rPr>
                <w:rFonts w:cs="Tahoma"/>
              </w:rPr>
              <w:t>&gt;1,100 m</w:t>
            </w:r>
          </w:p>
        </w:tc>
        <w:tc>
          <w:tcPr>
            <w:tcW w:w="3686" w:type="dxa"/>
          </w:tcPr>
          <w:p w14:paraId="12862479" w14:textId="4FC7D137" w:rsidR="00102068" w:rsidRPr="00C05E86" w:rsidRDefault="00102068" w:rsidP="00C05E86">
            <w:pPr>
              <w:spacing w:before="120" w:after="120"/>
              <w:rPr>
                <w:rFonts w:cs="Tahoma"/>
              </w:rPr>
            </w:pPr>
            <w:r w:rsidRPr="00C05E86">
              <w:rPr>
                <w:rFonts w:cs="Tahoma"/>
              </w:rPr>
              <w:t>Brick building ≤5 floors or panel building</w:t>
            </w:r>
          </w:p>
        </w:tc>
      </w:tr>
      <w:tr w:rsidR="00102068" w:rsidRPr="00C05E86" w14:paraId="79622B5C" w14:textId="77777777" w:rsidTr="00CD3A09">
        <w:tc>
          <w:tcPr>
            <w:tcW w:w="1538" w:type="dxa"/>
          </w:tcPr>
          <w:p w14:paraId="7C3EF1AD" w14:textId="43720770" w:rsidR="00102068" w:rsidRPr="00C05E86" w:rsidRDefault="009F2574" w:rsidP="00C05E86">
            <w:pPr>
              <w:spacing w:before="120" w:after="120"/>
              <w:rPr>
                <w:rFonts w:cs="Tahoma"/>
              </w:rPr>
            </w:pPr>
            <w:r w:rsidRPr="00C05E86">
              <w:rPr>
                <w:rFonts w:cs="Tahoma"/>
              </w:rPr>
              <w:t>ESNOMCM</w:t>
            </w:r>
          </w:p>
        </w:tc>
        <w:tc>
          <w:tcPr>
            <w:tcW w:w="2265" w:type="dxa"/>
            <w:vMerge/>
            <w:vAlign w:val="center"/>
          </w:tcPr>
          <w:p w14:paraId="15CA86CA" w14:textId="77777777" w:rsidR="00102068" w:rsidRPr="00C05E86" w:rsidRDefault="00102068" w:rsidP="00C05E86">
            <w:pPr>
              <w:spacing w:before="120" w:after="120"/>
              <w:rPr>
                <w:rFonts w:cs="Tahoma"/>
              </w:rPr>
            </w:pPr>
          </w:p>
        </w:tc>
        <w:tc>
          <w:tcPr>
            <w:tcW w:w="3285" w:type="dxa"/>
            <w:vMerge/>
            <w:vAlign w:val="center"/>
          </w:tcPr>
          <w:p w14:paraId="2B3E7454" w14:textId="77777777" w:rsidR="00102068" w:rsidRPr="00C05E86" w:rsidRDefault="00102068" w:rsidP="00C05E86">
            <w:pPr>
              <w:spacing w:before="120" w:after="120"/>
              <w:rPr>
                <w:rFonts w:cs="Tahoma"/>
              </w:rPr>
            </w:pPr>
          </w:p>
        </w:tc>
        <w:tc>
          <w:tcPr>
            <w:tcW w:w="3686" w:type="dxa"/>
          </w:tcPr>
          <w:p w14:paraId="15A1C07D" w14:textId="3FB21AEC" w:rsidR="00102068" w:rsidRPr="00C05E86" w:rsidRDefault="00102068" w:rsidP="00C05E86">
            <w:pPr>
              <w:spacing w:before="120" w:after="120"/>
              <w:rPr>
                <w:rFonts w:cs="Tahoma"/>
              </w:rPr>
            </w:pPr>
            <w:r w:rsidRPr="00C05E86">
              <w:rPr>
                <w:rFonts w:cs="Tahoma"/>
              </w:rPr>
              <w:t>Brick building &gt;5 floors or monolithic building</w:t>
            </w:r>
          </w:p>
        </w:tc>
      </w:tr>
      <w:tr w:rsidR="00102068" w:rsidRPr="00C05E86" w14:paraId="06F8CA93" w14:textId="77777777" w:rsidTr="00CD3A09">
        <w:tc>
          <w:tcPr>
            <w:tcW w:w="1538" w:type="dxa"/>
          </w:tcPr>
          <w:p w14:paraId="46267237" w14:textId="0D71487B" w:rsidR="00102068" w:rsidRPr="00C05E86" w:rsidRDefault="009F2574" w:rsidP="00C05E86">
            <w:pPr>
              <w:spacing w:before="120" w:after="120"/>
              <w:rPr>
                <w:rFonts w:cs="Tahoma"/>
              </w:rPr>
            </w:pPr>
            <w:r w:rsidRPr="00C05E86">
              <w:rPr>
                <w:rFonts w:cs="Tahoma"/>
              </w:rPr>
              <w:t>SEMETEC</w:t>
            </w:r>
          </w:p>
        </w:tc>
        <w:tc>
          <w:tcPr>
            <w:tcW w:w="2265" w:type="dxa"/>
            <w:vMerge w:val="restart"/>
            <w:vAlign w:val="center"/>
          </w:tcPr>
          <w:p w14:paraId="4BF88351" w14:textId="0F1C8C53" w:rsidR="00102068" w:rsidRPr="00C05E86" w:rsidRDefault="00102068" w:rsidP="00C05E86">
            <w:pPr>
              <w:spacing w:before="120" w:after="120"/>
              <w:rPr>
                <w:rFonts w:cs="Tahoma"/>
              </w:rPr>
            </w:pPr>
            <w:r w:rsidRPr="00C05E86">
              <w:rPr>
                <w:rFonts w:cs="Tahoma"/>
              </w:rPr>
              <w:t>South-Eastern</w:t>
            </w:r>
          </w:p>
        </w:tc>
        <w:tc>
          <w:tcPr>
            <w:tcW w:w="3285" w:type="dxa"/>
            <w:vMerge w:val="restart"/>
            <w:vAlign w:val="center"/>
          </w:tcPr>
          <w:p w14:paraId="50BFF11E" w14:textId="54E9BE5D" w:rsidR="00102068" w:rsidRPr="00C05E86" w:rsidRDefault="00102068" w:rsidP="00C05E86">
            <w:pPr>
              <w:spacing w:before="120" w:after="120"/>
              <w:rPr>
                <w:rFonts w:cs="Tahoma"/>
              </w:rPr>
            </w:pPr>
            <w:r w:rsidRPr="00C05E86">
              <w:rPr>
                <w:rFonts w:cs="Tahoma"/>
              </w:rPr>
              <w:t>≤1,100 m</w:t>
            </w:r>
          </w:p>
        </w:tc>
        <w:tc>
          <w:tcPr>
            <w:tcW w:w="3686" w:type="dxa"/>
          </w:tcPr>
          <w:p w14:paraId="17D2A461" w14:textId="67EC4353" w:rsidR="00102068" w:rsidRPr="00C05E86" w:rsidRDefault="00102068" w:rsidP="00C05E86">
            <w:pPr>
              <w:spacing w:before="120" w:after="120"/>
              <w:rPr>
                <w:rFonts w:cs="Tahoma"/>
              </w:rPr>
            </w:pPr>
            <w:r w:rsidRPr="00C05E86">
              <w:rPr>
                <w:rFonts w:cs="Tahoma"/>
              </w:rPr>
              <w:t>Brick building ≤5 floors or panel building</w:t>
            </w:r>
          </w:p>
        </w:tc>
      </w:tr>
      <w:tr w:rsidR="00102068" w:rsidRPr="00C05E86" w14:paraId="471D65E0" w14:textId="77777777" w:rsidTr="00CD3A09">
        <w:tc>
          <w:tcPr>
            <w:tcW w:w="1538" w:type="dxa"/>
          </w:tcPr>
          <w:p w14:paraId="538184CA" w14:textId="035F91D8" w:rsidR="00102068" w:rsidRPr="00C05E86" w:rsidRDefault="009F2574" w:rsidP="00C05E86">
            <w:pPr>
              <w:spacing w:before="120" w:after="120"/>
              <w:rPr>
                <w:rFonts w:cs="Tahoma"/>
              </w:rPr>
            </w:pPr>
            <w:r w:rsidRPr="00C05E86">
              <w:rPr>
                <w:rFonts w:cs="Tahoma"/>
              </w:rPr>
              <w:t>SEMETCM</w:t>
            </w:r>
          </w:p>
        </w:tc>
        <w:tc>
          <w:tcPr>
            <w:tcW w:w="2265" w:type="dxa"/>
            <w:vMerge/>
            <w:vAlign w:val="center"/>
          </w:tcPr>
          <w:p w14:paraId="2AD00AD5" w14:textId="77777777" w:rsidR="00102068" w:rsidRPr="00C05E86" w:rsidRDefault="00102068" w:rsidP="00C05E86">
            <w:pPr>
              <w:spacing w:before="120" w:after="120"/>
              <w:rPr>
                <w:rFonts w:cs="Tahoma"/>
              </w:rPr>
            </w:pPr>
          </w:p>
        </w:tc>
        <w:tc>
          <w:tcPr>
            <w:tcW w:w="3285" w:type="dxa"/>
            <w:vMerge/>
            <w:vAlign w:val="center"/>
          </w:tcPr>
          <w:p w14:paraId="6D24A0F8" w14:textId="77777777" w:rsidR="00102068" w:rsidRPr="00C05E86" w:rsidRDefault="00102068" w:rsidP="00C05E86">
            <w:pPr>
              <w:spacing w:before="120" w:after="120"/>
              <w:rPr>
                <w:rFonts w:cs="Tahoma"/>
              </w:rPr>
            </w:pPr>
          </w:p>
        </w:tc>
        <w:tc>
          <w:tcPr>
            <w:tcW w:w="3686" w:type="dxa"/>
          </w:tcPr>
          <w:p w14:paraId="0A3C51DE" w14:textId="6DDFB31F" w:rsidR="00102068" w:rsidRPr="00C05E86" w:rsidRDefault="00102068" w:rsidP="00C05E86">
            <w:pPr>
              <w:spacing w:before="120" w:after="120"/>
              <w:rPr>
                <w:rFonts w:cs="Tahoma"/>
              </w:rPr>
            </w:pPr>
            <w:r w:rsidRPr="00C05E86">
              <w:rPr>
                <w:rFonts w:cs="Tahoma"/>
              </w:rPr>
              <w:t>Brick building &gt;5 floors or monolithic building</w:t>
            </w:r>
          </w:p>
        </w:tc>
      </w:tr>
      <w:tr w:rsidR="00102068" w:rsidRPr="00C05E86" w14:paraId="794C2782" w14:textId="77777777" w:rsidTr="00CD3A09">
        <w:tc>
          <w:tcPr>
            <w:tcW w:w="1538" w:type="dxa"/>
          </w:tcPr>
          <w:p w14:paraId="4DDA0D01" w14:textId="75547762" w:rsidR="00102068" w:rsidRPr="00C05E86" w:rsidRDefault="009F2574" w:rsidP="00C05E86">
            <w:pPr>
              <w:spacing w:before="120" w:after="120"/>
              <w:rPr>
                <w:rFonts w:cs="Tahoma"/>
              </w:rPr>
            </w:pPr>
            <w:r w:rsidRPr="00C05E86">
              <w:rPr>
                <w:rFonts w:cs="Tahoma"/>
              </w:rPr>
              <w:t>SENOMEC</w:t>
            </w:r>
          </w:p>
        </w:tc>
        <w:tc>
          <w:tcPr>
            <w:tcW w:w="2265" w:type="dxa"/>
            <w:vMerge/>
            <w:vAlign w:val="center"/>
          </w:tcPr>
          <w:p w14:paraId="4131B5E8" w14:textId="77777777" w:rsidR="00102068" w:rsidRPr="00C05E86" w:rsidRDefault="00102068" w:rsidP="00C05E86">
            <w:pPr>
              <w:spacing w:before="120" w:after="120"/>
              <w:rPr>
                <w:rFonts w:cs="Tahoma"/>
              </w:rPr>
            </w:pPr>
          </w:p>
        </w:tc>
        <w:tc>
          <w:tcPr>
            <w:tcW w:w="3285" w:type="dxa"/>
            <w:vMerge w:val="restart"/>
            <w:vAlign w:val="center"/>
          </w:tcPr>
          <w:p w14:paraId="08752E1F" w14:textId="2638D672" w:rsidR="00102068" w:rsidRPr="00C05E86" w:rsidRDefault="00102068" w:rsidP="00C05E86">
            <w:pPr>
              <w:spacing w:before="120" w:after="120"/>
              <w:rPr>
                <w:rFonts w:cs="Tahoma"/>
              </w:rPr>
            </w:pPr>
            <w:r w:rsidRPr="00C05E86">
              <w:rPr>
                <w:rFonts w:cs="Tahoma"/>
              </w:rPr>
              <w:t>&gt;1,100 m</w:t>
            </w:r>
          </w:p>
        </w:tc>
        <w:tc>
          <w:tcPr>
            <w:tcW w:w="3686" w:type="dxa"/>
          </w:tcPr>
          <w:p w14:paraId="2B1C5741" w14:textId="1CD59C10" w:rsidR="00102068" w:rsidRPr="00C05E86" w:rsidRDefault="00102068" w:rsidP="00C05E86">
            <w:pPr>
              <w:spacing w:before="120" w:after="120"/>
              <w:rPr>
                <w:rFonts w:cs="Tahoma"/>
              </w:rPr>
            </w:pPr>
            <w:r w:rsidRPr="00C05E86">
              <w:rPr>
                <w:rFonts w:cs="Tahoma"/>
              </w:rPr>
              <w:t>Brick building ≤5 floors or panel building</w:t>
            </w:r>
          </w:p>
        </w:tc>
      </w:tr>
      <w:tr w:rsidR="00102068" w:rsidRPr="00C05E86" w14:paraId="709E3765" w14:textId="77777777" w:rsidTr="00CD3A09">
        <w:tc>
          <w:tcPr>
            <w:tcW w:w="1538" w:type="dxa"/>
          </w:tcPr>
          <w:p w14:paraId="7994B0B1" w14:textId="5A0C9EE9" w:rsidR="00102068" w:rsidRPr="00C05E86" w:rsidRDefault="009F2574" w:rsidP="00C05E86">
            <w:pPr>
              <w:spacing w:before="120" w:after="120"/>
              <w:rPr>
                <w:rFonts w:cs="Tahoma"/>
              </w:rPr>
            </w:pPr>
            <w:r w:rsidRPr="00C05E86">
              <w:rPr>
                <w:rFonts w:cs="Tahoma"/>
              </w:rPr>
              <w:lastRenderedPageBreak/>
              <w:t>SENOMCM</w:t>
            </w:r>
          </w:p>
        </w:tc>
        <w:tc>
          <w:tcPr>
            <w:tcW w:w="2265" w:type="dxa"/>
            <w:vMerge/>
            <w:vAlign w:val="center"/>
          </w:tcPr>
          <w:p w14:paraId="584B69EA" w14:textId="77777777" w:rsidR="00102068" w:rsidRPr="00C05E86" w:rsidRDefault="00102068" w:rsidP="00C05E86">
            <w:pPr>
              <w:spacing w:before="120" w:after="120"/>
              <w:rPr>
                <w:rFonts w:cs="Tahoma"/>
              </w:rPr>
            </w:pPr>
          </w:p>
        </w:tc>
        <w:tc>
          <w:tcPr>
            <w:tcW w:w="3285" w:type="dxa"/>
            <w:vMerge/>
            <w:vAlign w:val="center"/>
          </w:tcPr>
          <w:p w14:paraId="7CED5549" w14:textId="77777777" w:rsidR="00102068" w:rsidRPr="00C05E86" w:rsidRDefault="00102068" w:rsidP="00C05E86">
            <w:pPr>
              <w:spacing w:before="120" w:after="120"/>
              <w:rPr>
                <w:rFonts w:cs="Tahoma"/>
              </w:rPr>
            </w:pPr>
          </w:p>
        </w:tc>
        <w:tc>
          <w:tcPr>
            <w:tcW w:w="3686" w:type="dxa"/>
          </w:tcPr>
          <w:p w14:paraId="602B1A56" w14:textId="49D0CE81" w:rsidR="00102068" w:rsidRPr="00C05E86" w:rsidRDefault="00102068" w:rsidP="00C05E86">
            <w:pPr>
              <w:spacing w:before="120" w:after="120"/>
              <w:rPr>
                <w:rFonts w:cs="Tahoma"/>
              </w:rPr>
            </w:pPr>
            <w:r w:rsidRPr="00C05E86">
              <w:rPr>
                <w:rFonts w:cs="Tahoma"/>
              </w:rPr>
              <w:t>Brick building &gt;5 floors or monolithic building</w:t>
            </w:r>
          </w:p>
        </w:tc>
      </w:tr>
      <w:tr w:rsidR="00102068" w:rsidRPr="00C05E86" w14:paraId="698E0927" w14:textId="77777777" w:rsidTr="00CD3A09">
        <w:tc>
          <w:tcPr>
            <w:tcW w:w="1538" w:type="dxa"/>
          </w:tcPr>
          <w:p w14:paraId="00C01BF3" w14:textId="2462EFEB" w:rsidR="00102068" w:rsidRPr="00C05E86" w:rsidRDefault="009F2574" w:rsidP="00C05E86">
            <w:pPr>
              <w:spacing w:before="120" w:after="120"/>
              <w:rPr>
                <w:rFonts w:cs="Tahoma"/>
              </w:rPr>
            </w:pPr>
            <w:r w:rsidRPr="00C05E86">
              <w:rPr>
                <w:rFonts w:cs="Tahoma"/>
              </w:rPr>
              <w:t>SUMETEC</w:t>
            </w:r>
          </w:p>
        </w:tc>
        <w:tc>
          <w:tcPr>
            <w:tcW w:w="2265" w:type="dxa"/>
            <w:vMerge w:val="restart"/>
            <w:vAlign w:val="center"/>
          </w:tcPr>
          <w:p w14:paraId="64FCEF4C" w14:textId="3E0704F9" w:rsidR="00102068" w:rsidRPr="00C05E86" w:rsidRDefault="00102068" w:rsidP="00C05E86">
            <w:pPr>
              <w:spacing w:before="120" w:after="120"/>
              <w:rPr>
                <w:rFonts w:cs="Tahoma"/>
              </w:rPr>
            </w:pPr>
            <w:r w:rsidRPr="00C05E86">
              <w:rPr>
                <w:rFonts w:cs="Tahoma"/>
              </w:rPr>
              <w:t>Southern</w:t>
            </w:r>
          </w:p>
        </w:tc>
        <w:tc>
          <w:tcPr>
            <w:tcW w:w="3285" w:type="dxa"/>
            <w:vMerge w:val="restart"/>
            <w:vAlign w:val="center"/>
          </w:tcPr>
          <w:p w14:paraId="386B6533" w14:textId="6D879307" w:rsidR="00102068" w:rsidRPr="00C05E86" w:rsidRDefault="00102068" w:rsidP="00C05E86">
            <w:pPr>
              <w:spacing w:before="120" w:after="120"/>
              <w:rPr>
                <w:rFonts w:cs="Tahoma"/>
              </w:rPr>
            </w:pPr>
            <w:r w:rsidRPr="00C05E86">
              <w:rPr>
                <w:rFonts w:cs="Tahoma"/>
              </w:rPr>
              <w:t>≤1,100 m</w:t>
            </w:r>
          </w:p>
        </w:tc>
        <w:tc>
          <w:tcPr>
            <w:tcW w:w="3686" w:type="dxa"/>
          </w:tcPr>
          <w:p w14:paraId="56753563" w14:textId="7988635A" w:rsidR="00102068" w:rsidRPr="00C05E86" w:rsidRDefault="00102068" w:rsidP="00C05E86">
            <w:pPr>
              <w:spacing w:before="120" w:after="120"/>
              <w:rPr>
                <w:rFonts w:cs="Tahoma"/>
              </w:rPr>
            </w:pPr>
            <w:r w:rsidRPr="00C05E86">
              <w:rPr>
                <w:rFonts w:cs="Tahoma"/>
              </w:rPr>
              <w:t>Brick building ≤5 floors or panel building</w:t>
            </w:r>
          </w:p>
        </w:tc>
      </w:tr>
      <w:tr w:rsidR="00102068" w:rsidRPr="00C05E86" w14:paraId="67A58E52" w14:textId="77777777" w:rsidTr="00CD3A09">
        <w:tc>
          <w:tcPr>
            <w:tcW w:w="1538" w:type="dxa"/>
          </w:tcPr>
          <w:p w14:paraId="5A2D8F2D" w14:textId="148F4488" w:rsidR="00102068" w:rsidRPr="00C05E86" w:rsidRDefault="009F2574" w:rsidP="00C05E86">
            <w:pPr>
              <w:spacing w:before="120" w:after="120"/>
              <w:rPr>
                <w:rFonts w:cs="Tahoma"/>
              </w:rPr>
            </w:pPr>
            <w:r w:rsidRPr="00C05E86">
              <w:rPr>
                <w:rFonts w:cs="Tahoma"/>
              </w:rPr>
              <w:t>SUMETCM</w:t>
            </w:r>
          </w:p>
        </w:tc>
        <w:tc>
          <w:tcPr>
            <w:tcW w:w="2265" w:type="dxa"/>
            <w:vMerge/>
            <w:vAlign w:val="center"/>
          </w:tcPr>
          <w:p w14:paraId="20DA9B00" w14:textId="77777777" w:rsidR="00102068" w:rsidRPr="00C05E86" w:rsidRDefault="00102068" w:rsidP="00C05E86">
            <w:pPr>
              <w:spacing w:before="120" w:after="120"/>
              <w:rPr>
                <w:rFonts w:cs="Tahoma"/>
              </w:rPr>
            </w:pPr>
          </w:p>
        </w:tc>
        <w:tc>
          <w:tcPr>
            <w:tcW w:w="3285" w:type="dxa"/>
            <w:vMerge/>
            <w:vAlign w:val="center"/>
          </w:tcPr>
          <w:p w14:paraId="7D7906D1" w14:textId="77777777" w:rsidR="00102068" w:rsidRPr="00C05E86" w:rsidRDefault="00102068" w:rsidP="00C05E86">
            <w:pPr>
              <w:spacing w:before="120" w:after="120"/>
              <w:rPr>
                <w:rFonts w:cs="Tahoma"/>
              </w:rPr>
            </w:pPr>
          </w:p>
        </w:tc>
        <w:tc>
          <w:tcPr>
            <w:tcW w:w="3686" w:type="dxa"/>
          </w:tcPr>
          <w:p w14:paraId="27078C7E" w14:textId="00587434" w:rsidR="00102068" w:rsidRPr="00C05E86" w:rsidRDefault="00102068" w:rsidP="00C05E86">
            <w:pPr>
              <w:spacing w:before="120" w:after="120"/>
              <w:rPr>
                <w:rFonts w:cs="Tahoma"/>
              </w:rPr>
            </w:pPr>
            <w:r w:rsidRPr="00C05E86">
              <w:rPr>
                <w:rFonts w:cs="Tahoma"/>
              </w:rPr>
              <w:t>Brick building &gt;5 floors or monolithic building</w:t>
            </w:r>
          </w:p>
        </w:tc>
      </w:tr>
      <w:tr w:rsidR="00102068" w:rsidRPr="00C05E86" w14:paraId="452E3507" w14:textId="77777777" w:rsidTr="00CD3A09">
        <w:tc>
          <w:tcPr>
            <w:tcW w:w="1538" w:type="dxa"/>
          </w:tcPr>
          <w:p w14:paraId="5551C3BE" w14:textId="4057D63C" w:rsidR="00102068" w:rsidRPr="00C05E86" w:rsidRDefault="009F2574" w:rsidP="00C05E86">
            <w:pPr>
              <w:spacing w:before="120" w:after="120"/>
              <w:rPr>
                <w:rFonts w:cs="Tahoma"/>
              </w:rPr>
            </w:pPr>
            <w:r w:rsidRPr="00C05E86">
              <w:rPr>
                <w:rFonts w:cs="Tahoma"/>
              </w:rPr>
              <w:t>SUNOMEC</w:t>
            </w:r>
          </w:p>
        </w:tc>
        <w:tc>
          <w:tcPr>
            <w:tcW w:w="2265" w:type="dxa"/>
            <w:vMerge/>
            <w:vAlign w:val="center"/>
          </w:tcPr>
          <w:p w14:paraId="3CCF35B4" w14:textId="77777777" w:rsidR="00102068" w:rsidRPr="00C05E86" w:rsidRDefault="00102068" w:rsidP="00C05E86">
            <w:pPr>
              <w:spacing w:before="120" w:after="120"/>
              <w:rPr>
                <w:rFonts w:cs="Tahoma"/>
              </w:rPr>
            </w:pPr>
          </w:p>
        </w:tc>
        <w:tc>
          <w:tcPr>
            <w:tcW w:w="3285" w:type="dxa"/>
            <w:vMerge w:val="restart"/>
            <w:vAlign w:val="center"/>
          </w:tcPr>
          <w:p w14:paraId="744C0085" w14:textId="0520558E" w:rsidR="00102068" w:rsidRPr="00C05E86" w:rsidRDefault="00102068" w:rsidP="00C05E86">
            <w:pPr>
              <w:spacing w:before="120" w:after="120"/>
              <w:rPr>
                <w:rFonts w:cs="Tahoma"/>
              </w:rPr>
            </w:pPr>
            <w:r w:rsidRPr="00C05E86">
              <w:rPr>
                <w:rFonts w:cs="Tahoma"/>
              </w:rPr>
              <w:t>&gt;1,100 m</w:t>
            </w:r>
          </w:p>
        </w:tc>
        <w:tc>
          <w:tcPr>
            <w:tcW w:w="3686" w:type="dxa"/>
          </w:tcPr>
          <w:p w14:paraId="22BCEF1F" w14:textId="5F831711" w:rsidR="00102068" w:rsidRPr="00C05E86" w:rsidRDefault="00102068" w:rsidP="00C05E86">
            <w:pPr>
              <w:spacing w:before="120" w:after="120"/>
              <w:rPr>
                <w:rFonts w:cs="Tahoma"/>
              </w:rPr>
            </w:pPr>
            <w:r w:rsidRPr="00C05E86">
              <w:rPr>
                <w:rFonts w:cs="Tahoma"/>
              </w:rPr>
              <w:t>Brick building ≤5 floors or panel building</w:t>
            </w:r>
          </w:p>
        </w:tc>
      </w:tr>
      <w:tr w:rsidR="00102068" w:rsidRPr="00C05E86" w14:paraId="1A37A761" w14:textId="77777777" w:rsidTr="00CD3A09">
        <w:tc>
          <w:tcPr>
            <w:tcW w:w="1538" w:type="dxa"/>
          </w:tcPr>
          <w:p w14:paraId="18B5334C" w14:textId="3C1D020D" w:rsidR="00102068" w:rsidRPr="00C05E86" w:rsidRDefault="009F2574" w:rsidP="00C05E86">
            <w:pPr>
              <w:spacing w:before="120" w:after="120"/>
              <w:rPr>
                <w:rFonts w:cs="Tahoma"/>
              </w:rPr>
            </w:pPr>
            <w:r w:rsidRPr="00C05E86">
              <w:rPr>
                <w:rFonts w:cs="Tahoma"/>
              </w:rPr>
              <w:t>SUNOMCM</w:t>
            </w:r>
          </w:p>
        </w:tc>
        <w:tc>
          <w:tcPr>
            <w:tcW w:w="2265" w:type="dxa"/>
            <w:vMerge/>
            <w:vAlign w:val="center"/>
          </w:tcPr>
          <w:p w14:paraId="7A7DB7B5" w14:textId="77777777" w:rsidR="00102068" w:rsidRPr="00C05E86" w:rsidRDefault="00102068" w:rsidP="00C05E86">
            <w:pPr>
              <w:spacing w:before="120" w:after="120"/>
              <w:rPr>
                <w:rFonts w:cs="Tahoma"/>
              </w:rPr>
            </w:pPr>
          </w:p>
        </w:tc>
        <w:tc>
          <w:tcPr>
            <w:tcW w:w="3285" w:type="dxa"/>
            <w:vMerge/>
            <w:vAlign w:val="center"/>
          </w:tcPr>
          <w:p w14:paraId="43FD976F" w14:textId="77777777" w:rsidR="00102068" w:rsidRPr="00C05E86" w:rsidRDefault="00102068" w:rsidP="00C05E86">
            <w:pPr>
              <w:spacing w:before="120" w:after="120"/>
              <w:rPr>
                <w:rFonts w:cs="Tahoma"/>
              </w:rPr>
            </w:pPr>
          </w:p>
        </w:tc>
        <w:tc>
          <w:tcPr>
            <w:tcW w:w="3686" w:type="dxa"/>
          </w:tcPr>
          <w:p w14:paraId="72A760C0" w14:textId="4318C908" w:rsidR="00102068" w:rsidRPr="00C05E86" w:rsidRDefault="00102068" w:rsidP="00C05E86">
            <w:pPr>
              <w:spacing w:before="120" w:after="120"/>
              <w:rPr>
                <w:rFonts w:cs="Tahoma"/>
              </w:rPr>
            </w:pPr>
            <w:r w:rsidRPr="00C05E86">
              <w:rPr>
                <w:rFonts w:cs="Tahoma"/>
              </w:rPr>
              <w:t>Brick building &gt;5 floors or monolithic building</w:t>
            </w:r>
          </w:p>
        </w:tc>
      </w:tr>
      <w:tr w:rsidR="009F2574" w:rsidRPr="00C05E86" w14:paraId="2D706DDB" w14:textId="77777777" w:rsidTr="00CD3A09">
        <w:trPr>
          <w:trHeight w:val="724"/>
        </w:trPr>
        <w:tc>
          <w:tcPr>
            <w:tcW w:w="1538" w:type="dxa"/>
          </w:tcPr>
          <w:p w14:paraId="641CF101" w14:textId="70DE00AE" w:rsidR="009F2574" w:rsidRPr="00C05E86" w:rsidRDefault="009F2574" w:rsidP="00C05E86">
            <w:pPr>
              <w:spacing w:before="120" w:after="120"/>
              <w:rPr>
                <w:rFonts w:cs="Tahoma"/>
              </w:rPr>
            </w:pPr>
            <w:r w:rsidRPr="00C05E86">
              <w:rPr>
                <w:rFonts w:cs="Tahoma"/>
              </w:rPr>
              <w:t>SWALLEC</w:t>
            </w:r>
          </w:p>
        </w:tc>
        <w:tc>
          <w:tcPr>
            <w:tcW w:w="2265" w:type="dxa"/>
            <w:vMerge w:val="restart"/>
            <w:vAlign w:val="center"/>
          </w:tcPr>
          <w:p w14:paraId="4556991E" w14:textId="180485F3" w:rsidR="009F2574" w:rsidRPr="00C05E86" w:rsidRDefault="009F2574" w:rsidP="00C05E86">
            <w:pPr>
              <w:spacing w:before="120" w:after="120"/>
              <w:rPr>
                <w:rFonts w:cs="Tahoma"/>
              </w:rPr>
            </w:pPr>
            <w:r w:rsidRPr="00C05E86">
              <w:rPr>
                <w:rFonts w:cs="Tahoma"/>
              </w:rPr>
              <w:t>South-Western</w:t>
            </w:r>
          </w:p>
        </w:tc>
        <w:tc>
          <w:tcPr>
            <w:tcW w:w="3285" w:type="dxa"/>
            <w:vMerge w:val="restart"/>
            <w:vAlign w:val="center"/>
          </w:tcPr>
          <w:p w14:paraId="263CE100" w14:textId="3B4B2653" w:rsidR="009F2574" w:rsidRPr="00C05E86" w:rsidRDefault="009F2574" w:rsidP="00C05E86">
            <w:pPr>
              <w:spacing w:before="120" w:after="120"/>
              <w:rPr>
                <w:rFonts w:cs="Tahoma"/>
              </w:rPr>
            </w:pPr>
            <w:r w:rsidRPr="00C05E86">
              <w:rPr>
                <w:rFonts w:cs="Tahoma"/>
              </w:rPr>
              <w:t>-</w:t>
            </w:r>
          </w:p>
        </w:tc>
        <w:tc>
          <w:tcPr>
            <w:tcW w:w="3686" w:type="dxa"/>
          </w:tcPr>
          <w:p w14:paraId="08909352" w14:textId="7884B36C" w:rsidR="009F2574" w:rsidRPr="00C05E86" w:rsidRDefault="009F2574" w:rsidP="00C05E86">
            <w:pPr>
              <w:spacing w:before="120" w:after="120"/>
              <w:rPr>
                <w:rFonts w:cs="Tahoma"/>
              </w:rPr>
            </w:pPr>
            <w:r w:rsidRPr="00C05E86">
              <w:rPr>
                <w:rFonts w:cs="Tahoma"/>
              </w:rPr>
              <w:t>Brick building ≤5 floors or panel building</w:t>
            </w:r>
          </w:p>
        </w:tc>
      </w:tr>
      <w:tr w:rsidR="009F2574" w:rsidRPr="00C05E86" w14:paraId="754A5AE2" w14:textId="77777777" w:rsidTr="00CD3A09">
        <w:trPr>
          <w:trHeight w:val="724"/>
        </w:trPr>
        <w:tc>
          <w:tcPr>
            <w:tcW w:w="1538" w:type="dxa"/>
          </w:tcPr>
          <w:p w14:paraId="797D085A" w14:textId="4A2C1AE7" w:rsidR="009F2574" w:rsidRPr="00C05E86" w:rsidRDefault="009F2574" w:rsidP="00C05E86">
            <w:pPr>
              <w:spacing w:before="120" w:after="120"/>
              <w:rPr>
                <w:rFonts w:cs="Tahoma"/>
              </w:rPr>
            </w:pPr>
            <w:r w:rsidRPr="00C05E86">
              <w:rPr>
                <w:rFonts w:cs="Tahoma"/>
              </w:rPr>
              <w:t>SWALLCM</w:t>
            </w:r>
          </w:p>
        </w:tc>
        <w:tc>
          <w:tcPr>
            <w:tcW w:w="2265" w:type="dxa"/>
            <w:vMerge/>
            <w:vAlign w:val="center"/>
          </w:tcPr>
          <w:p w14:paraId="4CB65204" w14:textId="77777777" w:rsidR="009F2574" w:rsidRPr="00C05E86" w:rsidRDefault="009F2574" w:rsidP="00C05E86">
            <w:pPr>
              <w:spacing w:before="120" w:after="120"/>
              <w:rPr>
                <w:rFonts w:cs="Tahoma"/>
              </w:rPr>
            </w:pPr>
          </w:p>
        </w:tc>
        <w:tc>
          <w:tcPr>
            <w:tcW w:w="3285" w:type="dxa"/>
            <w:vMerge/>
            <w:vAlign w:val="center"/>
          </w:tcPr>
          <w:p w14:paraId="09753DE5" w14:textId="77777777" w:rsidR="009F2574" w:rsidRPr="00C05E86" w:rsidRDefault="009F2574" w:rsidP="00C05E86">
            <w:pPr>
              <w:spacing w:before="120" w:after="120"/>
              <w:rPr>
                <w:rFonts w:cs="Tahoma"/>
              </w:rPr>
            </w:pPr>
          </w:p>
        </w:tc>
        <w:tc>
          <w:tcPr>
            <w:tcW w:w="3686" w:type="dxa"/>
          </w:tcPr>
          <w:p w14:paraId="71D436E1" w14:textId="46C8ED23" w:rsidR="009F2574" w:rsidRPr="00C05E86" w:rsidRDefault="007D18FA" w:rsidP="00C05E86">
            <w:pPr>
              <w:spacing w:before="120" w:after="120"/>
              <w:rPr>
                <w:rFonts w:cs="Tahoma"/>
              </w:rPr>
            </w:pPr>
            <w:r w:rsidRPr="00C05E86">
              <w:rPr>
                <w:rFonts w:cs="Tahoma"/>
              </w:rPr>
              <w:t>Brick building &gt;5 floors or monolithic building</w:t>
            </w:r>
          </w:p>
        </w:tc>
      </w:tr>
      <w:tr w:rsidR="009F2574" w:rsidRPr="00C05E86" w14:paraId="2D41F25D" w14:textId="77777777" w:rsidTr="00CD3A09">
        <w:tc>
          <w:tcPr>
            <w:tcW w:w="1538" w:type="dxa"/>
          </w:tcPr>
          <w:p w14:paraId="427EE140" w14:textId="70BB470E" w:rsidR="009F2574" w:rsidRPr="00C05E86" w:rsidRDefault="009F2574" w:rsidP="00C05E86">
            <w:pPr>
              <w:spacing w:before="120" w:after="120"/>
              <w:rPr>
                <w:rFonts w:cs="Tahoma"/>
              </w:rPr>
            </w:pPr>
            <w:r w:rsidRPr="00C05E86">
              <w:rPr>
                <w:rFonts w:cs="Tahoma"/>
              </w:rPr>
              <w:t>WSMETEC</w:t>
            </w:r>
          </w:p>
        </w:tc>
        <w:tc>
          <w:tcPr>
            <w:tcW w:w="2265" w:type="dxa"/>
            <w:vMerge w:val="restart"/>
            <w:vAlign w:val="center"/>
          </w:tcPr>
          <w:p w14:paraId="1894312A" w14:textId="5289C4D8" w:rsidR="009F2574" w:rsidRPr="00C05E86" w:rsidRDefault="009F2574" w:rsidP="00C05E86">
            <w:pPr>
              <w:spacing w:before="120" w:after="120"/>
              <w:rPr>
                <w:rFonts w:cs="Tahoma"/>
              </w:rPr>
            </w:pPr>
            <w:r w:rsidRPr="00C05E86">
              <w:rPr>
                <w:rFonts w:cs="Tahoma"/>
              </w:rPr>
              <w:t>Western</w:t>
            </w:r>
          </w:p>
        </w:tc>
        <w:tc>
          <w:tcPr>
            <w:tcW w:w="3285" w:type="dxa"/>
            <w:vMerge w:val="restart"/>
            <w:vAlign w:val="center"/>
          </w:tcPr>
          <w:p w14:paraId="082ED4BB" w14:textId="447ECC2D" w:rsidR="009F2574" w:rsidRPr="00C05E86" w:rsidRDefault="009F2574" w:rsidP="00C05E86">
            <w:pPr>
              <w:spacing w:before="120" w:after="120"/>
              <w:rPr>
                <w:rFonts w:cs="Tahoma"/>
              </w:rPr>
            </w:pPr>
            <w:r w:rsidRPr="00C05E86">
              <w:rPr>
                <w:rFonts w:cs="Tahoma"/>
              </w:rPr>
              <w:t>≤1,100 m</w:t>
            </w:r>
          </w:p>
        </w:tc>
        <w:tc>
          <w:tcPr>
            <w:tcW w:w="3686" w:type="dxa"/>
          </w:tcPr>
          <w:p w14:paraId="07A3AD74" w14:textId="5DC52318" w:rsidR="009F2574" w:rsidRPr="00C05E86" w:rsidRDefault="009F2574" w:rsidP="00C05E86">
            <w:pPr>
              <w:spacing w:before="120" w:after="120"/>
              <w:rPr>
                <w:rFonts w:cs="Tahoma"/>
              </w:rPr>
            </w:pPr>
            <w:r w:rsidRPr="00C05E86">
              <w:rPr>
                <w:rFonts w:cs="Tahoma"/>
              </w:rPr>
              <w:t>Brick building ≤5 floors or panel building</w:t>
            </w:r>
          </w:p>
        </w:tc>
      </w:tr>
      <w:tr w:rsidR="009F2574" w:rsidRPr="00C05E86" w14:paraId="7991C931" w14:textId="77777777" w:rsidTr="00CD3A09">
        <w:tc>
          <w:tcPr>
            <w:tcW w:w="1538" w:type="dxa"/>
          </w:tcPr>
          <w:p w14:paraId="7DC50519" w14:textId="1F3A2232" w:rsidR="009F2574" w:rsidRPr="00C05E86" w:rsidRDefault="00265F5A" w:rsidP="00C05E86">
            <w:pPr>
              <w:spacing w:before="120" w:after="120"/>
              <w:rPr>
                <w:rFonts w:cs="Tahoma"/>
              </w:rPr>
            </w:pPr>
            <w:r w:rsidRPr="00C05E86">
              <w:rPr>
                <w:rFonts w:cs="Tahoma"/>
              </w:rPr>
              <w:t>WSMETCM</w:t>
            </w:r>
          </w:p>
        </w:tc>
        <w:tc>
          <w:tcPr>
            <w:tcW w:w="2265" w:type="dxa"/>
            <w:vMerge/>
            <w:vAlign w:val="center"/>
          </w:tcPr>
          <w:p w14:paraId="0A618A85" w14:textId="77777777" w:rsidR="009F2574" w:rsidRPr="00C05E86" w:rsidRDefault="009F2574" w:rsidP="00C05E86">
            <w:pPr>
              <w:spacing w:before="120" w:after="120"/>
              <w:rPr>
                <w:rFonts w:cs="Tahoma"/>
              </w:rPr>
            </w:pPr>
          </w:p>
        </w:tc>
        <w:tc>
          <w:tcPr>
            <w:tcW w:w="3285" w:type="dxa"/>
            <w:vMerge/>
            <w:vAlign w:val="center"/>
          </w:tcPr>
          <w:p w14:paraId="5B0BBC4C" w14:textId="77777777" w:rsidR="009F2574" w:rsidRPr="00C05E86" w:rsidRDefault="009F2574" w:rsidP="00C05E86">
            <w:pPr>
              <w:spacing w:before="120" w:after="120"/>
              <w:rPr>
                <w:rFonts w:cs="Tahoma"/>
              </w:rPr>
            </w:pPr>
          </w:p>
        </w:tc>
        <w:tc>
          <w:tcPr>
            <w:tcW w:w="3686" w:type="dxa"/>
          </w:tcPr>
          <w:p w14:paraId="6C43A159" w14:textId="6EE025F5" w:rsidR="009F2574" w:rsidRPr="00C05E86" w:rsidRDefault="009F2574" w:rsidP="00C05E86">
            <w:pPr>
              <w:spacing w:before="120" w:after="120"/>
              <w:rPr>
                <w:rFonts w:cs="Tahoma"/>
              </w:rPr>
            </w:pPr>
            <w:r w:rsidRPr="00C05E86">
              <w:rPr>
                <w:rFonts w:cs="Tahoma"/>
              </w:rPr>
              <w:t>Brick building &gt;5 floors or monolithic building</w:t>
            </w:r>
          </w:p>
        </w:tc>
      </w:tr>
      <w:tr w:rsidR="009F2574" w:rsidRPr="00C05E86" w14:paraId="13A088D3" w14:textId="77777777" w:rsidTr="00CD3A09">
        <w:tc>
          <w:tcPr>
            <w:tcW w:w="1538" w:type="dxa"/>
          </w:tcPr>
          <w:p w14:paraId="68E0525C" w14:textId="776F0241" w:rsidR="009F2574" w:rsidRPr="00C05E86" w:rsidRDefault="009F2574" w:rsidP="00C05E86">
            <w:pPr>
              <w:spacing w:before="120" w:after="120"/>
              <w:rPr>
                <w:rFonts w:cs="Tahoma"/>
              </w:rPr>
            </w:pPr>
            <w:r w:rsidRPr="00C05E86">
              <w:rPr>
                <w:rFonts w:cs="Tahoma"/>
              </w:rPr>
              <w:t>WSNOMEC</w:t>
            </w:r>
          </w:p>
        </w:tc>
        <w:tc>
          <w:tcPr>
            <w:tcW w:w="2265" w:type="dxa"/>
            <w:vMerge/>
            <w:vAlign w:val="center"/>
          </w:tcPr>
          <w:p w14:paraId="00C4937A" w14:textId="77777777" w:rsidR="009F2574" w:rsidRPr="00C05E86" w:rsidRDefault="009F2574" w:rsidP="00C05E86">
            <w:pPr>
              <w:spacing w:before="120" w:after="120"/>
              <w:rPr>
                <w:rFonts w:cs="Tahoma"/>
              </w:rPr>
            </w:pPr>
          </w:p>
        </w:tc>
        <w:tc>
          <w:tcPr>
            <w:tcW w:w="3285" w:type="dxa"/>
            <w:vMerge w:val="restart"/>
            <w:vAlign w:val="center"/>
          </w:tcPr>
          <w:p w14:paraId="105A730F" w14:textId="4F6BBEE7" w:rsidR="009F2574" w:rsidRPr="00C05E86" w:rsidRDefault="009F2574" w:rsidP="00C05E86">
            <w:pPr>
              <w:spacing w:before="120" w:after="120"/>
              <w:rPr>
                <w:rFonts w:cs="Tahoma"/>
              </w:rPr>
            </w:pPr>
            <w:r w:rsidRPr="00C05E86">
              <w:rPr>
                <w:rFonts w:cs="Tahoma"/>
              </w:rPr>
              <w:t>&gt;1,100 m</w:t>
            </w:r>
          </w:p>
        </w:tc>
        <w:tc>
          <w:tcPr>
            <w:tcW w:w="3686" w:type="dxa"/>
          </w:tcPr>
          <w:p w14:paraId="78FCC1B7" w14:textId="70C711F4" w:rsidR="009F2574" w:rsidRPr="00C05E86" w:rsidRDefault="009F2574" w:rsidP="00C05E86">
            <w:pPr>
              <w:spacing w:before="120" w:after="120"/>
              <w:rPr>
                <w:rFonts w:cs="Tahoma"/>
              </w:rPr>
            </w:pPr>
            <w:r w:rsidRPr="00C05E86">
              <w:rPr>
                <w:rFonts w:cs="Tahoma"/>
              </w:rPr>
              <w:t>Brick building ≤5 floors or panel building</w:t>
            </w:r>
          </w:p>
        </w:tc>
      </w:tr>
      <w:tr w:rsidR="009F2574" w:rsidRPr="00C05E86" w14:paraId="34C53A26" w14:textId="77777777" w:rsidTr="00CD3A09">
        <w:tc>
          <w:tcPr>
            <w:tcW w:w="1538" w:type="dxa"/>
          </w:tcPr>
          <w:p w14:paraId="10ADC1C6" w14:textId="4B8F7011" w:rsidR="009F2574" w:rsidRPr="00C05E86" w:rsidRDefault="00265F5A" w:rsidP="00C05E86">
            <w:pPr>
              <w:spacing w:before="120" w:after="120"/>
              <w:rPr>
                <w:rFonts w:cs="Tahoma"/>
              </w:rPr>
            </w:pPr>
            <w:r w:rsidRPr="00C05E86">
              <w:rPr>
                <w:rFonts w:cs="Tahoma"/>
              </w:rPr>
              <w:t>WSNOMCM</w:t>
            </w:r>
          </w:p>
        </w:tc>
        <w:tc>
          <w:tcPr>
            <w:tcW w:w="2265" w:type="dxa"/>
            <w:vMerge/>
            <w:vAlign w:val="center"/>
          </w:tcPr>
          <w:p w14:paraId="74EF8877" w14:textId="77777777" w:rsidR="009F2574" w:rsidRPr="00C05E86" w:rsidRDefault="009F2574" w:rsidP="00C05E86">
            <w:pPr>
              <w:spacing w:before="120" w:after="120"/>
              <w:rPr>
                <w:rFonts w:cs="Tahoma"/>
              </w:rPr>
            </w:pPr>
          </w:p>
        </w:tc>
        <w:tc>
          <w:tcPr>
            <w:tcW w:w="3285" w:type="dxa"/>
            <w:vMerge/>
            <w:vAlign w:val="center"/>
          </w:tcPr>
          <w:p w14:paraId="24533EA2" w14:textId="77777777" w:rsidR="009F2574" w:rsidRPr="00C05E86" w:rsidRDefault="009F2574" w:rsidP="00C05E86">
            <w:pPr>
              <w:spacing w:before="120" w:after="120"/>
              <w:rPr>
                <w:rFonts w:cs="Tahoma"/>
              </w:rPr>
            </w:pPr>
          </w:p>
        </w:tc>
        <w:tc>
          <w:tcPr>
            <w:tcW w:w="3686" w:type="dxa"/>
          </w:tcPr>
          <w:p w14:paraId="28969B01" w14:textId="2008B501" w:rsidR="009F2574" w:rsidRPr="00C05E86" w:rsidRDefault="009F2574" w:rsidP="00C05E86">
            <w:pPr>
              <w:spacing w:before="120" w:after="120"/>
              <w:rPr>
                <w:rFonts w:cs="Tahoma"/>
              </w:rPr>
            </w:pPr>
            <w:r w:rsidRPr="00C05E86">
              <w:rPr>
                <w:rFonts w:cs="Tahoma"/>
              </w:rPr>
              <w:t>Brick building &gt;5 floors or monolithic building</w:t>
            </w:r>
          </w:p>
        </w:tc>
      </w:tr>
      <w:tr w:rsidR="009F2574" w:rsidRPr="00C05E86" w14:paraId="2F4912F0" w14:textId="77777777" w:rsidTr="00CD3A09">
        <w:trPr>
          <w:trHeight w:val="724"/>
        </w:trPr>
        <w:tc>
          <w:tcPr>
            <w:tcW w:w="1538" w:type="dxa"/>
          </w:tcPr>
          <w:p w14:paraId="0D5493E8" w14:textId="3F8406D1" w:rsidR="009F2574" w:rsidRPr="00C05E86" w:rsidRDefault="00813D9F" w:rsidP="00C05E86">
            <w:pPr>
              <w:spacing w:before="120" w:after="120"/>
              <w:rPr>
                <w:rFonts w:cs="Tahoma"/>
              </w:rPr>
            </w:pPr>
            <w:r w:rsidRPr="00C05E86">
              <w:rPr>
                <w:rFonts w:cs="Tahoma"/>
              </w:rPr>
              <w:t>NWALLEC</w:t>
            </w:r>
          </w:p>
        </w:tc>
        <w:tc>
          <w:tcPr>
            <w:tcW w:w="2265" w:type="dxa"/>
            <w:vMerge w:val="restart"/>
            <w:vAlign w:val="center"/>
          </w:tcPr>
          <w:p w14:paraId="00BAE56E" w14:textId="038B1005" w:rsidR="009F2574" w:rsidRPr="00C05E86" w:rsidRDefault="009F2574" w:rsidP="00C05E86">
            <w:pPr>
              <w:spacing w:before="120" w:after="120"/>
              <w:rPr>
                <w:rFonts w:cs="Tahoma"/>
              </w:rPr>
            </w:pPr>
            <w:r w:rsidRPr="00C05E86">
              <w:rPr>
                <w:rFonts w:cs="Tahoma"/>
              </w:rPr>
              <w:t>North-Western</w:t>
            </w:r>
          </w:p>
        </w:tc>
        <w:tc>
          <w:tcPr>
            <w:tcW w:w="3285" w:type="dxa"/>
            <w:vMerge w:val="restart"/>
            <w:vAlign w:val="center"/>
          </w:tcPr>
          <w:p w14:paraId="1D005EA4" w14:textId="4C4F543A" w:rsidR="009F2574" w:rsidRPr="00C05E86" w:rsidRDefault="009F2574" w:rsidP="00C05E86">
            <w:pPr>
              <w:spacing w:before="120" w:after="120"/>
              <w:rPr>
                <w:rFonts w:cs="Tahoma"/>
              </w:rPr>
            </w:pPr>
            <w:r w:rsidRPr="00C05E86">
              <w:rPr>
                <w:rFonts w:cs="Tahoma"/>
              </w:rPr>
              <w:t>-</w:t>
            </w:r>
          </w:p>
        </w:tc>
        <w:tc>
          <w:tcPr>
            <w:tcW w:w="3686" w:type="dxa"/>
          </w:tcPr>
          <w:p w14:paraId="323B7D77" w14:textId="76316EF8" w:rsidR="009F2574" w:rsidRPr="00C05E86" w:rsidRDefault="009F2574" w:rsidP="00C05E86">
            <w:pPr>
              <w:spacing w:before="120" w:after="120"/>
              <w:rPr>
                <w:rFonts w:cs="Tahoma"/>
              </w:rPr>
            </w:pPr>
            <w:r w:rsidRPr="00C05E86">
              <w:rPr>
                <w:rFonts w:cs="Tahoma"/>
              </w:rPr>
              <w:t>Brick building ≤5 floors or panel building</w:t>
            </w:r>
          </w:p>
        </w:tc>
      </w:tr>
      <w:tr w:rsidR="009F2574" w:rsidRPr="00C05E86" w14:paraId="49487416" w14:textId="77777777" w:rsidTr="00CD3A09">
        <w:trPr>
          <w:trHeight w:val="724"/>
        </w:trPr>
        <w:tc>
          <w:tcPr>
            <w:tcW w:w="1538" w:type="dxa"/>
          </w:tcPr>
          <w:p w14:paraId="71B1FE1D" w14:textId="74974495" w:rsidR="009F2574" w:rsidRPr="00C05E86" w:rsidRDefault="00813D9F" w:rsidP="00C05E86">
            <w:pPr>
              <w:spacing w:before="120" w:after="120"/>
              <w:rPr>
                <w:rFonts w:cs="Tahoma"/>
              </w:rPr>
            </w:pPr>
            <w:r w:rsidRPr="00C05E86">
              <w:rPr>
                <w:rFonts w:cs="Tahoma"/>
              </w:rPr>
              <w:t>NWALLCM</w:t>
            </w:r>
          </w:p>
        </w:tc>
        <w:tc>
          <w:tcPr>
            <w:tcW w:w="2265" w:type="dxa"/>
            <w:vMerge/>
            <w:vAlign w:val="center"/>
          </w:tcPr>
          <w:p w14:paraId="546E8BDB" w14:textId="77777777" w:rsidR="009F2574" w:rsidRPr="00C05E86" w:rsidRDefault="009F2574" w:rsidP="00C05E86">
            <w:pPr>
              <w:spacing w:before="120" w:after="120"/>
              <w:rPr>
                <w:rFonts w:cs="Tahoma"/>
              </w:rPr>
            </w:pPr>
          </w:p>
        </w:tc>
        <w:tc>
          <w:tcPr>
            <w:tcW w:w="3285" w:type="dxa"/>
            <w:vMerge/>
            <w:vAlign w:val="center"/>
          </w:tcPr>
          <w:p w14:paraId="2FF82B00" w14:textId="77777777" w:rsidR="009F2574" w:rsidRPr="00C05E86" w:rsidRDefault="009F2574" w:rsidP="00C05E86">
            <w:pPr>
              <w:spacing w:before="120" w:after="120"/>
              <w:rPr>
                <w:rFonts w:cs="Tahoma"/>
              </w:rPr>
            </w:pPr>
          </w:p>
        </w:tc>
        <w:tc>
          <w:tcPr>
            <w:tcW w:w="3686" w:type="dxa"/>
          </w:tcPr>
          <w:p w14:paraId="5E965BB1" w14:textId="22695D0A" w:rsidR="009F2574" w:rsidRPr="00C05E86" w:rsidRDefault="00782EDC" w:rsidP="00C05E86">
            <w:pPr>
              <w:spacing w:before="120" w:after="120"/>
              <w:rPr>
                <w:rFonts w:cs="Tahoma"/>
              </w:rPr>
            </w:pPr>
            <w:r w:rsidRPr="00C05E86">
              <w:rPr>
                <w:rFonts w:cs="Tahoma"/>
              </w:rPr>
              <w:t>Brick building &gt;5 floors or monolithic building</w:t>
            </w:r>
          </w:p>
        </w:tc>
      </w:tr>
      <w:tr w:rsidR="009F2574" w:rsidRPr="00C05E86" w14:paraId="5D5131BE" w14:textId="77777777" w:rsidTr="00CD3A09">
        <w:trPr>
          <w:trHeight w:val="724"/>
        </w:trPr>
        <w:tc>
          <w:tcPr>
            <w:tcW w:w="1538" w:type="dxa"/>
          </w:tcPr>
          <w:p w14:paraId="5A92BCE6" w14:textId="02A088C3" w:rsidR="009F2574" w:rsidRPr="00C05E86" w:rsidRDefault="00813D9F" w:rsidP="00C05E86">
            <w:pPr>
              <w:spacing w:before="120" w:after="120"/>
              <w:rPr>
                <w:rFonts w:cs="Tahoma"/>
              </w:rPr>
            </w:pPr>
            <w:r w:rsidRPr="00C05E86">
              <w:rPr>
                <w:rFonts w:cs="Tahoma"/>
              </w:rPr>
              <w:t>NMALLEC</w:t>
            </w:r>
          </w:p>
        </w:tc>
        <w:tc>
          <w:tcPr>
            <w:tcW w:w="2265" w:type="dxa"/>
            <w:vMerge w:val="restart"/>
            <w:vAlign w:val="center"/>
          </w:tcPr>
          <w:p w14:paraId="4A65A76F" w14:textId="2FC08726" w:rsidR="009F2574" w:rsidRPr="00C05E86" w:rsidRDefault="009F2574" w:rsidP="00C05E86">
            <w:pPr>
              <w:spacing w:before="120" w:after="120"/>
              <w:rPr>
                <w:rFonts w:cs="Tahoma"/>
              </w:rPr>
            </w:pPr>
            <w:proofErr w:type="spellStart"/>
            <w:r w:rsidRPr="00C05E86">
              <w:rPr>
                <w:rFonts w:cs="Tahoma"/>
              </w:rPr>
              <w:t>Novomoskovsky</w:t>
            </w:r>
            <w:proofErr w:type="spellEnd"/>
          </w:p>
        </w:tc>
        <w:tc>
          <w:tcPr>
            <w:tcW w:w="3285" w:type="dxa"/>
            <w:vMerge w:val="restart"/>
            <w:vAlign w:val="center"/>
          </w:tcPr>
          <w:p w14:paraId="38D52C09" w14:textId="5A8FA337" w:rsidR="009F2574" w:rsidRPr="00C05E86" w:rsidRDefault="009F2574" w:rsidP="00C05E86">
            <w:pPr>
              <w:spacing w:before="120" w:after="120"/>
              <w:rPr>
                <w:rFonts w:cs="Tahoma"/>
              </w:rPr>
            </w:pPr>
            <w:r w:rsidRPr="00C05E86">
              <w:rPr>
                <w:rFonts w:cs="Tahoma"/>
              </w:rPr>
              <w:t>-</w:t>
            </w:r>
          </w:p>
        </w:tc>
        <w:tc>
          <w:tcPr>
            <w:tcW w:w="3686" w:type="dxa"/>
          </w:tcPr>
          <w:p w14:paraId="65071F86" w14:textId="4CCB66D6" w:rsidR="009F2574" w:rsidRPr="00C05E86" w:rsidRDefault="009F2574" w:rsidP="00C05E86">
            <w:pPr>
              <w:spacing w:before="120" w:after="120"/>
              <w:rPr>
                <w:rFonts w:cs="Tahoma"/>
              </w:rPr>
            </w:pPr>
            <w:r w:rsidRPr="00C05E86">
              <w:rPr>
                <w:rFonts w:cs="Tahoma"/>
              </w:rPr>
              <w:t>Brick building ≤5 floors or panel building</w:t>
            </w:r>
          </w:p>
        </w:tc>
      </w:tr>
      <w:tr w:rsidR="009F2574" w:rsidRPr="00C05E86" w14:paraId="69475DAC" w14:textId="77777777" w:rsidTr="00265F5A">
        <w:trPr>
          <w:trHeight w:val="724"/>
        </w:trPr>
        <w:tc>
          <w:tcPr>
            <w:tcW w:w="1538" w:type="dxa"/>
          </w:tcPr>
          <w:p w14:paraId="0877A639" w14:textId="7BC9A6C6" w:rsidR="009F2574" w:rsidRPr="00C05E86" w:rsidRDefault="00813D9F" w:rsidP="00C05E86">
            <w:pPr>
              <w:spacing w:before="120" w:after="120"/>
              <w:rPr>
                <w:rFonts w:cs="Tahoma"/>
              </w:rPr>
            </w:pPr>
            <w:r w:rsidRPr="00C05E86">
              <w:rPr>
                <w:rFonts w:cs="Tahoma"/>
              </w:rPr>
              <w:t>NMALLCM</w:t>
            </w:r>
          </w:p>
        </w:tc>
        <w:tc>
          <w:tcPr>
            <w:tcW w:w="2265" w:type="dxa"/>
            <w:vMerge/>
          </w:tcPr>
          <w:p w14:paraId="713084C3" w14:textId="77777777" w:rsidR="009F2574" w:rsidRPr="00C05E86" w:rsidRDefault="009F2574" w:rsidP="00C05E86">
            <w:pPr>
              <w:spacing w:before="120" w:after="120"/>
              <w:rPr>
                <w:rFonts w:cs="Tahoma"/>
              </w:rPr>
            </w:pPr>
          </w:p>
        </w:tc>
        <w:tc>
          <w:tcPr>
            <w:tcW w:w="3285" w:type="dxa"/>
            <w:vMerge/>
          </w:tcPr>
          <w:p w14:paraId="2E240DEA" w14:textId="77777777" w:rsidR="009F2574" w:rsidRPr="00C05E86" w:rsidRDefault="009F2574" w:rsidP="00C05E86">
            <w:pPr>
              <w:spacing w:before="120" w:after="120"/>
              <w:rPr>
                <w:rFonts w:cs="Tahoma"/>
              </w:rPr>
            </w:pPr>
          </w:p>
        </w:tc>
        <w:tc>
          <w:tcPr>
            <w:tcW w:w="3686" w:type="dxa"/>
          </w:tcPr>
          <w:p w14:paraId="6D62258C" w14:textId="36C31A99" w:rsidR="009F2574" w:rsidRPr="00C05E86" w:rsidRDefault="00782EDC" w:rsidP="00C05E86">
            <w:pPr>
              <w:spacing w:before="120" w:after="120"/>
              <w:rPr>
                <w:rFonts w:cs="Tahoma"/>
              </w:rPr>
            </w:pPr>
            <w:r w:rsidRPr="00C05E86">
              <w:rPr>
                <w:rFonts w:cs="Tahoma"/>
              </w:rPr>
              <w:t>Brick building &gt;5 floors or monolithic building</w:t>
            </w:r>
          </w:p>
        </w:tc>
      </w:tr>
    </w:tbl>
    <w:p w14:paraId="2E41D9B4" w14:textId="77777777" w:rsidR="00B358FD" w:rsidRPr="00C05E86" w:rsidRDefault="00B358FD" w:rsidP="00C05E86">
      <w:pPr>
        <w:spacing w:before="120" w:after="120"/>
        <w:jc w:val="right"/>
        <w:rPr>
          <w:rFonts w:cs="Tahoma"/>
        </w:rPr>
      </w:pPr>
    </w:p>
    <w:p w14:paraId="157BA444" w14:textId="77777777" w:rsidR="00FC3B35" w:rsidRPr="00C05E86" w:rsidRDefault="00FC3B35" w:rsidP="00C05E86">
      <w:pPr>
        <w:spacing w:before="120" w:after="120"/>
        <w:jc w:val="right"/>
        <w:rPr>
          <w:rFonts w:cs="Tahoma"/>
        </w:rPr>
      </w:pPr>
    </w:p>
    <w:sectPr w:rsidR="00FC3B35" w:rsidRPr="00C05E86"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3256B" w14:textId="77777777" w:rsidR="001F5923" w:rsidRDefault="001F5923">
      <w:r>
        <w:separator/>
      </w:r>
    </w:p>
    <w:p w14:paraId="27DF5E20" w14:textId="77777777" w:rsidR="001F5923" w:rsidRDefault="001F5923"/>
    <w:p w14:paraId="3F2ACCD0" w14:textId="77777777" w:rsidR="001F5923" w:rsidRDefault="001F5923" w:rsidP="00AF15EE">
      <w:pPr>
        <w:numPr>
          <w:ilvl w:val="2"/>
          <w:numId w:val="1"/>
        </w:numPr>
      </w:pPr>
    </w:p>
  </w:endnote>
  <w:endnote w:type="continuationSeparator" w:id="0">
    <w:p w14:paraId="68619A56" w14:textId="77777777" w:rsidR="001F5923" w:rsidRDefault="001F5923">
      <w:r>
        <w:continuationSeparator/>
      </w:r>
    </w:p>
    <w:p w14:paraId="036AD094" w14:textId="77777777" w:rsidR="001F5923" w:rsidRDefault="001F5923"/>
    <w:p w14:paraId="33D0707E" w14:textId="77777777" w:rsidR="001F5923" w:rsidRDefault="001F5923" w:rsidP="00AF15EE">
      <w:pPr>
        <w:numPr>
          <w:ilvl w:val="2"/>
          <w:numId w:val="1"/>
        </w:numPr>
      </w:pPr>
    </w:p>
  </w:endnote>
  <w:endnote w:type="continuationNotice" w:id="1">
    <w:p w14:paraId="4C9A19A5" w14:textId="77777777" w:rsidR="001F5923" w:rsidRDefault="001F5923"/>
    <w:p w14:paraId="4ED6BFC8" w14:textId="77777777" w:rsidR="001F5923" w:rsidRDefault="001F5923"/>
    <w:p w14:paraId="1F884AA1" w14:textId="77777777" w:rsidR="001F5923" w:rsidRDefault="001F5923"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075FFE" w:rsidRDefault="00075FFE"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075FFE" w:rsidRDefault="00075FFE"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075FFE" w:rsidRPr="006D19CD" w:rsidRDefault="00075FFE"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075FFE" w:rsidRDefault="00075FFE"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075FFE" w:rsidRDefault="00075FFE"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075FFE" w:rsidRDefault="00075FFE"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6652119" w:rsidR="00075FFE" w:rsidRPr="006D19CD" w:rsidRDefault="00075FFE"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sidR="007D18FA">
      <w:rPr>
        <w:rStyle w:val="ab"/>
        <w:rFonts w:ascii="Arial" w:hAnsi="Arial" w:cs="Arial"/>
      </w:rPr>
      <w:t>8</w:t>
    </w:r>
    <w:r w:rsidRPr="006D19CD">
      <w:rPr>
        <w:rStyle w:val="ab"/>
        <w:rFonts w:ascii="Arial" w:hAnsi="Arial" w:cs="Arial"/>
      </w:rPr>
      <w:fldChar w:fldCharType="end"/>
    </w:r>
  </w:p>
  <w:p w14:paraId="60C61560" w14:textId="77777777" w:rsidR="00075FFE" w:rsidRDefault="00075FFE"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25187F35" w:rsidR="00075FFE" w:rsidRPr="00B21DBA" w:rsidRDefault="00075FFE"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sidR="007D18FA">
      <w:rPr>
        <w:rStyle w:val="ab"/>
        <w:rFonts w:ascii="Arial" w:hAnsi="Arial" w:cs="Arial"/>
      </w:rPr>
      <w:t>2</w:t>
    </w:r>
    <w:r w:rsidRPr="00B21DBA">
      <w:rPr>
        <w:rStyle w:val="ab"/>
        <w:rFonts w:ascii="Arial" w:hAnsi="Arial" w:cs="Arial"/>
      </w:rPr>
      <w:fldChar w:fldCharType="end"/>
    </w:r>
  </w:p>
  <w:p w14:paraId="47DA482F" w14:textId="77777777" w:rsidR="00075FFE" w:rsidRDefault="00075FFE"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A0FD5" w14:textId="77777777" w:rsidR="001F5923" w:rsidRDefault="001F5923">
      <w:r>
        <w:separator/>
      </w:r>
    </w:p>
    <w:p w14:paraId="668E312C" w14:textId="77777777" w:rsidR="001F5923" w:rsidRDefault="001F5923"/>
    <w:p w14:paraId="78015A2B" w14:textId="77777777" w:rsidR="001F5923" w:rsidRDefault="001F5923" w:rsidP="00AF15EE">
      <w:pPr>
        <w:numPr>
          <w:ilvl w:val="2"/>
          <w:numId w:val="1"/>
        </w:numPr>
      </w:pPr>
    </w:p>
  </w:footnote>
  <w:footnote w:type="continuationSeparator" w:id="0">
    <w:p w14:paraId="3302A1B6" w14:textId="77777777" w:rsidR="001F5923" w:rsidRDefault="001F5923">
      <w:r>
        <w:continuationSeparator/>
      </w:r>
    </w:p>
    <w:p w14:paraId="0702879B" w14:textId="77777777" w:rsidR="001F5923" w:rsidRDefault="001F5923"/>
    <w:p w14:paraId="0718F98A" w14:textId="77777777" w:rsidR="001F5923" w:rsidRDefault="001F5923" w:rsidP="00AF15EE">
      <w:pPr>
        <w:numPr>
          <w:ilvl w:val="2"/>
          <w:numId w:val="1"/>
        </w:numPr>
      </w:pPr>
    </w:p>
  </w:footnote>
  <w:footnote w:type="continuationNotice" w:id="1">
    <w:p w14:paraId="31D36A99" w14:textId="77777777" w:rsidR="001F5923" w:rsidRDefault="001F5923"/>
    <w:p w14:paraId="16AD418E" w14:textId="77777777" w:rsidR="001F5923" w:rsidRDefault="001F5923"/>
    <w:p w14:paraId="0FB8B37D" w14:textId="77777777" w:rsidR="001F5923" w:rsidRDefault="001F5923"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17B14E4"/>
    <w:multiLevelType w:val="multilevel"/>
    <w:tmpl w:val="AA7E339C"/>
    <w:numStyleLink w:val="3"/>
  </w:abstractNum>
  <w:abstractNum w:abstractNumId="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4"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5" w15:restartNumberingAfterBreak="0">
    <w:nsid w:val="39262354"/>
    <w:multiLevelType w:val="multilevel"/>
    <w:tmpl w:val="03F41A68"/>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bullet"/>
      <w:lvlText w:val=""/>
      <w:lvlJc w:val="left"/>
      <w:pPr>
        <w:ind w:left="1701" w:hanging="1134"/>
      </w:pPr>
      <w:rPr>
        <w:rFonts w:ascii="Symbol" w:hAnsi="Symbol"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AA7E339C"/>
    <w:numStyleLink w:val="3"/>
  </w:abstractNum>
  <w:abstractNum w:abstractNumId="7" w15:restartNumberingAfterBreak="0">
    <w:nsid w:val="6EC95E17"/>
    <w:multiLevelType w:val="hybridMultilevel"/>
    <w:tmpl w:val="3EFE2978"/>
    <w:lvl w:ilvl="0" w:tplc="C0040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3"/>
  </w:num>
  <w:num w:numId="3">
    <w:abstractNumId w:val="1"/>
  </w:num>
  <w:num w:numId="4">
    <w:abstractNumId w:val="0"/>
  </w:num>
  <w:num w:numId="5">
    <w:abstractNumId w:val="8"/>
  </w:num>
  <w:num w:numId="6">
    <w:abstractNumId w:val="4"/>
  </w:num>
  <w:num w:numId="7">
    <w:abstractNumId w:val="2"/>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38A"/>
    <w:rsid w:val="00013416"/>
    <w:rsid w:val="00013591"/>
    <w:rsid w:val="00013643"/>
    <w:rsid w:val="00014370"/>
    <w:rsid w:val="00014845"/>
    <w:rsid w:val="00014E31"/>
    <w:rsid w:val="00015099"/>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3CA4"/>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5CA2"/>
    <w:rsid w:val="00035F88"/>
    <w:rsid w:val="00036161"/>
    <w:rsid w:val="00036606"/>
    <w:rsid w:val="00036FBA"/>
    <w:rsid w:val="00037772"/>
    <w:rsid w:val="00037F81"/>
    <w:rsid w:val="00040096"/>
    <w:rsid w:val="000403B7"/>
    <w:rsid w:val="00040DBD"/>
    <w:rsid w:val="00040F10"/>
    <w:rsid w:val="00041783"/>
    <w:rsid w:val="00041BAD"/>
    <w:rsid w:val="0004241E"/>
    <w:rsid w:val="000424CB"/>
    <w:rsid w:val="000426EF"/>
    <w:rsid w:val="00042CA2"/>
    <w:rsid w:val="000436DE"/>
    <w:rsid w:val="000436F0"/>
    <w:rsid w:val="0004480F"/>
    <w:rsid w:val="00044C15"/>
    <w:rsid w:val="00044EB9"/>
    <w:rsid w:val="00045603"/>
    <w:rsid w:val="00045611"/>
    <w:rsid w:val="00045D5E"/>
    <w:rsid w:val="00047157"/>
    <w:rsid w:val="000476B3"/>
    <w:rsid w:val="00047C94"/>
    <w:rsid w:val="00047EAF"/>
    <w:rsid w:val="00050071"/>
    <w:rsid w:val="000501B8"/>
    <w:rsid w:val="000503C8"/>
    <w:rsid w:val="000504C8"/>
    <w:rsid w:val="00050707"/>
    <w:rsid w:val="000509C7"/>
    <w:rsid w:val="000516EF"/>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60117"/>
    <w:rsid w:val="00060B07"/>
    <w:rsid w:val="00061BC0"/>
    <w:rsid w:val="00061CDC"/>
    <w:rsid w:val="00061D41"/>
    <w:rsid w:val="00062D73"/>
    <w:rsid w:val="00062FF5"/>
    <w:rsid w:val="00063939"/>
    <w:rsid w:val="000647C9"/>
    <w:rsid w:val="00064D01"/>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44A2"/>
    <w:rsid w:val="00075293"/>
    <w:rsid w:val="00075ACB"/>
    <w:rsid w:val="00075FFE"/>
    <w:rsid w:val="00076644"/>
    <w:rsid w:val="00076956"/>
    <w:rsid w:val="00076C1D"/>
    <w:rsid w:val="00076D09"/>
    <w:rsid w:val="000779DD"/>
    <w:rsid w:val="00077A29"/>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A83"/>
    <w:rsid w:val="00086B7B"/>
    <w:rsid w:val="00086BDD"/>
    <w:rsid w:val="00087A16"/>
    <w:rsid w:val="00090308"/>
    <w:rsid w:val="000906E4"/>
    <w:rsid w:val="00090B65"/>
    <w:rsid w:val="00091191"/>
    <w:rsid w:val="000913A3"/>
    <w:rsid w:val="000917F2"/>
    <w:rsid w:val="00091813"/>
    <w:rsid w:val="00092AAF"/>
    <w:rsid w:val="00092D8B"/>
    <w:rsid w:val="000931B5"/>
    <w:rsid w:val="000931D7"/>
    <w:rsid w:val="0009352D"/>
    <w:rsid w:val="00093AB8"/>
    <w:rsid w:val="00093D87"/>
    <w:rsid w:val="00094086"/>
    <w:rsid w:val="00094427"/>
    <w:rsid w:val="0009447B"/>
    <w:rsid w:val="0009465F"/>
    <w:rsid w:val="000953B8"/>
    <w:rsid w:val="000956B4"/>
    <w:rsid w:val="000963A8"/>
    <w:rsid w:val="00096A43"/>
    <w:rsid w:val="00096B71"/>
    <w:rsid w:val="00097E08"/>
    <w:rsid w:val="00097ED3"/>
    <w:rsid w:val="00097F55"/>
    <w:rsid w:val="000A011A"/>
    <w:rsid w:val="000A0B1A"/>
    <w:rsid w:val="000A0FAE"/>
    <w:rsid w:val="000A1345"/>
    <w:rsid w:val="000A1E99"/>
    <w:rsid w:val="000A1F2E"/>
    <w:rsid w:val="000A2AE6"/>
    <w:rsid w:val="000A2E7A"/>
    <w:rsid w:val="000A3720"/>
    <w:rsid w:val="000A37C8"/>
    <w:rsid w:val="000A3E40"/>
    <w:rsid w:val="000A40DC"/>
    <w:rsid w:val="000A430C"/>
    <w:rsid w:val="000A4ACC"/>
    <w:rsid w:val="000A4E4D"/>
    <w:rsid w:val="000A534B"/>
    <w:rsid w:val="000A5364"/>
    <w:rsid w:val="000A566B"/>
    <w:rsid w:val="000A5803"/>
    <w:rsid w:val="000A5A11"/>
    <w:rsid w:val="000A5AAA"/>
    <w:rsid w:val="000A6293"/>
    <w:rsid w:val="000A6A8B"/>
    <w:rsid w:val="000A6C67"/>
    <w:rsid w:val="000A7EE3"/>
    <w:rsid w:val="000B00A4"/>
    <w:rsid w:val="000B11D5"/>
    <w:rsid w:val="000B1512"/>
    <w:rsid w:val="000B1E75"/>
    <w:rsid w:val="000B1FF5"/>
    <w:rsid w:val="000B2C65"/>
    <w:rsid w:val="000B425A"/>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49A"/>
    <w:rsid w:val="000C357E"/>
    <w:rsid w:val="000C373D"/>
    <w:rsid w:val="000C378F"/>
    <w:rsid w:val="000C3C68"/>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0BC"/>
    <w:rsid w:val="000E47DD"/>
    <w:rsid w:val="000E48CF"/>
    <w:rsid w:val="000E4CD8"/>
    <w:rsid w:val="000E50D7"/>
    <w:rsid w:val="000E5463"/>
    <w:rsid w:val="000E5682"/>
    <w:rsid w:val="000E617B"/>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3D44"/>
    <w:rsid w:val="000F467C"/>
    <w:rsid w:val="000F4CD4"/>
    <w:rsid w:val="000F5485"/>
    <w:rsid w:val="000F5C30"/>
    <w:rsid w:val="000F61D1"/>
    <w:rsid w:val="000F64BE"/>
    <w:rsid w:val="000F70FB"/>
    <w:rsid w:val="000F7D4E"/>
    <w:rsid w:val="000F7FE1"/>
    <w:rsid w:val="0010094A"/>
    <w:rsid w:val="0010132C"/>
    <w:rsid w:val="00101C6B"/>
    <w:rsid w:val="00102068"/>
    <w:rsid w:val="0010277F"/>
    <w:rsid w:val="001028D3"/>
    <w:rsid w:val="00103726"/>
    <w:rsid w:val="001037DA"/>
    <w:rsid w:val="00103B76"/>
    <w:rsid w:val="00103D61"/>
    <w:rsid w:val="00103E59"/>
    <w:rsid w:val="00104E49"/>
    <w:rsid w:val="00105CF2"/>
    <w:rsid w:val="00106C26"/>
    <w:rsid w:val="00106E61"/>
    <w:rsid w:val="00107441"/>
    <w:rsid w:val="001104E8"/>
    <w:rsid w:val="00110585"/>
    <w:rsid w:val="00110F5E"/>
    <w:rsid w:val="00110FC6"/>
    <w:rsid w:val="0011219F"/>
    <w:rsid w:val="00112495"/>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56D"/>
    <w:rsid w:val="001258DF"/>
    <w:rsid w:val="00125E61"/>
    <w:rsid w:val="0012650A"/>
    <w:rsid w:val="00126D95"/>
    <w:rsid w:val="00127280"/>
    <w:rsid w:val="001277FF"/>
    <w:rsid w:val="00130079"/>
    <w:rsid w:val="00130910"/>
    <w:rsid w:val="00130B87"/>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546"/>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382"/>
    <w:rsid w:val="001659CF"/>
    <w:rsid w:val="00165EB7"/>
    <w:rsid w:val="0016601B"/>
    <w:rsid w:val="00166B4C"/>
    <w:rsid w:val="001675A7"/>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2D3"/>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064B"/>
    <w:rsid w:val="00194559"/>
    <w:rsid w:val="0019457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1B4E"/>
    <w:rsid w:val="001B2381"/>
    <w:rsid w:val="001B33BC"/>
    <w:rsid w:val="001B366D"/>
    <w:rsid w:val="001B3EB2"/>
    <w:rsid w:val="001B4068"/>
    <w:rsid w:val="001B40EE"/>
    <w:rsid w:val="001B4583"/>
    <w:rsid w:val="001B5442"/>
    <w:rsid w:val="001B5531"/>
    <w:rsid w:val="001B5883"/>
    <w:rsid w:val="001B6254"/>
    <w:rsid w:val="001B6275"/>
    <w:rsid w:val="001B67FE"/>
    <w:rsid w:val="001B7A7D"/>
    <w:rsid w:val="001C008A"/>
    <w:rsid w:val="001C0143"/>
    <w:rsid w:val="001C0E5A"/>
    <w:rsid w:val="001C10BF"/>
    <w:rsid w:val="001C177A"/>
    <w:rsid w:val="001C17A5"/>
    <w:rsid w:val="001C1E3E"/>
    <w:rsid w:val="001C26E8"/>
    <w:rsid w:val="001C281E"/>
    <w:rsid w:val="001C3B67"/>
    <w:rsid w:val="001C3FA9"/>
    <w:rsid w:val="001C4800"/>
    <w:rsid w:val="001C4A61"/>
    <w:rsid w:val="001C4E07"/>
    <w:rsid w:val="001C5169"/>
    <w:rsid w:val="001C5B9F"/>
    <w:rsid w:val="001C63BF"/>
    <w:rsid w:val="001C652B"/>
    <w:rsid w:val="001C7496"/>
    <w:rsid w:val="001C79D2"/>
    <w:rsid w:val="001D0519"/>
    <w:rsid w:val="001D0B14"/>
    <w:rsid w:val="001D119D"/>
    <w:rsid w:val="001D1391"/>
    <w:rsid w:val="001D1641"/>
    <w:rsid w:val="001D1782"/>
    <w:rsid w:val="001D1A32"/>
    <w:rsid w:val="001D1B99"/>
    <w:rsid w:val="001D2032"/>
    <w:rsid w:val="001D2C80"/>
    <w:rsid w:val="001D2D05"/>
    <w:rsid w:val="001D3A1F"/>
    <w:rsid w:val="001D4037"/>
    <w:rsid w:val="001D4692"/>
    <w:rsid w:val="001D487A"/>
    <w:rsid w:val="001D4F69"/>
    <w:rsid w:val="001D514A"/>
    <w:rsid w:val="001D57A7"/>
    <w:rsid w:val="001D5DE3"/>
    <w:rsid w:val="001D683D"/>
    <w:rsid w:val="001D69C4"/>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200"/>
    <w:rsid w:val="001E6BFE"/>
    <w:rsid w:val="001E7594"/>
    <w:rsid w:val="001E76A6"/>
    <w:rsid w:val="001E7AB5"/>
    <w:rsid w:val="001F02B2"/>
    <w:rsid w:val="001F05FB"/>
    <w:rsid w:val="001F0784"/>
    <w:rsid w:val="001F0814"/>
    <w:rsid w:val="001F0A7A"/>
    <w:rsid w:val="001F10AC"/>
    <w:rsid w:val="001F15DF"/>
    <w:rsid w:val="001F1644"/>
    <w:rsid w:val="001F166D"/>
    <w:rsid w:val="001F16A0"/>
    <w:rsid w:val="001F17A0"/>
    <w:rsid w:val="001F1907"/>
    <w:rsid w:val="001F19E2"/>
    <w:rsid w:val="001F2041"/>
    <w:rsid w:val="001F246A"/>
    <w:rsid w:val="001F2B72"/>
    <w:rsid w:val="001F2CD0"/>
    <w:rsid w:val="001F2E9A"/>
    <w:rsid w:val="001F4224"/>
    <w:rsid w:val="001F57D1"/>
    <w:rsid w:val="001F5923"/>
    <w:rsid w:val="001F6712"/>
    <w:rsid w:val="001F69B5"/>
    <w:rsid w:val="001F7F0B"/>
    <w:rsid w:val="001F7F3C"/>
    <w:rsid w:val="00200696"/>
    <w:rsid w:val="00200768"/>
    <w:rsid w:val="0020092B"/>
    <w:rsid w:val="002009DB"/>
    <w:rsid w:val="00200A17"/>
    <w:rsid w:val="00201F2C"/>
    <w:rsid w:val="00202202"/>
    <w:rsid w:val="002027E3"/>
    <w:rsid w:val="00202804"/>
    <w:rsid w:val="00202A7C"/>
    <w:rsid w:val="0020328C"/>
    <w:rsid w:val="00203334"/>
    <w:rsid w:val="00204062"/>
    <w:rsid w:val="00204C78"/>
    <w:rsid w:val="00204C7C"/>
    <w:rsid w:val="00204D50"/>
    <w:rsid w:val="00204DA2"/>
    <w:rsid w:val="00205F41"/>
    <w:rsid w:val="0020633E"/>
    <w:rsid w:val="002075C6"/>
    <w:rsid w:val="00207D2B"/>
    <w:rsid w:val="002102F1"/>
    <w:rsid w:val="0021070D"/>
    <w:rsid w:val="00210B1B"/>
    <w:rsid w:val="00210FD1"/>
    <w:rsid w:val="002111AE"/>
    <w:rsid w:val="0021125A"/>
    <w:rsid w:val="0021166E"/>
    <w:rsid w:val="002116C9"/>
    <w:rsid w:val="002116FF"/>
    <w:rsid w:val="00211794"/>
    <w:rsid w:val="00211905"/>
    <w:rsid w:val="00211FAD"/>
    <w:rsid w:val="00212E12"/>
    <w:rsid w:val="0021315D"/>
    <w:rsid w:val="002134EF"/>
    <w:rsid w:val="00213637"/>
    <w:rsid w:val="00213AE1"/>
    <w:rsid w:val="00213E49"/>
    <w:rsid w:val="00214BD8"/>
    <w:rsid w:val="00215009"/>
    <w:rsid w:val="0021500F"/>
    <w:rsid w:val="002154C7"/>
    <w:rsid w:val="00216396"/>
    <w:rsid w:val="0021697A"/>
    <w:rsid w:val="00216AE2"/>
    <w:rsid w:val="00220F0C"/>
    <w:rsid w:val="00221585"/>
    <w:rsid w:val="002221B1"/>
    <w:rsid w:val="00222452"/>
    <w:rsid w:val="00222570"/>
    <w:rsid w:val="00222C01"/>
    <w:rsid w:val="00223229"/>
    <w:rsid w:val="002232C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0489"/>
    <w:rsid w:val="00242AEE"/>
    <w:rsid w:val="00242B24"/>
    <w:rsid w:val="00242E65"/>
    <w:rsid w:val="00244335"/>
    <w:rsid w:val="00244757"/>
    <w:rsid w:val="00244AE4"/>
    <w:rsid w:val="00244DD1"/>
    <w:rsid w:val="00245357"/>
    <w:rsid w:val="00245B58"/>
    <w:rsid w:val="00245C9E"/>
    <w:rsid w:val="00245D05"/>
    <w:rsid w:val="002460D6"/>
    <w:rsid w:val="00246B3D"/>
    <w:rsid w:val="00246BC9"/>
    <w:rsid w:val="00247E62"/>
    <w:rsid w:val="00250DD1"/>
    <w:rsid w:val="0025100F"/>
    <w:rsid w:val="0025174F"/>
    <w:rsid w:val="00251E4B"/>
    <w:rsid w:val="00252310"/>
    <w:rsid w:val="002532CE"/>
    <w:rsid w:val="0025341E"/>
    <w:rsid w:val="00254481"/>
    <w:rsid w:val="002545D3"/>
    <w:rsid w:val="002553EF"/>
    <w:rsid w:val="0025576D"/>
    <w:rsid w:val="00255EE3"/>
    <w:rsid w:val="002567CF"/>
    <w:rsid w:val="00257028"/>
    <w:rsid w:val="00257560"/>
    <w:rsid w:val="002577DF"/>
    <w:rsid w:val="0026001D"/>
    <w:rsid w:val="002603BA"/>
    <w:rsid w:val="002606AA"/>
    <w:rsid w:val="002616A9"/>
    <w:rsid w:val="00261D49"/>
    <w:rsid w:val="002621C0"/>
    <w:rsid w:val="00262429"/>
    <w:rsid w:val="002629D6"/>
    <w:rsid w:val="00262B1F"/>
    <w:rsid w:val="00262DB5"/>
    <w:rsid w:val="00263034"/>
    <w:rsid w:val="00263325"/>
    <w:rsid w:val="00263568"/>
    <w:rsid w:val="002640AE"/>
    <w:rsid w:val="002640C4"/>
    <w:rsid w:val="00264D9D"/>
    <w:rsid w:val="002656A8"/>
    <w:rsid w:val="00265C38"/>
    <w:rsid w:val="00265C4F"/>
    <w:rsid w:val="00265D65"/>
    <w:rsid w:val="00265E60"/>
    <w:rsid w:val="00265EDE"/>
    <w:rsid w:val="00265F5A"/>
    <w:rsid w:val="002670B0"/>
    <w:rsid w:val="0026720C"/>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3D3"/>
    <w:rsid w:val="00280B23"/>
    <w:rsid w:val="002814EC"/>
    <w:rsid w:val="00281C6F"/>
    <w:rsid w:val="00281FC0"/>
    <w:rsid w:val="00282A1A"/>
    <w:rsid w:val="00282BBB"/>
    <w:rsid w:val="00283E0E"/>
    <w:rsid w:val="002847D5"/>
    <w:rsid w:val="0028554A"/>
    <w:rsid w:val="002856A2"/>
    <w:rsid w:val="00286030"/>
    <w:rsid w:val="0028633F"/>
    <w:rsid w:val="0028654A"/>
    <w:rsid w:val="00286ADB"/>
    <w:rsid w:val="00286B4D"/>
    <w:rsid w:val="00290135"/>
    <w:rsid w:val="002919E4"/>
    <w:rsid w:val="00292196"/>
    <w:rsid w:val="00293FCA"/>
    <w:rsid w:val="0029414F"/>
    <w:rsid w:val="00294446"/>
    <w:rsid w:val="00294735"/>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CA3"/>
    <w:rsid w:val="002A267B"/>
    <w:rsid w:val="002A2FA7"/>
    <w:rsid w:val="002A2FEA"/>
    <w:rsid w:val="002A363B"/>
    <w:rsid w:val="002A37FB"/>
    <w:rsid w:val="002A3819"/>
    <w:rsid w:val="002A3B5F"/>
    <w:rsid w:val="002A40DF"/>
    <w:rsid w:val="002A4620"/>
    <w:rsid w:val="002A4829"/>
    <w:rsid w:val="002A4E18"/>
    <w:rsid w:val="002A55C8"/>
    <w:rsid w:val="002A582B"/>
    <w:rsid w:val="002A5850"/>
    <w:rsid w:val="002A5881"/>
    <w:rsid w:val="002A5FFB"/>
    <w:rsid w:val="002A6ACD"/>
    <w:rsid w:val="002A70D6"/>
    <w:rsid w:val="002A725F"/>
    <w:rsid w:val="002A7757"/>
    <w:rsid w:val="002A797A"/>
    <w:rsid w:val="002B1004"/>
    <w:rsid w:val="002B1ED5"/>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5D9"/>
    <w:rsid w:val="002B6C14"/>
    <w:rsid w:val="002B6F0F"/>
    <w:rsid w:val="002B6F3A"/>
    <w:rsid w:val="002B726E"/>
    <w:rsid w:val="002B76BC"/>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0959"/>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237"/>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0B1F"/>
    <w:rsid w:val="00301E3B"/>
    <w:rsid w:val="003022B1"/>
    <w:rsid w:val="00302843"/>
    <w:rsid w:val="00302D4B"/>
    <w:rsid w:val="00303946"/>
    <w:rsid w:val="003043E7"/>
    <w:rsid w:val="00304689"/>
    <w:rsid w:val="00304C43"/>
    <w:rsid w:val="00304F8A"/>
    <w:rsid w:val="0030540D"/>
    <w:rsid w:val="00305713"/>
    <w:rsid w:val="003057F6"/>
    <w:rsid w:val="003058C9"/>
    <w:rsid w:val="00305A98"/>
    <w:rsid w:val="00305B50"/>
    <w:rsid w:val="00305D0B"/>
    <w:rsid w:val="00305D11"/>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2FD6"/>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08B"/>
    <w:rsid w:val="00325AE5"/>
    <w:rsid w:val="003266E8"/>
    <w:rsid w:val="003268C5"/>
    <w:rsid w:val="00326D6C"/>
    <w:rsid w:val="00326D79"/>
    <w:rsid w:val="00326DCF"/>
    <w:rsid w:val="00327A2D"/>
    <w:rsid w:val="00330392"/>
    <w:rsid w:val="00330611"/>
    <w:rsid w:val="0033164A"/>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88"/>
    <w:rsid w:val="003372D0"/>
    <w:rsid w:val="003402B9"/>
    <w:rsid w:val="00340396"/>
    <w:rsid w:val="00340BEE"/>
    <w:rsid w:val="003417E8"/>
    <w:rsid w:val="003420AD"/>
    <w:rsid w:val="003421A3"/>
    <w:rsid w:val="00342F5B"/>
    <w:rsid w:val="00343691"/>
    <w:rsid w:val="00343709"/>
    <w:rsid w:val="00343A58"/>
    <w:rsid w:val="00343CFA"/>
    <w:rsid w:val="00344D88"/>
    <w:rsid w:val="0034625D"/>
    <w:rsid w:val="00346564"/>
    <w:rsid w:val="00346591"/>
    <w:rsid w:val="003465FE"/>
    <w:rsid w:val="00346A13"/>
    <w:rsid w:val="00347131"/>
    <w:rsid w:val="0034717B"/>
    <w:rsid w:val="00347EC4"/>
    <w:rsid w:val="0035014B"/>
    <w:rsid w:val="00350191"/>
    <w:rsid w:val="003503BF"/>
    <w:rsid w:val="003507B3"/>
    <w:rsid w:val="003515C0"/>
    <w:rsid w:val="00351774"/>
    <w:rsid w:val="00351961"/>
    <w:rsid w:val="0035239F"/>
    <w:rsid w:val="00352AF1"/>
    <w:rsid w:val="00352F2B"/>
    <w:rsid w:val="003532F1"/>
    <w:rsid w:val="00353402"/>
    <w:rsid w:val="00353EE0"/>
    <w:rsid w:val="00354830"/>
    <w:rsid w:val="00354EE2"/>
    <w:rsid w:val="0035663B"/>
    <w:rsid w:val="00356B94"/>
    <w:rsid w:val="00356C0B"/>
    <w:rsid w:val="00357610"/>
    <w:rsid w:val="003576A0"/>
    <w:rsid w:val="00357CE7"/>
    <w:rsid w:val="00357E1E"/>
    <w:rsid w:val="003604AC"/>
    <w:rsid w:val="00360D26"/>
    <w:rsid w:val="00361019"/>
    <w:rsid w:val="00361919"/>
    <w:rsid w:val="00362161"/>
    <w:rsid w:val="00362968"/>
    <w:rsid w:val="00362AC4"/>
    <w:rsid w:val="00362BE1"/>
    <w:rsid w:val="0036322E"/>
    <w:rsid w:val="0036328D"/>
    <w:rsid w:val="0036345B"/>
    <w:rsid w:val="00364266"/>
    <w:rsid w:val="00364453"/>
    <w:rsid w:val="003645DC"/>
    <w:rsid w:val="00364BE2"/>
    <w:rsid w:val="00364DD7"/>
    <w:rsid w:val="003651D8"/>
    <w:rsid w:val="00366435"/>
    <w:rsid w:val="0036650E"/>
    <w:rsid w:val="003665B9"/>
    <w:rsid w:val="0036771D"/>
    <w:rsid w:val="003679C4"/>
    <w:rsid w:val="00367E9B"/>
    <w:rsid w:val="00370051"/>
    <w:rsid w:val="00370BE1"/>
    <w:rsid w:val="00370C8B"/>
    <w:rsid w:val="0037112F"/>
    <w:rsid w:val="00371297"/>
    <w:rsid w:val="0037156B"/>
    <w:rsid w:val="00371595"/>
    <w:rsid w:val="003716D6"/>
    <w:rsid w:val="00371BCD"/>
    <w:rsid w:val="003720CB"/>
    <w:rsid w:val="0037291A"/>
    <w:rsid w:val="00372A22"/>
    <w:rsid w:val="00372AFF"/>
    <w:rsid w:val="00372D48"/>
    <w:rsid w:val="003730A7"/>
    <w:rsid w:val="00373308"/>
    <w:rsid w:val="00373B28"/>
    <w:rsid w:val="00373ED1"/>
    <w:rsid w:val="003744B1"/>
    <w:rsid w:val="0037527F"/>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06A"/>
    <w:rsid w:val="003822ED"/>
    <w:rsid w:val="003823AD"/>
    <w:rsid w:val="00382C6A"/>
    <w:rsid w:val="003832B6"/>
    <w:rsid w:val="00383451"/>
    <w:rsid w:val="00383F6C"/>
    <w:rsid w:val="00384355"/>
    <w:rsid w:val="00384DA6"/>
    <w:rsid w:val="00384DF8"/>
    <w:rsid w:val="00385190"/>
    <w:rsid w:val="00385E93"/>
    <w:rsid w:val="00386BD5"/>
    <w:rsid w:val="00387455"/>
    <w:rsid w:val="00387735"/>
    <w:rsid w:val="003878E6"/>
    <w:rsid w:val="00390D92"/>
    <w:rsid w:val="00390FBE"/>
    <w:rsid w:val="003911D5"/>
    <w:rsid w:val="003915AE"/>
    <w:rsid w:val="00391738"/>
    <w:rsid w:val="0039187E"/>
    <w:rsid w:val="00391E73"/>
    <w:rsid w:val="00392100"/>
    <w:rsid w:val="0039224F"/>
    <w:rsid w:val="00392390"/>
    <w:rsid w:val="00392682"/>
    <w:rsid w:val="003949E5"/>
    <w:rsid w:val="00394B4B"/>
    <w:rsid w:val="003953A5"/>
    <w:rsid w:val="00395852"/>
    <w:rsid w:val="00395E30"/>
    <w:rsid w:val="0039603C"/>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180"/>
    <w:rsid w:val="003A4FD0"/>
    <w:rsid w:val="003A5195"/>
    <w:rsid w:val="003A6B56"/>
    <w:rsid w:val="003A6F72"/>
    <w:rsid w:val="003A70DC"/>
    <w:rsid w:val="003A7A3C"/>
    <w:rsid w:val="003A7DE4"/>
    <w:rsid w:val="003B09FE"/>
    <w:rsid w:val="003B0EA1"/>
    <w:rsid w:val="003B230C"/>
    <w:rsid w:val="003B244D"/>
    <w:rsid w:val="003B327F"/>
    <w:rsid w:val="003B3FA6"/>
    <w:rsid w:val="003B4354"/>
    <w:rsid w:val="003B5133"/>
    <w:rsid w:val="003B562A"/>
    <w:rsid w:val="003B5746"/>
    <w:rsid w:val="003B5E7B"/>
    <w:rsid w:val="003B63DB"/>
    <w:rsid w:val="003B65F7"/>
    <w:rsid w:val="003B67E1"/>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D0084"/>
    <w:rsid w:val="003D05E8"/>
    <w:rsid w:val="003D0A4B"/>
    <w:rsid w:val="003D140E"/>
    <w:rsid w:val="003D325D"/>
    <w:rsid w:val="003D3AF4"/>
    <w:rsid w:val="003D42FD"/>
    <w:rsid w:val="003D44BE"/>
    <w:rsid w:val="003D5109"/>
    <w:rsid w:val="003D55D0"/>
    <w:rsid w:val="003D5BB1"/>
    <w:rsid w:val="003D64B2"/>
    <w:rsid w:val="003D67F8"/>
    <w:rsid w:val="003D692F"/>
    <w:rsid w:val="003D70F8"/>
    <w:rsid w:val="003D74CA"/>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47"/>
    <w:rsid w:val="003E4C3A"/>
    <w:rsid w:val="003E51EC"/>
    <w:rsid w:val="003E5368"/>
    <w:rsid w:val="003E5FEC"/>
    <w:rsid w:val="003E6244"/>
    <w:rsid w:val="003E6460"/>
    <w:rsid w:val="003E6AB8"/>
    <w:rsid w:val="003E7F5A"/>
    <w:rsid w:val="003F090A"/>
    <w:rsid w:val="003F144F"/>
    <w:rsid w:val="003F178B"/>
    <w:rsid w:val="003F1BB5"/>
    <w:rsid w:val="003F24A5"/>
    <w:rsid w:val="003F27BB"/>
    <w:rsid w:val="003F4325"/>
    <w:rsid w:val="003F43D5"/>
    <w:rsid w:val="003F488C"/>
    <w:rsid w:val="003F58AA"/>
    <w:rsid w:val="003F5945"/>
    <w:rsid w:val="003F5A43"/>
    <w:rsid w:val="003F6D59"/>
    <w:rsid w:val="003F6E41"/>
    <w:rsid w:val="003F72E3"/>
    <w:rsid w:val="003F79DC"/>
    <w:rsid w:val="003F7F6A"/>
    <w:rsid w:val="00400919"/>
    <w:rsid w:val="00400BA9"/>
    <w:rsid w:val="00400EF6"/>
    <w:rsid w:val="0040101A"/>
    <w:rsid w:val="00401026"/>
    <w:rsid w:val="00401661"/>
    <w:rsid w:val="00401B0A"/>
    <w:rsid w:val="00401D0F"/>
    <w:rsid w:val="004020E5"/>
    <w:rsid w:val="004029D2"/>
    <w:rsid w:val="004032A5"/>
    <w:rsid w:val="004035DB"/>
    <w:rsid w:val="00403881"/>
    <w:rsid w:val="00403A4E"/>
    <w:rsid w:val="00403AD8"/>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1739"/>
    <w:rsid w:val="004120A5"/>
    <w:rsid w:val="00412833"/>
    <w:rsid w:val="00412BF1"/>
    <w:rsid w:val="00412CEB"/>
    <w:rsid w:val="00412D99"/>
    <w:rsid w:val="004145E5"/>
    <w:rsid w:val="00415E7B"/>
    <w:rsid w:val="00416006"/>
    <w:rsid w:val="004165A9"/>
    <w:rsid w:val="0041739D"/>
    <w:rsid w:val="00417A2D"/>
    <w:rsid w:val="00420647"/>
    <w:rsid w:val="00421096"/>
    <w:rsid w:val="00421445"/>
    <w:rsid w:val="00421716"/>
    <w:rsid w:val="00422188"/>
    <w:rsid w:val="004227ED"/>
    <w:rsid w:val="00422B4D"/>
    <w:rsid w:val="00422E0C"/>
    <w:rsid w:val="004230BD"/>
    <w:rsid w:val="004232E8"/>
    <w:rsid w:val="00423E45"/>
    <w:rsid w:val="00424D1A"/>
    <w:rsid w:val="00424ECB"/>
    <w:rsid w:val="004251C0"/>
    <w:rsid w:val="004252FF"/>
    <w:rsid w:val="0042569A"/>
    <w:rsid w:val="00425D7A"/>
    <w:rsid w:val="00426C32"/>
    <w:rsid w:val="004277E5"/>
    <w:rsid w:val="0043094C"/>
    <w:rsid w:val="00430BD4"/>
    <w:rsid w:val="00430EE4"/>
    <w:rsid w:val="00431AE9"/>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5D3"/>
    <w:rsid w:val="00444BA1"/>
    <w:rsid w:val="00444ECC"/>
    <w:rsid w:val="00445342"/>
    <w:rsid w:val="004458AC"/>
    <w:rsid w:val="00445C4A"/>
    <w:rsid w:val="00445DF1"/>
    <w:rsid w:val="00446316"/>
    <w:rsid w:val="004465DD"/>
    <w:rsid w:val="004479ED"/>
    <w:rsid w:val="00447CB3"/>
    <w:rsid w:val="00447CBD"/>
    <w:rsid w:val="00447D25"/>
    <w:rsid w:val="00447FAA"/>
    <w:rsid w:val="004506C1"/>
    <w:rsid w:val="004509C4"/>
    <w:rsid w:val="00450E1D"/>
    <w:rsid w:val="0045143C"/>
    <w:rsid w:val="00451A98"/>
    <w:rsid w:val="00451EAE"/>
    <w:rsid w:val="004521A4"/>
    <w:rsid w:val="0045247E"/>
    <w:rsid w:val="004528D4"/>
    <w:rsid w:val="00452C39"/>
    <w:rsid w:val="00452C8E"/>
    <w:rsid w:val="00453430"/>
    <w:rsid w:val="00453785"/>
    <w:rsid w:val="00453C96"/>
    <w:rsid w:val="004541D7"/>
    <w:rsid w:val="0045528C"/>
    <w:rsid w:val="00456261"/>
    <w:rsid w:val="00456542"/>
    <w:rsid w:val="0045681F"/>
    <w:rsid w:val="00456A61"/>
    <w:rsid w:val="0045744F"/>
    <w:rsid w:val="004574BE"/>
    <w:rsid w:val="00457936"/>
    <w:rsid w:val="00457A28"/>
    <w:rsid w:val="0046006F"/>
    <w:rsid w:val="00460F68"/>
    <w:rsid w:val="0046133B"/>
    <w:rsid w:val="00461597"/>
    <w:rsid w:val="00461719"/>
    <w:rsid w:val="0046272A"/>
    <w:rsid w:val="004631EA"/>
    <w:rsid w:val="00463DF8"/>
    <w:rsid w:val="00464A43"/>
    <w:rsid w:val="00464BD6"/>
    <w:rsid w:val="00465106"/>
    <w:rsid w:val="00465629"/>
    <w:rsid w:val="0046574D"/>
    <w:rsid w:val="00465780"/>
    <w:rsid w:val="00465A06"/>
    <w:rsid w:val="004663F9"/>
    <w:rsid w:val="00466FC1"/>
    <w:rsid w:val="00467C32"/>
    <w:rsid w:val="00470B07"/>
    <w:rsid w:val="00470EF1"/>
    <w:rsid w:val="00471392"/>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895"/>
    <w:rsid w:val="0049061A"/>
    <w:rsid w:val="00490956"/>
    <w:rsid w:val="004909A3"/>
    <w:rsid w:val="004912AA"/>
    <w:rsid w:val="00491E68"/>
    <w:rsid w:val="004929C1"/>
    <w:rsid w:val="004929D8"/>
    <w:rsid w:val="0049351D"/>
    <w:rsid w:val="00493755"/>
    <w:rsid w:val="00493D92"/>
    <w:rsid w:val="00493E00"/>
    <w:rsid w:val="004948AA"/>
    <w:rsid w:val="00494A56"/>
    <w:rsid w:val="00495419"/>
    <w:rsid w:val="00495F0B"/>
    <w:rsid w:val="00496811"/>
    <w:rsid w:val="00496CCA"/>
    <w:rsid w:val="00496D37"/>
    <w:rsid w:val="00496FD6"/>
    <w:rsid w:val="00497BE2"/>
    <w:rsid w:val="004A0BAD"/>
    <w:rsid w:val="004A127F"/>
    <w:rsid w:val="004A13C5"/>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C61"/>
    <w:rsid w:val="004B7EE1"/>
    <w:rsid w:val="004C0385"/>
    <w:rsid w:val="004C1116"/>
    <w:rsid w:val="004C1346"/>
    <w:rsid w:val="004C170A"/>
    <w:rsid w:val="004C1960"/>
    <w:rsid w:val="004C1AFB"/>
    <w:rsid w:val="004C1FAE"/>
    <w:rsid w:val="004C20C3"/>
    <w:rsid w:val="004C2FA4"/>
    <w:rsid w:val="004C328F"/>
    <w:rsid w:val="004C3678"/>
    <w:rsid w:val="004C3C17"/>
    <w:rsid w:val="004C3EBF"/>
    <w:rsid w:val="004C428F"/>
    <w:rsid w:val="004C48EA"/>
    <w:rsid w:val="004C53C1"/>
    <w:rsid w:val="004C5653"/>
    <w:rsid w:val="004C5DCA"/>
    <w:rsid w:val="004C5FBD"/>
    <w:rsid w:val="004C7117"/>
    <w:rsid w:val="004C774F"/>
    <w:rsid w:val="004C7AE7"/>
    <w:rsid w:val="004D0D2C"/>
    <w:rsid w:val="004D2149"/>
    <w:rsid w:val="004D2316"/>
    <w:rsid w:val="004D2472"/>
    <w:rsid w:val="004D28A8"/>
    <w:rsid w:val="004D2ADA"/>
    <w:rsid w:val="004D2F64"/>
    <w:rsid w:val="004D305E"/>
    <w:rsid w:val="004D30BF"/>
    <w:rsid w:val="004D38E1"/>
    <w:rsid w:val="004D4954"/>
    <w:rsid w:val="004D5720"/>
    <w:rsid w:val="004D58A6"/>
    <w:rsid w:val="004D59D8"/>
    <w:rsid w:val="004D5D3E"/>
    <w:rsid w:val="004D5DB9"/>
    <w:rsid w:val="004D6101"/>
    <w:rsid w:val="004D6B50"/>
    <w:rsid w:val="004D6CB3"/>
    <w:rsid w:val="004D6DCB"/>
    <w:rsid w:val="004D7348"/>
    <w:rsid w:val="004D7569"/>
    <w:rsid w:val="004D7D82"/>
    <w:rsid w:val="004D7E6F"/>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26F"/>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1C95"/>
    <w:rsid w:val="005025D8"/>
    <w:rsid w:val="00502C02"/>
    <w:rsid w:val="00502E52"/>
    <w:rsid w:val="00502FD7"/>
    <w:rsid w:val="005030C8"/>
    <w:rsid w:val="00503147"/>
    <w:rsid w:val="00503985"/>
    <w:rsid w:val="00503B37"/>
    <w:rsid w:val="00503FAC"/>
    <w:rsid w:val="0050474F"/>
    <w:rsid w:val="00504F8C"/>
    <w:rsid w:val="005055BC"/>
    <w:rsid w:val="00505D46"/>
    <w:rsid w:val="005060BE"/>
    <w:rsid w:val="005068B1"/>
    <w:rsid w:val="00506ACF"/>
    <w:rsid w:val="005077C6"/>
    <w:rsid w:val="00507C92"/>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1C8"/>
    <w:rsid w:val="00527279"/>
    <w:rsid w:val="005272A4"/>
    <w:rsid w:val="00527484"/>
    <w:rsid w:val="00527A2F"/>
    <w:rsid w:val="005303F2"/>
    <w:rsid w:val="0053061B"/>
    <w:rsid w:val="00530BEF"/>
    <w:rsid w:val="00530D23"/>
    <w:rsid w:val="0053273E"/>
    <w:rsid w:val="00533AA8"/>
    <w:rsid w:val="0053408B"/>
    <w:rsid w:val="00534447"/>
    <w:rsid w:val="00534878"/>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7D3"/>
    <w:rsid w:val="00546880"/>
    <w:rsid w:val="0054702B"/>
    <w:rsid w:val="0055020C"/>
    <w:rsid w:val="005506B5"/>
    <w:rsid w:val="00551617"/>
    <w:rsid w:val="005518FA"/>
    <w:rsid w:val="00552075"/>
    <w:rsid w:val="00552629"/>
    <w:rsid w:val="00552E6F"/>
    <w:rsid w:val="00552FF9"/>
    <w:rsid w:val="0055308A"/>
    <w:rsid w:val="005534D5"/>
    <w:rsid w:val="0055382F"/>
    <w:rsid w:val="00553958"/>
    <w:rsid w:val="00553B60"/>
    <w:rsid w:val="00554066"/>
    <w:rsid w:val="00554A2A"/>
    <w:rsid w:val="00554A31"/>
    <w:rsid w:val="0055549C"/>
    <w:rsid w:val="005557FE"/>
    <w:rsid w:val="00556701"/>
    <w:rsid w:val="00556C29"/>
    <w:rsid w:val="00557138"/>
    <w:rsid w:val="00557285"/>
    <w:rsid w:val="0055785A"/>
    <w:rsid w:val="0056088F"/>
    <w:rsid w:val="00560DC7"/>
    <w:rsid w:val="00561431"/>
    <w:rsid w:val="00561607"/>
    <w:rsid w:val="005618B5"/>
    <w:rsid w:val="00561B6F"/>
    <w:rsid w:val="00562A4F"/>
    <w:rsid w:val="00562BF9"/>
    <w:rsid w:val="0056354D"/>
    <w:rsid w:val="00563E54"/>
    <w:rsid w:val="00563F22"/>
    <w:rsid w:val="005649A2"/>
    <w:rsid w:val="00564BC8"/>
    <w:rsid w:val="00564FDB"/>
    <w:rsid w:val="00565E72"/>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2F46"/>
    <w:rsid w:val="005730A8"/>
    <w:rsid w:val="005739E8"/>
    <w:rsid w:val="0057432F"/>
    <w:rsid w:val="00574DD7"/>
    <w:rsid w:val="00574F17"/>
    <w:rsid w:val="00575443"/>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063"/>
    <w:rsid w:val="00586661"/>
    <w:rsid w:val="00586803"/>
    <w:rsid w:val="00586B85"/>
    <w:rsid w:val="00587623"/>
    <w:rsid w:val="00587A7B"/>
    <w:rsid w:val="00590A61"/>
    <w:rsid w:val="00590D7F"/>
    <w:rsid w:val="005910B0"/>
    <w:rsid w:val="005910EC"/>
    <w:rsid w:val="00591C10"/>
    <w:rsid w:val="00591C38"/>
    <w:rsid w:val="00591ED0"/>
    <w:rsid w:val="005922F7"/>
    <w:rsid w:val="0059351A"/>
    <w:rsid w:val="00593D68"/>
    <w:rsid w:val="00593EE0"/>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0F6C"/>
    <w:rsid w:val="005A10EB"/>
    <w:rsid w:val="005A40EE"/>
    <w:rsid w:val="005A4E1B"/>
    <w:rsid w:val="005A59E4"/>
    <w:rsid w:val="005A5A8D"/>
    <w:rsid w:val="005A5B48"/>
    <w:rsid w:val="005A5E1D"/>
    <w:rsid w:val="005A67C7"/>
    <w:rsid w:val="005A6C8E"/>
    <w:rsid w:val="005A7166"/>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280"/>
    <w:rsid w:val="005B7E04"/>
    <w:rsid w:val="005B7FAE"/>
    <w:rsid w:val="005C110E"/>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93"/>
    <w:rsid w:val="005D1DF8"/>
    <w:rsid w:val="005D2253"/>
    <w:rsid w:val="005D2B28"/>
    <w:rsid w:val="005D2B7C"/>
    <w:rsid w:val="005D2D42"/>
    <w:rsid w:val="005D31A5"/>
    <w:rsid w:val="005D3CE3"/>
    <w:rsid w:val="005D4596"/>
    <w:rsid w:val="005D50FF"/>
    <w:rsid w:val="005D538F"/>
    <w:rsid w:val="005D55C0"/>
    <w:rsid w:val="005D5D55"/>
    <w:rsid w:val="005D5D63"/>
    <w:rsid w:val="005D6422"/>
    <w:rsid w:val="005D6EF5"/>
    <w:rsid w:val="005E041F"/>
    <w:rsid w:val="005E06DB"/>
    <w:rsid w:val="005E0770"/>
    <w:rsid w:val="005E0799"/>
    <w:rsid w:val="005E0CB8"/>
    <w:rsid w:val="005E1348"/>
    <w:rsid w:val="005E15BF"/>
    <w:rsid w:val="005E1751"/>
    <w:rsid w:val="005E1E20"/>
    <w:rsid w:val="005E2100"/>
    <w:rsid w:val="005E2BBF"/>
    <w:rsid w:val="005E3949"/>
    <w:rsid w:val="005E3D82"/>
    <w:rsid w:val="005E3DA9"/>
    <w:rsid w:val="005E4228"/>
    <w:rsid w:val="005E464C"/>
    <w:rsid w:val="005E50C6"/>
    <w:rsid w:val="005E568D"/>
    <w:rsid w:val="005E58FC"/>
    <w:rsid w:val="005E5D32"/>
    <w:rsid w:val="005E66DD"/>
    <w:rsid w:val="005E69DE"/>
    <w:rsid w:val="005E6BBA"/>
    <w:rsid w:val="005E7A3D"/>
    <w:rsid w:val="005F017A"/>
    <w:rsid w:val="005F0AEF"/>
    <w:rsid w:val="005F0B3F"/>
    <w:rsid w:val="005F0CBA"/>
    <w:rsid w:val="005F16B5"/>
    <w:rsid w:val="005F188D"/>
    <w:rsid w:val="005F1C92"/>
    <w:rsid w:val="005F20B5"/>
    <w:rsid w:val="005F252A"/>
    <w:rsid w:val="005F265A"/>
    <w:rsid w:val="005F3301"/>
    <w:rsid w:val="005F508C"/>
    <w:rsid w:val="005F5478"/>
    <w:rsid w:val="005F5514"/>
    <w:rsid w:val="005F5B1E"/>
    <w:rsid w:val="005F61A1"/>
    <w:rsid w:val="005F6434"/>
    <w:rsid w:val="005F66E6"/>
    <w:rsid w:val="005F7F0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43F"/>
    <w:rsid w:val="00607D09"/>
    <w:rsid w:val="006100FA"/>
    <w:rsid w:val="006104C5"/>
    <w:rsid w:val="0061097E"/>
    <w:rsid w:val="00610B43"/>
    <w:rsid w:val="00610BA5"/>
    <w:rsid w:val="00611584"/>
    <w:rsid w:val="0061189A"/>
    <w:rsid w:val="00611B4E"/>
    <w:rsid w:val="00611F9A"/>
    <w:rsid w:val="00612166"/>
    <w:rsid w:val="00612C26"/>
    <w:rsid w:val="00612C7A"/>
    <w:rsid w:val="006131BA"/>
    <w:rsid w:val="00613390"/>
    <w:rsid w:val="00613A92"/>
    <w:rsid w:val="006157D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98"/>
    <w:rsid w:val="006306A6"/>
    <w:rsid w:val="0063146D"/>
    <w:rsid w:val="00631603"/>
    <w:rsid w:val="00631FF5"/>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57BA"/>
    <w:rsid w:val="00645A95"/>
    <w:rsid w:val="00646C3A"/>
    <w:rsid w:val="00647BFC"/>
    <w:rsid w:val="00647C7A"/>
    <w:rsid w:val="006500D1"/>
    <w:rsid w:val="00650120"/>
    <w:rsid w:val="006504B5"/>
    <w:rsid w:val="0065106A"/>
    <w:rsid w:val="006517DB"/>
    <w:rsid w:val="0065180B"/>
    <w:rsid w:val="006518B9"/>
    <w:rsid w:val="00651F1D"/>
    <w:rsid w:val="00653326"/>
    <w:rsid w:val="00654ABD"/>
    <w:rsid w:val="00655A14"/>
    <w:rsid w:val="00655A74"/>
    <w:rsid w:val="00655EFE"/>
    <w:rsid w:val="006564F0"/>
    <w:rsid w:val="006568A7"/>
    <w:rsid w:val="00656D9F"/>
    <w:rsid w:val="00656FB4"/>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0EC"/>
    <w:rsid w:val="00666153"/>
    <w:rsid w:val="00666A09"/>
    <w:rsid w:val="00666CC9"/>
    <w:rsid w:val="00667266"/>
    <w:rsid w:val="0066734B"/>
    <w:rsid w:val="00667969"/>
    <w:rsid w:val="00667FA5"/>
    <w:rsid w:val="006703EA"/>
    <w:rsid w:val="006709A0"/>
    <w:rsid w:val="00670DE4"/>
    <w:rsid w:val="00671497"/>
    <w:rsid w:val="0067230F"/>
    <w:rsid w:val="006725D0"/>
    <w:rsid w:val="00672982"/>
    <w:rsid w:val="00672B20"/>
    <w:rsid w:val="00672B79"/>
    <w:rsid w:val="00673068"/>
    <w:rsid w:val="006734E7"/>
    <w:rsid w:val="0067411C"/>
    <w:rsid w:val="0067493B"/>
    <w:rsid w:val="00674CC9"/>
    <w:rsid w:val="00674E99"/>
    <w:rsid w:val="00674F91"/>
    <w:rsid w:val="00675127"/>
    <w:rsid w:val="00675192"/>
    <w:rsid w:val="0067581A"/>
    <w:rsid w:val="00675945"/>
    <w:rsid w:val="00676D54"/>
    <w:rsid w:val="00677DDA"/>
    <w:rsid w:val="006801C4"/>
    <w:rsid w:val="00680BE0"/>
    <w:rsid w:val="00681013"/>
    <w:rsid w:val="00681484"/>
    <w:rsid w:val="006817AE"/>
    <w:rsid w:val="00681D99"/>
    <w:rsid w:val="00682458"/>
    <w:rsid w:val="00683CFE"/>
    <w:rsid w:val="006843B8"/>
    <w:rsid w:val="0068468A"/>
    <w:rsid w:val="006848C1"/>
    <w:rsid w:val="00684D4E"/>
    <w:rsid w:val="006854F2"/>
    <w:rsid w:val="00685907"/>
    <w:rsid w:val="00685A22"/>
    <w:rsid w:val="00685AC9"/>
    <w:rsid w:val="00685DDF"/>
    <w:rsid w:val="00686123"/>
    <w:rsid w:val="00686579"/>
    <w:rsid w:val="006865F4"/>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257E"/>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764"/>
    <w:rsid w:val="006B38DA"/>
    <w:rsid w:val="006B3C2E"/>
    <w:rsid w:val="006B4667"/>
    <w:rsid w:val="006B5074"/>
    <w:rsid w:val="006B516B"/>
    <w:rsid w:val="006B5661"/>
    <w:rsid w:val="006B5D89"/>
    <w:rsid w:val="006B5DEC"/>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11F"/>
    <w:rsid w:val="006C6F9A"/>
    <w:rsid w:val="006C749C"/>
    <w:rsid w:val="006D0199"/>
    <w:rsid w:val="006D0DC9"/>
    <w:rsid w:val="006D13C6"/>
    <w:rsid w:val="006D13DC"/>
    <w:rsid w:val="006D19CD"/>
    <w:rsid w:val="006D1D20"/>
    <w:rsid w:val="006D1D88"/>
    <w:rsid w:val="006D1EC9"/>
    <w:rsid w:val="006D2DFB"/>
    <w:rsid w:val="006D3629"/>
    <w:rsid w:val="006D3D13"/>
    <w:rsid w:val="006D4980"/>
    <w:rsid w:val="006D534E"/>
    <w:rsid w:val="006D60F3"/>
    <w:rsid w:val="006D628C"/>
    <w:rsid w:val="006D6616"/>
    <w:rsid w:val="006D662D"/>
    <w:rsid w:val="006D678D"/>
    <w:rsid w:val="006D6796"/>
    <w:rsid w:val="006D7896"/>
    <w:rsid w:val="006E09CD"/>
    <w:rsid w:val="006E0A59"/>
    <w:rsid w:val="006E0BB7"/>
    <w:rsid w:val="006E0C72"/>
    <w:rsid w:val="006E1C3B"/>
    <w:rsid w:val="006E20F4"/>
    <w:rsid w:val="006E2254"/>
    <w:rsid w:val="006E2866"/>
    <w:rsid w:val="006E322A"/>
    <w:rsid w:val="006E35A0"/>
    <w:rsid w:val="006E369C"/>
    <w:rsid w:val="006E36A5"/>
    <w:rsid w:val="006E3739"/>
    <w:rsid w:val="006E464C"/>
    <w:rsid w:val="006E4848"/>
    <w:rsid w:val="006E4A83"/>
    <w:rsid w:val="006E527F"/>
    <w:rsid w:val="006E53BF"/>
    <w:rsid w:val="006E553C"/>
    <w:rsid w:val="006E631D"/>
    <w:rsid w:val="006E6E7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938"/>
    <w:rsid w:val="006F7A9F"/>
    <w:rsid w:val="006F7C58"/>
    <w:rsid w:val="006F7E41"/>
    <w:rsid w:val="00700330"/>
    <w:rsid w:val="007003B9"/>
    <w:rsid w:val="007007C2"/>
    <w:rsid w:val="00700806"/>
    <w:rsid w:val="00702E81"/>
    <w:rsid w:val="007045CE"/>
    <w:rsid w:val="00704ADB"/>
    <w:rsid w:val="00704BCC"/>
    <w:rsid w:val="00705052"/>
    <w:rsid w:val="0070509F"/>
    <w:rsid w:val="0070542D"/>
    <w:rsid w:val="007060AC"/>
    <w:rsid w:val="00706357"/>
    <w:rsid w:val="00706E0D"/>
    <w:rsid w:val="00707E9A"/>
    <w:rsid w:val="00707F5D"/>
    <w:rsid w:val="0071123F"/>
    <w:rsid w:val="00711C80"/>
    <w:rsid w:val="00711FE4"/>
    <w:rsid w:val="007121BE"/>
    <w:rsid w:val="007121DC"/>
    <w:rsid w:val="0071319F"/>
    <w:rsid w:val="00713521"/>
    <w:rsid w:val="00713B7C"/>
    <w:rsid w:val="0071419A"/>
    <w:rsid w:val="00714972"/>
    <w:rsid w:val="00715718"/>
    <w:rsid w:val="007157BA"/>
    <w:rsid w:val="007157EB"/>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4F8F"/>
    <w:rsid w:val="00725481"/>
    <w:rsid w:val="00725ABA"/>
    <w:rsid w:val="00725BE9"/>
    <w:rsid w:val="00725F3F"/>
    <w:rsid w:val="007264C4"/>
    <w:rsid w:val="00726950"/>
    <w:rsid w:val="00726E19"/>
    <w:rsid w:val="007271C1"/>
    <w:rsid w:val="0072731A"/>
    <w:rsid w:val="00727983"/>
    <w:rsid w:val="00730004"/>
    <w:rsid w:val="007306D3"/>
    <w:rsid w:val="00730EE5"/>
    <w:rsid w:val="00730F29"/>
    <w:rsid w:val="00731316"/>
    <w:rsid w:val="00731C39"/>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3776C"/>
    <w:rsid w:val="00737E59"/>
    <w:rsid w:val="00740C76"/>
    <w:rsid w:val="00741A85"/>
    <w:rsid w:val="007420B7"/>
    <w:rsid w:val="00742B75"/>
    <w:rsid w:val="00742CB5"/>
    <w:rsid w:val="00743E7D"/>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E9E"/>
    <w:rsid w:val="00760F3D"/>
    <w:rsid w:val="00761DC8"/>
    <w:rsid w:val="00762914"/>
    <w:rsid w:val="00762CC7"/>
    <w:rsid w:val="00763728"/>
    <w:rsid w:val="00763A29"/>
    <w:rsid w:val="00763B1B"/>
    <w:rsid w:val="00763B2D"/>
    <w:rsid w:val="00764100"/>
    <w:rsid w:val="007649CB"/>
    <w:rsid w:val="00764FDC"/>
    <w:rsid w:val="007652B6"/>
    <w:rsid w:val="0076573B"/>
    <w:rsid w:val="007659ED"/>
    <w:rsid w:val="00765DEB"/>
    <w:rsid w:val="00766BE8"/>
    <w:rsid w:val="007671B2"/>
    <w:rsid w:val="00767458"/>
    <w:rsid w:val="00767DC8"/>
    <w:rsid w:val="00770041"/>
    <w:rsid w:val="00771094"/>
    <w:rsid w:val="007711E2"/>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EB1"/>
    <w:rsid w:val="0078157D"/>
    <w:rsid w:val="00781A2E"/>
    <w:rsid w:val="00782EDC"/>
    <w:rsid w:val="00782FA9"/>
    <w:rsid w:val="007839F9"/>
    <w:rsid w:val="007844F2"/>
    <w:rsid w:val="00784512"/>
    <w:rsid w:val="0078495D"/>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D39"/>
    <w:rsid w:val="00794FA3"/>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397E"/>
    <w:rsid w:val="007A3DAD"/>
    <w:rsid w:val="007A449C"/>
    <w:rsid w:val="007A4DD5"/>
    <w:rsid w:val="007A5A73"/>
    <w:rsid w:val="007A619B"/>
    <w:rsid w:val="007A664E"/>
    <w:rsid w:val="007A68AE"/>
    <w:rsid w:val="007A6A14"/>
    <w:rsid w:val="007A6A81"/>
    <w:rsid w:val="007A6DEE"/>
    <w:rsid w:val="007A70DA"/>
    <w:rsid w:val="007A76B0"/>
    <w:rsid w:val="007A7B62"/>
    <w:rsid w:val="007A7D31"/>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305F"/>
    <w:rsid w:val="007B43BF"/>
    <w:rsid w:val="007B4A29"/>
    <w:rsid w:val="007B4F50"/>
    <w:rsid w:val="007B5339"/>
    <w:rsid w:val="007B5464"/>
    <w:rsid w:val="007B54DF"/>
    <w:rsid w:val="007B5A89"/>
    <w:rsid w:val="007B5D89"/>
    <w:rsid w:val="007B5F72"/>
    <w:rsid w:val="007B7326"/>
    <w:rsid w:val="007B73D9"/>
    <w:rsid w:val="007C009B"/>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C7C3C"/>
    <w:rsid w:val="007D0A89"/>
    <w:rsid w:val="007D0BE4"/>
    <w:rsid w:val="007D18FA"/>
    <w:rsid w:val="007D2294"/>
    <w:rsid w:val="007D299B"/>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355"/>
    <w:rsid w:val="007E5461"/>
    <w:rsid w:val="007E55BF"/>
    <w:rsid w:val="007E55F3"/>
    <w:rsid w:val="007E5F63"/>
    <w:rsid w:val="007E60C0"/>
    <w:rsid w:val="007E70F7"/>
    <w:rsid w:val="007E7965"/>
    <w:rsid w:val="007E7C20"/>
    <w:rsid w:val="007E7CA3"/>
    <w:rsid w:val="007F0438"/>
    <w:rsid w:val="007F1DF6"/>
    <w:rsid w:val="007F2FB2"/>
    <w:rsid w:val="007F3728"/>
    <w:rsid w:val="007F3767"/>
    <w:rsid w:val="007F37BF"/>
    <w:rsid w:val="007F3931"/>
    <w:rsid w:val="007F3979"/>
    <w:rsid w:val="007F3CB1"/>
    <w:rsid w:val="007F3DD0"/>
    <w:rsid w:val="007F4106"/>
    <w:rsid w:val="007F4CE1"/>
    <w:rsid w:val="007F4D22"/>
    <w:rsid w:val="007F5843"/>
    <w:rsid w:val="007F6134"/>
    <w:rsid w:val="007F6775"/>
    <w:rsid w:val="007F6E89"/>
    <w:rsid w:val="007F72B7"/>
    <w:rsid w:val="007F747E"/>
    <w:rsid w:val="007F77CA"/>
    <w:rsid w:val="007F780B"/>
    <w:rsid w:val="007F7D0E"/>
    <w:rsid w:val="008007E7"/>
    <w:rsid w:val="008009F1"/>
    <w:rsid w:val="00800D0E"/>
    <w:rsid w:val="00800D48"/>
    <w:rsid w:val="00802407"/>
    <w:rsid w:val="008028F6"/>
    <w:rsid w:val="00802CCE"/>
    <w:rsid w:val="00803610"/>
    <w:rsid w:val="00803C8D"/>
    <w:rsid w:val="00803CD5"/>
    <w:rsid w:val="0080428B"/>
    <w:rsid w:val="00804F24"/>
    <w:rsid w:val="00805FBD"/>
    <w:rsid w:val="00806122"/>
    <w:rsid w:val="0080632B"/>
    <w:rsid w:val="008064BC"/>
    <w:rsid w:val="00806DD5"/>
    <w:rsid w:val="00806E48"/>
    <w:rsid w:val="00807036"/>
    <w:rsid w:val="008078CD"/>
    <w:rsid w:val="00807C01"/>
    <w:rsid w:val="008100F1"/>
    <w:rsid w:val="00810B44"/>
    <w:rsid w:val="00810DD7"/>
    <w:rsid w:val="008111D7"/>
    <w:rsid w:val="00811C60"/>
    <w:rsid w:val="008121B9"/>
    <w:rsid w:val="00812282"/>
    <w:rsid w:val="008129B0"/>
    <w:rsid w:val="00813D9F"/>
    <w:rsid w:val="00814B76"/>
    <w:rsid w:val="00814D73"/>
    <w:rsid w:val="00814EC1"/>
    <w:rsid w:val="00815040"/>
    <w:rsid w:val="0081532A"/>
    <w:rsid w:val="00815889"/>
    <w:rsid w:val="00815FC9"/>
    <w:rsid w:val="008160A9"/>
    <w:rsid w:val="00816A73"/>
    <w:rsid w:val="00816D2B"/>
    <w:rsid w:val="00817A01"/>
    <w:rsid w:val="00817A96"/>
    <w:rsid w:val="00817AC3"/>
    <w:rsid w:val="00817E52"/>
    <w:rsid w:val="008209B3"/>
    <w:rsid w:val="00821ACE"/>
    <w:rsid w:val="008229F7"/>
    <w:rsid w:val="00822E2F"/>
    <w:rsid w:val="008234BF"/>
    <w:rsid w:val="008235FE"/>
    <w:rsid w:val="00823D07"/>
    <w:rsid w:val="00824442"/>
    <w:rsid w:val="00824D76"/>
    <w:rsid w:val="008252BC"/>
    <w:rsid w:val="00825A24"/>
    <w:rsid w:val="008260D2"/>
    <w:rsid w:val="00826417"/>
    <w:rsid w:val="00826FA5"/>
    <w:rsid w:val="00827082"/>
    <w:rsid w:val="00827F14"/>
    <w:rsid w:val="008300F5"/>
    <w:rsid w:val="00830359"/>
    <w:rsid w:val="00830689"/>
    <w:rsid w:val="00830AAB"/>
    <w:rsid w:val="00831D61"/>
    <w:rsid w:val="00831E0B"/>
    <w:rsid w:val="00832BC1"/>
    <w:rsid w:val="008330A5"/>
    <w:rsid w:val="00833329"/>
    <w:rsid w:val="008334F8"/>
    <w:rsid w:val="0083376F"/>
    <w:rsid w:val="00833B51"/>
    <w:rsid w:val="0083407B"/>
    <w:rsid w:val="008342D8"/>
    <w:rsid w:val="0083590A"/>
    <w:rsid w:val="00835D8C"/>
    <w:rsid w:val="00837964"/>
    <w:rsid w:val="00840B9D"/>
    <w:rsid w:val="0084109B"/>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305"/>
    <w:rsid w:val="008516CE"/>
    <w:rsid w:val="00851B36"/>
    <w:rsid w:val="00851CCC"/>
    <w:rsid w:val="0085264B"/>
    <w:rsid w:val="008526D7"/>
    <w:rsid w:val="0085347D"/>
    <w:rsid w:val="00853A40"/>
    <w:rsid w:val="008540D5"/>
    <w:rsid w:val="00854172"/>
    <w:rsid w:val="008541BC"/>
    <w:rsid w:val="008549CE"/>
    <w:rsid w:val="00855C90"/>
    <w:rsid w:val="00856B9D"/>
    <w:rsid w:val="008573A0"/>
    <w:rsid w:val="00857469"/>
    <w:rsid w:val="008574BB"/>
    <w:rsid w:val="00857EA7"/>
    <w:rsid w:val="008600E0"/>
    <w:rsid w:val="008600F3"/>
    <w:rsid w:val="008601D4"/>
    <w:rsid w:val="00860228"/>
    <w:rsid w:val="00860993"/>
    <w:rsid w:val="00860A7D"/>
    <w:rsid w:val="008611AD"/>
    <w:rsid w:val="00861626"/>
    <w:rsid w:val="00863A38"/>
    <w:rsid w:val="00863C47"/>
    <w:rsid w:val="0086470B"/>
    <w:rsid w:val="00864B57"/>
    <w:rsid w:val="00864CA9"/>
    <w:rsid w:val="00864DDA"/>
    <w:rsid w:val="0086537F"/>
    <w:rsid w:val="008653E7"/>
    <w:rsid w:val="00865934"/>
    <w:rsid w:val="00865A3A"/>
    <w:rsid w:val="008662E9"/>
    <w:rsid w:val="00866624"/>
    <w:rsid w:val="0086662B"/>
    <w:rsid w:val="0086692F"/>
    <w:rsid w:val="008707B9"/>
    <w:rsid w:val="00870A0B"/>
    <w:rsid w:val="00871158"/>
    <w:rsid w:val="00871205"/>
    <w:rsid w:val="0087125E"/>
    <w:rsid w:val="00871989"/>
    <w:rsid w:val="0087293B"/>
    <w:rsid w:val="008733E6"/>
    <w:rsid w:val="00873439"/>
    <w:rsid w:val="00874562"/>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3283"/>
    <w:rsid w:val="008843CA"/>
    <w:rsid w:val="00884BA0"/>
    <w:rsid w:val="00886528"/>
    <w:rsid w:val="00886DB4"/>
    <w:rsid w:val="00887DEB"/>
    <w:rsid w:val="008906D2"/>
    <w:rsid w:val="00891433"/>
    <w:rsid w:val="008915A2"/>
    <w:rsid w:val="00891C08"/>
    <w:rsid w:val="00891C5C"/>
    <w:rsid w:val="008931AA"/>
    <w:rsid w:val="008936BC"/>
    <w:rsid w:val="0089396C"/>
    <w:rsid w:val="00893ADC"/>
    <w:rsid w:val="008947BD"/>
    <w:rsid w:val="008948C4"/>
    <w:rsid w:val="0089567A"/>
    <w:rsid w:val="00895820"/>
    <w:rsid w:val="00895F3C"/>
    <w:rsid w:val="00896224"/>
    <w:rsid w:val="00896B74"/>
    <w:rsid w:val="00896C57"/>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2F08"/>
    <w:rsid w:val="008A3634"/>
    <w:rsid w:val="008A3D6C"/>
    <w:rsid w:val="008A4046"/>
    <w:rsid w:val="008A4341"/>
    <w:rsid w:val="008A4495"/>
    <w:rsid w:val="008A4BE0"/>
    <w:rsid w:val="008A4FE0"/>
    <w:rsid w:val="008A5136"/>
    <w:rsid w:val="008A537B"/>
    <w:rsid w:val="008A5F74"/>
    <w:rsid w:val="008A605E"/>
    <w:rsid w:val="008A7189"/>
    <w:rsid w:val="008A7ABC"/>
    <w:rsid w:val="008B04E2"/>
    <w:rsid w:val="008B082F"/>
    <w:rsid w:val="008B13A3"/>
    <w:rsid w:val="008B14DC"/>
    <w:rsid w:val="008B2562"/>
    <w:rsid w:val="008B2A62"/>
    <w:rsid w:val="008B2AEF"/>
    <w:rsid w:val="008B2EED"/>
    <w:rsid w:val="008B3944"/>
    <w:rsid w:val="008B3A9E"/>
    <w:rsid w:val="008B3ADB"/>
    <w:rsid w:val="008B3B05"/>
    <w:rsid w:val="008B55E4"/>
    <w:rsid w:val="008B5ECA"/>
    <w:rsid w:val="008B5F4A"/>
    <w:rsid w:val="008B600B"/>
    <w:rsid w:val="008B664C"/>
    <w:rsid w:val="008B6802"/>
    <w:rsid w:val="008B6830"/>
    <w:rsid w:val="008B74D0"/>
    <w:rsid w:val="008B75AD"/>
    <w:rsid w:val="008B7634"/>
    <w:rsid w:val="008C0313"/>
    <w:rsid w:val="008C0946"/>
    <w:rsid w:val="008C1E85"/>
    <w:rsid w:val="008C20C1"/>
    <w:rsid w:val="008C2682"/>
    <w:rsid w:val="008C29FC"/>
    <w:rsid w:val="008C2A81"/>
    <w:rsid w:val="008C2AC6"/>
    <w:rsid w:val="008C301A"/>
    <w:rsid w:val="008C376D"/>
    <w:rsid w:val="008C3D2F"/>
    <w:rsid w:val="008C451D"/>
    <w:rsid w:val="008C51BF"/>
    <w:rsid w:val="008C51D6"/>
    <w:rsid w:val="008C5400"/>
    <w:rsid w:val="008C5E4E"/>
    <w:rsid w:val="008C6CF1"/>
    <w:rsid w:val="008C7123"/>
    <w:rsid w:val="008C782D"/>
    <w:rsid w:val="008C7B99"/>
    <w:rsid w:val="008D07E4"/>
    <w:rsid w:val="008D1ADB"/>
    <w:rsid w:val="008D1D63"/>
    <w:rsid w:val="008D1F49"/>
    <w:rsid w:val="008D2006"/>
    <w:rsid w:val="008D20F1"/>
    <w:rsid w:val="008D2754"/>
    <w:rsid w:val="008D2A1A"/>
    <w:rsid w:val="008D3773"/>
    <w:rsid w:val="008D397B"/>
    <w:rsid w:val="008D4065"/>
    <w:rsid w:val="008D4C01"/>
    <w:rsid w:val="008D4CA0"/>
    <w:rsid w:val="008D5129"/>
    <w:rsid w:val="008D5C27"/>
    <w:rsid w:val="008D6292"/>
    <w:rsid w:val="008D6EDE"/>
    <w:rsid w:val="008D71A1"/>
    <w:rsid w:val="008D74C7"/>
    <w:rsid w:val="008D789D"/>
    <w:rsid w:val="008E1FB6"/>
    <w:rsid w:val="008E2403"/>
    <w:rsid w:val="008E2637"/>
    <w:rsid w:val="008E28E8"/>
    <w:rsid w:val="008E3002"/>
    <w:rsid w:val="008E32D9"/>
    <w:rsid w:val="008E3376"/>
    <w:rsid w:val="008E35F2"/>
    <w:rsid w:val="008E36A4"/>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0811"/>
    <w:rsid w:val="00901761"/>
    <w:rsid w:val="00901877"/>
    <w:rsid w:val="00901B3D"/>
    <w:rsid w:val="009023EA"/>
    <w:rsid w:val="00902485"/>
    <w:rsid w:val="009025B9"/>
    <w:rsid w:val="00903221"/>
    <w:rsid w:val="00903CC7"/>
    <w:rsid w:val="00903D63"/>
    <w:rsid w:val="00904289"/>
    <w:rsid w:val="00905204"/>
    <w:rsid w:val="00905234"/>
    <w:rsid w:val="00905269"/>
    <w:rsid w:val="0090532C"/>
    <w:rsid w:val="00905B0F"/>
    <w:rsid w:val="00906255"/>
    <w:rsid w:val="009069F4"/>
    <w:rsid w:val="009074E4"/>
    <w:rsid w:val="00907501"/>
    <w:rsid w:val="00907932"/>
    <w:rsid w:val="0091072F"/>
    <w:rsid w:val="00910753"/>
    <w:rsid w:val="00910B21"/>
    <w:rsid w:val="00910FEB"/>
    <w:rsid w:val="0091144B"/>
    <w:rsid w:val="009117B2"/>
    <w:rsid w:val="00912036"/>
    <w:rsid w:val="00912065"/>
    <w:rsid w:val="009125C8"/>
    <w:rsid w:val="00912E6F"/>
    <w:rsid w:val="009132C7"/>
    <w:rsid w:val="00913CE4"/>
    <w:rsid w:val="00913DBA"/>
    <w:rsid w:val="00914735"/>
    <w:rsid w:val="009149B0"/>
    <w:rsid w:val="00914AB6"/>
    <w:rsid w:val="00914AC8"/>
    <w:rsid w:val="00914D6B"/>
    <w:rsid w:val="009150CB"/>
    <w:rsid w:val="00915276"/>
    <w:rsid w:val="0091555B"/>
    <w:rsid w:val="0091621E"/>
    <w:rsid w:val="00916A53"/>
    <w:rsid w:val="00916CA0"/>
    <w:rsid w:val="00917D9F"/>
    <w:rsid w:val="00917E37"/>
    <w:rsid w:val="00920003"/>
    <w:rsid w:val="0092026C"/>
    <w:rsid w:val="009206CC"/>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4AC7"/>
    <w:rsid w:val="0093547D"/>
    <w:rsid w:val="009358AC"/>
    <w:rsid w:val="00935FB9"/>
    <w:rsid w:val="0093654F"/>
    <w:rsid w:val="0093751C"/>
    <w:rsid w:val="0093758D"/>
    <w:rsid w:val="009377A1"/>
    <w:rsid w:val="00937875"/>
    <w:rsid w:val="00937F3C"/>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C1F"/>
    <w:rsid w:val="00950D33"/>
    <w:rsid w:val="00951958"/>
    <w:rsid w:val="0095215E"/>
    <w:rsid w:val="00952FF8"/>
    <w:rsid w:val="00953010"/>
    <w:rsid w:val="00953993"/>
    <w:rsid w:val="00953A2A"/>
    <w:rsid w:val="00955096"/>
    <w:rsid w:val="0095553F"/>
    <w:rsid w:val="00955C7B"/>
    <w:rsid w:val="00956ACF"/>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FEA"/>
    <w:rsid w:val="009661FB"/>
    <w:rsid w:val="00966635"/>
    <w:rsid w:val="00967716"/>
    <w:rsid w:val="00970425"/>
    <w:rsid w:val="00970614"/>
    <w:rsid w:val="00971768"/>
    <w:rsid w:val="009723BA"/>
    <w:rsid w:val="0097342D"/>
    <w:rsid w:val="00973BDB"/>
    <w:rsid w:val="00973F77"/>
    <w:rsid w:val="0097411A"/>
    <w:rsid w:val="0097445D"/>
    <w:rsid w:val="00974FB8"/>
    <w:rsid w:val="00975F04"/>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3A5"/>
    <w:rsid w:val="0098451D"/>
    <w:rsid w:val="00984D27"/>
    <w:rsid w:val="00985594"/>
    <w:rsid w:val="009862EA"/>
    <w:rsid w:val="0098662C"/>
    <w:rsid w:val="009870D9"/>
    <w:rsid w:val="00987E24"/>
    <w:rsid w:val="00990094"/>
    <w:rsid w:val="00990927"/>
    <w:rsid w:val="00990D9F"/>
    <w:rsid w:val="009910FA"/>
    <w:rsid w:val="009911CF"/>
    <w:rsid w:val="00991625"/>
    <w:rsid w:val="00991B42"/>
    <w:rsid w:val="00992E85"/>
    <w:rsid w:val="00992F9D"/>
    <w:rsid w:val="00993153"/>
    <w:rsid w:val="009935DD"/>
    <w:rsid w:val="00993B68"/>
    <w:rsid w:val="00993D2F"/>
    <w:rsid w:val="009946AF"/>
    <w:rsid w:val="00995515"/>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A7443"/>
    <w:rsid w:val="009B0583"/>
    <w:rsid w:val="009B07DF"/>
    <w:rsid w:val="009B09A9"/>
    <w:rsid w:val="009B0DDD"/>
    <w:rsid w:val="009B132E"/>
    <w:rsid w:val="009B1654"/>
    <w:rsid w:val="009B18F3"/>
    <w:rsid w:val="009B1E16"/>
    <w:rsid w:val="009B1F0A"/>
    <w:rsid w:val="009B20A6"/>
    <w:rsid w:val="009B2371"/>
    <w:rsid w:val="009B2922"/>
    <w:rsid w:val="009B2A85"/>
    <w:rsid w:val="009B2F58"/>
    <w:rsid w:val="009B31EC"/>
    <w:rsid w:val="009B34C2"/>
    <w:rsid w:val="009B395D"/>
    <w:rsid w:val="009B5449"/>
    <w:rsid w:val="009B5591"/>
    <w:rsid w:val="009B5A56"/>
    <w:rsid w:val="009B5CB5"/>
    <w:rsid w:val="009B6C0C"/>
    <w:rsid w:val="009B6EC0"/>
    <w:rsid w:val="009B75D3"/>
    <w:rsid w:val="009B7A2F"/>
    <w:rsid w:val="009B7DAF"/>
    <w:rsid w:val="009C0956"/>
    <w:rsid w:val="009C0A68"/>
    <w:rsid w:val="009C0F3E"/>
    <w:rsid w:val="009C10D9"/>
    <w:rsid w:val="009C14E3"/>
    <w:rsid w:val="009C1D2B"/>
    <w:rsid w:val="009C1FBC"/>
    <w:rsid w:val="009C204C"/>
    <w:rsid w:val="009C2471"/>
    <w:rsid w:val="009C2539"/>
    <w:rsid w:val="009C25A8"/>
    <w:rsid w:val="009C2DEA"/>
    <w:rsid w:val="009C2FBD"/>
    <w:rsid w:val="009C339F"/>
    <w:rsid w:val="009C3C8B"/>
    <w:rsid w:val="009C414A"/>
    <w:rsid w:val="009C45BC"/>
    <w:rsid w:val="009C46A8"/>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6B3"/>
    <w:rsid w:val="009D5BE6"/>
    <w:rsid w:val="009D5C8F"/>
    <w:rsid w:val="009D650C"/>
    <w:rsid w:val="009D6C41"/>
    <w:rsid w:val="009D6EE3"/>
    <w:rsid w:val="009E00E8"/>
    <w:rsid w:val="009E0C2E"/>
    <w:rsid w:val="009E0C64"/>
    <w:rsid w:val="009E0E40"/>
    <w:rsid w:val="009E19E4"/>
    <w:rsid w:val="009E1A45"/>
    <w:rsid w:val="009E24D2"/>
    <w:rsid w:val="009E2585"/>
    <w:rsid w:val="009E2B6C"/>
    <w:rsid w:val="009E351C"/>
    <w:rsid w:val="009E3A8C"/>
    <w:rsid w:val="009E4789"/>
    <w:rsid w:val="009E51EC"/>
    <w:rsid w:val="009E59B4"/>
    <w:rsid w:val="009E602A"/>
    <w:rsid w:val="009E75E8"/>
    <w:rsid w:val="009E7842"/>
    <w:rsid w:val="009F0655"/>
    <w:rsid w:val="009F1658"/>
    <w:rsid w:val="009F1822"/>
    <w:rsid w:val="009F187D"/>
    <w:rsid w:val="009F2048"/>
    <w:rsid w:val="009F2574"/>
    <w:rsid w:val="009F3392"/>
    <w:rsid w:val="009F4A33"/>
    <w:rsid w:val="009F4E7E"/>
    <w:rsid w:val="009F4ED8"/>
    <w:rsid w:val="009F4FB4"/>
    <w:rsid w:val="009F509E"/>
    <w:rsid w:val="009F51B0"/>
    <w:rsid w:val="009F51EF"/>
    <w:rsid w:val="009F53C7"/>
    <w:rsid w:val="009F58B1"/>
    <w:rsid w:val="009F6225"/>
    <w:rsid w:val="009F6243"/>
    <w:rsid w:val="009F65F9"/>
    <w:rsid w:val="009F691A"/>
    <w:rsid w:val="009F6B9E"/>
    <w:rsid w:val="009F6C5A"/>
    <w:rsid w:val="009F6FD8"/>
    <w:rsid w:val="009F6FFA"/>
    <w:rsid w:val="009F710C"/>
    <w:rsid w:val="00A00110"/>
    <w:rsid w:val="00A01350"/>
    <w:rsid w:val="00A022BB"/>
    <w:rsid w:val="00A02D8D"/>
    <w:rsid w:val="00A02FAA"/>
    <w:rsid w:val="00A045F5"/>
    <w:rsid w:val="00A04DB4"/>
    <w:rsid w:val="00A052DD"/>
    <w:rsid w:val="00A05344"/>
    <w:rsid w:val="00A05546"/>
    <w:rsid w:val="00A055BC"/>
    <w:rsid w:val="00A0630D"/>
    <w:rsid w:val="00A0688A"/>
    <w:rsid w:val="00A068A8"/>
    <w:rsid w:val="00A07432"/>
    <w:rsid w:val="00A07797"/>
    <w:rsid w:val="00A104B0"/>
    <w:rsid w:val="00A108AF"/>
    <w:rsid w:val="00A1095C"/>
    <w:rsid w:val="00A11237"/>
    <w:rsid w:val="00A117AA"/>
    <w:rsid w:val="00A11ACD"/>
    <w:rsid w:val="00A11B5F"/>
    <w:rsid w:val="00A11D74"/>
    <w:rsid w:val="00A12E11"/>
    <w:rsid w:val="00A136C1"/>
    <w:rsid w:val="00A13A3F"/>
    <w:rsid w:val="00A13DCD"/>
    <w:rsid w:val="00A13DE8"/>
    <w:rsid w:val="00A141EB"/>
    <w:rsid w:val="00A1473B"/>
    <w:rsid w:val="00A148FB"/>
    <w:rsid w:val="00A14A9D"/>
    <w:rsid w:val="00A14D5C"/>
    <w:rsid w:val="00A1511A"/>
    <w:rsid w:val="00A15AF2"/>
    <w:rsid w:val="00A16036"/>
    <w:rsid w:val="00A16325"/>
    <w:rsid w:val="00A165B4"/>
    <w:rsid w:val="00A16733"/>
    <w:rsid w:val="00A16DD2"/>
    <w:rsid w:val="00A176F7"/>
    <w:rsid w:val="00A17848"/>
    <w:rsid w:val="00A179C6"/>
    <w:rsid w:val="00A17D54"/>
    <w:rsid w:val="00A17F5B"/>
    <w:rsid w:val="00A17F61"/>
    <w:rsid w:val="00A205D6"/>
    <w:rsid w:val="00A20D8E"/>
    <w:rsid w:val="00A2107A"/>
    <w:rsid w:val="00A21C15"/>
    <w:rsid w:val="00A2314C"/>
    <w:rsid w:val="00A234BC"/>
    <w:rsid w:val="00A23903"/>
    <w:rsid w:val="00A23AB3"/>
    <w:rsid w:val="00A23B0A"/>
    <w:rsid w:val="00A2414F"/>
    <w:rsid w:val="00A2466D"/>
    <w:rsid w:val="00A248C0"/>
    <w:rsid w:val="00A24D3B"/>
    <w:rsid w:val="00A24FF7"/>
    <w:rsid w:val="00A2523B"/>
    <w:rsid w:val="00A25379"/>
    <w:rsid w:val="00A25675"/>
    <w:rsid w:val="00A25952"/>
    <w:rsid w:val="00A263E4"/>
    <w:rsid w:val="00A26621"/>
    <w:rsid w:val="00A271CE"/>
    <w:rsid w:val="00A27552"/>
    <w:rsid w:val="00A27AD6"/>
    <w:rsid w:val="00A27D02"/>
    <w:rsid w:val="00A27DDF"/>
    <w:rsid w:val="00A30A5A"/>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D39"/>
    <w:rsid w:val="00A40E5B"/>
    <w:rsid w:val="00A414B1"/>
    <w:rsid w:val="00A419A0"/>
    <w:rsid w:val="00A42352"/>
    <w:rsid w:val="00A426A6"/>
    <w:rsid w:val="00A42711"/>
    <w:rsid w:val="00A42C42"/>
    <w:rsid w:val="00A4340A"/>
    <w:rsid w:val="00A43FFB"/>
    <w:rsid w:val="00A4431C"/>
    <w:rsid w:val="00A444D7"/>
    <w:rsid w:val="00A44619"/>
    <w:rsid w:val="00A452B3"/>
    <w:rsid w:val="00A458ED"/>
    <w:rsid w:val="00A45C12"/>
    <w:rsid w:val="00A4602A"/>
    <w:rsid w:val="00A46BF7"/>
    <w:rsid w:val="00A46CDE"/>
    <w:rsid w:val="00A46E25"/>
    <w:rsid w:val="00A46E4C"/>
    <w:rsid w:val="00A50204"/>
    <w:rsid w:val="00A505D3"/>
    <w:rsid w:val="00A50F97"/>
    <w:rsid w:val="00A5193B"/>
    <w:rsid w:val="00A51994"/>
    <w:rsid w:val="00A51A32"/>
    <w:rsid w:val="00A51AE3"/>
    <w:rsid w:val="00A523EE"/>
    <w:rsid w:val="00A538CF"/>
    <w:rsid w:val="00A53960"/>
    <w:rsid w:val="00A53D28"/>
    <w:rsid w:val="00A53FD8"/>
    <w:rsid w:val="00A54784"/>
    <w:rsid w:val="00A54D79"/>
    <w:rsid w:val="00A554E4"/>
    <w:rsid w:val="00A557D4"/>
    <w:rsid w:val="00A56E7B"/>
    <w:rsid w:val="00A57045"/>
    <w:rsid w:val="00A57D42"/>
    <w:rsid w:val="00A60AB5"/>
    <w:rsid w:val="00A60B6F"/>
    <w:rsid w:val="00A6135C"/>
    <w:rsid w:val="00A61E34"/>
    <w:rsid w:val="00A62D0F"/>
    <w:rsid w:val="00A632E8"/>
    <w:rsid w:val="00A63316"/>
    <w:rsid w:val="00A6351D"/>
    <w:rsid w:val="00A64770"/>
    <w:rsid w:val="00A649FF"/>
    <w:rsid w:val="00A654CF"/>
    <w:rsid w:val="00A65728"/>
    <w:rsid w:val="00A659AC"/>
    <w:rsid w:val="00A67175"/>
    <w:rsid w:val="00A67179"/>
    <w:rsid w:val="00A672C0"/>
    <w:rsid w:val="00A67D78"/>
    <w:rsid w:val="00A702BF"/>
    <w:rsid w:val="00A70316"/>
    <w:rsid w:val="00A70350"/>
    <w:rsid w:val="00A70DC3"/>
    <w:rsid w:val="00A712C1"/>
    <w:rsid w:val="00A72136"/>
    <w:rsid w:val="00A730E4"/>
    <w:rsid w:val="00A73293"/>
    <w:rsid w:val="00A73A30"/>
    <w:rsid w:val="00A73D4F"/>
    <w:rsid w:val="00A73D52"/>
    <w:rsid w:val="00A73FC3"/>
    <w:rsid w:val="00A74318"/>
    <w:rsid w:val="00A744FE"/>
    <w:rsid w:val="00A7480B"/>
    <w:rsid w:val="00A74810"/>
    <w:rsid w:val="00A74E5A"/>
    <w:rsid w:val="00A750A5"/>
    <w:rsid w:val="00A754D9"/>
    <w:rsid w:val="00A75680"/>
    <w:rsid w:val="00A75C8C"/>
    <w:rsid w:val="00A764CB"/>
    <w:rsid w:val="00A77330"/>
    <w:rsid w:val="00A77BBC"/>
    <w:rsid w:val="00A805F3"/>
    <w:rsid w:val="00A81F04"/>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5F47"/>
    <w:rsid w:val="00AA69C6"/>
    <w:rsid w:val="00AA76F0"/>
    <w:rsid w:val="00AA7C8A"/>
    <w:rsid w:val="00AB1A62"/>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4C1F"/>
    <w:rsid w:val="00AC524C"/>
    <w:rsid w:val="00AC541B"/>
    <w:rsid w:val="00AC60AB"/>
    <w:rsid w:val="00AC60D6"/>
    <w:rsid w:val="00AC7693"/>
    <w:rsid w:val="00AC76B9"/>
    <w:rsid w:val="00AD05B7"/>
    <w:rsid w:val="00AD0855"/>
    <w:rsid w:val="00AD1453"/>
    <w:rsid w:val="00AD1ABD"/>
    <w:rsid w:val="00AD1B51"/>
    <w:rsid w:val="00AD1BF8"/>
    <w:rsid w:val="00AD27EC"/>
    <w:rsid w:val="00AD2AAB"/>
    <w:rsid w:val="00AD2E99"/>
    <w:rsid w:val="00AD36CD"/>
    <w:rsid w:val="00AD3C18"/>
    <w:rsid w:val="00AD3C6F"/>
    <w:rsid w:val="00AD4357"/>
    <w:rsid w:val="00AD45EA"/>
    <w:rsid w:val="00AD49E3"/>
    <w:rsid w:val="00AD4A0E"/>
    <w:rsid w:val="00AD4D9D"/>
    <w:rsid w:val="00AD5031"/>
    <w:rsid w:val="00AD7117"/>
    <w:rsid w:val="00AD78FF"/>
    <w:rsid w:val="00AD799A"/>
    <w:rsid w:val="00AD7CEC"/>
    <w:rsid w:val="00AD7D2D"/>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212"/>
    <w:rsid w:val="00AE58D5"/>
    <w:rsid w:val="00AE5E06"/>
    <w:rsid w:val="00AE5EEB"/>
    <w:rsid w:val="00AE644A"/>
    <w:rsid w:val="00AE70FE"/>
    <w:rsid w:val="00AE7DE0"/>
    <w:rsid w:val="00AF01DD"/>
    <w:rsid w:val="00AF0709"/>
    <w:rsid w:val="00AF0761"/>
    <w:rsid w:val="00AF077B"/>
    <w:rsid w:val="00AF1261"/>
    <w:rsid w:val="00AF15EE"/>
    <w:rsid w:val="00AF1A45"/>
    <w:rsid w:val="00AF2F8F"/>
    <w:rsid w:val="00AF34C6"/>
    <w:rsid w:val="00AF4B32"/>
    <w:rsid w:val="00AF53BD"/>
    <w:rsid w:val="00AF5749"/>
    <w:rsid w:val="00AF60DB"/>
    <w:rsid w:val="00AF6D69"/>
    <w:rsid w:val="00AF6DF7"/>
    <w:rsid w:val="00AF702A"/>
    <w:rsid w:val="00AF72A0"/>
    <w:rsid w:val="00AF73F6"/>
    <w:rsid w:val="00AF753B"/>
    <w:rsid w:val="00AF7F27"/>
    <w:rsid w:val="00B00005"/>
    <w:rsid w:val="00B00E70"/>
    <w:rsid w:val="00B029F2"/>
    <w:rsid w:val="00B03441"/>
    <w:rsid w:val="00B037EE"/>
    <w:rsid w:val="00B0449E"/>
    <w:rsid w:val="00B0451F"/>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05F"/>
    <w:rsid w:val="00B131C9"/>
    <w:rsid w:val="00B132D1"/>
    <w:rsid w:val="00B13756"/>
    <w:rsid w:val="00B13894"/>
    <w:rsid w:val="00B13F68"/>
    <w:rsid w:val="00B14121"/>
    <w:rsid w:val="00B14B76"/>
    <w:rsid w:val="00B15538"/>
    <w:rsid w:val="00B15602"/>
    <w:rsid w:val="00B15679"/>
    <w:rsid w:val="00B15A09"/>
    <w:rsid w:val="00B15A9A"/>
    <w:rsid w:val="00B16302"/>
    <w:rsid w:val="00B17208"/>
    <w:rsid w:val="00B17398"/>
    <w:rsid w:val="00B17569"/>
    <w:rsid w:val="00B177C8"/>
    <w:rsid w:val="00B2004A"/>
    <w:rsid w:val="00B20265"/>
    <w:rsid w:val="00B205BA"/>
    <w:rsid w:val="00B206C7"/>
    <w:rsid w:val="00B20A6F"/>
    <w:rsid w:val="00B20B01"/>
    <w:rsid w:val="00B21CC6"/>
    <w:rsid w:val="00B21CD4"/>
    <w:rsid w:val="00B21DBA"/>
    <w:rsid w:val="00B2218B"/>
    <w:rsid w:val="00B2231E"/>
    <w:rsid w:val="00B237C5"/>
    <w:rsid w:val="00B23D0C"/>
    <w:rsid w:val="00B240AF"/>
    <w:rsid w:val="00B243AA"/>
    <w:rsid w:val="00B2499D"/>
    <w:rsid w:val="00B24DE3"/>
    <w:rsid w:val="00B2532A"/>
    <w:rsid w:val="00B2547E"/>
    <w:rsid w:val="00B258D7"/>
    <w:rsid w:val="00B25DDC"/>
    <w:rsid w:val="00B262CA"/>
    <w:rsid w:val="00B2780D"/>
    <w:rsid w:val="00B301E4"/>
    <w:rsid w:val="00B30695"/>
    <w:rsid w:val="00B312FE"/>
    <w:rsid w:val="00B31377"/>
    <w:rsid w:val="00B31774"/>
    <w:rsid w:val="00B317CE"/>
    <w:rsid w:val="00B32330"/>
    <w:rsid w:val="00B32849"/>
    <w:rsid w:val="00B33391"/>
    <w:rsid w:val="00B33EEF"/>
    <w:rsid w:val="00B3462B"/>
    <w:rsid w:val="00B34BC1"/>
    <w:rsid w:val="00B350D6"/>
    <w:rsid w:val="00B35261"/>
    <w:rsid w:val="00B357BE"/>
    <w:rsid w:val="00B358FD"/>
    <w:rsid w:val="00B3632D"/>
    <w:rsid w:val="00B3660F"/>
    <w:rsid w:val="00B36643"/>
    <w:rsid w:val="00B37515"/>
    <w:rsid w:val="00B37F82"/>
    <w:rsid w:val="00B407D0"/>
    <w:rsid w:val="00B40DBA"/>
    <w:rsid w:val="00B41258"/>
    <w:rsid w:val="00B41906"/>
    <w:rsid w:val="00B41B99"/>
    <w:rsid w:val="00B41CDA"/>
    <w:rsid w:val="00B426E2"/>
    <w:rsid w:val="00B42B4E"/>
    <w:rsid w:val="00B43B0E"/>
    <w:rsid w:val="00B43D4E"/>
    <w:rsid w:val="00B44175"/>
    <w:rsid w:val="00B4462A"/>
    <w:rsid w:val="00B44B24"/>
    <w:rsid w:val="00B45E95"/>
    <w:rsid w:val="00B4603B"/>
    <w:rsid w:val="00B4615C"/>
    <w:rsid w:val="00B466C0"/>
    <w:rsid w:val="00B46FA6"/>
    <w:rsid w:val="00B470E0"/>
    <w:rsid w:val="00B4753A"/>
    <w:rsid w:val="00B47A42"/>
    <w:rsid w:val="00B506DE"/>
    <w:rsid w:val="00B51668"/>
    <w:rsid w:val="00B51C77"/>
    <w:rsid w:val="00B51FFA"/>
    <w:rsid w:val="00B5262D"/>
    <w:rsid w:val="00B52C5A"/>
    <w:rsid w:val="00B53665"/>
    <w:rsid w:val="00B537AC"/>
    <w:rsid w:val="00B53B8F"/>
    <w:rsid w:val="00B544CE"/>
    <w:rsid w:val="00B5452C"/>
    <w:rsid w:val="00B54598"/>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EA"/>
    <w:rsid w:val="00B75ACC"/>
    <w:rsid w:val="00B75FE1"/>
    <w:rsid w:val="00B779F0"/>
    <w:rsid w:val="00B77FF2"/>
    <w:rsid w:val="00B801C2"/>
    <w:rsid w:val="00B80294"/>
    <w:rsid w:val="00B803C8"/>
    <w:rsid w:val="00B80C62"/>
    <w:rsid w:val="00B80F84"/>
    <w:rsid w:val="00B81002"/>
    <w:rsid w:val="00B816E4"/>
    <w:rsid w:val="00B81D9A"/>
    <w:rsid w:val="00B81E3B"/>
    <w:rsid w:val="00B82551"/>
    <w:rsid w:val="00B82BE7"/>
    <w:rsid w:val="00B82E46"/>
    <w:rsid w:val="00B83097"/>
    <w:rsid w:val="00B8320B"/>
    <w:rsid w:val="00B83691"/>
    <w:rsid w:val="00B83939"/>
    <w:rsid w:val="00B83A02"/>
    <w:rsid w:val="00B83C3F"/>
    <w:rsid w:val="00B84021"/>
    <w:rsid w:val="00B845C0"/>
    <w:rsid w:val="00B84C1C"/>
    <w:rsid w:val="00B85533"/>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20EC"/>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0F25"/>
    <w:rsid w:val="00BA14EC"/>
    <w:rsid w:val="00BA2569"/>
    <w:rsid w:val="00BA2864"/>
    <w:rsid w:val="00BA2B33"/>
    <w:rsid w:val="00BA2DDD"/>
    <w:rsid w:val="00BA316C"/>
    <w:rsid w:val="00BA31D7"/>
    <w:rsid w:val="00BA3424"/>
    <w:rsid w:val="00BA37A5"/>
    <w:rsid w:val="00BA4376"/>
    <w:rsid w:val="00BA47AE"/>
    <w:rsid w:val="00BA48D3"/>
    <w:rsid w:val="00BA4C5E"/>
    <w:rsid w:val="00BA4D4D"/>
    <w:rsid w:val="00BA518B"/>
    <w:rsid w:val="00BA5224"/>
    <w:rsid w:val="00BA56F2"/>
    <w:rsid w:val="00BA5BDA"/>
    <w:rsid w:val="00BA7DB5"/>
    <w:rsid w:val="00BB03C1"/>
    <w:rsid w:val="00BB0976"/>
    <w:rsid w:val="00BB1A58"/>
    <w:rsid w:val="00BB2299"/>
    <w:rsid w:val="00BB24FF"/>
    <w:rsid w:val="00BB380F"/>
    <w:rsid w:val="00BB3DDC"/>
    <w:rsid w:val="00BB3F38"/>
    <w:rsid w:val="00BB52ED"/>
    <w:rsid w:val="00BB58C0"/>
    <w:rsid w:val="00BB5964"/>
    <w:rsid w:val="00BB5CE4"/>
    <w:rsid w:val="00BB6090"/>
    <w:rsid w:val="00BB6328"/>
    <w:rsid w:val="00BB65CA"/>
    <w:rsid w:val="00BB71C1"/>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733"/>
    <w:rsid w:val="00BC3C64"/>
    <w:rsid w:val="00BC3C76"/>
    <w:rsid w:val="00BC40A6"/>
    <w:rsid w:val="00BC442F"/>
    <w:rsid w:val="00BC4E30"/>
    <w:rsid w:val="00BC5665"/>
    <w:rsid w:val="00BC5900"/>
    <w:rsid w:val="00BC5AC9"/>
    <w:rsid w:val="00BC6825"/>
    <w:rsid w:val="00BC7DCD"/>
    <w:rsid w:val="00BD0CC7"/>
    <w:rsid w:val="00BD0DE1"/>
    <w:rsid w:val="00BD1449"/>
    <w:rsid w:val="00BD14B2"/>
    <w:rsid w:val="00BD1960"/>
    <w:rsid w:val="00BD1E5D"/>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2CD"/>
    <w:rsid w:val="00BE1816"/>
    <w:rsid w:val="00BE2D8A"/>
    <w:rsid w:val="00BE3022"/>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CB5"/>
    <w:rsid w:val="00BF0D91"/>
    <w:rsid w:val="00BF0F91"/>
    <w:rsid w:val="00BF12E2"/>
    <w:rsid w:val="00BF24DD"/>
    <w:rsid w:val="00BF270B"/>
    <w:rsid w:val="00BF289B"/>
    <w:rsid w:val="00BF45C5"/>
    <w:rsid w:val="00BF48C3"/>
    <w:rsid w:val="00BF4D74"/>
    <w:rsid w:val="00BF53ED"/>
    <w:rsid w:val="00BF54D4"/>
    <w:rsid w:val="00BF5E86"/>
    <w:rsid w:val="00BF6E82"/>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A98"/>
    <w:rsid w:val="00C05454"/>
    <w:rsid w:val="00C05E86"/>
    <w:rsid w:val="00C06DB3"/>
    <w:rsid w:val="00C071F3"/>
    <w:rsid w:val="00C07258"/>
    <w:rsid w:val="00C075EE"/>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C82"/>
    <w:rsid w:val="00C170F6"/>
    <w:rsid w:val="00C20551"/>
    <w:rsid w:val="00C20809"/>
    <w:rsid w:val="00C208AC"/>
    <w:rsid w:val="00C20DF6"/>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3D7B"/>
    <w:rsid w:val="00C3455D"/>
    <w:rsid w:val="00C356DA"/>
    <w:rsid w:val="00C36B20"/>
    <w:rsid w:val="00C36F56"/>
    <w:rsid w:val="00C374E2"/>
    <w:rsid w:val="00C37F6F"/>
    <w:rsid w:val="00C408BC"/>
    <w:rsid w:val="00C412D0"/>
    <w:rsid w:val="00C41E27"/>
    <w:rsid w:val="00C430B0"/>
    <w:rsid w:val="00C43318"/>
    <w:rsid w:val="00C43C48"/>
    <w:rsid w:val="00C43D3B"/>
    <w:rsid w:val="00C44068"/>
    <w:rsid w:val="00C441E0"/>
    <w:rsid w:val="00C44DFF"/>
    <w:rsid w:val="00C44E16"/>
    <w:rsid w:val="00C453AC"/>
    <w:rsid w:val="00C45F94"/>
    <w:rsid w:val="00C467A4"/>
    <w:rsid w:val="00C46881"/>
    <w:rsid w:val="00C47110"/>
    <w:rsid w:val="00C51206"/>
    <w:rsid w:val="00C5177B"/>
    <w:rsid w:val="00C51867"/>
    <w:rsid w:val="00C521ED"/>
    <w:rsid w:val="00C52A71"/>
    <w:rsid w:val="00C52E64"/>
    <w:rsid w:val="00C53A8B"/>
    <w:rsid w:val="00C53B19"/>
    <w:rsid w:val="00C5460B"/>
    <w:rsid w:val="00C550E9"/>
    <w:rsid w:val="00C552D5"/>
    <w:rsid w:val="00C55403"/>
    <w:rsid w:val="00C55A10"/>
    <w:rsid w:val="00C55F52"/>
    <w:rsid w:val="00C564F7"/>
    <w:rsid w:val="00C567F7"/>
    <w:rsid w:val="00C568F9"/>
    <w:rsid w:val="00C57AD5"/>
    <w:rsid w:val="00C606D5"/>
    <w:rsid w:val="00C60C54"/>
    <w:rsid w:val="00C60EA0"/>
    <w:rsid w:val="00C61119"/>
    <w:rsid w:val="00C615BA"/>
    <w:rsid w:val="00C615CE"/>
    <w:rsid w:val="00C61F41"/>
    <w:rsid w:val="00C62272"/>
    <w:rsid w:val="00C624DD"/>
    <w:rsid w:val="00C629CF"/>
    <w:rsid w:val="00C6309C"/>
    <w:rsid w:val="00C634CD"/>
    <w:rsid w:val="00C63A06"/>
    <w:rsid w:val="00C63A45"/>
    <w:rsid w:val="00C63B65"/>
    <w:rsid w:val="00C63C39"/>
    <w:rsid w:val="00C64113"/>
    <w:rsid w:val="00C64356"/>
    <w:rsid w:val="00C647DB"/>
    <w:rsid w:val="00C64981"/>
    <w:rsid w:val="00C6520C"/>
    <w:rsid w:val="00C65E28"/>
    <w:rsid w:val="00C663EF"/>
    <w:rsid w:val="00C669EE"/>
    <w:rsid w:val="00C66B18"/>
    <w:rsid w:val="00C6740F"/>
    <w:rsid w:val="00C6741A"/>
    <w:rsid w:val="00C67826"/>
    <w:rsid w:val="00C7026E"/>
    <w:rsid w:val="00C705AE"/>
    <w:rsid w:val="00C719C1"/>
    <w:rsid w:val="00C71C17"/>
    <w:rsid w:val="00C71F1B"/>
    <w:rsid w:val="00C724F4"/>
    <w:rsid w:val="00C72625"/>
    <w:rsid w:val="00C72785"/>
    <w:rsid w:val="00C72C1E"/>
    <w:rsid w:val="00C73037"/>
    <w:rsid w:val="00C7344E"/>
    <w:rsid w:val="00C73615"/>
    <w:rsid w:val="00C73AD2"/>
    <w:rsid w:val="00C74183"/>
    <w:rsid w:val="00C74631"/>
    <w:rsid w:val="00C74E96"/>
    <w:rsid w:val="00C75044"/>
    <w:rsid w:val="00C76D5E"/>
    <w:rsid w:val="00C77134"/>
    <w:rsid w:val="00C7726E"/>
    <w:rsid w:val="00C80C41"/>
    <w:rsid w:val="00C81397"/>
    <w:rsid w:val="00C8211D"/>
    <w:rsid w:val="00C82D39"/>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0CAE"/>
    <w:rsid w:val="00C91D80"/>
    <w:rsid w:val="00C91EB9"/>
    <w:rsid w:val="00C91ED0"/>
    <w:rsid w:val="00C91F4F"/>
    <w:rsid w:val="00C92491"/>
    <w:rsid w:val="00C92681"/>
    <w:rsid w:val="00C93787"/>
    <w:rsid w:val="00C94B08"/>
    <w:rsid w:val="00C94B3B"/>
    <w:rsid w:val="00C95A48"/>
    <w:rsid w:val="00C95B5B"/>
    <w:rsid w:val="00C9664E"/>
    <w:rsid w:val="00C967FA"/>
    <w:rsid w:val="00C97123"/>
    <w:rsid w:val="00C97399"/>
    <w:rsid w:val="00C97679"/>
    <w:rsid w:val="00C97693"/>
    <w:rsid w:val="00C97705"/>
    <w:rsid w:val="00C9784C"/>
    <w:rsid w:val="00C97D3B"/>
    <w:rsid w:val="00CA02F4"/>
    <w:rsid w:val="00CA05F3"/>
    <w:rsid w:val="00CA1205"/>
    <w:rsid w:val="00CA1FFE"/>
    <w:rsid w:val="00CA3EDC"/>
    <w:rsid w:val="00CA45E8"/>
    <w:rsid w:val="00CA487C"/>
    <w:rsid w:val="00CA5301"/>
    <w:rsid w:val="00CA5782"/>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752"/>
    <w:rsid w:val="00CD3A09"/>
    <w:rsid w:val="00CD3EB7"/>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524"/>
    <w:rsid w:val="00CE1A2B"/>
    <w:rsid w:val="00CE224E"/>
    <w:rsid w:val="00CE23BA"/>
    <w:rsid w:val="00CE298E"/>
    <w:rsid w:val="00CE3143"/>
    <w:rsid w:val="00CE38B1"/>
    <w:rsid w:val="00CE470D"/>
    <w:rsid w:val="00CE57AF"/>
    <w:rsid w:val="00CE5B7B"/>
    <w:rsid w:val="00CE605D"/>
    <w:rsid w:val="00CE65C2"/>
    <w:rsid w:val="00CE6ED2"/>
    <w:rsid w:val="00CE7803"/>
    <w:rsid w:val="00CE78BF"/>
    <w:rsid w:val="00CE78DC"/>
    <w:rsid w:val="00CE7B7D"/>
    <w:rsid w:val="00CF05A5"/>
    <w:rsid w:val="00CF0689"/>
    <w:rsid w:val="00CF130F"/>
    <w:rsid w:val="00CF1618"/>
    <w:rsid w:val="00CF1B75"/>
    <w:rsid w:val="00CF20E5"/>
    <w:rsid w:val="00CF3011"/>
    <w:rsid w:val="00CF345D"/>
    <w:rsid w:val="00CF385E"/>
    <w:rsid w:val="00CF3C49"/>
    <w:rsid w:val="00CF5BC7"/>
    <w:rsid w:val="00CF6B8E"/>
    <w:rsid w:val="00CF6D48"/>
    <w:rsid w:val="00CF7AE5"/>
    <w:rsid w:val="00CF7B66"/>
    <w:rsid w:val="00D0041D"/>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E"/>
    <w:rsid w:val="00D06126"/>
    <w:rsid w:val="00D06C41"/>
    <w:rsid w:val="00D07483"/>
    <w:rsid w:val="00D07A7B"/>
    <w:rsid w:val="00D07AE8"/>
    <w:rsid w:val="00D07FC5"/>
    <w:rsid w:val="00D10D22"/>
    <w:rsid w:val="00D10D78"/>
    <w:rsid w:val="00D11878"/>
    <w:rsid w:val="00D11E41"/>
    <w:rsid w:val="00D1235C"/>
    <w:rsid w:val="00D12616"/>
    <w:rsid w:val="00D12ECA"/>
    <w:rsid w:val="00D13AB7"/>
    <w:rsid w:val="00D13F8A"/>
    <w:rsid w:val="00D147CE"/>
    <w:rsid w:val="00D14D3B"/>
    <w:rsid w:val="00D15150"/>
    <w:rsid w:val="00D153CC"/>
    <w:rsid w:val="00D15637"/>
    <w:rsid w:val="00D156CD"/>
    <w:rsid w:val="00D157FB"/>
    <w:rsid w:val="00D15E14"/>
    <w:rsid w:val="00D16E10"/>
    <w:rsid w:val="00D16EEC"/>
    <w:rsid w:val="00D207C7"/>
    <w:rsid w:val="00D22F95"/>
    <w:rsid w:val="00D231BA"/>
    <w:rsid w:val="00D23350"/>
    <w:rsid w:val="00D23CAC"/>
    <w:rsid w:val="00D24A4C"/>
    <w:rsid w:val="00D25327"/>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3B8D"/>
    <w:rsid w:val="00D340E7"/>
    <w:rsid w:val="00D342A6"/>
    <w:rsid w:val="00D34F3C"/>
    <w:rsid w:val="00D364F5"/>
    <w:rsid w:val="00D3662F"/>
    <w:rsid w:val="00D36BD1"/>
    <w:rsid w:val="00D36E9E"/>
    <w:rsid w:val="00D376EB"/>
    <w:rsid w:val="00D4052D"/>
    <w:rsid w:val="00D40F45"/>
    <w:rsid w:val="00D41228"/>
    <w:rsid w:val="00D42162"/>
    <w:rsid w:val="00D4223B"/>
    <w:rsid w:val="00D42812"/>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5B"/>
    <w:rsid w:val="00D520FC"/>
    <w:rsid w:val="00D52566"/>
    <w:rsid w:val="00D533DF"/>
    <w:rsid w:val="00D53726"/>
    <w:rsid w:val="00D54592"/>
    <w:rsid w:val="00D553DD"/>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2C6"/>
    <w:rsid w:val="00D663AA"/>
    <w:rsid w:val="00D66D8D"/>
    <w:rsid w:val="00D6778A"/>
    <w:rsid w:val="00D67F31"/>
    <w:rsid w:val="00D67F87"/>
    <w:rsid w:val="00D706FD"/>
    <w:rsid w:val="00D70BDF"/>
    <w:rsid w:val="00D7102D"/>
    <w:rsid w:val="00D71878"/>
    <w:rsid w:val="00D71C6E"/>
    <w:rsid w:val="00D72885"/>
    <w:rsid w:val="00D73353"/>
    <w:rsid w:val="00D73E4E"/>
    <w:rsid w:val="00D74CE1"/>
    <w:rsid w:val="00D74E2F"/>
    <w:rsid w:val="00D751D1"/>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289"/>
    <w:rsid w:val="00D852FB"/>
    <w:rsid w:val="00D8539B"/>
    <w:rsid w:val="00D85DF9"/>
    <w:rsid w:val="00D85F16"/>
    <w:rsid w:val="00D860E3"/>
    <w:rsid w:val="00D86C30"/>
    <w:rsid w:val="00D86FDC"/>
    <w:rsid w:val="00D875B8"/>
    <w:rsid w:val="00D8798A"/>
    <w:rsid w:val="00D87F28"/>
    <w:rsid w:val="00D9008D"/>
    <w:rsid w:val="00D90C1D"/>
    <w:rsid w:val="00D90E7C"/>
    <w:rsid w:val="00D90F4A"/>
    <w:rsid w:val="00D90F4C"/>
    <w:rsid w:val="00D9113E"/>
    <w:rsid w:val="00D915B4"/>
    <w:rsid w:val="00D9160A"/>
    <w:rsid w:val="00D92029"/>
    <w:rsid w:val="00D92383"/>
    <w:rsid w:val="00D92BB0"/>
    <w:rsid w:val="00D92DAF"/>
    <w:rsid w:val="00D92EF1"/>
    <w:rsid w:val="00D92FB0"/>
    <w:rsid w:val="00D93490"/>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C08"/>
    <w:rsid w:val="00D95E4C"/>
    <w:rsid w:val="00D95E8A"/>
    <w:rsid w:val="00D96003"/>
    <w:rsid w:val="00D9609A"/>
    <w:rsid w:val="00D96153"/>
    <w:rsid w:val="00D967DE"/>
    <w:rsid w:val="00DA067F"/>
    <w:rsid w:val="00DA0786"/>
    <w:rsid w:val="00DA1C4F"/>
    <w:rsid w:val="00DA2636"/>
    <w:rsid w:val="00DA2EB0"/>
    <w:rsid w:val="00DA47FF"/>
    <w:rsid w:val="00DA4DD5"/>
    <w:rsid w:val="00DA685C"/>
    <w:rsid w:val="00DA6AC8"/>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5F76"/>
    <w:rsid w:val="00DC6037"/>
    <w:rsid w:val="00DC6147"/>
    <w:rsid w:val="00DC64F6"/>
    <w:rsid w:val="00DC68BE"/>
    <w:rsid w:val="00DC707A"/>
    <w:rsid w:val="00DC747F"/>
    <w:rsid w:val="00DC7B20"/>
    <w:rsid w:val="00DC7C0D"/>
    <w:rsid w:val="00DC7EBE"/>
    <w:rsid w:val="00DD1D2C"/>
    <w:rsid w:val="00DD1DBA"/>
    <w:rsid w:val="00DD2D26"/>
    <w:rsid w:val="00DD2D4D"/>
    <w:rsid w:val="00DD352F"/>
    <w:rsid w:val="00DD4319"/>
    <w:rsid w:val="00DD4328"/>
    <w:rsid w:val="00DD525C"/>
    <w:rsid w:val="00DD5418"/>
    <w:rsid w:val="00DD5A9D"/>
    <w:rsid w:val="00DD6705"/>
    <w:rsid w:val="00DD6C6E"/>
    <w:rsid w:val="00DD7364"/>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ADA"/>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A84"/>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5CB1"/>
    <w:rsid w:val="00E060ED"/>
    <w:rsid w:val="00E06B26"/>
    <w:rsid w:val="00E07746"/>
    <w:rsid w:val="00E077C7"/>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2C5B"/>
    <w:rsid w:val="00E13251"/>
    <w:rsid w:val="00E13424"/>
    <w:rsid w:val="00E13601"/>
    <w:rsid w:val="00E141B9"/>
    <w:rsid w:val="00E1440E"/>
    <w:rsid w:val="00E1504C"/>
    <w:rsid w:val="00E15AC5"/>
    <w:rsid w:val="00E169E9"/>
    <w:rsid w:val="00E16F1A"/>
    <w:rsid w:val="00E17130"/>
    <w:rsid w:val="00E172F9"/>
    <w:rsid w:val="00E175D7"/>
    <w:rsid w:val="00E1765C"/>
    <w:rsid w:val="00E176D6"/>
    <w:rsid w:val="00E178E4"/>
    <w:rsid w:val="00E17908"/>
    <w:rsid w:val="00E179D4"/>
    <w:rsid w:val="00E17B1E"/>
    <w:rsid w:val="00E17C7B"/>
    <w:rsid w:val="00E17DF4"/>
    <w:rsid w:val="00E200B1"/>
    <w:rsid w:val="00E20116"/>
    <w:rsid w:val="00E211AF"/>
    <w:rsid w:val="00E212F7"/>
    <w:rsid w:val="00E21363"/>
    <w:rsid w:val="00E22866"/>
    <w:rsid w:val="00E22EE0"/>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091"/>
    <w:rsid w:val="00E3012B"/>
    <w:rsid w:val="00E315DA"/>
    <w:rsid w:val="00E3170A"/>
    <w:rsid w:val="00E31C84"/>
    <w:rsid w:val="00E31E27"/>
    <w:rsid w:val="00E31F33"/>
    <w:rsid w:val="00E32C59"/>
    <w:rsid w:val="00E32F81"/>
    <w:rsid w:val="00E331F6"/>
    <w:rsid w:val="00E333F7"/>
    <w:rsid w:val="00E33513"/>
    <w:rsid w:val="00E33596"/>
    <w:rsid w:val="00E33DFE"/>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4C5"/>
    <w:rsid w:val="00E4150C"/>
    <w:rsid w:val="00E41C0F"/>
    <w:rsid w:val="00E42A9E"/>
    <w:rsid w:val="00E42DC8"/>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E5"/>
    <w:rsid w:val="00E53D93"/>
    <w:rsid w:val="00E54046"/>
    <w:rsid w:val="00E54501"/>
    <w:rsid w:val="00E5451F"/>
    <w:rsid w:val="00E54C43"/>
    <w:rsid w:val="00E54C50"/>
    <w:rsid w:val="00E54F67"/>
    <w:rsid w:val="00E55994"/>
    <w:rsid w:val="00E56B8E"/>
    <w:rsid w:val="00E56D62"/>
    <w:rsid w:val="00E57161"/>
    <w:rsid w:val="00E572B7"/>
    <w:rsid w:val="00E5787F"/>
    <w:rsid w:val="00E602D6"/>
    <w:rsid w:val="00E60897"/>
    <w:rsid w:val="00E60A98"/>
    <w:rsid w:val="00E60C12"/>
    <w:rsid w:val="00E61098"/>
    <w:rsid w:val="00E6116D"/>
    <w:rsid w:val="00E623F1"/>
    <w:rsid w:val="00E626F5"/>
    <w:rsid w:val="00E6280E"/>
    <w:rsid w:val="00E62E32"/>
    <w:rsid w:val="00E63884"/>
    <w:rsid w:val="00E63C8D"/>
    <w:rsid w:val="00E649EF"/>
    <w:rsid w:val="00E65833"/>
    <w:rsid w:val="00E660B0"/>
    <w:rsid w:val="00E668A6"/>
    <w:rsid w:val="00E66C0C"/>
    <w:rsid w:val="00E66E97"/>
    <w:rsid w:val="00E67248"/>
    <w:rsid w:val="00E673B8"/>
    <w:rsid w:val="00E67A21"/>
    <w:rsid w:val="00E67D4F"/>
    <w:rsid w:val="00E705CF"/>
    <w:rsid w:val="00E705F1"/>
    <w:rsid w:val="00E707BC"/>
    <w:rsid w:val="00E70816"/>
    <w:rsid w:val="00E70884"/>
    <w:rsid w:val="00E70CB2"/>
    <w:rsid w:val="00E72F57"/>
    <w:rsid w:val="00E7391C"/>
    <w:rsid w:val="00E73B15"/>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3E85"/>
    <w:rsid w:val="00E84755"/>
    <w:rsid w:val="00E84BFD"/>
    <w:rsid w:val="00E84FF6"/>
    <w:rsid w:val="00E858A1"/>
    <w:rsid w:val="00E85C4E"/>
    <w:rsid w:val="00E85C70"/>
    <w:rsid w:val="00E863EB"/>
    <w:rsid w:val="00E869AC"/>
    <w:rsid w:val="00E86F98"/>
    <w:rsid w:val="00E878FB"/>
    <w:rsid w:val="00E8792F"/>
    <w:rsid w:val="00E879D3"/>
    <w:rsid w:val="00E90467"/>
    <w:rsid w:val="00E9129A"/>
    <w:rsid w:val="00E91F34"/>
    <w:rsid w:val="00E922A6"/>
    <w:rsid w:val="00E922D7"/>
    <w:rsid w:val="00E932EC"/>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0CD"/>
    <w:rsid w:val="00EA1262"/>
    <w:rsid w:val="00EA24D6"/>
    <w:rsid w:val="00EA2DC1"/>
    <w:rsid w:val="00EA3248"/>
    <w:rsid w:val="00EA46A3"/>
    <w:rsid w:val="00EA5376"/>
    <w:rsid w:val="00EA54B1"/>
    <w:rsid w:val="00EA61FE"/>
    <w:rsid w:val="00EA62B0"/>
    <w:rsid w:val="00EA70F5"/>
    <w:rsid w:val="00EA716F"/>
    <w:rsid w:val="00EA7403"/>
    <w:rsid w:val="00EA7421"/>
    <w:rsid w:val="00EB0007"/>
    <w:rsid w:val="00EB01D7"/>
    <w:rsid w:val="00EB0F1A"/>
    <w:rsid w:val="00EB19B8"/>
    <w:rsid w:val="00EB24CA"/>
    <w:rsid w:val="00EB26BF"/>
    <w:rsid w:val="00EB327F"/>
    <w:rsid w:val="00EB40FF"/>
    <w:rsid w:val="00EB4C69"/>
    <w:rsid w:val="00EB4DA9"/>
    <w:rsid w:val="00EB4F55"/>
    <w:rsid w:val="00EB52A4"/>
    <w:rsid w:val="00EB5C19"/>
    <w:rsid w:val="00EB5F18"/>
    <w:rsid w:val="00EB62F5"/>
    <w:rsid w:val="00EB6978"/>
    <w:rsid w:val="00EB6EB4"/>
    <w:rsid w:val="00EB6FA2"/>
    <w:rsid w:val="00EB7131"/>
    <w:rsid w:val="00EB71FA"/>
    <w:rsid w:val="00EB77AA"/>
    <w:rsid w:val="00EB7972"/>
    <w:rsid w:val="00EB7CF5"/>
    <w:rsid w:val="00EB7EA6"/>
    <w:rsid w:val="00EC0A9D"/>
    <w:rsid w:val="00EC126C"/>
    <w:rsid w:val="00EC21DA"/>
    <w:rsid w:val="00EC2A9E"/>
    <w:rsid w:val="00EC2E2B"/>
    <w:rsid w:val="00EC346D"/>
    <w:rsid w:val="00EC439F"/>
    <w:rsid w:val="00EC43C8"/>
    <w:rsid w:val="00EC4B2E"/>
    <w:rsid w:val="00EC556F"/>
    <w:rsid w:val="00EC5855"/>
    <w:rsid w:val="00EC5B7E"/>
    <w:rsid w:val="00EC5E09"/>
    <w:rsid w:val="00EC6D77"/>
    <w:rsid w:val="00EC6E11"/>
    <w:rsid w:val="00ED00F8"/>
    <w:rsid w:val="00ED084D"/>
    <w:rsid w:val="00ED0B48"/>
    <w:rsid w:val="00ED17F2"/>
    <w:rsid w:val="00ED1C72"/>
    <w:rsid w:val="00ED223B"/>
    <w:rsid w:val="00ED2A75"/>
    <w:rsid w:val="00ED2FF9"/>
    <w:rsid w:val="00ED3004"/>
    <w:rsid w:val="00ED56DB"/>
    <w:rsid w:val="00ED5AC1"/>
    <w:rsid w:val="00ED6687"/>
    <w:rsid w:val="00ED6EC4"/>
    <w:rsid w:val="00ED791A"/>
    <w:rsid w:val="00ED7BF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52C9"/>
    <w:rsid w:val="00EE5678"/>
    <w:rsid w:val="00EE5A16"/>
    <w:rsid w:val="00EE6732"/>
    <w:rsid w:val="00EE686C"/>
    <w:rsid w:val="00EE6977"/>
    <w:rsid w:val="00EE69B6"/>
    <w:rsid w:val="00EE7480"/>
    <w:rsid w:val="00EE77E2"/>
    <w:rsid w:val="00EE7FAD"/>
    <w:rsid w:val="00EF0244"/>
    <w:rsid w:val="00EF062F"/>
    <w:rsid w:val="00EF09D8"/>
    <w:rsid w:val="00EF0CDA"/>
    <w:rsid w:val="00EF1DDC"/>
    <w:rsid w:val="00EF1E47"/>
    <w:rsid w:val="00EF2277"/>
    <w:rsid w:val="00EF267A"/>
    <w:rsid w:val="00EF3A63"/>
    <w:rsid w:val="00EF3ADE"/>
    <w:rsid w:val="00EF3C45"/>
    <w:rsid w:val="00EF4998"/>
    <w:rsid w:val="00EF4C95"/>
    <w:rsid w:val="00EF6198"/>
    <w:rsid w:val="00EF70ED"/>
    <w:rsid w:val="00EF7771"/>
    <w:rsid w:val="00F001CD"/>
    <w:rsid w:val="00F0024C"/>
    <w:rsid w:val="00F002A5"/>
    <w:rsid w:val="00F00EC5"/>
    <w:rsid w:val="00F01190"/>
    <w:rsid w:val="00F0137A"/>
    <w:rsid w:val="00F014E1"/>
    <w:rsid w:val="00F01593"/>
    <w:rsid w:val="00F0177C"/>
    <w:rsid w:val="00F01FFC"/>
    <w:rsid w:val="00F0201F"/>
    <w:rsid w:val="00F02AE7"/>
    <w:rsid w:val="00F02B05"/>
    <w:rsid w:val="00F02E10"/>
    <w:rsid w:val="00F032DE"/>
    <w:rsid w:val="00F03486"/>
    <w:rsid w:val="00F0352B"/>
    <w:rsid w:val="00F03D5E"/>
    <w:rsid w:val="00F04606"/>
    <w:rsid w:val="00F046EA"/>
    <w:rsid w:val="00F06293"/>
    <w:rsid w:val="00F06D59"/>
    <w:rsid w:val="00F07469"/>
    <w:rsid w:val="00F074EA"/>
    <w:rsid w:val="00F101E1"/>
    <w:rsid w:val="00F10649"/>
    <w:rsid w:val="00F10AA3"/>
    <w:rsid w:val="00F10AF0"/>
    <w:rsid w:val="00F11F8B"/>
    <w:rsid w:val="00F1216E"/>
    <w:rsid w:val="00F128BD"/>
    <w:rsid w:val="00F128ED"/>
    <w:rsid w:val="00F12D12"/>
    <w:rsid w:val="00F13258"/>
    <w:rsid w:val="00F13F49"/>
    <w:rsid w:val="00F1429A"/>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192D"/>
    <w:rsid w:val="00F5209F"/>
    <w:rsid w:val="00F52483"/>
    <w:rsid w:val="00F52686"/>
    <w:rsid w:val="00F52F15"/>
    <w:rsid w:val="00F53291"/>
    <w:rsid w:val="00F53B59"/>
    <w:rsid w:val="00F544F0"/>
    <w:rsid w:val="00F54FAB"/>
    <w:rsid w:val="00F5571D"/>
    <w:rsid w:val="00F55E39"/>
    <w:rsid w:val="00F56169"/>
    <w:rsid w:val="00F56459"/>
    <w:rsid w:val="00F56F2F"/>
    <w:rsid w:val="00F570A3"/>
    <w:rsid w:val="00F5741C"/>
    <w:rsid w:val="00F574AB"/>
    <w:rsid w:val="00F610E9"/>
    <w:rsid w:val="00F61955"/>
    <w:rsid w:val="00F62A43"/>
    <w:rsid w:val="00F63806"/>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202"/>
    <w:rsid w:val="00F70799"/>
    <w:rsid w:val="00F709CA"/>
    <w:rsid w:val="00F709DD"/>
    <w:rsid w:val="00F710B2"/>
    <w:rsid w:val="00F719CC"/>
    <w:rsid w:val="00F71EAB"/>
    <w:rsid w:val="00F721E4"/>
    <w:rsid w:val="00F72270"/>
    <w:rsid w:val="00F72597"/>
    <w:rsid w:val="00F728D3"/>
    <w:rsid w:val="00F72AC8"/>
    <w:rsid w:val="00F72B2E"/>
    <w:rsid w:val="00F732ED"/>
    <w:rsid w:val="00F736A5"/>
    <w:rsid w:val="00F74334"/>
    <w:rsid w:val="00F74593"/>
    <w:rsid w:val="00F74A1B"/>
    <w:rsid w:val="00F753F3"/>
    <w:rsid w:val="00F75BA9"/>
    <w:rsid w:val="00F75D9E"/>
    <w:rsid w:val="00F76105"/>
    <w:rsid w:val="00F767B8"/>
    <w:rsid w:val="00F769B7"/>
    <w:rsid w:val="00F77011"/>
    <w:rsid w:val="00F7784A"/>
    <w:rsid w:val="00F80437"/>
    <w:rsid w:val="00F8060E"/>
    <w:rsid w:val="00F80625"/>
    <w:rsid w:val="00F806F1"/>
    <w:rsid w:val="00F8098C"/>
    <w:rsid w:val="00F80CFA"/>
    <w:rsid w:val="00F80D60"/>
    <w:rsid w:val="00F80F5B"/>
    <w:rsid w:val="00F810C0"/>
    <w:rsid w:val="00F8137E"/>
    <w:rsid w:val="00F81421"/>
    <w:rsid w:val="00F8158E"/>
    <w:rsid w:val="00F81651"/>
    <w:rsid w:val="00F81AA6"/>
    <w:rsid w:val="00F82B2C"/>
    <w:rsid w:val="00F83376"/>
    <w:rsid w:val="00F83419"/>
    <w:rsid w:val="00F834BD"/>
    <w:rsid w:val="00F83671"/>
    <w:rsid w:val="00F83C7A"/>
    <w:rsid w:val="00F83D75"/>
    <w:rsid w:val="00F84670"/>
    <w:rsid w:val="00F847D2"/>
    <w:rsid w:val="00F84835"/>
    <w:rsid w:val="00F848B7"/>
    <w:rsid w:val="00F84AF4"/>
    <w:rsid w:val="00F84FF6"/>
    <w:rsid w:val="00F85986"/>
    <w:rsid w:val="00F85D9E"/>
    <w:rsid w:val="00F860BA"/>
    <w:rsid w:val="00F861BE"/>
    <w:rsid w:val="00F86488"/>
    <w:rsid w:val="00F8685C"/>
    <w:rsid w:val="00F87068"/>
    <w:rsid w:val="00F900EC"/>
    <w:rsid w:val="00F902F2"/>
    <w:rsid w:val="00F90B6D"/>
    <w:rsid w:val="00F90D2B"/>
    <w:rsid w:val="00F91597"/>
    <w:rsid w:val="00F92031"/>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1E4"/>
    <w:rsid w:val="00FA12DD"/>
    <w:rsid w:val="00FA1984"/>
    <w:rsid w:val="00FA1C43"/>
    <w:rsid w:val="00FA2C51"/>
    <w:rsid w:val="00FA2E74"/>
    <w:rsid w:val="00FA3392"/>
    <w:rsid w:val="00FA36BE"/>
    <w:rsid w:val="00FA4B9B"/>
    <w:rsid w:val="00FA4D55"/>
    <w:rsid w:val="00FA52E2"/>
    <w:rsid w:val="00FA55D5"/>
    <w:rsid w:val="00FA567F"/>
    <w:rsid w:val="00FA57DD"/>
    <w:rsid w:val="00FA5910"/>
    <w:rsid w:val="00FA7727"/>
    <w:rsid w:val="00FB0010"/>
    <w:rsid w:val="00FB05CA"/>
    <w:rsid w:val="00FB07D0"/>
    <w:rsid w:val="00FB0989"/>
    <w:rsid w:val="00FB0D54"/>
    <w:rsid w:val="00FB15F3"/>
    <w:rsid w:val="00FB1F39"/>
    <w:rsid w:val="00FB23DE"/>
    <w:rsid w:val="00FB24B1"/>
    <w:rsid w:val="00FB29EB"/>
    <w:rsid w:val="00FB2B49"/>
    <w:rsid w:val="00FB3296"/>
    <w:rsid w:val="00FB34BD"/>
    <w:rsid w:val="00FB39BF"/>
    <w:rsid w:val="00FB44FB"/>
    <w:rsid w:val="00FB4515"/>
    <w:rsid w:val="00FB4A3D"/>
    <w:rsid w:val="00FB4A5F"/>
    <w:rsid w:val="00FB4B27"/>
    <w:rsid w:val="00FB52D3"/>
    <w:rsid w:val="00FB5325"/>
    <w:rsid w:val="00FB59B5"/>
    <w:rsid w:val="00FB5FBB"/>
    <w:rsid w:val="00FB655C"/>
    <w:rsid w:val="00FB6BB2"/>
    <w:rsid w:val="00FB7411"/>
    <w:rsid w:val="00FC0A01"/>
    <w:rsid w:val="00FC21F3"/>
    <w:rsid w:val="00FC2503"/>
    <w:rsid w:val="00FC28C2"/>
    <w:rsid w:val="00FC2A34"/>
    <w:rsid w:val="00FC2B02"/>
    <w:rsid w:val="00FC2E41"/>
    <w:rsid w:val="00FC36D8"/>
    <w:rsid w:val="00FC3B35"/>
    <w:rsid w:val="00FC3D4B"/>
    <w:rsid w:val="00FC510D"/>
    <w:rsid w:val="00FC5700"/>
    <w:rsid w:val="00FC5DB9"/>
    <w:rsid w:val="00FC6046"/>
    <w:rsid w:val="00FC6E94"/>
    <w:rsid w:val="00FC73FB"/>
    <w:rsid w:val="00FC791D"/>
    <w:rsid w:val="00FC7F7B"/>
    <w:rsid w:val="00FD123D"/>
    <w:rsid w:val="00FD13E7"/>
    <w:rsid w:val="00FD22B4"/>
    <w:rsid w:val="00FD273F"/>
    <w:rsid w:val="00FD294F"/>
    <w:rsid w:val="00FD2C04"/>
    <w:rsid w:val="00FD2F4D"/>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286"/>
    <w:rsid w:val="00FE46F9"/>
    <w:rsid w:val="00FE4A43"/>
    <w:rsid w:val="00FE4B86"/>
    <w:rsid w:val="00FE4C69"/>
    <w:rsid w:val="00FE5088"/>
    <w:rsid w:val="00FE606D"/>
    <w:rsid w:val="00FE6E03"/>
    <w:rsid w:val="00FE6EE7"/>
    <w:rsid w:val="00FE6F69"/>
    <w:rsid w:val="00FE78B8"/>
    <w:rsid w:val="00FE7B88"/>
    <w:rsid w:val="00FE7BD3"/>
    <w:rsid w:val="00FF02AD"/>
    <w:rsid w:val="00FF0459"/>
    <w:rsid w:val="00FF2250"/>
    <w:rsid w:val="00FF2326"/>
    <w:rsid w:val="00FF3061"/>
    <w:rsid w:val="00FF32BD"/>
    <w:rsid w:val="00FF32E4"/>
    <w:rsid w:val="00FF41C0"/>
    <w:rsid w:val="00FF4C0D"/>
    <w:rsid w:val="00FF4F47"/>
    <w:rsid w:val="00FF504F"/>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04681345">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1962950440">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1C33-69A1-4A38-8C13-F31AF88C1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2559</Words>
  <Characters>14814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17339</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2024-07-18T12:51:00Z</dcterms:created>
  <dcterms:modified xsi:type="dcterms:W3CDTF">2026-03-04T14:18:00Z</dcterms:modified>
</cp:coreProperties>
</file>