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3EDD" w14:textId="77777777" w:rsidR="00AD4260" w:rsidRPr="008852C0" w:rsidRDefault="00AD4260" w:rsidP="007A6811">
      <w:pPr>
        <w:rPr>
          <w:rFonts w:ascii="Tahoma" w:hAnsi="Tahoma" w:cs="Tahoma"/>
          <w:sz w:val="22"/>
          <w:szCs w:val="22"/>
        </w:rPr>
      </w:pPr>
    </w:p>
    <w:p w14:paraId="4158927E" w14:textId="386D4FC0" w:rsidR="00662715" w:rsidRPr="008852C0" w:rsidRDefault="00662715" w:rsidP="00662715">
      <w:pPr>
        <w:rPr>
          <w:rFonts w:ascii="Tahoma" w:hAnsi="Tahoma" w:cs="Tahoma"/>
          <w:sz w:val="22"/>
          <w:szCs w:val="22"/>
        </w:rPr>
      </w:pPr>
    </w:p>
    <w:p w14:paraId="7DF8CC94" w14:textId="77777777" w:rsidR="00662715" w:rsidRPr="008852C0" w:rsidRDefault="00107A0E" w:rsidP="008852C0">
      <w:pPr>
        <w:autoSpaceDE w:val="0"/>
        <w:autoSpaceDN w:val="0"/>
        <w:adjustRightInd w:val="0"/>
        <w:spacing w:after="120"/>
        <w:rPr>
          <w:rFonts w:ascii="Tahoma" w:hAnsi="Tahoma" w:cs="Tahoma"/>
          <w:color w:val="000000"/>
          <w:sz w:val="22"/>
          <w:szCs w:val="22"/>
        </w:rPr>
      </w:pPr>
      <w:r w:rsidRPr="008852C0">
        <w:rPr>
          <w:rFonts w:ascii="Tahoma" w:hAnsi="Tahoma" w:cs="Tahoma"/>
          <w:b/>
          <w:color w:val="000000"/>
          <w:sz w:val="22"/>
        </w:rPr>
        <w:t xml:space="preserve">APPROVED </w:t>
      </w:r>
    </w:p>
    <w:p w14:paraId="4CCD3DAE" w14:textId="77777777" w:rsidR="00662715" w:rsidRPr="008852C0" w:rsidRDefault="00107A0E" w:rsidP="008852C0">
      <w:pPr>
        <w:autoSpaceDE w:val="0"/>
        <w:autoSpaceDN w:val="0"/>
        <w:adjustRightInd w:val="0"/>
        <w:rPr>
          <w:rFonts w:ascii="Tahoma" w:hAnsi="Tahoma" w:cs="Tahoma"/>
          <w:color w:val="000000"/>
          <w:sz w:val="22"/>
        </w:rPr>
      </w:pPr>
      <w:r w:rsidRPr="008852C0">
        <w:rPr>
          <w:rFonts w:ascii="Tahoma" w:hAnsi="Tahoma" w:cs="Tahoma"/>
          <w:color w:val="000000"/>
          <w:sz w:val="22"/>
        </w:rPr>
        <w:t xml:space="preserve">By the Moscow Exchange Executive Board </w:t>
      </w:r>
    </w:p>
    <w:p w14:paraId="78C4160C" w14:textId="0433A4B1" w:rsidR="00662715" w:rsidRPr="008852C0" w:rsidRDefault="00107A0E" w:rsidP="008852C0">
      <w:pPr>
        <w:autoSpaceDE w:val="0"/>
        <w:autoSpaceDN w:val="0"/>
        <w:adjustRightInd w:val="0"/>
        <w:spacing w:after="120"/>
        <w:rPr>
          <w:rFonts w:ascii="Tahoma" w:hAnsi="Tahoma" w:cs="Tahoma"/>
          <w:color w:val="000000"/>
          <w:sz w:val="22"/>
          <w:szCs w:val="22"/>
        </w:rPr>
      </w:pPr>
      <w:r w:rsidRPr="008852C0">
        <w:rPr>
          <w:rFonts w:ascii="Tahoma" w:hAnsi="Tahoma" w:cs="Tahoma"/>
          <w:color w:val="000000"/>
          <w:sz w:val="22"/>
        </w:rPr>
        <w:t>29 May 2025, Minutes No. 42</w:t>
      </w:r>
    </w:p>
    <w:p w14:paraId="7B848B71" w14:textId="77777777" w:rsidR="00662715" w:rsidRPr="008852C0" w:rsidRDefault="00662715" w:rsidP="00662715">
      <w:pPr>
        <w:rPr>
          <w:rFonts w:ascii="Tahoma" w:hAnsi="Tahoma" w:cs="Tahoma"/>
          <w:sz w:val="22"/>
          <w:szCs w:val="22"/>
        </w:rPr>
      </w:pPr>
    </w:p>
    <w:p w14:paraId="26E66E41" w14:textId="1CFBB349" w:rsidR="00662715" w:rsidRPr="008852C0" w:rsidRDefault="00662715" w:rsidP="00D44094">
      <w:pPr>
        <w:rPr>
          <w:rFonts w:ascii="Tahoma" w:hAnsi="Tahoma" w:cs="Tahoma"/>
          <w:sz w:val="22"/>
        </w:rPr>
      </w:pPr>
    </w:p>
    <w:p w14:paraId="7F19B7E1" w14:textId="18B03411" w:rsidR="009546DD" w:rsidRPr="008852C0" w:rsidRDefault="009546DD" w:rsidP="00D44094">
      <w:pPr>
        <w:rPr>
          <w:rFonts w:ascii="Tahoma" w:hAnsi="Tahoma" w:cs="Tahoma"/>
          <w:sz w:val="22"/>
        </w:rPr>
      </w:pPr>
    </w:p>
    <w:p w14:paraId="3ACA376F" w14:textId="77777777" w:rsidR="009546DD" w:rsidRPr="008852C0" w:rsidRDefault="009546DD" w:rsidP="00D44094">
      <w:pPr>
        <w:rPr>
          <w:rFonts w:ascii="Tahoma" w:hAnsi="Tahoma" w:cs="Tahoma"/>
          <w:sz w:val="22"/>
        </w:rPr>
      </w:pPr>
    </w:p>
    <w:p w14:paraId="641A309A" w14:textId="77777777" w:rsidR="007A6811" w:rsidRPr="008852C0" w:rsidRDefault="007A6811" w:rsidP="007A6811">
      <w:pPr>
        <w:pStyle w:val="1"/>
        <w:jc w:val="center"/>
        <w:rPr>
          <w:rFonts w:ascii="Tahoma" w:hAnsi="Tahoma" w:cs="Tahoma"/>
          <w:sz w:val="22"/>
          <w:szCs w:val="22"/>
        </w:rPr>
      </w:pPr>
    </w:p>
    <w:p w14:paraId="5BC76BDF" w14:textId="77777777" w:rsidR="00AD4260" w:rsidRPr="008852C0" w:rsidRDefault="00107A0E" w:rsidP="007A6811">
      <w:pPr>
        <w:pStyle w:val="1"/>
        <w:jc w:val="center"/>
        <w:rPr>
          <w:rFonts w:ascii="Tahoma" w:hAnsi="Tahoma" w:cs="Tahoma"/>
          <w:sz w:val="20"/>
        </w:rPr>
      </w:pPr>
      <w:r w:rsidRPr="008852C0">
        <w:rPr>
          <w:rFonts w:ascii="Tahoma" w:hAnsi="Tahoma" w:cs="Tahoma"/>
          <w:sz w:val="20"/>
        </w:rPr>
        <w:t xml:space="preserve">Russian Market Volatility Index Methodology </w:t>
      </w:r>
    </w:p>
    <w:p w14:paraId="0C822162" w14:textId="4A1B0572" w:rsidR="00AD4260" w:rsidRPr="008852C0" w:rsidRDefault="00AD4260" w:rsidP="007A6811">
      <w:pPr>
        <w:jc w:val="center"/>
        <w:rPr>
          <w:rFonts w:ascii="Tahoma" w:hAnsi="Tahoma" w:cs="Tahoma"/>
          <w:b/>
          <w:bCs/>
          <w:sz w:val="20"/>
          <w:szCs w:val="20"/>
        </w:rPr>
      </w:pPr>
    </w:p>
    <w:p w14:paraId="77475822" w14:textId="77777777" w:rsidR="00141868" w:rsidRPr="008852C0" w:rsidRDefault="00141868" w:rsidP="007A6811">
      <w:pPr>
        <w:jc w:val="center"/>
        <w:rPr>
          <w:rFonts w:ascii="Tahoma" w:hAnsi="Tahoma" w:cs="Tahoma"/>
          <w:sz w:val="20"/>
          <w:szCs w:val="20"/>
        </w:rPr>
      </w:pPr>
    </w:p>
    <w:p w14:paraId="070CFEA6" w14:textId="77777777" w:rsidR="00AD4260" w:rsidRPr="008852C0" w:rsidRDefault="00107A0E" w:rsidP="007A6811">
      <w:pPr>
        <w:numPr>
          <w:ilvl w:val="0"/>
          <w:numId w:val="3"/>
        </w:numPr>
        <w:spacing w:beforeLines="50" w:before="120" w:afterLines="50" w:after="120"/>
        <w:ind w:left="357" w:hanging="357"/>
        <w:rPr>
          <w:rFonts w:ascii="Tahoma" w:hAnsi="Tahoma" w:cs="Tahoma"/>
          <w:b/>
          <w:sz w:val="20"/>
          <w:szCs w:val="20"/>
        </w:rPr>
      </w:pPr>
      <w:r w:rsidRPr="008852C0">
        <w:rPr>
          <w:rFonts w:ascii="Tahoma" w:hAnsi="Tahoma" w:cs="Tahoma"/>
          <w:b/>
          <w:sz w:val="20"/>
        </w:rPr>
        <w:t>Overview</w:t>
      </w:r>
    </w:p>
    <w:p w14:paraId="1891E82B" w14:textId="1FCCD795" w:rsidR="00AD4260" w:rsidRPr="008852C0" w:rsidRDefault="00107A0E" w:rsidP="007A6811">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Russian Market Volatility Index (the "Index") is calculated by Public Joint Stock Company Moscow Exchange MICEX-RTS (the "Exchange").</w:t>
      </w:r>
    </w:p>
    <w:p w14:paraId="3EBD748E" w14:textId="107734AA" w:rsidR="002D3AC0" w:rsidRPr="008852C0" w:rsidRDefault="00107A0E" w:rsidP="00D93EDE">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Exchange calculates the RVI Index in accordance with the Methodology (the "Methodology"). The full name of the Index is "</w:t>
      </w:r>
      <w:proofErr w:type="spellStart"/>
      <w:r w:rsidRPr="008852C0">
        <w:rPr>
          <w:rFonts w:ascii="Tahoma" w:hAnsi="Tahoma" w:cs="Tahoma"/>
          <w:sz w:val="20"/>
        </w:rPr>
        <w:t>Индекс</w:t>
      </w:r>
      <w:proofErr w:type="spellEnd"/>
      <w:r w:rsidRPr="008852C0">
        <w:rPr>
          <w:rFonts w:ascii="Tahoma" w:hAnsi="Tahoma" w:cs="Tahoma"/>
          <w:sz w:val="20"/>
        </w:rPr>
        <w:t xml:space="preserve"> </w:t>
      </w:r>
      <w:proofErr w:type="spellStart"/>
      <w:r w:rsidRPr="008852C0">
        <w:rPr>
          <w:rFonts w:ascii="Tahoma" w:hAnsi="Tahoma" w:cs="Tahoma"/>
          <w:sz w:val="20"/>
        </w:rPr>
        <w:t>волатильности</w:t>
      </w:r>
      <w:proofErr w:type="spellEnd"/>
      <w:r w:rsidRPr="008852C0">
        <w:rPr>
          <w:rFonts w:ascii="Tahoma" w:hAnsi="Tahoma" w:cs="Tahoma"/>
          <w:sz w:val="20"/>
        </w:rPr>
        <w:t xml:space="preserve"> </w:t>
      </w:r>
      <w:proofErr w:type="spellStart"/>
      <w:r w:rsidRPr="008852C0">
        <w:rPr>
          <w:rFonts w:ascii="Tahoma" w:hAnsi="Tahoma" w:cs="Tahoma"/>
          <w:sz w:val="20"/>
        </w:rPr>
        <w:t>российского</w:t>
      </w:r>
      <w:proofErr w:type="spellEnd"/>
      <w:r w:rsidRPr="008852C0">
        <w:rPr>
          <w:rFonts w:ascii="Tahoma" w:hAnsi="Tahoma" w:cs="Tahoma"/>
          <w:sz w:val="20"/>
        </w:rPr>
        <w:t xml:space="preserve"> </w:t>
      </w:r>
      <w:proofErr w:type="spellStart"/>
      <w:r w:rsidRPr="008852C0">
        <w:rPr>
          <w:rFonts w:ascii="Tahoma" w:hAnsi="Tahoma" w:cs="Tahoma"/>
          <w:sz w:val="20"/>
        </w:rPr>
        <w:t>рынка</w:t>
      </w:r>
      <w:proofErr w:type="spellEnd"/>
      <w:r w:rsidRPr="008852C0">
        <w:rPr>
          <w:rFonts w:ascii="Tahoma" w:hAnsi="Tahoma" w:cs="Tahoma"/>
          <w:sz w:val="20"/>
        </w:rPr>
        <w:t>” in Russian and "Russian Market Volatility Index” in English. The Index code is “RVI”.</w:t>
      </w:r>
    </w:p>
    <w:p w14:paraId="67289DE9" w14:textId="60D9D739" w:rsidR="00AD48E6" w:rsidRPr="008852C0" w:rsidRDefault="00107A0E" w:rsidP="007A6811">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terms and definitions not expressly specified in the Methodology shall be understood in accordance with the laws of the Russian Federation, the Moscow Exchange Trading Rules for the Derivatives Market and the CCP NCC Clearing Rules for the Derivatives Market.</w:t>
      </w:r>
    </w:p>
    <w:p w14:paraId="04032695" w14:textId="77777777" w:rsidR="00C96232" w:rsidRPr="008852C0" w:rsidRDefault="00107A0E" w:rsidP="00C96232">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The Methodology and any amendments or additions thereto shall be approved by the Exchange and shall come into effect on the date determined by the Exchange.</w:t>
      </w:r>
    </w:p>
    <w:p w14:paraId="5E78C273" w14:textId="25F37208" w:rsidR="00C96232" w:rsidRPr="008852C0" w:rsidRDefault="00107A0E" w:rsidP="00C96232">
      <w:pPr>
        <w:numPr>
          <w:ilvl w:val="1"/>
          <w:numId w:val="3"/>
        </w:numPr>
        <w:spacing w:beforeLines="50" w:before="120" w:afterLines="50" w:after="120"/>
        <w:ind w:left="1134" w:hanging="850"/>
        <w:jc w:val="both"/>
        <w:rPr>
          <w:rFonts w:ascii="Tahoma" w:hAnsi="Tahoma" w:cs="Tahoma"/>
          <w:sz w:val="20"/>
          <w:szCs w:val="20"/>
        </w:rPr>
      </w:pPr>
      <w:r w:rsidRPr="008852C0">
        <w:rPr>
          <w:rFonts w:ascii="Tahoma" w:hAnsi="Tahoma" w:cs="Tahoma"/>
          <w:sz w:val="20"/>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1C3EE371" w14:textId="3E978E5E" w:rsidR="00AD4260" w:rsidRPr="008852C0" w:rsidRDefault="00107A0E" w:rsidP="007A6811">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Index Calculation</w:t>
      </w:r>
    </w:p>
    <w:p w14:paraId="7EC0C83F" w14:textId="264FB809" w:rsidR="00E34E11" w:rsidRPr="008852C0" w:rsidRDefault="00107A0E"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calculated every 15 seconds during the main trading session on the Derivatives Market of the Exchange, as well as during the additional trading sessions (if any) on the Market. The first value of the Index during additional trading sessions is calculated 5 (five) minutes after the beginning of the session. The first value of the Index during the Main Session shall be calculated 5 (five) minutes after the start of the Main Session if the pre-market session has not been opened. The final value of the Index is calculated at the end of each session.</w:t>
      </w:r>
    </w:p>
    <w:p w14:paraId="52F3A132" w14:textId="12E692BC" w:rsidR="00AD4260" w:rsidRPr="008852C0" w:rsidRDefault="00491537"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not calculated during the suspension of trading on the Derivatives Market of the Exchange, during the suspension of trading in the options included in the calculation of the indices; and during trading sessions of less than 5 minutes.</w:t>
      </w:r>
    </w:p>
    <w:p w14:paraId="677BEA6E" w14:textId="7EAAF283" w:rsidR="00913405" w:rsidRPr="008852C0" w:rsidRDefault="00107A0E" w:rsidP="007A6811">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Index values are expressed in points and calculated to two decimal places.</w:t>
      </w:r>
    </w:p>
    <w:p w14:paraId="17DD740D" w14:textId="05B971E4" w:rsidR="0012274F" w:rsidRPr="008852C0" w:rsidRDefault="00107A0E" w:rsidP="0012274F">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is calculated in order to obtain thirty-day volatility values.</w:t>
      </w:r>
    </w:p>
    <w:p w14:paraId="22FF97A2" w14:textId="77777777" w:rsidR="00026F7B" w:rsidRPr="008852C0" w:rsidRDefault="00107A0E" w:rsidP="0012274F">
      <w:pPr>
        <w:pStyle w:val="30"/>
        <w:numPr>
          <w:ilvl w:val="1"/>
          <w:numId w:val="3"/>
        </w:numPr>
        <w:tabs>
          <w:tab w:val="num" w:pos="1134"/>
        </w:tabs>
        <w:spacing w:beforeLines="50" w:before="120" w:after="0"/>
        <w:ind w:left="1134" w:hanging="850"/>
        <w:jc w:val="both"/>
        <w:rPr>
          <w:rFonts w:ascii="Tahoma" w:hAnsi="Tahoma" w:cs="Tahoma"/>
          <w:sz w:val="20"/>
          <w:szCs w:val="20"/>
        </w:rPr>
      </w:pPr>
      <w:r w:rsidRPr="008852C0">
        <w:rPr>
          <w:rFonts w:ascii="Tahoma" w:hAnsi="Tahoma" w:cs="Tahoma"/>
          <w:sz w:val="20"/>
        </w:rPr>
        <w:t>The Index shall be calculated based on two series of Options on the RTS Index Futures Contract, namely Options on the nearest Series and Options on the Series following the nearest Series (the "Nearby Option Series" and the "Next Option Series", respectively), which fulfil the following conditions:</w:t>
      </w:r>
    </w:p>
    <w:p w14:paraId="2BE18991" w14:textId="739121D8" w:rsidR="00026F7B" w:rsidRPr="008852C0" w:rsidRDefault="00217A4F" w:rsidP="00026F7B">
      <w:pPr>
        <w:pStyle w:val="30"/>
        <w:numPr>
          <w:ilvl w:val="0"/>
          <w:numId w:val="10"/>
        </w:numPr>
        <w:spacing w:beforeLines="50" w:before="120" w:after="0"/>
        <w:jc w:val="both"/>
        <w:rPr>
          <w:rFonts w:ascii="Tahoma" w:hAnsi="Tahoma" w:cs="Tahoma"/>
          <w:sz w:val="20"/>
          <w:szCs w:val="20"/>
        </w:rPr>
      </w:pPr>
      <w:r w:rsidRPr="008852C0">
        <w:rPr>
          <w:rFonts w:ascii="Tahoma" w:hAnsi="Tahoma" w:cs="Tahoma"/>
          <w:sz w:val="20"/>
        </w:rPr>
        <w:t>The Nearby Option Series and the Next Option Series are in a quarterly or monthly series, but not in a weekly series;</w:t>
      </w:r>
    </w:p>
    <w:p w14:paraId="43A8556A" w14:textId="64A2E49E" w:rsidR="00026F7B" w:rsidRPr="008852C0" w:rsidRDefault="00026F7B" w:rsidP="00026F7B">
      <w:pPr>
        <w:pStyle w:val="30"/>
        <w:numPr>
          <w:ilvl w:val="0"/>
          <w:numId w:val="10"/>
        </w:numPr>
        <w:spacing w:beforeLines="50" w:before="120" w:after="0"/>
        <w:jc w:val="both"/>
        <w:rPr>
          <w:rFonts w:ascii="Tahoma" w:hAnsi="Tahoma" w:cs="Tahoma"/>
          <w:sz w:val="20"/>
          <w:szCs w:val="20"/>
        </w:rPr>
      </w:pPr>
      <w:r w:rsidRPr="008852C0">
        <w:rPr>
          <w:rFonts w:ascii="Tahoma" w:hAnsi="Tahoma" w:cs="Tahoma"/>
          <w:sz w:val="20"/>
        </w:rPr>
        <w:t>the period until the expiry date (hereinafter referred to as the "Expiration Date")</w:t>
      </w:r>
      <w:r w:rsidRPr="008852C0">
        <w:rPr>
          <w:rStyle w:val="a9"/>
          <w:rFonts w:ascii="Tahoma" w:hAnsi="Tahoma" w:cs="Tahoma"/>
          <w:sz w:val="20"/>
          <w:szCs w:val="20"/>
        </w:rPr>
        <w:footnoteReference w:id="2"/>
      </w:r>
      <w:r w:rsidRPr="008852C0">
        <w:rPr>
          <w:rFonts w:ascii="Tahoma" w:hAnsi="Tahoma" w:cs="Tahoma"/>
          <w:sz w:val="20"/>
        </w:rPr>
        <w:t xml:space="preserve"> of the Nearby Option Series and the Next Option Series is not less than 7 (seven) days.</w:t>
      </w:r>
    </w:p>
    <w:p w14:paraId="0EC03736" w14:textId="45C8E488" w:rsidR="00606E5C" w:rsidRPr="008852C0" w:rsidRDefault="00107A0E" w:rsidP="00606E5C">
      <w:pPr>
        <w:pStyle w:val="30"/>
        <w:numPr>
          <w:ilvl w:val="1"/>
          <w:numId w:val="3"/>
        </w:numPr>
        <w:tabs>
          <w:tab w:val="num" w:pos="1134"/>
        </w:tabs>
        <w:spacing w:beforeLines="50" w:before="120" w:after="0"/>
        <w:ind w:left="1134" w:hanging="850"/>
        <w:jc w:val="both"/>
        <w:rPr>
          <w:rFonts w:ascii="Tahoma" w:hAnsi="Tahoma" w:cs="Tahoma"/>
          <w:sz w:val="20"/>
          <w:szCs w:val="20"/>
        </w:rPr>
      </w:pPr>
      <w:bookmarkStart w:id="0" w:name="_Hlk164863872"/>
      <w:r w:rsidRPr="008852C0">
        <w:rPr>
          <w:rFonts w:ascii="Tahoma" w:hAnsi="Tahoma" w:cs="Tahoma"/>
          <w:sz w:val="20"/>
        </w:rPr>
        <w:lastRenderedPageBreak/>
        <w:t>Options with a strike multiple of 5,000 are used to calculate the Index.</w:t>
      </w:r>
    </w:p>
    <w:bookmarkEnd w:id="0"/>
    <w:p w14:paraId="6515C69C" w14:textId="77777777" w:rsidR="00AD4260" w:rsidRPr="008852C0" w:rsidRDefault="00107A0E" w:rsidP="004308A6">
      <w:pPr>
        <w:pStyle w:val="30"/>
        <w:keepNext/>
        <w:numPr>
          <w:ilvl w:val="1"/>
          <w:numId w:val="3"/>
        </w:numPr>
        <w:tabs>
          <w:tab w:val="num" w:pos="1134"/>
        </w:tabs>
        <w:spacing w:beforeLines="50" w:before="120" w:after="0"/>
        <w:ind w:left="1135" w:hanging="851"/>
        <w:jc w:val="both"/>
        <w:rPr>
          <w:rFonts w:ascii="Tahoma" w:hAnsi="Tahoma" w:cs="Tahoma"/>
          <w:sz w:val="20"/>
          <w:szCs w:val="20"/>
        </w:rPr>
      </w:pPr>
      <w:r w:rsidRPr="008852C0">
        <w:rPr>
          <w:rFonts w:ascii="Tahoma" w:hAnsi="Tahoma" w:cs="Tahoma"/>
          <w:sz w:val="20"/>
        </w:rPr>
        <w:t>The Index is calculated according to the following formula:</w:t>
      </w:r>
    </w:p>
    <w:p w14:paraId="0559A22D" w14:textId="77777777" w:rsidR="000E0E09" w:rsidRPr="008852C0" w:rsidRDefault="00107A0E" w:rsidP="002C19B5">
      <w:pPr>
        <w:ind w:left="1134"/>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RVI</m:t>
          </m:r>
          <m:r>
            <m:rPr>
              <m:sty m:val="b"/>
            </m:rPr>
            <w:rPr>
              <w:rFonts w:ascii="Cambria Math" w:hAnsi="Cambria Math" w:cs="Tahoma"/>
              <w:sz w:val="22"/>
              <w:szCs w:val="20"/>
            </w:rPr>
            <m:t>=100*</m:t>
          </m:r>
          <m:rad>
            <m:radPr>
              <m:degHide m:val="1"/>
              <m:ctrlPr>
                <w:rPr>
                  <w:rFonts w:ascii="Cambria Math" w:hAnsi="Cambria Math" w:cs="Tahoma"/>
                  <w:b/>
                  <w:sz w:val="22"/>
                  <w:szCs w:val="20"/>
                  <w:lang w:eastAsia="en-US"/>
                </w:rPr>
              </m:ctrlPr>
            </m:radPr>
            <m:deg/>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365</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den>
              </m:f>
              <m:r>
                <m:rPr>
                  <m:sty m:val="b"/>
                </m:rPr>
                <w:rPr>
                  <w:rFonts w:ascii="Cambria Math" w:hAnsi="Cambria Math" w:cs="Tahoma"/>
                  <w:sz w:val="22"/>
                  <w:szCs w:val="20"/>
                </w:rPr>
                <m:t>*</m:t>
              </m:r>
              <m:d>
                <m:dPr>
                  <m:begChr m:val="|"/>
                  <m:endChr m:val="|"/>
                  <m:ctrlPr>
                    <w:rPr>
                      <w:rFonts w:ascii="Cambria Math" w:hAnsi="Cambria Math" w:cs="Tahoma"/>
                      <w:b/>
                      <w:sz w:val="22"/>
                      <w:szCs w:val="20"/>
                      <w:lang w:eastAsia="en-US"/>
                    </w:rPr>
                  </m:ctrlPr>
                </m:dPr>
                <m:e>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lang w:eastAsia="en-US"/>
                            </w:rPr>
                          </m:ctrlPr>
                        </m:fPr>
                        <m:num>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30</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rPr>
                                <m:t>1</m:t>
                              </m:r>
                            </m:sub>
                          </m:sSub>
                        </m:num>
                        <m:den>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r>
                            <m:rPr>
                              <m:sty m:val="b"/>
                            </m:rPr>
                            <w:rPr>
                              <w:rFonts w:ascii="Cambria Math" w:hAnsi="Cambria Math" w:cs="Tahoma"/>
                              <w:sz w:val="22"/>
                              <w:szCs w:val="20"/>
                            </w:rPr>
                            <m:t>-</m:t>
                          </m:r>
                          <m:sSub>
                            <m:sSubPr>
                              <m:ctrlPr>
                                <w:rPr>
                                  <w:rFonts w:ascii="Cambria Math" w:hAnsi="Cambria Math" w:cs="Tahoma"/>
                                  <w:b/>
                                  <w:sz w:val="22"/>
                                  <w:szCs w:val="20"/>
                                  <w:lang w:eastAsia="en-US"/>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e>
                  </m:d>
                </m:e>
              </m:d>
            </m:e>
          </m:rad>
        </m:oMath>
      </m:oMathPara>
    </w:p>
    <w:p w14:paraId="5AAF5184" w14:textId="77777777" w:rsidR="00CA1280" w:rsidRPr="008852C0" w:rsidRDefault="00107A0E" w:rsidP="002C19B5">
      <w:pPr>
        <w:ind w:left="1134"/>
        <w:rPr>
          <w:rFonts w:ascii="Tahoma" w:hAnsi="Tahoma" w:cs="Tahoma"/>
          <w:sz w:val="20"/>
          <w:szCs w:val="20"/>
        </w:rPr>
      </w:pPr>
      <w:r w:rsidRPr="008852C0">
        <w:rPr>
          <w:rFonts w:ascii="Tahoma" w:hAnsi="Tahoma" w:cs="Tahoma"/>
          <w:sz w:val="20"/>
        </w:rPr>
        <w:t>where:</w:t>
      </w:r>
    </w:p>
    <w:p w14:paraId="12D72580" w14:textId="77777777" w:rsidR="006C78E7"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365</w:t>
      </w:r>
      <w:r w:rsidRPr="008852C0">
        <w:rPr>
          <w:rFonts w:ascii="Tahoma" w:hAnsi="Tahoma" w:cs="Tahoma"/>
          <w:sz w:val="20"/>
        </w:rPr>
        <w:t xml:space="preserve"> - 365 days as a fraction of a calendar year (one year = 365 days);</w:t>
      </w:r>
    </w:p>
    <w:p w14:paraId="62C64C3B" w14:textId="77777777" w:rsidR="003F1254"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30</w:t>
      </w:r>
      <w:r w:rsidRPr="008852C0">
        <w:rPr>
          <w:rFonts w:ascii="Tahoma" w:hAnsi="Tahoma" w:cs="Tahoma"/>
          <w:sz w:val="20"/>
        </w:rPr>
        <w:t xml:space="preserve"> - 30 days as a fraction of a calendar year (one year = 365 days);</w:t>
      </w:r>
    </w:p>
    <w:p w14:paraId="6C675E21" w14:textId="77777777" w:rsidR="00146DF0" w:rsidRPr="008852C0" w:rsidRDefault="00107A0E" w:rsidP="000D28EF">
      <w:pPr>
        <w:tabs>
          <w:tab w:val="left" w:pos="1701"/>
        </w:tabs>
        <w:ind w:left="1985" w:right="-127"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1</w:t>
      </w:r>
      <w:r w:rsidRPr="008852C0">
        <w:rPr>
          <w:rFonts w:ascii="Tahoma" w:hAnsi="Tahoma" w:cs="Tahoma"/>
          <w:sz w:val="20"/>
        </w:rPr>
        <w:t xml:space="preserve"> - time to the expiration date of the nearby option series inclusive, as a fraction of a calendar year (one year = 365 days);</w:t>
      </w:r>
    </w:p>
    <w:p w14:paraId="54930B01" w14:textId="77777777" w:rsidR="006C78E7" w:rsidRPr="008852C0" w:rsidRDefault="00107A0E" w:rsidP="000D28EF">
      <w:pPr>
        <w:tabs>
          <w:tab w:val="left" w:pos="1701"/>
        </w:tabs>
        <w:ind w:left="1985" w:hanging="851"/>
        <w:jc w:val="both"/>
        <w:rPr>
          <w:rFonts w:ascii="Tahoma" w:hAnsi="Tahoma" w:cs="Tahoma"/>
          <w:iCs/>
          <w:sz w:val="20"/>
          <w:szCs w:val="20"/>
        </w:rPr>
      </w:pPr>
      <w:r w:rsidRPr="008852C0">
        <w:rPr>
          <w:rFonts w:ascii="Tahoma" w:hAnsi="Tahoma" w:cs="Tahoma"/>
          <w:b/>
          <w:sz w:val="20"/>
        </w:rPr>
        <w:t>T</w:t>
      </w:r>
      <w:r w:rsidRPr="008852C0">
        <w:rPr>
          <w:rFonts w:ascii="Tahoma" w:hAnsi="Tahoma" w:cs="Tahoma"/>
          <w:b/>
          <w:sz w:val="20"/>
          <w:vertAlign w:val="subscript"/>
        </w:rPr>
        <w:t>2</w:t>
      </w:r>
      <w:r w:rsidRPr="008852C0">
        <w:rPr>
          <w:rFonts w:ascii="Tahoma" w:hAnsi="Tahoma" w:cs="Tahoma"/>
          <w:sz w:val="20"/>
        </w:rPr>
        <w:t xml:space="preserve"> - time to the expiration date of the next option series inclusive, expressed as a fraction of a calendar year (year = 365 days); </w:t>
      </w:r>
    </w:p>
    <w:p w14:paraId="2819F850" w14:textId="77777777" w:rsidR="006C78E7" w:rsidRPr="008852C0" w:rsidRDefault="00107A0E" w:rsidP="000D28EF">
      <w:pPr>
        <w:tabs>
          <w:tab w:val="left" w:pos="1701"/>
        </w:tabs>
        <w:ind w:left="1985" w:hanging="851"/>
        <w:jc w:val="both"/>
        <w:rPr>
          <w:rFonts w:ascii="Tahoma" w:hAnsi="Tahoma" w:cs="Tahoma"/>
          <w:iCs/>
          <w:sz w:val="20"/>
          <w:szCs w:val="20"/>
        </w:rPr>
      </w:pPr>
      <w:r w:rsidRPr="008852C0">
        <w:rPr>
          <w:rFonts w:ascii="Tahoma" w:hAnsi="Tahoma" w:cs="Tahoma"/>
          <w:b/>
          <w:sz w:val="20"/>
        </w:rPr>
        <w:t>σ</w:t>
      </w:r>
      <w:r w:rsidRPr="008852C0">
        <w:rPr>
          <w:rFonts w:ascii="Tahoma" w:hAnsi="Tahoma" w:cs="Tahoma"/>
          <w:b/>
          <w:sz w:val="20"/>
          <w:vertAlign w:val="subscript"/>
        </w:rPr>
        <w:t>1</w:t>
      </w:r>
      <w:r w:rsidRPr="008852C0">
        <w:rPr>
          <w:rFonts w:ascii="Tahoma" w:hAnsi="Tahoma" w:cs="Tahoma"/>
          <w:sz w:val="20"/>
        </w:rPr>
        <w:t xml:space="preserve"> is the implied volatility of the nearby option series;</w:t>
      </w:r>
    </w:p>
    <w:p w14:paraId="0757CB77" w14:textId="77777777" w:rsidR="00AD4260"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σ</w:t>
      </w:r>
      <w:r w:rsidRPr="008852C0">
        <w:rPr>
          <w:rFonts w:ascii="Tahoma" w:hAnsi="Tahoma" w:cs="Tahoma"/>
          <w:b/>
          <w:sz w:val="20"/>
          <w:vertAlign w:val="subscript"/>
        </w:rPr>
        <w:t>2</w:t>
      </w:r>
      <w:r w:rsidRPr="008852C0">
        <w:rPr>
          <w:rFonts w:ascii="Tahoma" w:hAnsi="Tahoma" w:cs="Tahoma"/>
          <w:sz w:val="20"/>
        </w:rPr>
        <w:t xml:space="preserve"> is the implied volatility of the next option series.</w:t>
      </w:r>
    </w:p>
    <w:p w14:paraId="4E2542C3" w14:textId="77777777" w:rsidR="00AD4260" w:rsidRPr="008852C0" w:rsidRDefault="00107A0E" w:rsidP="007A6811">
      <w:pPr>
        <w:pStyle w:val="30"/>
        <w:numPr>
          <w:ilvl w:val="1"/>
          <w:numId w:val="3"/>
        </w:numPr>
        <w:tabs>
          <w:tab w:val="num" w:pos="1134"/>
        </w:tabs>
        <w:spacing w:beforeLines="50" w:before="120" w:after="0"/>
        <w:ind w:left="1134" w:hanging="708"/>
        <w:jc w:val="both"/>
        <w:rPr>
          <w:rFonts w:ascii="Tahoma" w:hAnsi="Tahoma" w:cs="Tahoma"/>
          <w:sz w:val="20"/>
          <w:szCs w:val="20"/>
        </w:rPr>
      </w:pPr>
      <w:r w:rsidRPr="008852C0">
        <w:rPr>
          <w:rFonts w:ascii="Tahoma" w:hAnsi="Tahoma" w:cs="Tahoma"/>
          <w:sz w:val="20"/>
        </w:rPr>
        <w:t>The variance for the prices of the nearby and next option series is calculated using the formula:</w:t>
      </w:r>
    </w:p>
    <w:p w14:paraId="067F04F7" w14:textId="77777777" w:rsidR="00CF5C86" w:rsidRPr="008852C0" w:rsidRDefault="00554B9C" w:rsidP="002C19B5">
      <w:pPr>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1</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1</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lang w:val="en-US"/>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1</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1</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51EE2E34" w14:textId="77777777" w:rsidR="006C78E7" w:rsidRPr="008852C0" w:rsidRDefault="006C78E7" w:rsidP="007A6811">
      <w:pPr>
        <w:ind w:left="705"/>
        <w:rPr>
          <w:rFonts w:ascii="Tahoma" w:hAnsi="Tahoma" w:cs="Tahoma"/>
          <w:sz w:val="20"/>
          <w:szCs w:val="20"/>
          <w:lang w:val="en-US"/>
        </w:rPr>
      </w:pPr>
    </w:p>
    <w:p w14:paraId="396F5CC1" w14:textId="77777777" w:rsidR="00CF5C86" w:rsidRPr="008852C0" w:rsidRDefault="00554B9C" w:rsidP="002C19B5">
      <w:pPr>
        <w:ind w:left="1134"/>
        <w:rPr>
          <w:rFonts w:ascii="Tahoma" w:hAnsi="Tahoma" w:cs="Tahoma"/>
          <w:b/>
          <w:sz w:val="22"/>
          <w:szCs w:val="20"/>
        </w:rPr>
      </w:pPr>
      <m:oMathPara>
        <m:oMathParaPr>
          <m:jc m:val="left"/>
        </m:oMathParaPr>
        <m:oMath>
          <m:sSup>
            <m:sSupPr>
              <m:ctrlPr>
                <w:rPr>
                  <w:rFonts w:ascii="Cambria Math" w:hAnsi="Cambria Math" w:cs="Tahoma"/>
                  <w:b/>
                  <w:sz w:val="22"/>
                  <w:szCs w:val="20"/>
                  <w:lang w:eastAsia="en-US"/>
                </w:rPr>
              </m:ctrlPr>
            </m:sSupPr>
            <m:e>
              <m:sSub>
                <m:sSubPr>
                  <m:ctrlPr>
                    <w:rPr>
                      <w:rFonts w:ascii="Cambria Math" w:hAnsi="Cambria Math" w:cs="Tahoma"/>
                      <w:b/>
                      <w:sz w:val="22"/>
                      <w:szCs w:val="20"/>
                      <w:lang w:eastAsia="en-US"/>
                    </w:rPr>
                  </m:ctrlPr>
                </m:sSubPr>
                <m:e>
                  <m:r>
                    <m:rPr>
                      <m:sty m:val="b"/>
                    </m:rPr>
                    <w:rPr>
                      <w:rFonts w:ascii="Cambria Math" w:hAnsi="Cambria Math" w:cs="Tahoma"/>
                      <w:sz w:val="22"/>
                      <w:szCs w:val="20"/>
                    </w:rPr>
                    <m:t>σ</m:t>
                  </m:r>
                </m:e>
                <m:sub>
                  <m:r>
                    <m:rPr>
                      <m:sty m:val="b"/>
                    </m:rPr>
                    <w:rPr>
                      <w:rFonts w:ascii="Cambria Math" w:hAnsi="Cambria Math" w:cs="Tahoma"/>
                      <w:sz w:val="22"/>
                      <w:szCs w:val="20"/>
                    </w:rPr>
                    <m:t>2</m:t>
                  </m:r>
                </m:sub>
              </m:sSub>
            </m:e>
            <m:sup>
              <m:r>
                <m:rPr>
                  <m:sty m:val="b"/>
                </m:rPr>
                <w:rPr>
                  <w:rFonts w:ascii="Cambria Math" w:hAnsi="Cambria Math" w:cs="Tahoma"/>
                  <w:sz w:val="22"/>
                  <w:szCs w:val="20"/>
                </w:rPr>
                <m:t>2</m:t>
              </m:r>
            </m:sup>
          </m:sSup>
          <m:r>
            <m:rPr>
              <m:sty m:val="b"/>
            </m:rPr>
            <w:rPr>
              <w:rFonts w:ascii="Cambria Math" w:hAnsi="Cambria Math" w:cs="Tahoma"/>
              <w:sz w:val="22"/>
              <w:szCs w:val="20"/>
            </w:rPr>
            <m:t>=</m:t>
          </m:r>
          <m:f>
            <m:fPr>
              <m:ctrlPr>
                <w:rPr>
                  <w:rFonts w:ascii="Cambria Math" w:hAnsi="Cambria Math" w:cs="Tahoma"/>
                  <w:b/>
                  <w:sz w:val="22"/>
                  <w:szCs w:val="20"/>
                </w:rPr>
              </m:ctrlPr>
            </m:fPr>
            <m:num>
              <m:r>
                <m:rPr>
                  <m:sty m:val="b"/>
                </m:rPr>
                <w:rPr>
                  <w:rFonts w:ascii="Cambria Math" w:hAnsi="Cambria Math" w:cs="Tahoma"/>
                  <w:sz w:val="22"/>
                  <w:szCs w:val="20"/>
                </w:rPr>
                <m:t>2</m:t>
              </m:r>
            </m:num>
            <m:den>
              <m:sSub>
                <m:sSubPr>
                  <m:ctrlPr>
                    <w:rPr>
                      <w:rFonts w:ascii="Cambria Math" w:hAnsi="Cambria Math" w:cs="Tahoma"/>
                      <w:b/>
                      <w:sz w:val="22"/>
                      <w:szCs w:val="20"/>
                      <w:lang w:val="en-US"/>
                    </w:rPr>
                  </m:ctrlPr>
                </m:sSubPr>
                <m:e>
                  <m:r>
                    <m:rPr>
                      <m:sty m:val="b"/>
                    </m:rPr>
                    <w:rPr>
                      <w:rFonts w:ascii="Cambria Math" w:hAnsi="Cambria Math" w:cs="Tahoma"/>
                      <w:sz w:val="22"/>
                      <w:szCs w:val="20"/>
                      <w:lang w:val="en-US"/>
                    </w:rPr>
                    <m:t>T</m:t>
                  </m:r>
                </m:e>
                <m:sub>
                  <m:r>
                    <m:rPr>
                      <m:sty m:val="b"/>
                    </m:rPr>
                    <w:rPr>
                      <w:rFonts w:ascii="Cambria Math" w:hAnsi="Cambria Math" w:cs="Tahoma"/>
                      <w:sz w:val="22"/>
                      <w:szCs w:val="20"/>
                      <w:lang w:val="en-US"/>
                    </w:rPr>
                    <m:t>2</m:t>
                  </m:r>
                </m:sub>
              </m:sSub>
            </m:den>
          </m:f>
          <m:nary>
            <m:naryPr>
              <m:chr m:val="∑"/>
              <m:limLoc m:val="undOvr"/>
              <m:ctrlPr>
                <w:rPr>
                  <w:rFonts w:ascii="Cambria Math" w:hAnsi="Cambria Math" w:cs="Tahoma"/>
                  <w:b/>
                  <w:sz w:val="22"/>
                  <w:szCs w:val="20"/>
                </w:rPr>
              </m:ctrlPr>
            </m:naryPr>
            <m:sub>
              <m:r>
                <m:rPr>
                  <m:sty m:val="b"/>
                </m:rPr>
                <w:rPr>
                  <w:rFonts w:ascii="Cambria Math" w:hAnsi="Cambria Math" w:cs="Tahoma"/>
                  <w:sz w:val="22"/>
                  <w:szCs w:val="20"/>
                </w:rPr>
                <m:t>i=-7</m:t>
              </m:r>
            </m:sub>
            <m:sup>
              <m:r>
                <m:rPr>
                  <m:sty m:val="b"/>
                </m:rPr>
                <w:rPr>
                  <w:rFonts w:ascii="Cambria Math" w:hAnsi="Cambria Math" w:cs="Tahoma"/>
                  <w:sz w:val="22"/>
                  <w:szCs w:val="20"/>
                </w:rPr>
                <m:t>7</m:t>
              </m:r>
            </m:sup>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num>
                <m:den>
                  <m:sSubSup>
                    <m:sSubSupPr>
                      <m:ctrlPr>
                        <w:rPr>
                          <w:rFonts w:ascii="Cambria Math" w:hAnsi="Cambria Math" w:cs="Tahoma"/>
                          <w:b/>
                          <w:sz w:val="22"/>
                          <w:szCs w:val="20"/>
                        </w:rPr>
                      </m:ctrlPr>
                    </m:sSubSupPr>
                    <m:e>
                      <m:r>
                        <m:rPr>
                          <m:sty m:val="b"/>
                        </m:rPr>
                        <w:rPr>
                          <w:rFonts w:ascii="Cambria Math" w:hAnsi="Cambria Math" w:cs="Tahoma"/>
                          <w:sz w:val="22"/>
                          <w:szCs w:val="20"/>
                        </w:rPr>
                        <m:t>K</m:t>
                      </m:r>
                    </m:e>
                    <m:sub>
                      <m:r>
                        <m:rPr>
                          <m:sty m:val="b"/>
                        </m:rPr>
                        <w:rPr>
                          <w:rFonts w:ascii="Cambria Math" w:hAnsi="Cambria Math" w:cs="Tahoma"/>
                          <w:sz w:val="22"/>
                          <w:szCs w:val="20"/>
                        </w:rPr>
                        <m:t>i</m:t>
                      </m:r>
                    </m:sub>
                    <m:sup>
                      <m:r>
                        <m:rPr>
                          <m:sty m:val="b"/>
                        </m:rPr>
                        <w:rPr>
                          <w:rFonts w:ascii="Cambria Math" w:hAnsi="Cambria Math" w:cs="Tahoma"/>
                          <w:sz w:val="22"/>
                          <w:szCs w:val="20"/>
                        </w:rPr>
                        <m:t>2</m:t>
                      </m:r>
                    </m:sup>
                  </m:sSubSup>
                </m:den>
              </m:f>
              <m:r>
                <m:rPr>
                  <m:sty m:val="b"/>
                </m:rPr>
                <w:rPr>
                  <w:rFonts w:ascii="Cambria Math" w:hAnsi="Cambria Math" w:cs="Tahoma"/>
                  <w:sz w:val="22"/>
                  <w:szCs w:val="20"/>
                </w:rPr>
                <m:t>*Pr</m:t>
              </m:r>
              <m:d>
                <m:dPr>
                  <m:ctrlPr>
                    <w:rPr>
                      <w:rFonts w:ascii="Cambria Math" w:hAnsi="Cambria Math" w:cs="Tahoma"/>
                      <w:b/>
                      <w:sz w:val="22"/>
                      <w:szCs w:val="20"/>
                    </w:rPr>
                  </m:ctrlPr>
                </m:dPr>
                <m:e>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i</m:t>
                      </m:r>
                    </m:sub>
                  </m:sSub>
                </m:e>
              </m:d>
              <m:r>
                <m:rPr>
                  <m:sty m:val="b"/>
                </m:rPr>
                <w:rPr>
                  <w:rFonts w:ascii="Cambria Math" w:hAnsi="Cambria Math" w:cs="Tahoma"/>
                  <w:sz w:val="22"/>
                  <w:szCs w:val="20"/>
                </w:rPr>
                <m:t>-</m:t>
              </m:r>
              <m:sSup>
                <m:sSupPr>
                  <m:ctrlPr>
                    <w:rPr>
                      <w:rFonts w:ascii="Cambria Math" w:hAnsi="Cambria Math" w:cs="Tahoma"/>
                      <w:b/>
                      <w:sz w:val="22"/>
                      <w:szCs w:val="20"/>
                    </w:rPr>
                  </m:ctrlPr>
                </m:sSupPr>
                <m:e>
                  <m:f>
                    <m:fPr>
                      <m:ctrlPr>
                        <w:rPr>
                          <w:rFonts w:ascii="Cambria Math" w:hAnsi="Cambria Math" w:cs="Tahoma"/>
                          <w:b/>
                          <w:sz w:val="22"/>
                          <w:szCs w:val="20"/>
                        </w:rPr>
                      </m:ctrlPr>
                    </m:fPr>
                    <m:num>
                      <m:r>
                        <m:rPr>
                          <m:sty m:val="b"/>
                        </m:rPr>
                        <w:rPr>
                          <w:rFonts w:ascii="Cambria Math" w:hAnsi="Cambria Math" w:cs="Tahoma"/>
                          <w:sz w:val="22"/>
                          <w:szCs w:val="20"/>
                        </w:rPr>
                        <m:t>1</m:t>
                      </m:r>
                    </m:num>
                    <m:den>
                      <m:sSub>
                        <m:sSubPr>
                          <m:ctrlPr>
                            <w:rPr>
                              <w:rFonts w:ascii="Cambria Math" w:hAnsi="Cambria Math" w:cs="Tahoma"/>
                              <w:b/>
                              <w:sz w:val="22"/>
                              <w:szCs w:val="20"/>
                            </w:rPr>
                          </m:ctrlPr>
                        </m:sSubPr>
                        <m:e>
                          <m:r>
                            <m:rPr>
                              <m:sty m:val="b"/>
                            </m:rPr>
                            <w:rPr>
                              <w:rFonts w:ascii="Cambria Math" w:hAnsi="Cambria Math" w:cs="Tahoma"/>
                              <w:sz w:val="22"/>
                              <w:szCs w:val="20"/>
                            </w:rPr>
                            <m:t>T</m:t>
                          </m:r>
                        </m:e>
                        <m:sub>
                          <m:r>
                            <m:rPr>
                              <m:sty m:val="b"/>
                            </m:rPr>
                            <w:rPr>
                              <w:rFonts w:ascii="Cambria Math" w:hAnsi="Cambria Math" w:cs="Tahoma"/>
                              <w:sz w:val="22"/>
                              <w:szCs w:val="20"/>
                            </w:rPr>
                            <m:t>2</m:t>
                          </m:r>
                        </m:sub>
                      </m:sSub>
                    </m:den>
                  </m:f>
                  <m:r>
                    <m:rPr>
                      <m:sty m:val="b"/>
                    </m:rPr>
                    <w:rPr>
                      <w:rFonts w:ascii="Cambria Math" w:hAnsi="Cambria Math" w:cs="Tahoma"/>
                      <w:sz w:val="22"/>
                      <w:szCs w:val="20"/>
                    </w:rPr>
                    <m:t>*</m:t>
                  </m:r>
                  <m:d>
                    <m:dPr>
                      <m:ctrlPr>
                        <w:rPr>
                          <w:rFonts w:ascii="Cambria Math" w:hAnsi="Cambria Math" w:cs="Tahoma"/>
                          <w:b/>
                          <w:sz w:val="22"/>
                          <w:szCs w:val="20"/>
                          <w:lang w:eastAsia="en-US"/>
                        </w:rPr>
                      </m:ctrlPr>
                    </m:dPr>
                    <m:e>
                      <m:f>
                        <m:fPr>
                          <m:ctrlPr>
                            <w:rPr>
                              <w:rFonts w:ascii="Cambria Math" w:hAnsi="Cambria Math" w:cs="Tahoma"/>
                              <w:b/>
                              <w:sz w:val="22"/>
                              <w:szCs w:val="20"/>
                            </w:rPr>
                          </m:ctrlPr>
                        </m:fPr>
                        <m:num>
                          <m:sSub>
                            <m:sSubPr>
                              <m:ctrlPr>
                                <w:rPr>
                                  <w:rFonts w:ascii="Cambria Math" w:hAnsi="Cambria Math" w:cs="Tahoma"/>
                                  <w:b/>
                                  <w:sz w:val="22"/>
                                  <w:szCs w:val="20"/>
                                </w:rPr>
                              </m:ctrlPr>
                            </m:sSubPr>
                            <m:e>
                              <m:r>
                                <m:rPr>
                                  <m:sty m:val="b"/>
                                </m:rPr>
                                <w:rPr>
                                  <w:rFonts w:ascii="Cambria Math" w:hAnsi="Cambria Math" w:cs="Tahoma"/>
                                  <w:sz w:val="22"/>
                                  <w:szCs w:val="20"/>
                                  <w:lang w:val="en-US"/>
                                </w:rPr>
                                <m:t>F</m:t>
                              </m:r>
                            </m:e>
                            <m:sub>
                              <m:r>
                                <m:rPr>
                                  <m:sty m:val="b"/>
                                </m:rPr>
                                <w:rPr>
                                  <w:rFonts w:ascii="Cambria Math" w:hAnsi="Cambria Math" w:cs="Tahoma"/>
                                  <w:sz w:val="22"/>
                                  <w:szCs w:val="20"/>
                                </w:rPr>
                                <m:t>2</m:t>
                              </m:r>
                            </m:sub>
                          </m:sSub>
                        </m:num>
                        <m:den>
                          <m:sSub>
                            <m:sSubPr>
                              <m:ctrlPr>
                                <w:rPr>
                                  <w:rFonts w:ascii="Cambria Math" w:hAnsi="Cambria Math" w:cs="Tahoma"/>
                                  <w:b/>
                                  <w:sz w:val="22"/>
                                  <w:szCs w:val="20"/>
                                </w:rPr>
                              </m:ctrlPr>
                            </m:sSubPr>
                            <m:e>
                              <m:r>
                                <m:rPr>
                                  <m:sty m:val="b"/>
                                </m:rPr>
                                <w:rPr>
                                  <w:rFonts w:ascii="Cambria Math" w:hAnsi="Cambria Math" w:cs="Tahoma"/>
                                  <w:sz w:val="22"/>
                                  <w:szCs w:val="20"/>
                                </w:rPr>
                                <m:t>K</m:t>
                              </m:r>
                            </m:e>
                            <m:sub>
                              <m:r>
                                <m:rPr>
                                  <m:sty m:val="b"/>
                                </m:rPr>
                                <w:rPr>
                                  <w:rFonts w:ascii="Cambria Math" w:hAnsi="Cambria Math" w:cs="Tahoma"/>
                                  <w:sz w:val="22"/>
                                  <w:szCs w:val="20"/>
                                </w:rPr>
                                <m:t>0</m:t>
                              </m:r>
                            </m:sub>
                          </m:sSub>
                        </m:den>
                      </m:f>
                      <m:r>
                        <m:rPr>
                          <m:sty m:val="b"/>
                        </m:rPr>
                        <w:rPr>
                          <w:rFonts w:ascii="Cambria Math" w:hAnsi="Cambria Math" w:cs="Tahoma"/>
                          <w:sz w:val="22"/>
                          <w:szCs w:val="20"/>
                        </w:rPr>
                        <m:t>-1</m:t>
                      </m:r>
                    </m:e>
                  </m:d>
                </m:e>
                <m:sup>
                  <m:r>
                    <m:rPr>
                      <m:sty m:val="b"/>
                    </m:rPr>
                    <w:rPr>
                      <w:rFonts w:ascii="Cambria Math" w:hAnsi="Cambria Math" w:cs="Tahoma"/>
                      <w:sz w:val="22"/>
                      <w:szCs w:val="20"/>
                    </w:rPr>
                    <m:t>2</m:t>
                  </m:r>
                </m:sup>
              </m:sSup>
            </m:e>
          </m:nary>
        </m:oMath>
      </m:oMathPara>
    </w:p>
    <w:p w14:paraId="0046261E" w14:textId="77777777" w:rsidR="00CF5C86" w:rsidRPr="008852C0" w:rsidRDefault="00107A0E" w:rsidP="000D28EF">
      <w:pPr>
        <w:ind w:left="1134"/>
        <w:rPr>
          <w:rFonts w:ascii="Tahoma" w:hAnsi="Tahoma" w:cs="Tahoma"/>
          <w:sz w:val="20"/>
          <w:szCs w:val="20"/>
        </w:rPr>
      </w:pPr>
      <w:r w:rsidRPr="008852C0">
        <w:rPr>
          <w:rFonts w:ascii="Tahoma" w:hAnsi="Tahoma" w:cs="Tahoma"/>
          <w:sz w:val="20"/>
        </w:rPr>
        <w:t>where:</w:t>
      </w:r>
    </w:p>
    <w:p w14:paraId="1E3103C0" w14:textId="77777777" w:rsidR="00CF5C86" w:rsidRPr="008852C0" w:rsidRDefault="00554B9C" w:rsidP="000D28EF">
      <w:pPr>
        <w:tabs>
          <w:tab w:val="left" w:pos="1701"/>
        </w:tabs>
        <w:ind w:left="1985" w:hanging="851"/>
        <w:jc w:val="both"/>
        <w:rPr>
          <w:rFonts w:ascii="Tahoma" w:hAnsi="Tahoma" w:cs="Tahoma"/>
          <w:sz w:val="20"/>
          <w:szCs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134160" w:rsidRPr="008852C0">
        <w:rPr>
          <w:rFonts w:ascii="Tahoma" w:hAnsi="Tahoma" w:cs="Tahoma"/>
          <w:sz w:val="20"/>
        </w:rPr>
        <w:tab/>
        <w:t xml:space="preserve">– </w:t>
      </w:r>
      <w:r w:rsidR="00134160" w:rsidRPr="008852C0">
        <w:rPr>
          <w:rFonts w:ascii="Tahoma" w:hAnsi="Tahoma" w:cs="Tahoma"/>
          <w:sz w:val="20"/>
        </w:rPr>
        <w:tab/>
        <w:t>Strike level (the main strikes are used for the calculation of the Index, interim strikes are not used);</w:t>
      </w:r>
    </w:p>
    <w:p w14:paraId="59698EBA" w14:textId="77777777" w:rsidR="00CF5C86"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1</w:t>
      </w:r>
      <w:r w:rsidRPr="008852C0">
        <w:rPr>
          <w:rFonts w:ascii="Tahoma" w:hAnsi="Tahoma" w:cs="Tahoma"/>
          <w:sz w:val="20"/>
        </w:rPr>
        <w:t xml:space="preserve"> - time to the expiration date of the nearby Options series inclusive, as a fraction of a calendar year (one year = 365 days). It changes every 15 seconds;</w:t>
      </w:r>
    </w:p>
    <w:p w14:paraId="419563B7" w14:textId="77777777" w:rsidR="00CF5C86" w:rsidRPr="008852C0" w:rsidRDefault="00107A0E" w:rsidP="000D28EF">
      <w:pPr>
        <w:tabs>
          <w:tab w:val="left" w:pos="1701"/>
        </w:tabs>
        <w:ind w:left="1985" w:hanging="851"/>
        <w:jc w:val="both"/>
        <w:rPr>
          <w:rFonts w:ascii="Tahoma" w:hAnsi="Tahoma" w:cs="Tahoma"/>
          <w:sz w:val="20"/>
          <w:szCs w:val="20"/>
        </w:rPr>
      </w:pPr>
      <w:r w:rsidRPr="008852C0">
        <w:rPr>
          <w:rFonts w:ascii="Tahoma" w:hAnsi="Tahoma" w:cs="Tahoma"/>
          <w:b/>
          <w:sz w:val="20"/>
        </w:rPr>
        <w:t>T</w:t>
      </w:r>
      <w:r w:rsidRPr="008852C0">
        <w:rPr>
          <w:rFonts w:ascii="Tahoma" w:hAnsi="Tahoma" w:cs="Tahoma"/>
          <w:b/>
          <w:sz w:val="20"/>
          <w:vertAlign w:val="subscript"/>
        </w:rPr>
        <w:t>2</w:t>
      </w:r>
      <w:r w:rsidRPr="008852C0">
        <w:rPr>
          <w:rFonts w:ascii="Tahoma" w:hAnsi="Tahoma" w:cs="Tahoma"/>
          <w:sz w:val="20"/>
        </w:rPr>
        <w:t xml:space="preserve"> - time to the expiration date of the next Options series inclusive, expressed as a fraction of a calendar year (year = 365 days). It changes every 15 seconds;</w:t>
      </w:r>
    </w:p>
    <w:p w14:paraId="1B1F3DC6" w14:textId="6D5298B8" w:rsidR="00684F9E" w:rsidRPr="008852C0" w:rsidRDefault="00554B9C" w:rsidP="000D28EF">
      <w:pPr>
        <w:tabs>
          <w:tab w:val="left" w:pos="1701"/>
          <w:tab w:val="left" w:pos="2835"/>
          <w:tab w:val="center" w:pos="5250"/>
        </w:tabs>
        <w:ind w:left="1985" w:hanging="851"/>
        <w:jc w:val="both"/>
        <w:rPr>
          <w:rFonts w:ascii="Tahoma" w:hAnsi="Tahoma" w:cs="Tahoma"/>
          <w:sz w:val="20"/>
          <w:szCs w:val="20"/>
        </w:rPr>
      </w:pPr>
      <m:oMath>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oMath>
      <w:r w:rsidR="00134160" w:rsidRPr="008852C0">
        <w:rPr>
          <w:rFonts w:ascii="Tahoma" w:hAnsi="Tahoma" w:cs="Tahoma"/>
          <w:sz w:val="20"/>
        </w:rPr>
        <w:t xml:space="preserve"> </w:t>
      </w:r>
      <w:r w:rsidR="008852C0">
        <w:rPr>
          <w:rFonts w:ascii="Tahoma" w:hAnsi="Tahoma" w:cs="Tahoma"/>
          <w:sz w:val="20"/>
        </w:rPr>
        <w:t xml:space="preserve">- </w:t>
      </w:r>
      <w:r w:rsidR="00134160" w:rsidRPr="008852C0">
        <w:rPr>
          <w:rFonts w:ascii="Tahoma" w:hAnsi="Tahoma" w:cs="Tahoma"/>
          <w:sz w:val="20"/>
        </w:rPr>
        <w:t xml:space="preserve">the </w:t>
      </w:r>
      <w:proofErr w:type="spellStart"/>
      <w:r w:rsidR="00134160" w:rsidRPr="008852C0">
        <w:rPr>
          <w:rFonts w:ascii="Tahoma" w:hAnsi="Tahoma" w:cs="Tahoma"/>
          <w:sz w:val="20"/>
        </w:rPr>
        <w:t>i</w:t>
      </w:r>
      <w:r w:rsidR="00134160" w:rsidRPr="008852C0">
        <w:rPr>
          <w:rFonts w:ascii="Tahoma" w:hAnsi="Tahoma" w:cs="Tahoma"/>
          <w:sz w:val="20"/>
          <w:vertAlign w:val="superscript"/>
        </w:rPr>
        <w:t>th</w:t>
      </w:r>
      <w:proofErr w:type="spellEnd"/>
      <w:r w:rsidR="00134160" w:rsidRPr="008852C0">
        <w:rPr>
          <w:rFonts w:ascii="Tahoma" w:hAnsi="Tahoma" w:cs="Tahoma"/>
          <w:sz w:val="20"/>
        </w:rPr>
        <w:t xml:space="preserve"> strike. In this case </w:t>
      </w:r>
      <m:oMath>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r>
          <m:rPr>
            <m:sty m:val="p"/>
          </m:rPr>
          <w:rPr>
            <w:rFonts w:ascii="Cambria Math" w:hAnsi="Cambria Math" w:cs="Tahoma"/>
            <w:sz w:val="20"/>
            <w:szCs w:val="20"/>
          </w:rPr>
          <m:t>&lt;</m:t>
        </m:r>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i+1</m:t>
            </m:r>
          </m:sub>
        </m:sSub>
        <m:r>
          <m:rPr>
            <m:sty m:val="p"/>
          </m:rPr>
          <w:rPr>
            <w:rFonts w:ascii="Cambria Math" w:hAnsi="Cambria Math" w:cs="Tahoma"/>
            <w:sz w:val="20"/>
            <w:szCs w:val="20"/>
          </w:rPr>
          <m:t xml:space="preserve"> </m:t>
        </m:r>
      </m:oMath>
      <w:r w:rsidR="00134160" w:rsidRPr="008852C0">
        <w:rPr>
          <w:rFonts w:ascii="Tahoma" w:hAnsi="Tahoma" w:cs="Tahoma"/>
          <w:sz w:val="20"/>
        </w:rPr>
        <w:t xml:space="preserve"> (the main strikes are used to calculate the Index, the interim strikes are not used);</w:t>
      </w:r>
    </w:p>
    <w:p w14:paraId="2175B79A" w14:textId="223B73A1" w:rsidR="00684F9E" w:rsidRPr="008852C0" w:rsidRDefault="00107A0E"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b/>
          <w:sz w:val="20"/>
        </w:rPr>
        <w:t>F</w:t>
      </w:r>
      <w:r w:rsidRPr="008852C0">
        <w:rPr>
          <w:rFonts w:ascii="Tahoma" w:hAnsi="Tahoma" w:cs="Tahoma"/>
          <w:b/>
          <w:sz w:val="20"/>
          <w:vertAlign w:val="subscript"/>
        </w:rPr>
        <w:t>1</w:t>
      </w:r>
      <w:r w:rsidRPr="008852C0">
        <w:rPr>
          <w:rFonts w:ascii="Tahoma" w:hAnsi="Tahoma" w:cs="Tahoma"/>
          <w:b/>
          <w:sz w:val="20"/>
        </w:rPr>
        <w:t>, F</w:t>
      </w:r>
      <w:r w:rsidRPr="008852C0">
        <w:rPr>
          <w:rFonts w:ascii="Tahoma" w:hAnsi="Tahoma" w:cs="Tahoma"/>
          <w:b/>
          <w:sz w:val="20"/>
          <w:vertAlign w:val="subscript"/>
        </w:rPr>
        <w:t>2</w:t>
      </w:r>
      <w:r w:rsidRPr="008852C0">
        <w:rPr>
          <w:rFonts w:ascii="Tahoma" w:hAnsi="Tahoma" w:cs="Tahoma"/>
          <w:sz w:val="20"/>
        </w:rPr>
        <w:t xml:space="preserve"> - the current market price of the futures contracts underlying the nearby and next option series, respectively (only quarterly and monthly option series are considered).</w:t>
      </w:r>
    </w:p>
    <w:p w14:paraId="259B1C07" w14:textId="77777777" w:rsidR="004F7927" w:rsidRPr="008852C0" w:rsidRDefault="004F7927"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sz w:val="20"/>
        </w:rPr>
        <w:tab/>
      </w:r>
    </w:p>
    <w:p w14:paraId="5DCFAA06" w14:textId="5DCBA9AA" w:rsidR="004F7927" w:rsidRPr="008852C0" w:rsidRDefault="004F7927" w:rsidP="004A4976">
      <w:pPr>
        <w:tabs>
          <w:tab w:val="left" w:pos="1985"/>
          <w:tab w:val="left" w:pos="2835"/>
          <w:tab w:val="center" w:pos="5250"/>
        </w:tabs>
        <w:ind w:left="1985" w:hanging="851"/>
        <w:jc w:val="both"/>
        <w:rPr>
          <w:rFonts w:ascii="Tahoma" w:hAnsi="Tahoma" w:cs="Tahoma"/>
          <w:sz w:val="20"/>
          <w:szCs w:val="20"/>
        </w:rPr>
      </w:pPr>
      <w:r w:rsidRPr="008852C0">
        <w:rPr>
          <w:rFonts w:ascii="Tahoma" w:hAnsi="Tahoma" w:cs="Tahoma"/>
          <w:sz w:val="20"/>
        </w:rPr>
        <w:tab/>
        <w:t>The current market price is calculated every second during Derivatives Market trading sessions in accordance with the Futures Contracts Settlement Price Methodology (Appendix 1 to the Moscow Exchange Derivatives Market Trading Rules).</w:t>
      </w:r>
    </w:p>
    <w:p w14:paraId="3C115F6B" w14:textId="4053C998" w:rsidR="00EE60C7" w:rsidRPr="008852C0" w:rsidRDefault="00107A0E" w:rsidP="00684F9E">
      <w:pPr>
        <w:pStyle w:val="30"/>
        <w:spacing w:beforeLines="50" w:before="120" w:after="0"/>
        <w:ind w:left="1134"/>
        <w:jc w:val="both"/>
        <w:rPr>
          <w:rFonts w:ascii="Tahoma" w:hAnsi="Tahoma" w:cs="Tahoma"/>
          <w:sz w:val="20"/>
          <w:szCs w:val="20"/>
        </w:rPr>
      </w:p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oMath>
      <w:r w:rsidRPr="008852C0">
        <w:rPr>
          <w:rFonts w:ascii="Tahoma" w:hAnsi="Tahoma" w:cs="Tahoma"/>
          <w:sz w:val="20"/>
        </w:rPr>
        <w:t xml:space="preserve"> – value for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determined according to the following algorithm:</w:t>
      </w:r>
    </w:p>
    <w:p w14:paraId="018668DC" w14:textId="77777777" w:rsidR="00602297" w:rsidRPr="008852C0" w:rsidRDefault="00107A0E" w:rsidP="00821877">
      <w:pPr>
        <w:pStyle w:val="30"/>
        <w:numPr>
          <w:ilvl w:val="2"/>
          <w:numId w:val="3"/>
        </w:numPr>
        <w:spacing w:beforeLines="120" w:before="288" w:after="0"/>
        <w:ind w:left="1843" w:hanging="709"/>
        <w:jc w:val="both"/>
        <w:rPr>
          <w:rFonts w:ascii="Tahoma" w:hAnsi="Tahoma" w:cs="Tahoma"/>
          <w:sz w:val="20"/>
          <w:szCs w:val="20"/>
        </w:rPr>
      </w:pPr>
      <w:r w:rsidRPr="008852C0">
        <w:rPr>
          <w:rFonts w:ascii="Tahoma" w:hAnsi="Tahoma" w:cs="Tahoma"/>
          <w:sz w:val="20"/>
        </w:rPr>
        <w:t xml:space="preserve">If trades in the option with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were registered during the current main or additional trading session (the current session):</w:t>
      </w:r>
    </w:p>
    <w:p w14:paraId="1C71835C" w14:textId="2F1569D8" w:rsidR="00D3445A" w:rsidRPr="008852C0" w:rsidRDefault="00107A0E" w:rsidP="00821877">
      <w:pPr>
        <w:spacing w:beforeLines="120" w:before="288"/>
        <w:ind w:left="1843"/>
        <w:rPr>
          <w:rFonts w:ascii="Tahoma" w:hAnsi="Tahoma" w:cs="Tahoma"/>
          <w:b/>
          <w:sz w:val="20"/>
        </w:rPr>
      </w:pPr>
      <m:oMathPara>
        <m:oMathParaPr>
          <m:jc m:val="left"/>
        </m:oMathPara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 xml:space="preserve"> →</m:t>
                  </m:r>
                  <m:r>
                    <m:rPr>
                      <m:sty m:val="p"/>
                    </m:rPr>
                    <w:rPr>
                      <w:rFonts w:ascii="Cambria Math" w:hAnsi="Cambria Math" w:cs="Tahoma"/>
                      <w:sz w:val="20"/>
                      <w:szCs w:val="20"/>
                      <w:lang w:val="en-US"/>
                    </w:rPr>
                    <m:t>if</m:t>
                  </m:r>
                  <m:r>
                    <m:rPr>
                      <m:sty m:val="b"/>
                    </m:rPr>
                    <w:rPr>
                      <w:rFonts w:ascii="Cambria Math" w:hAnsi="Cambria Math" w:cs="Tahoma"/>
                      <w:sz w:val="20"/>
                      <w:szCs w:val="20"/>
                      <w:lang w:val="en-US"/>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e>
                <m:e>
                  <m:r>
                    <m:rPr>
                      <m:sty m:val="b"/>
                    </m:rPr>
                    <w:rPr>
                      <w:rFonts w:ascii="Cambria Math" w:hAnsi="Cambria Math" w:cs="Tahoma"/>
                      <w:sz w:val="20"/>
                      <w:szCs w:val="20"/>
                    </w:rPr>
                    <m:t>or no</m:t>
                  </m:r>
                  <m:r>
                    <m:rPr>
                      <m:sty m:val="b"/>
                    </m:rPr>
                    <w:rPr>
                      <w:rFonts w:ascii="Cambria Math" w:hAnsi="Cambria Math" w:cs="Tahoma"/>
                      <w:sz w:val="20"/>
                      <w:szCs w:val="20"/>
                    </w:rPr>
                    <m:t xml:space="preserve"> </m:t>
                  </m:r>
                  <m:r>
                    <m:rPr>
                      <m:sty m:val="b"/>
                    </m:rPr>
                    <w:rPr>
                      <w:rFonts w:ascii="Cambria Math" w:hAnsi="Cambria Math" w:cs="Tahoma"/>
                      <w:sz w:val="20"/>
                      <w:szCs w:val="20"/>
                    </w:rPr>
                    <m:t xml:space="preserve">(bid/ask) </m:t>
                  </m:r>
                  <m:r>
                    <m:rPr>
                      <m:sty m:val="b"/>
                    </m:rPr>
                    <w:rPr>
                      <w:rFonts w:ascii="Cambria Math" w:hAnsi="Cambria Math" w:cs="Tahoma"/>
                      <w:sz w:val="20"/>
                      <w:szCs w:val="20"/>
                    </w:rPr>
                    <m:t>is available for them</m:t>
                  </m:r>
                  <m:r>
                    <m:rPr>
                      <m:sty m:val="b"/>
                    </m:rPr>
                    <w:rPr>
                      <w:rFonts w:ascii="Cambria Math" w:hAnsi="Cambria Math" w:cs="Tahoma"/>
                      <w:sz w:val="20"/>
                      <w:szCs w:val="20"/>
                    </w:rPr>
                    <m:t>;</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≠0 </m:t>
                  </m:r>
                  <m:r>
                    <m:rPr>
                      <m:sty m:val="p"/>
                    </m:rPr>
                    <w:rPr>
                      <w:rFonts w:ascii="Cambria Math" w:hAnsi="Cambria Math" w:cs="Tahoma"/>
                      <w:sz w:val="20"/>
                      <w:szCs w:val="20"/>
                    </w:rPr>
                    <m:t>and</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m:t>
                  </m:r>
                  <m:r>
                    <m:rPr>
                      <m:sty m:val="b"/>
                    </m:rPr>
                    <w:rPr>
                      <w:rFonts w:ascii="Cambria Math" w:hAnsi="Cambria Math" w:cs="Tahoma"/>
                      <w:sz w:val="20"/>
                      <w:szCs w:val="20"/>
                      <w:lang w:val="en-US"/>
                    </w:rPr>
                    <m:t>Deal</m:t>
                  </m:r>
                  <m:d>
                    <m:dPr>
                      <m:ctrlPr>
                        <w:rPr>
                          <w:rFonts w:ascii="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lang w:val="en-US"/>
                    </w:rPr>
                    <m:t>.</m:t>
                  </m:r>
                </m:e>
              </m:eqArr>
            </m:e>
          </m:d>
        </m:oMath>
      </m:oMathPara>
    </w:p>
    <w:p w14:paraId="49C9262E" w14:textId="77777777" w:rsidR="00602297" w:rsidRPr="008852C0" w:rsidRDefault="00107A0E" w:rsidP="00821877">
      <w:pPr>
        <w:pStyle w:val="30"/>
        <w:numPr>
          <w:ilvl w:val="2"/>
          <w:numId w:val="3"/>
        </w:numPr>
        <w:spacing w:beforeLines="120" w:before="288" w:after="0"/>
        <w:ind w:left="1843" w:hanging="709"/>
        <w:jc w:val="both"/>
        <w:rPr>
          <w:rFonts w:ascii="Tahoma" w:hAnsi="Tahoma" w:cs="Tahoma"/>
          <w:sz w:val="20"/>
          <w:szCs w:val="20"/>
        </w:rPr>
      </w:pPr>
      <w:r w:rsidRPr="008852C0">
        <w:rPr>
          <w:rFonts w:ascii="Tahoma" w:hAnsi="Tahoma" w:cs="Tahoma"/>
          <w:sz w:val="20"/>
        </w:rPr>
        <w:t xml:space="preserve">If there have been no trades in the option with the </w:t>
      </w:r>
      <w:proofErr w:type="spellStart"/>
      <w:r w:rsidRPr="008852C0">
        <w:rPr>
          <w:rFonts w:ascii="Tahoma" w:hAnsi="Tahoma" w:cs="Tahoma"/>
          <w:sz w:val="20"/>
        </w:rPr>
        <w:t>i</w:t>
      </w:r>
      <w:r w:rsidRPr="008852C0">
        <w:rPr>
          <w:rFonts w:ascii="Tahoma" w:hAnsi="Tahoma" w:cs="Tahoma"/>
          <w:sz w:val="20"/>
          <w:vertAlign w:val="superscript"/>
        </w:rPr>
        <w:t>th</w:t>
      </w:r>
      <w:proofErr w:type="spellEnd"/>
      <w:r w:rsidRPr="008852C0">
        <w:rPr>
          <w:rFonts w:ascii="Tahoma" w:hAnsi="Tahoma" w:cs="Tahoma"/>
          <w:sz w:val="20"/>
        </w:rPr>
        <w:t xml:space="preserve"> strike during the current session:</w:t>
      </w:r>
    </w:p>
    <w:p w14:paraId="44CA9C2C" w14:textId="0A9CBD16" w:rsidR="00EE60C7" w:rsidRPr="008852C0" w:rsidRDefault="00107A0E" w:rsidP="00821877">
      <w:pPr>
        <w:spacing w:beforeLines="120" w:before="288"/>
        <w:ind w:left="1843"/>
        <w:rPr>
          <w:rFonts w:ascii="Tahoma" w:hAnsi="Tahoma" w:cs="Tahoma"/>
          <w:b/>
          <w:sz w:val="20"/>
        </w:rPr>
      </w:pPr>
      <m:oMathPara>
        <m:oMathParaPr>
          <m:jc m:val="left"/>
        </m:oMathParaPr>
        <m:oMath>
          <m:r>
            <m:rPr>
              <m:sty m:val="b"/>
            </m:rPr>
            <w:rPr>
              <w:rFonts w:ascii="Cambria Math" w:hAnsi="Cambria Math" w:cs="Tahoma"/>
              <w:sz w:val="20"/>
              <w:szCs w:val="20"/>
            </w:rPr>
            <m:t>Pr</m:t>
          </m:r>
          <m:d>
            <m:dPr>
              <m:ctrlPr>
                <w:rPr>
                  <w:rFonts w:ascii="Cambria Math" w:hAnsi="Cambria Math" w:cs="Tahoma"/>
                  <w:b/>
                  <w:sz w:val="20"/>
                  <w:szCs w:val="20"/>
                </w:rPr>
              </m:ctrlPr>
            </m:dPr>
            <m:e>
              <m:sSub>
                <m:sSubPr>
                  <m:ctrlPr>
                    <w:rPr>
                      <w:rFonts w:ascii="Cambria Math" w:hAnsi="Cambria Math" w:cs="Tahoma"/>
                      <w:b/>
                      <w:sz w:val="20"/>
                      <w:szCs w:val="20"/>
                    </w:rPr>
                  </m:ctrlPr>
                </m:sSubPr>
                <m:e>
                  <m:r>
                    <m:rPr>
                      <m:sty m:val="b"/>
                    </m:rPr>
                    <w:rPr>
                      <w:rFonts w:ascii="Cambria Math" w:hAnsi="Cambria Math" w:cs="Tahoma"/>
                      <w:sz w:val="20"/>
                      <w:szCs w:val="20"/>
                    </w:rPr>
                    <m:t>K</m:t>
                  </m:r>
                </m:e>
                <m:sub>
                  <m:r>
                    <m:rPr>
                      <m:sty m:val="b"/>
                    </m:rPr>
                    <w:rPr>
                      <w:rFonts w:ascii="Cambria Math" w:hAnsi="Cambria Math" w:cs="Tahoma"/>
                      <w:sz w:val="20"/>
                      <w:szCs w:val="20"/>
                    </w:rPr>
                    <m:t>i</m:t>
                  </m:r>
                </m:sub>
              </m:sSub>
            </m:e>
          </m:d>
          <m:r>
            <m:rPr>
              <m:sty m:val="b"/>
            </m:rPr>
            <w:rPr>
              <w:rFonts w:ascii="Cambria Math" w:hAnsi="Cambria Math" w:cs="Tahoma"/>
              <w:sz w:val="20"/>
              <w:szCs w:val="20"/>
            </w:rPr>
            <m:t>=</m:t>
          </m:r>
          <m:d>
            <m:dPr>
              <m:begChr m:val="{"/>
              <m:endChr m:val=""/>
              <m:ctrlPr>
                <w:rPr>
                  <w:rFonts w:ascii="Cambria Math" w:hAnsi="Cambria Math" w:cs="Tahoma"/>
                  <w:b/>
                  <w:sz w:val="20"/>
                  <w:szCs w:val="20"/>
                </w:rPr>
              </m:ctrlPr>
            </m:dPr>
            <m:e>
              <m:eqArr>
                <m:eqArrPr>
                  <m:ctrlPr>
                    <w:rPr>
                      <w:rFonts w:ascii="Cambria Math" w:hAnsi="Cambria Math" w:cs="Tahoma"/>
                      <w:b/>
                      <w:sz w:val="20"/>
                      <w:szCs w:val="20"/>
                    </w:rPr>
                  </m:ctrlPr>
                </m:eqArrPr>
                <m:e>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hAnsi="Cambria Math" w:cs="Tahoma"/>
                      <w:sz w:val="20"/>
                      <w:szCs w:val="20"/>
                      <w:lang w:val="en-US"/>
                    </w:rPr>
                    <m:t>if</m:t>
                  </m:r>
                  <m:r>
                    <m:rPr>
                      <m:sty m:val="b"/>
                    </m:rPr>
                    <w:rPr>
                      <w:rFonts w:ascii="Cambria Math" w:eastAsia="Cambria Math" w:hAnsi="Cambria Math" w:cs="Tahoma"/>
                      <w:sz w:val="20"/>
                      <w:szCs w:val="20"/>
                    </w:rPr>
                    <m:t xml:space="preserve"> </m:t>
                  </m:r>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 xml:space="preserve"> </m:t>
                  </m:r>
                  <m:r>
                    <m:rPr>
                      <m:sty m:val="p"/>
                    </m:rPr>
                    <w:rPr>
                      <w:rFonts w:ascii="Cambria Math" w:hAnsi="Cambria Math" w:cs="Tahoma"/>
                      <w:sz w:val="20"/>
                      <w:szCs w:val="20"/>
                    </w:rPr>
                    <m:t>and</m:t>
                  </m:r>
                  <m:r>
                    <m:rPr>
                      <m:sty m:val="b"/>
                    </m:rPr>
                    <w:rPr>
                      <w:rFonts w:ascii="Cambria Math" w:hAnsi="Cambria Math" w:cs="Tahoma"/>
                      <w:sz w:val="20"/>
                      <w:szCs w:val="20"/>
                    </w:rPr>
                    <m:t xml:space="preserve"> </m:t>
                  </m:r>
                </m:e>
                <m:e>
                  <m:r>
                    <m:rPr>
                      <m:sty m:val="b"/>
                    </m:rPr>
                    <w:rPr>
                      <w:rFonts w:ascii="Cambria Math" w:hAnsi="Cambria Math" w:cs="Tahoma"/>
                      <w:sz w:val="20"/>
                      <w:szCs w:val="20"/>
                    </w:rPr>
                    <m:t>bid</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 xml:space="preserve">, </m:t>
                  </m:r>
                  <m:r>
                    <m:rPr>
                      <m:sty m:val="p"/>
                    </m:rPr>
                    <w:rPr>
                      <w:rFonts w:ascii="Cambria Math" w:eastAsia="Cambria Math" w:hAnsi="Cambria Math" w:cs="Tahoma"/>
                      <w:sz w:val="20"/>
                      <w:szCs w:val="20"/>
                    </w:rPr>
                    <m:t>or</m:t>
                  </m:r>
                  <m:r>
                    <m:rPr>
                      <m:sty m:val="b"/>
                    </m:rPr>
                    <w:rPr>
                      <w:rFonts w:ascii="Cambria Math" w:hAnsi="Cambria Math" w:cs="Tahoma"/>
                      <w:sz w:val="20"/>
                      <w:szCs w:val="20"/>
                    </w:rPr>
                    <m:t xml:space="preserve"> </m:t>
                  </m:r>
                  <m:r>
                    <m:rPr>
                      <m:sty m:val="p"/>
                    </m:rPr>
                    <w:rPr>
                      <w:rFonts w:ascii="Cambria Math" w:hAnsi="Cambria Math" w:cs="Tahoma"/>
                      <w:sz w:val="20"/>
                      <w:szCs w:val="20"/>
                    </w:rPr>
                    <m:t>no</m:t>
                  </m:r>
                  <m:r>
                    <m:rPr>
                      <m:sty m:val="b"/>
                    </m:rPr>
                    <w:rPr>
                      <w:rFonts w:ascii="Cambria Math" w:hAnsi="Cambria Math" w:cs="Tahoma"/>
                      <w:sz w:val="20"/>
                      <w:szCs w:val="20"/>
                    </w:rPr>
                    <m:t xml:space="preserve"> </m:t>
                  </m:r>
                  <m:r>
                    <m:rPr>
                      <m:sty m:val="b"/>
                    </m:rPr>
                    <w:rPr>
                      <w:rFonts w:ascii="Cambria Math" w:hAnsi="Cambria Math" w:cs="Tahoma"/>
                      <w:sz w:val="20"/>
                      <w:szCs w:val="20"/>
                    </w:rPr>
                    <m:t>(bid/ask)</m:t>
                  </m:r>
                  <m:r>
                    <m:rPr>
                      <m:sty m:val="b"/>
                    </m:rPr>
                    <w:rPr>
                      <w:rFonts w:ascii="Cambria Math" w:hAnsi="Cambria Math" w:cs="Tahoma"/>
                      <w:sz w:val="20"/>
                      <w:szCs w:val="20"/>
                    </w:rPr>
                    <m:t xml:space="preserve"> </m:t>
                  </m:r>
                  <m:r>
                    <m:rPr>
                      <m:sty m:val="p"/>
                    </m:rPr>
                    <w:rPr>
                      <w:rFonts w:ascii="Cambria Math" w:hAnsi="Cambria Math" w:cs="Tahoma"/>
                      <w:sz w:val="20"/>
                      <w:szCs w:val="20"/>
                    </w:rPr>
                    <m:t>is  available</m:t>
                  </m:r>
                  <m:r>
                    <m:rPr>
                      <m:sty m:val="b"/>
                    </m:rPr>
                    <w:rPr>
                      <w:rFonts w:ascii="Cambria Math" w:hAnsi="Cambria Math" w:cs="Tahoma"/>
                      <w:sz w:val="20"/>
                      <w:szCs w:val="20"/>
                    </w:rPr>
                    <m:t>;</m:t>
                  </m:r>
                  <m:r>
                    <m:rPr>
                      <m:sty m:val="b"/>
                    </m:rPr>
                    <w:rPr>
                      <w:rFonts w:ascii="Cambria Math" w:eastAsia="Cambria Math" w:hAnsi="Cambria Math" w:cs="Tahoma"/>
                      <w:sz w:val="20"/>
                      <w:szCs w:val="20"/>
                    </w:rPr>
                    <m:t xml:space="preserve"> </m:t>
                  </m:r>
                  <m:ctrlPr>
                    <w:rPr>
                      <w:rFonts w:ascii="Cambria Math" w:eastAsia="Cambria Math" w:hAnsi="Cambria Math" w:cs="Tahoma"/>
                      <w:b/>
                      <w:sz w:val="20"/>
                      <w:szCs w:val="20"/>
                    </w:rPr>
                  </m:ctrlPr>
                </m:e>
                <m:e>
                  <m:r>
                    <m:rPr>
                      <m:sty m:val="b"/>
                    </m:rPr>
                    <w:rPr>
                      <w:rFonts w:ascii="Cambria Math" w:hAnsi="Cambria Math" w:cs="Tahoma"/>
                      <w:sz w:val="20"/>
                      <w:szCs w:val="20"/>
                    </w:rPr>
                    <m:t>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m:t>
                  </m:r>
                  <m:r>
                    <m:rPr>
                      <m:sty m:val="p"/>
                    </m:rPr>
                    <w:rPr>
                      <w:rFonts w:ascii="Cambria Math" w:hAnsi="Cambria Math" w:cs="Tahoma"/>
                      <w:sz w:val="20"/>
                      <w:szCs w:val="20"/>
                      <w:lang w:val="en-US"/>
                    </w:rPr>
                    <m:t>if</m:t>
                  </m:r>
                  <m:r>
                    <m:rPr>
                      <m:sty m:val="b"/>
                    </m:rPr>
                    <w:rPr>
                      <w:rFonts w:ascii="Cambria Math" w:hAnsi="Cambria Math" w:cs="Tahoma"/>
                      <w:sz w:val="20"/>
                      <w:szCs w:val="20"/>
                    </w:rPr>
                    <m:t xml:space="preserve">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≠0 и ask</m:t>
                  </m:r>
                  <m:d>
                    <m:dPr>
                      <m:ctrlPr>
                        <w:rPr>
                          <w:rFonts w:ascii="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hAnsi="Cambria Math" w:cs="Tahoma"/>
                      <w:sz w:val="20"/>
                      <w:szCs w:val="20"/>
                    </w:rPr>
                    <m:t>&lt;</m:t>
                  </m:r>
                  <m:r>
                    <m:rPr>
                      <m:sty m:val="b"/>
                    </m:rPr>
                    <w:rPr>
                      <w:rFonts w:ascii="Cambria Math" w:eastAsia="Cambria Math" w:hAnsi="Cambria Math" w:cs="Tahoma"/>
                      <w:sz w:val="20"/>
                      <w:szCs w:val="20"/>
                    </w:rPr>
                    <m: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
                  <m:r>
                    <m:rPr>
                      <m:sty m:val="b"/>
                    </m:rPr>
                    <w:rPr>
                      <w:rFonts w:ascii="Cambria Math" w:eastAsia="Cambria Math" w:hAnsi="Cambria Math" w:cs="Tahoma"/>
                      <w:sz w:val="20"/>
                      <w:szCs w:val="20"/>
                    </w:rPr>
                    <m:t>bid</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r>
                    <m:rPr>
                      <m:sty m:val="p"/>
                    </m:rPr>
                    <w:rPr>
                      <w:rFonts w:ascii="Cambria Math" w:hAnsi="Cambria Math" w:cs="Tahoma"/>
                      <w:sz w:val="20"/>
                      <w:szCs w:val="20"/>
                      <w:lang w:val="en-US"/>
                    </w:rPr>
                    <m:t>if</m:t>
                  </m:r>
                  <m:r>
                    <m:rPr>
                      <m:sty m:val="b"/>
                    </m:rPr>
                    <w:rPr>
                      <w:rFonts w:ascii="Cambria Math" w:eastAsia="Cambria Math" w:hAnsi="Cambria Math" w:cs="Tahoma"/>
                      <w:sz w:val="20"/>
                      <w:szCs w:val="20"/>
                    </w:rPr>
                    <m:t xml:space="preserve"> </m:t>
                  </m:r>
                  <m:r>
                    <m:rPr>
                      <m:sty m:val="b"/>
                    </m:rPr>
                    <w:rPr>
                      <w:rFonts w:ascii="Cambria Math" w:eastAsia="Cambria Math" w:hAnsi="Cambria Math" w:cs="Tahoma"/>
                      <w:sz w:val="20"/>
                      <w:szCs w:val="20"/>
                      <w:lang w:val="en-US"/>
                    </w:rPr>
                    <m:t>bid</m:t>
                  </m:r>
                  <m:d>
                    <m:dPr>
                      <m:ctrlPr>
                        <w:rPr>
                          <w:rFonts w:ascii="Cambria Math" w:eastAsia="Cambria Math" w:hAnsi="Cambria Math" w:cs="Tahoma"/>
                          <w:b/>
                          <w:sz w:val="20"/>
                          <w:szCs w:val="20"/>
                          <w:lang w:val="en-US"/>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&gt;TheorPrice</m:t>
                  </m:r>
                  <m:d>
                    <m:dPr>
                      <m:ctrlPr>
                        <w:rPr>
                          <w:rFonts w:ascii="Cambria Math" w:eastAsia="Cambria Math" w:hAnsi="Cambria Math" w:cs="Tahoma"/>
                          <w:b/>
                          <w:sz w:val="20"/>
                          <w:szCs w:val="20"/>
                        </w:rPr>
                      </m:ctrlPr>
                    </m:dPr>
                    <m:e>
                      <m:sSub>
                        <m:sSubPr>
                          <m:ctrlPr>
                            <w:rPr>
                              <w:rFonts w:ascii="Cambria Math" w:hAnsi="Cambria Math" w:cs="Tahoma"/>
                              <w:b/>
                              <w:sz w:val="20"/>
                              <w:szCs w:val="20"/>
                              <w:lang w:val="en-US"/>
                            </w:rPr>
                          </m:ctrlPr>
                        </m:sSubPr>
                        <m:e>
                          <m:r>
                            <m:rPr>
                              <m:sty m:val="b"/>
                            </m:rPr>
                            <w:rPr>
                              <w:rFonts w:ascii="Cambria Math" w:hAnsi="Cambria Math" w:cs="Tahoma"/>
                              <w:sz w:val="20"/>
                              <w:szCs w:val="20"/>
                              <w:lang w:val="en-US"/>
                            </w:rPr>
                            <m:t>K</m:t>
                          </m:r>
                        </m:e>
                        <m:sub>
                          <m:r>
                            <m:rPr>
                              <m:sty m:val="b"/>
                            </m:rPr>
                            <w:rPr>
                              <w:rFonts w:ascii="Cambria Math" w:hAnsi="Cambria Math" w:cs="Tahoma"/>
                              <w:sz w:val="20"/>
                              <w:szCs w:val="20"/>
                              <w:lang w:val="en-US"/>
                            </w:rPr>
                            <m:t>i</m:t>
                          </m:r>
                        </m:sub>
                      </m:sSub>
                    </m:e>
                  </m:d>
                  <m:r>
                    <m:rPr>
                      <m:sty m:val="b"/>
                    </m:rPr>
                    <w:rPr>
                      <w:rFonts w:ascii="Cambria Math" w:eastAsia="Cambria Math" w:hAnsi="Cambria Math" w:cs="Tahoma"/>
                      <w:sz w:val="20"/>
                      <w:szCs w:val="20"/>
                    </w:rPr>
                    <m:t>.</m:t>
                  </m:r>
                </m:e>
              </m:eqArr>
            </m:e>
          </m:d>
        </m:oMath>
      </m:oMathPara>
    </w:p>
    <w:p w14:paraId="2BD623E5" w14:textId="77777777" w:rsidR="00EE54A2" w:rsidRPr="008852C0" w:rsidRDefault="00107A0E" w:rsidP="007A6811">
      <w:pPr>
        <w:tabs>
          <w:tab w:val="left" w:pos="993"/>
        </w:tabs>
        <w:ind w:left="1843"/>
        <w:rPr>
          <w:rFonts w:ascii="Tahoma" w:eastAsia="Calibri" w:hAnsi="Tahoma" w:cs="Tahoma"/>
          <w:sz w:val="20"/>
          <w:szCs w:val="20"/>
        </w:rPr>
      </w:pPr>
      <w:r w:rsidRPr="008852C0">
        <w:rPr>
          <w:rFonts w:ascii="Tahoma" w:hAnsi="Tahoma" w:cs="Tahoma"/>
          <w:sz w:val="20"/>
        </w:rPr>
        <w:t>where:</w:t>
      </w:r>
    </w:p>
    <w:p w14:paraId="512BCED9" w14:textId="52B4F45F"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libri" w:hAnsi="Cambria Math" w:cs="Tahoma"/>
            <w:color w:val="000000"/>
            <w:sz w:val="20"/>
            <w:szCs w:val="20"/>
            <w:lang w:val="en-US" w:eastAsia="en-US"/>
          </w:rPr>
          <m:t>Deal</m:t>
        </m:r>
        <m:d>
          <m:dPr>
            <m:ctrlPr>
              <w:rPr>
                <w:rFonts w:ascii="Cambria Math" w:eastAsia="Calibri" w:hAnsi="Cambria Math" w:cs="Tahoma"/>
                <w:b/>
                <w:color w:val="000000"/>
                <w:sz w:val="20"/>
                <w:szCs w:val="20"/>
                <w:lang w:val="en-US"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r>
          <m:rPr>
            <m:sty m:val="bi"/>
          </m:rPr>
          <w:rPr>
            <w:rFonts w:ascii="Cambria Math" w:eastAsia="Calibri" w:hAnsi="Cambria Math" w:cs="Tahoma"/>
            <w:color w:val="000000"/>
            <w:sz w:val="20"/>
            <w:szCs w:val="20"/>
            <w:lang w:val="en-US" w:eastAsia="en-US"/>
          </w:rPr>
          <m:t xml:space="preserve"> </m:t>
        </m:r>
      </m:oMath>
      <w:r w:rsidRPr="008852C0">
        <w:rPr>
          <w:rFonts w:ascii="Tahoma" w:hAnsi="Tahoma" w:cs="Tahoma"/>
          <w:color w:val="000000"/>
          <w:sz w:val="20"/>
        </w:rPr>
        <w:t>–</w:t>
      </w:r>
      <w:r w:rsidR="008852C0">
        <w:rPr>
          <w:rFonts w:ascii="Tahoma" w:hAnsi="Tahoma" w:cs="Tahoma"/>
          <w:color w:val="000000"/>
          <w:sz w:val="20"/>
        </w:rPr>
        <w:t xml:space="preserve"> </w:t>
      </w:r>
      <w:r w:rsidRPr="008852C0">
        <w:rPr>
          <w:rFonts w:ascii="Tahoma" w:hAnsi="Tahoma" w:cs="Tahoma"/>
          <w:sz w:val="20"/>
        </w:rPr>
        <w:t xml:space="preserve">the price of the last trade in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sz w:val="20"/>
        </w:rPr>
        <w:t xml:space="preserve"> in the current session;</w:t>
      </w:r>
    </w:p>
    <w:p w14:paraId="18AB3FB0" w14:textId="77777777"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mbria Math" w:hAnsi="Cambria Math" w:cs="Tahoma"/>
            <w:color w:val="000000"/>
            <w:sz w:val="20"/>
            <w:szCs w:val="20"/>
            <w:lang w:eastAsia="en-US"/>
          </w:rPr>
          <m:t>bid</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best bid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sz w:val="20"/>
        </w:rPr>
        <w:t xml:space="preserve"> at the end of the current session;</w:t>
      </w:r>
    </w:p>
    <w:p w14:paraId="7CB70924" w14:textId="77777777"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libri" w:hAnsi="Cambria Math" w:cs="Tahoma"/>
            <w:color w:val="000000"/>
            <w:sz w:val="20"/>
            <w:szCs w:val="20"/>
            <w:lang w:eastAsia="en-US"/>
          </w:rPr>
          <m:t>ask</m:t>
        </m:r>
        <m:d>
          <m:dPr>
            <m:ctrlPr>
              <w:rPr>
                <w:rFonts w:ascii="Cambria Math" w:eastAsia="Calibri"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best bid for the option with strike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color w:val="000000"/>
        </w:rPr>
        <w:t xml:space="preserve"> </w:t>
      </w:r>
      <w:r w:rsidRPr="008852C0">
        <w:rPr>
          <w:rFonts w:ascii="Tahoma" w:hAnsi="Tahoma" w:cs="Tahoma"/>
          <w:color w:val="000000"/>
          <w:sz w:val="20"/>
        </w:rPr>
        <w:t>at the end of the current session;</w:t>
      </w:r>
    </w:p>
    <w:p w14:paraId="14E6B1DA" w14:textId="030FB76F" w:rsidR="00EE54A2" w:rsidRPr="008852C0" w:rsidRDefault="00107A0E" w:rsidP="007A6811">
      <w:pPr>
        <w:tabs>
          <w:tab w:val="left" w:pos="2694"/>
          <w:tab w:val="left" w:pos="3261"/>
        </w:tabs>
        <w:ind w:left="3544" w:right="15" w:hanging="1701"/>
        <w:jc w:val="both"/>
        <w:rPr>
          <w:rFonts w:ascii="Tahoma" w:hAnsi="Tahoma" w:cs="Tahoma"/>
          <w:sz w:val="20"/>
          <w:szCs w:val="20"/>
        </w:rPr>
      </w:pPr>
      <m:oMath>
        <m:r>
          <m:rPr>
            <m:sty m:val="b"/>
          </m:rPr>
          <w:rPr>
            <w:rFonts w:ascii="Cambria Math" w:eastAsia="Cambria Math" w:hAnsi="Cambria Math" w:cs="Tahoma"/>
            <w:color w:val="000000"/>
            <w:sz w:val="20"/>
            <w:szCs w:val="20"/>
            <w:lang w:eastAsia="en-US"/>
          </w:rPr>
          <w:lastRenderedPageBreak/>
          <m:t>TheorPrice</m:t>
        </m:r>
        <m:d>
          <m:dPr>
            <m:ctrlPr>
              <w:rPr>
                <w:rFonts w:ascii="Cambria Math" w:eastAsia="Cambria Math" w:hAnsi="Cambria Math" w:cs="Tahoma"/>
                <w:b/>
                <w:color w:val="000000"/>
                <w:sz w:val="20"/>
                <w:szCs w:val="20"/>
                <w:lang w:eastAsia="en-US"/>
              </w:rPr>
            </m:ctrlPr>
          </m:dPr>
          <m:e>
            <m:sSub>
              <m:sSubPr>
                <m:ctrlPr>
                  <w:rPr>
                    <w:rFonts w:ascii="Cambria Math" w:eastAsia="Calibri" w:hAnsi="Cambria Math" w:cs="Tahoma"/>
                    <w:b/>
                    <w:color w:val="000000"/>
                    <w:sz w:val="20"/>
                    <w:szCs w:val="20"/>
                    <w:lang w:val="en-US" w:eastAsia="en-US"/>
                  </w:rPr>
                </m:ctrlPr>
              </m:sSubPr>
              <m:e>
                <m:r>
                  <m:rPr>
                    <m:sty m:val="b"/>
                  </m:rPr>
                  <w:rPr>
                    <w:rFonts w:ascii="Cambria Math" w:eastAsia="Calibri" w:hAnsi="Cambria Math" w:cs="Tahoma"/>
                    <w:color w:val="000000"/>
                    <w:sz w:val="20"/>
                    <w:szCs w:val="20"/>
                    <w:lang w:val="en-US" w:eastAsia="en-US"/>
                  </w:rPr>
                  <m:t>K</m:t>
                </m:r>
              </m:e>
              <m:sub>
                <m:r>
                  <m:rPr>
                    <m:sty m:val="b"/>
                  </m:rPr>
                  <w:rPr>
                    <w:rFonts w:ascii="Cambria Math" w:eastAsia="Calibri" w:hAnsi="Cambria Math" w:cs="Tahoma"/>
                    <w:color w:val="000000"/>
                    <w:sz w:val="20"/>
                    <w:szCs w:val="20"/>
                    <w:lang w:val="en-US" w:eastAsia="en-US"/>
                  </w:rPr>
                  <m:t>i</m:t>
                </m:r>
              </m:sub>
            </m:sSub>
          </m:e>
        </m:d>
      </m:oMath>
      <w:r w:rsidRPr="008852C0">
        <w:rPr>
          <w:rFonts w:ascii="Tahoma" w:hAnsi="Tahoma" w:cs="Tahoma"/>
          <w:sz w:val="20"/>
        </w:rPr>
        <w:t xml:space="preserve"> – the theoretical price of the option with strike</w:t>
      </w:r>
      <w:bookmarkStart w:id="1" w:name="_GoBack"/>
      <w:bookmarkEnd w:id="1"/>
      <w:r w:rsidRPr="008852C0">
        <w:rPr>
          <w:rFonts w:ascii="Tahoma" w:hAnsi="Tahoma" w:cs="Tahoma"/>
        </w:rPr>
        <w:t xml:space="preserve"> </w:t>
      </w:r>
      <m:oMath>
        <m:sSub>
          <m:sSubPr>
            <m:ctrlPr>
              <w:rPr>
                <w:rFonts w:ascii="Cambria Math" w:eastAsia="Calibri" w:hAnsi="Cambria Math" w:cs="Tahoma"/>
                <w:color w:val="000000"/>
                <w:sz w:val="20"/>
                <w:szCs w:val="20"/>
                <w:lang w:eastAsia="en-US"/>
              </w:rPr>
            </m:ctrlPr>
          </m:sSubPr>
          <m:e>
            <m:r>
              <m:rPr>
                <m:sty m:val="p"/>
              </m:rPr>
              <w:rPr>
                <w:rFonts w:ascii="Cambria Math" w:eastAsia="Calibri" w:hAnsi="Cambria Math" w:cs="Tahoma"/>
                <w:color w:val="000000"/>
                <w:sz w:val="20"/>
                <w:szCs w:val="20"/>
                <w:lang w:eastAsia="en-US"/>
              </w:rPr>
              <m:t>K</m:t>
            </m:r>
          </m:e>
          <m:sub>
            <m:r>
              <m:rPr>
                <m:sty m:val="p"/>
              </m:rPr>
              <w:rPr>
                <w:rFonts w:ascii="Cambria Math" w:eastAsia="Calibri" w:hAnsi="Cambria Math" w:cs="Tahoma"/>
                <w:color w:val="000000"/>
                <w:sz w:val="20"/>
                <w:szCs w:val="20"/>
                <w:lang w:eastAsia="en-US"/>
              </w:rPr>
              <m:t>i</m:t>
            </m:r>
          </m:sub>
        </m:sSub>
      </m:oMath>
      <w:r w:rsidRPr="008852C0">
        <w:rPr>
          <w:rFonts w:ascii="Tahoma" w:hAnsi="Tahoma" w:cs="Tahoma"/>
        </w:rPr>
        <w:t xml:space="preserve">, </w:t>
      </w:r>
      <w:r w:rsidRPr="008852C0">
        <w:rPr>
          <w:rFonts w:ascii="Tahoma" w:hAnsi="Tahoma" w:cs="Tahoma"/>
          <w:color w:val="000000"/>
          <w:sz w:val="20"/>
        </w:rPr>
        <w:t>determined based on the quote of the underlying futures contract, и and the volatility curve at the time of calculation.</w:t>
      </w:r>
    </w:p>
    <w:p w14:paraId="7141B0C3" w14:textId="77777777" w:rsidR="00C45B4B" w:rsidRPr="008852C0" w:rsidRDefault="00107A0E" w:rsidP="00A35619">
      <w:pPr>
        <w:spacing w:before="120"/>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at seven (7) strikes, the value of which is greater than the central strike,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of call options is used.</w:t>
      </w:r>
    </w:p>
    <w:p w14:paraId="00272E5E" w14:textId="77777777" w:rsidR="00C45B4B" w:rsidRPr="008852C0" w:rsidRDefault="00107A0E" w:rsidP="007A6811">
      <w:pPr>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at seven (7) strikes, the value of which is less than the central strike, bids/asks for put options are used.</w:t>
      </w:r>
    </w:p>
    <w:p w14:paraId="2EA75909" w14:textId="6F2F47E8" w:rsidR="004F7927" w:rsidRPr="008852C0" w:rsidRDefault="00107A0E" w:rsidP="004F7927">
      <w:pPr>
        <w:ind w:left="1134"/>
        <w:jc w:val="both"/>
        <w:rPr>
          <w:rFonts w:ascii="Tahoma" w:hAnsi="Tahoma" w:cs="Tahoma"/>
          <w:sz w:val="20"/>
          <w:szCs w:val="20"/>
        </w:rPr>
      </w:pPr>
      <w:r w:rsidRPr="008852C0">
        <w:rPr>
          <w:rFonts w:ascii="Tahoma" w:hAnsi="Tahoma" w:cs="Tahoma"/>
          <w:sz w:val="20"/>
        </w:rPr>
        <w:t xml:space="preserve">To determine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for an option with a central strike, the quote of the futures contract is considered.  If the quote of the futures contract is greater than the central strike of the option,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of put options is used.  Otherwise, </w:t>
      </w:r>
      <m:oMath>
        <m:r>
          <m:rPr>
            <m:sty m:val="p"/>
          </m:rPr>
          <w:rPr>
            <w:rFonts w:ascii="Cambria Math" w:hAnsi="Cambria Math" w:cs="Tahoma"/>
            <w:sz w:val="20"/>
            <w:szCs w:val="20"/>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i</m:t>
                </m:r>
              </m:sub>
            </m:sSub>
          </m:e>
        </m:d>
      </m:oMath>
      <w:r w:rsidRPr="008852C0">
        <w:rPr>
          <w:rFonts w:ascii="Tahoma" w:hAnsi="Tahoma" w:cs="Tahoma"/>
          <w:sz w:val="20"/>
        </w:rPr>
        <w:t xml:space="preserve"> of call options is used.</w:t>
      </w:r>
    </w:p>
    <w:p w14:paraId="1F6131CC" w14:textId="134B2937" w:rsidR="004F7927" w:rsidRPr="008852C0" w:rsidRDefault="004F7927" w:rsidP="004F7927">
      <w:pPr>
        <w:spacing w:before="240"/>
        <w:ind w:left="1134"/>
        <w:jc w:val="both"/>
        <w:rPr>
          <w:rFonts w:ascii="Tahoma" w:hAnsi="Tahoma" w:cs="Tahoma"/>
          <w:sz w:val="20"/>
          <w:szCs w:val="20"/>
        </w:rPr>
      </w:pPr>
      <w:r w:rsidRPr="008852C0">
        <w:rPr>
          <w:rFonts w:ascii="Tahoma" w:hAnsi="Tahoma" w:cs="Tahoma"/>
          <w:sz w:val="20"/>
        </w:rPr>
        <w:t>Under this Methodology, the central strike is defined as the strike price closest to the current market price of the underlying asset of the relevant options series, with the market price adjusted to the strike dimension by multiplying it by the lot size specified in the corresponding options contract specifications.  If a few strikes have the same proximity to the current market price of the underlying asset, the greater strike price among the two equidistant options is designated as the central strike.</w:t>
      </w:r>
    </w:p>
    <w:p w14:paraId="44A4445D" w14:textId="78B19D22" w:rsidR="00316769" w:rsidRPr="008852C0" w:rsidRDefault="00107A0E" w:rsidP="00316769">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Index Calculation Supervision</w:t>
      </w:r>
    </w:p>
    <w:p w14:paraId="0E1A7CF6" w14:textId="721B8B3D" w:rsidR="00316769" w:rsidRPr="008852C0" w:rsidRDefault="00107A0E" w:rsidP="00316769">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 the event of a technical failure during the calculation of the Index or a technical failure during the receipt of price data required for its calculation, recalculation of the previously calculated values is permitted. This recalculation shall be carried out within the shortest possible time from the moment of detection of the technical failure.</w:t>
      </w:r>
    </w:p>
    <w:p w14:paraId="6970FA36" w14:textId="1369DFEB" w:rsidR="00C96232" w:rsidRPr="008852C0" w:rsidRDefault="00107A0E" w:rsidP="00C96232">
      <w:pPr>
        <w:numPr>
          <w:ilvl w:val="0"/>
          <w:numId w:val="3"/>
        </w:numPr>
        <w:spacing w:beforeLines="50" w:before="120" w:afterLines="50" w:after="120"/>
        <w:ind w:left="284" w:hanging="357"/>
        <w:rPr>
          <w:rFonts w:ascii="Tahoma" w:hAnsi="Tahoma" w:cs="Tahoma"/>
          <w:b/>
          <w:sz w:val="20"/>
          <w:szCs w:val="20"/>
        </w:rPr>
      </w:pPr>
      <w:r w:rsidRPr="008852C0">
        <w:rPr>
          <w:rFonts w:ascii="Tahoma" w:hAnsi="Tahoma" w:cs="Tahoma"/>
          <w:b/>
          <w:sz w:val="20"/>
        </w:rPr>
        <w:t>Publication</w:t>
      </w:r>
    </w:p>
    <w:p w14:paraId="49A3037D" w14:textId="7BFA669F" w:rsidR="00410764" w:rsidRPr="008852C0" w:rsidRDefault="00107A0E" w:rsidP="007A6811">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Index values are published on the website of the Exchange at www.moex.com (the Exchange Website) within 2 (two) minutes from the moment of their calculation.</w:t>
      </w:r>
    </w:p>
    <w:p w14:paraId="268D8FD3" w14:textId="5636FC72" w:rsidR="00C96232" w:rsidRPr="008852C0" w:rsidRDefault="00107A0E" w:rsidP="00D44094">
      <w:pPr>
        <w:numPr>
          <w:ilvl w:val="1"/>
          <w:numId w:val="3"/>
        </w:numPr>
        <w:spacing w:beforeLines="50" w:before="120"/>
        <w:ind w:left="1134" w:hanging="708"/>
        <w:jc w:val="both"/>
        <w:rPr>
          <w:rFonts w:ascii="Tahoma" w:hAnsi="Tahoma" w:cs="Tahoma"/>
          <w:sz w:val="20"/>
          <w:szCs w:val="20"/>
        </w:rPr>
      </w:pPr>
      <w:r w:rsidRPr="008852C0">
        <w:rPr>
          <w:rFonts w:ascii="Tahoma" w:hAnsi="Tahoma" w:cs="Tahoma"/>
          <w:sz w:val="20"/>
        </w:rPr>
        <w:t>Information subject to disclosure under this Methodology may also be disseminated by other means, including through information agencies that distribute MOEX market data.</w:t>
      </w:r>
    </w:p>
    <w:sectPr w:rsidR="00C96232" w:rsidRPr="008852C0" w:rsidSect="00133BF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2962" w14:textId="77777777" w:rsidR="00F53784" w:rsidRDefault="00107A0E">
      <w:r>
        <w:separator/>
      </w:r>
    </w:p>
  </w:endnote>
  <w:endnote w:type="continuationSeparator" w:id="0">
    <w:p w14:paraId="3B3A3C96" w14:textId="77777777" w:rsidR="00F53784" w:rsidRDefault="0010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43684" w14:textId="77777777" w:rsidR="00F93250" w:rsidRDefault="00107A0E" w:rsidP="00862583">
      <w:r>
        <w:separator/>
      </w:r>
    </w:p>
  </w:footnote>
  <w:footnote w:type="continuationSeparator" w:id="0">
    <w:p w14:paraId="2D298514" w14:textId="77777777" w:rsidR="00F93250" w:rsidRDefault="00107A0E" w:rsidP="00862583">
      <w:r>
        <w:continuationSeparator/>
      </w:r>
    </w:p>
  </w:footnote>
  <w:footnote w:type="continuationNotice" w:id="1">
    <w:p w14:paraId="4FFD12A5" w14:textId="77777777" w:rsidR="00F93250" w:rsidRDefault="00F93250"/>
  </w:footnote>
  <w:footnote w:id="2">
    <w:p w14:paraId="6E812591" w14:textId="77777777" w:rsidR="00026F7B" w:rsidRPr="002C19B5" w:rsidRDefault="00026F7B" w:rsidP="00026F7B">
      <w:pPr>
        <w:pStyle w:val="a7"/>
        <w:jc w:val="both"/>
        <w:rPr>
          <w:rFonts w:ascii="Tahoma" w:hAnsi="Tahoma" w:cs="Tahoma"/>
          <w:sz w:val="16"/>
        </w:rPr>
      </w:pPr>
      <w:r>
        <w:rPr>
          <w:rStyle w:val="a9"/>
        </w:rPr>
        <w:footnoteRef/>
      </w:r>
      <w:r>
        <w:rPr>
          <w:rFonts w:ascii="Tahoma" w:hAnsi="Tahoma"/>
          <w:sz w:val="16"/>
        </w:rPr>
        <w:t>The Expiration Date of an option is the last trading day for the given option series.</w:t>
      </w:r>
    </w:p>
    <w:p w14:paraId="6B8B22F6" w14:textId="77777777" w:rsidR="00026F7B" w:rsidRDefault="00026F7B" w:rsidP="00026F7B">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9F5"/>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F2352DC"/>
    <w:multiLevelType w:val="hybridMultilevel"/>
    <w:tmpl w:val="26E8E3EC"/>
    <w:lvl w:ilvl="0" w:tplc="8DCEB446">
      <w:start w:val="1"/>
      <w:numFmt w:val="bullet"/>
      <w:lvlText w:val=""/>
      <w:lvlJc w:val="left"/>
      <w:pPr>
        <w:ind w:left="1440" w:hanging="360"/>
      </w:pPr>
      <w:rPr>
        <w:rFonts w:ascii="Symbol" w:hAnsi="Symbol" w:hint="default"/>
      </w:rPr>
    </w:lvl>
    <w:lvl w:ilvl="1" w:tplc="72105D42" w:tentative="1">
      <w:start w:val="1"/>
      <w:numFmt w:val="bullet"/>
      <w:lvlText w:val="o"/>
      <w:lvlJc w:val="left"/>
      <w:pPr>
        <w:ind w:left="2160" w:hanging="360"/>
      </w:pPr>
      <w:rPr>
        <w:rFonts w:ascii="Courier New" w:hAnsi="Courier New" w:cs="Courier New" w:hint="default"/>
      </w:rPr>
    </w:lvl>
    <w:lvl w:ilvl="2" w:tplc="47E6B942">
      <w:start w:val="1"/>
      <w:numFmt w:val="bullet"/>
      <w:lvlText w:val=""/>
      <w:lvlJc w:val="left"/>
      <w:pPr>
        <w:ind w:left="2880" w:hanging="360"/>
      </w:pPr>
      <w:rPr>
        <w:rFonts w:ascii="Wingdings" w:hAnsi="Wingdings" w:hint="default"/>
      </w:rPr>
    </w:lvl>
    <w:lvl w:ilvl="3" w:tplc="BD8C134E" w:tentative="1">
      <w:start w:val="1"/>
      <w:numFmt w:val="bullet"/>
      <w:lvlText w:val=""/>
      <w:lvlJc w:val="left"/>
      <w:pPr>
        <w:ind w:left="3600" w:hanging="360"/>
      </w:pPr>
      <w:rPr>
        <w:rFonts w:ascii="Symbol" w:hAnsi="Symbol" w:hint="default"/>
      </w:rPr>
    </w:lvl>
    <w:lvl w:ilvl="4" w:tplc="06E83314" w:tentative="1">
      <w:start w:val="1"/>
      <w:numFmt w:val="bullet"/>
      <w:lvlText w:val="o"/>
      <w:lvlJc w:val="left"/>
      <w:pPr>
        <w:ind w:left="4320" w:hanging="360"/>
      </w:pPr>
      <w:rPr>
        <w:rFonts w:ascii="Courier New" w:hAnsi="Courier New" w:cs="Courier New" w:hint="default"/>
      </w:rPr>
    </w:lvl>
    <w:lvl w:ilvl="5" w:tplc="F21CE35A" w:tentative="1">
      <w:start w:val="1"/>
      <w:numFmt w:val="bullet"/>
      <w:lvlText w:val=""/>
      <w:lvlJc w:val="left"/>
      <w:pPr>
        <w:ind w:left="5040" w:hanging="360"/>
      </w:pPr>
      <w:rPr>
        <w:rFonts w:ascii="Wingdings" w:hAnsi="Wingdings" w:hint="default"/>
      </w:rPr>
    </w:lvl>
    <w:lvl w:ilvl="6" w:tplc="AE50B7BE" w:tentative="1">
      <w:start w:val="1"/>
      <w:numFmt w:val="bullet"/>
      <w:lvlText w:val=""/>
      <w:lvlJc w:val="left"/>
      <w:pPr>
        <w:ind w:left="5760" w:hanging="360"/>
      </w:pPr>
      <w:rPr>
        <w:rFonts w:ascii="Symbol" w:hAnsi="Symbol" w:hint="default"/>
      </w:rPr>
    </w:lvl>
    <w:lvl w:ilvl="7" w:tplc="9E2EEF5E" w:tentative="1">
      <w:start w:val="1"/>
      <w:numFmt w:val="bullet"/>
      <w:lvlText w:val="o"/>
      <w:lvlJc w:val="left"/>
      <w:pPr>
        <w:ind w:left="6480" w:hanging="360"/>
      </w:pPr>
      <w:rPr>
        <w:rFonts w:ascii="Courier New" w:hAnsi="Courier New" w:cs="Courier New" w:hint="default"/>
      </w:rPr>
    </w:lvl>
    <w:lvl w:ilvl="8" w:tplc="9940D9EA" w:tentative="1">
      <w:start w:val="1"/>
      <w:numFmt w:val="bullet"/>
      <w:lvlText w:val=""/>
      <w:lvlJc w:val="left"/>
      <w:pPr>
        <w:ind w:left="7200" w:hanging="360"/>
      </w:pPr>
      <w:rPr>
        <w:rFonts w:ascii="Wingdings" w:hAnsi="Wingdings" w:hint="default"/>
      </w:rPr>
    </w:lvl>
  </w:abstractNum>
  <w:abstractNum w:abstractNumId="2" w15:restartNumberingAfterBreak="0">
    <w:nsid w:val="117C65F0"/>
    <w:multiLevelType w:val="multilevel"/>
    <w:tmpl w:val="F454CDC4"/>
    <w:lvl w:ilvl="0">
      <w:start w:val="2"/>
      <w:numFmt w:val="decimal"/>
      <w:lvlText w:val="%1"/>
      <w:lvlJc w:val="left"/>
      <w:pPr>
        <w:ind w:left="435" w:hanging="435"/>
      </w:pPr>
      <w:rPr>
        <w:rFonts w:hint="default"/>
      </w:rPr>
    </w:lvl>
    <w:lvl w:ilvl="1">
      <w:start w:val="7"/>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4105678"/>
    <w:multiLevelType w:val="hybridMultilevel"/>
    <w:tmpl w:val="DF821542"/>
    <w:lvl w:ilvl="0" w:tplc="6C7C3CA0">
      <w:start w:val="1"/>
      <w:numFmt w:val="decimal"/>
      <w:lvlText w:val="%1."/>
      <w:lvlJc w:val="left"/>
      <w:pPr>
        <w:tabs>
          <w:tab w:val="num" w:pos="1068"/>
        </w:tabs>
        <w:ind w:left="1068" w:hanging="360"/>
      </w:pPr>
    </w:lvl>
    <w:lvl w:ilvl="1" w:tplc="4C78EA0E">
      <w:start w:val="1"/>
      <w:numFmt w:val="bullet"/>
      <w:lvlText w:val=""/>
      <w:lvlJc w:val="left"/>
      <w:pPr>
        <w:tabs>
          <w:tab w:val="num" w:pos="1788"/>
        </w:tabs>
        <w:ind w:left="1788" w:hanging="360"/>
      </w:pPr>
      <w:rPr>
        <w:rFonts w:ascii="Wingdings" w:hAnsi="Wingdings" w:hint="default"/>
      </w:rPr>
    </w:lvl>
    <w:lvl w:ilvl="2" w:tplc="E3167CDE" w:tentative="1">
      <w:start w:val="1"/>
      <w:numFmt w:val="lowerRoman"/>
      <w:lvlText w:val="%3."/>
      <w:lvlJc w:val="right"/>
      <w:pPr>
        <w:tabs>
          <w:tab w:val="num" w:pos="2508"/>
        </w:tabs>
        <w:ind w:left="2508" w:hanging="180"/>
      </w:pPr>
    </w:lvl>
    <w:lvl w:ilvl="3" w:tplc="D82459B2" w:tentative="1">
      <w:start w:val="1"/>
      <w:numFmt w:val="decimal"/>
      <w:lvlText w:val="%4."/>
      <w:lvlJc w:val="left"/>
      <w:pPr>
        <w:tabs>
          <w:tab w:val="num" w:pos="3228"/>
        </w:tabs>
        <w:ind w:left="3228" w:hanging="360"/>
      </w:pPr>
    </w:lvl>
    <w:lvl w:ilvl="4" w:tplc="665A28E0" w:tentative="1">
      <w:start w:val="1"/>
      <w:numFmt w:val="lowerLetter"/>
      <w:lvlText w:val="%5."/>
      <w:lvlJc w:val="left"/>
      <w:pPr>
        <w:tabs>
          <w:tab w:val="num" w:pos="3948"/>
        </w:tabs>
        <w:ind w:left="3948" w:hanging="360"/>
      </w:pPr>
    </w:lvl>
    <w:lvl w:ilvl="5" w:tplc="82381878" w:tentative="1">
      <w:start w:val="1"/>
      <w:numFmt w:val="lowerRoman"/>
      <w:lvlText w:val="%6."/>
      <w:lvlJc w:val="right"/>
      <w:pPr>
        <w:tabs>
          <w:tab w:val="num" w:pos="4668"/>
        </w:tabs>
        <w:ind w:left="4668" w:hanging="180"/>
      </w:pPr>
    </w:lvl>
    <w:lvl w:ilvl="6" w:tplc="35E0315C" w:tentative="1">
      <w:start w:val="1"/>
      <w:numFmt w:val="decimal"/>
      <w:lvlText w:val="%7."/>
      <w:lvlJc w:val="left"/>
      <w:pPr>
        <w:tabs>
          <w:tab w:val="num" w:pos="5388"/>
        </w:tabs>
        <w:ind w:left="5388" w:hanging="360"/>
      </w:pPr>
    </w:lvl>
    <w:lvl w:ilvl="7" w:tplc="F3DCD292" w:tentative="1">
      <w:start w:val="1"/>
      <w:numFmt w:val="lowerLetter"/>
      <w:lvlText w:val="%8."/>
      <w:lvlJc w:val="left"/>
      <w:pPr>
        <w:tabs>
          <w:tab w:val="num" w:pos="6108"/>
        </w:tabs>
        <w:ind w:left="6108" w:hanging="360"/>
      </w:pPr>
    </w:lvl>
    <w:lvl w:ilvl="8" w:tplc="A4086992" w:tentative="1">
      <w:start w:val="1"/>
      <w:numFmt w:val="lowerRoman"/>
      <w:lvlText w:val="%9."/>
      <w:lvlJc w:val="right"/>
      <w:pPr>
        <w:tabs>
          <w:tab w:val="num" w:pos="6828"/>
        </w:tabs>
        <w:ind w:left="6828" w:hanging="180"/>
      </w:pPr>
    </w:lvl>
  </w:abstractNum>
  <w:abstractNum w:abstractNumId="4" w15:restartNumberingAfterBreak="0">
    <w:nsid w:val="2A5943A2"/>
    <w:multiLevelType w:val="hybridMultilevel"/>
    <w:tmpl w:val="D85CE4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EAC0460"/>
    <w:multiLevelType w:val="hybridMultilevel"/>
    <w:tmpl w:val="1B4EFE46"/>
    <w:lvl w:ilvl="0" w:tplc="130ABFE0">
      <w:start w:val="1"/>
      <w:numFmt w:val="decimal"/>
      <w:lvlText w:val="%1)"/>
      <w:lvlJc w:val="left"/>
      <w:pPr>
        <w:ind w:left="720" w:hanging="360"/>
      </w:pPr>
      <w:rPr>
        <w:rFonts w:hint="default"/>
      </w:rPr>
    </w:lvl>
    <w:lvl w:ilvl="1" w:tplc="7A44FF12" w:tentative="1">
      <w:start w:val="1"/>
      <w:numFmt w:val="lowerLetter"/>
      <w:lvlText w:val="%2."/>
      <w:lvlJc w:val="left"/>
      <w:pPr>
        <w:ind w:left="1440" w:hanging="360"/>
      </w:pPr>
    </w:lvl>
    <w:lvl w:ilvl="2" w:tplc="E7148652" w:tentative="1">
      <w:start w:val="1"/>
      <w:numFmt w:val="lowerRoman"/>
      <w:lvlText w:val="%3."/>
      <w:lvlJc w:val="right"/>
      <w:pPr>
        <w:ind w:left="2160" w:hanging="180"/>
      </w:pPr>
    </w:lvl>
    <w:lvl w:ilvl="3" w:tplc="68FE5E84" w:tentative="1">
      <w:start w:val="1"/>
      <w:numFmt w:val="decimal"/>
      <w:lvlText w:val="%4."/>
      <w:lvlJc w:val="left"/>
      <w:pPr>
        <w:ind w:left="2880" w:hanging="360"/>
      </w:pPr>
    </w:lvl>
    <w:lvl w:ilvl="4" w:tplc="7CB013E2" w:tentative="1">
      <w:start w:val="1"/>
      <w:numFmt w:val="lowerLetter"/>
      <w:lvlText w:val="%5."/>
      <w:lvlJc w:val="left"/>
      <w:pPr>
        <w:ind w:left="3600" w:hanging="360"/>
      </w:pPr>
    </w:lvl>
    <w:lvl w:ilvl="5" w:tplc="3F18EBE0" w:tentative="1">
      <w:start w:val="1"/>
      <w:numFmt w:val="lowerRoman"/>
      <w:lvlText w:val="%6."/>
      <w:lvlJc w:val="right"/>
      <w:pPr>
        <w:ind w:left="4320" w:hanging="180"/>
      </w:pPr>
    </w:lvl>
    <w:lvl w:ilvl="6" w:tplc="9274EA2A" w:tentative="1">
      <w:start w:val="1"/>
      <w:numFmt w:val="decimal"/>
      <w:lvlText w:val="%7."/>
      <w:lvlJc w:val="left"/>
      <w:pPr>
        <w:ind w:left="5040" w:hanging="360"/>
      </w:pPr>
    </w:lvl>
    <w:lvl w:ilvl="7" w:tplc="0AAE02C6" w:tentative="1">
      <w:start w:val="1"/>
      <w:numFmt w:val="lowerLetter"/>
      <w:lvlText w:val="%8."/>
      <w:lvlJc w:val="left"/>
      <w:pPr>
        <w:ind w:left="5760" w:hanging="360"/>
      </w:pPr>
    </w:lvl>
    <w:lvl w:ilvl="8" w:tplc="E85E1918" w:tentative="1">
      <w:start w:val="1"/>
      <w:numFmt w:val="lowerRoman"/>
      <w:lvlText w:val="%9."/>
      <w:lvlJc w:val="right"/>
      <w:pPr>
        <w:ind w:left="6480" w:hanging="180"/>
      </w:pPr>
    </w:lvl>
  </w:abstractNum>
  <w:abstractNum w:abstractNumId="6" w15:restartNumberingAfterBreak="0">
    <w:nsid w:val="459F2779"/>
    <w:multiLevelType w:val="hybridMultilevel"/>
    <w:tmpl w:val="B35A0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1C2067"/>
    <w:multiLevelType w:val="hybridMultilevel"/>
    <w:tmpl w:val="7598B98E"/>
    <w:lvl w:ilvl="0" w:tplc="E54AE0BE">
      <w:start w:val="1"/>
      <w:numFmt w:val="lowerRoman"/>
      <w:lvlText w:val="%1."/>
      <w:lvlJc w:val="left"/>
      <w:pPr>
        <w:ind w:left="1428" w:hanging="720"/>
      </w:pPr>
      <w:rPr>
        <w:rFonts w:hint="default"/>
      </w:rPr>
    </w:lvl>
    <w:lvl w:ilvl="1" w:tplc="725A3F3C" w:tentative="1">
      <w:start w:val="1"/>
      <w:numFmt w:val="lowerLetter"/>
      <w:lvlText w:val="%2."/>
      <w:lvlJc w:val="left"/>
      <w:pPr>
        <w:ind w:left="1788" w:hanging="360"/>
      </w:pPr>
    </w:lvl>
    <w:lvl w:ilvl="2" w:tplc="3B1AB96C" w:tentative="1">
      <w:start w:val="1"/>
      <w:numFmt w:val="lowerRoman"/>
      <w:lvlText w:val="%3."/>
      <w:lvlJc w:val="right"/>
      <w:pPr>
        <w:ind w:left="2508" w:hanging="180"/>
      </w:pPr>
    </w:lvl>
    <w:lvl w:ilvl="3" w:tplc="E0FCE3DA" w:tentative="1">
      <w:start w:val="1"/>
      <w:numFmt w:val="decimal"/>
      <w:lvlText w:val="%4."/>
      <w:lvlJc w:val="left"/>
      <w:pPr>
        <w:ind w:left="3228" w:hanging="360"/>
      </w:pPr>
    </w:lvl>
    <w:lvl w:ilvl="4" w:tplc="DAF45DC2" w:tentative="1">
      <w:start w:val="1"/>
      <w:numFmt w:val="lowerLetter"/>
      <w:lvlText w:val="%5."/>
      <w:lvlJc w:val="left"/>
      <w:pPr>
        <w:ind w:left="3948" w:hanging="360"/>
      </w:pPr>
    </w:lvl>
    <w:lvl w:ilvl="5" w:tplc="4E929CD4" w:tentative="1">
      <w:start w:val="1"/>
      <w:numFmt w:val="lowerRoman"/>
      <w:lvlText w:val="%6."/>
      <w:lvlJc w:val="right"/>
      <w:pPr>
        <w:ind w:left="4668" w:hanging="180"/>
      </w:pPr>
    </w:lvl>
    <w:lvl w:ilvl="6" w:tplc="DC66E31E" w:tentative="1">
      <w:start w:val="1"/>
      <w:numFmt w:val="decimal"/>
      <w:lvlText w:val="%7."/>
      <w:lvlJc w:val="left"/>
      <w:pPr>
        <w:ind w:left="5388" w:hanging="360"/>
      </w:pPr>
    </w:lvl>
    <w:lvl w:ilvl="7" w:tplc="95928164" w:tentative="1">
      <w:start w:val="1"/>
      <w:numFmt w:val="lowerLetter"/>
      <w:lvlText w:val="%8."/>
      <w:lvlJc w:val="left"/>
      <w:pPr>
        <w:ind w:left="6108" w:hanging="360"/>
      </w:pPr>
    </w:lvl>
    <w:lvl w:ilvl="8" w:tplc="63180318" w:tentative="1">
      <w:start w:val="1"/>
      <w:numFmt w:val="lowerRoman"/>
      <w:lvlText w:val="%9."/>
      <w:lvlJc w:val="right"/>
      <w:pPr>
        <w:ind w:left="6828" w:hanging="180"/>
      </w:pPr>
    </w:lvl>
  </w:abstractNum>
  <w:abstractNum w:abstractNumId="8"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5D5C58"/>
    <w:multiLevelType w:val="hybridMultilevel"/>
    <w:tmpl w:val="BAEC90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1"/>
  </w:num>
  <w:num w:numId="7">
    <w:abstractNumId w:val="7"/>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0307E"/>
    <w:rsid w:val="0000779E"/>
    <w:rsid w:val="00012B94"/>
    <w:rsid w:val="00017D96"/>
    <w:rsid w:val="00022744"/>
    <w:rsid w:val="00026F7B"/>
    <w:rsid w:val="00037898"/>
    <w:rsid w:val="00046A4B"/>
    <w:rsid w:val="00061812"/>
    <w:rsid w:val="0007024A"/>
    <w:rsid w:val="000A0B5F"/>
    <w:rsid w:val="000A7993"/>
    <w:rsid w:val="000B2371"/>
    <w:rsid w:val="000B432D"/>
    <w:rsid w:val="000B63A9"/>
    <w:rsid w:val="000B65CA"/>
    <w:rsid w:val="000C036B"/>
    <w:rsid w:val="000C583F"/>
    <w:rsid w:val="000C63F8"/>
    <w:rsid w:val="000D28EF"/>
    <w:rsid w:val="000E0E09"/>
    <w:rsid w:val="000E1CEA"/>
    <w:rsid w:val="000F533B"/>
    <w:rsid w:val="000F6A80"/>
    <w:rsid w:val="000F7D21"/>
    <w:rsid w:val="00103799"/>
    <w:rsid w:val="00107A0E"/>
    <w:rsid w:val="00117BFE"/>
    <w:rsid w:val="0012026B"/>
    <w:rsid w:val="0012271E"/>
    <w:rsid w:val="0012274F"/>
    <w:rsid w:val="00133BF8"/>
    <w:rsid w:val="00134160"/>
    <w:rsid w:val="00141868"/>
    <w:rsid w:val="00146DF0"/>
    <w:rsid w:val="00152A13"/>
    <w:rsid w:val="00160061"/>
    <w:rsid w:val="00182860"/>
    <w:rsid w:val="00183E29"/>
    <w:rsid w:val="001857D1"/>
    <w:rsid w:val="0018692F"/>
    <w:rsid w:val="00190BF2"/>
    <w:rsid w:val="00193454"/>
    <w:rsid w:val="00195086"/>
    <w:rsid w:val="001B133E"/>
    <w:rsid w:val="001C6B7D"/>
    <w:rsid w:val="001E1030"/>
    <w:rsid w:val="001E3B23"/>
    <w:rsid w:val="00201037"/>
    <w:rsid w:val="00201838"/>
    <w:rsid w:val="0020484E"/>
    <w:rsid w:val="00207315"/>
    <w:rsid w:val="00216AB6"/>
    <w:rsid w:val="00217A4F"/>
    <w:rsid w:val="00224866"/>
    <w:rsid w:val="0024038D"/>
    <w:rsid w:val="00250D54"/>
    <w:rsid w:val="00251B0B"/>
    <w:rsid w:val="0027413F"/>
    <w:rsid w:val="0027511A"/>
    <w:rsid w:val="00275584"/>
    <w:rsid w:val="00281B0E"/>
    <w:rsid w:val="002828F0"/>
    <w:rsid w:val="00285B40"/>
    <w:rsid w:val="0029238F"/>
    <w:rsid w:val="002A1D21"/>
    <w:rsid w:val="002A2043"/>
    <w:rsid w:val="002A6CF8"/>
    <w:rsid w:val="002B5931"/>
    <w:rsid w:val="002B6BFD"/>
    <w:rsid w:val="002C19B5"/>
    <w:rsid w:val="002C45B6"/>
    <w:rsid w:val="002C790D"/>
    <w:rsid w:val="002D3AC0"/>
    <w:rsid w:val="002D4B64"/>
    <w:rsid w:val="002E1016"/>
    <w:rsid w:val="002F7A69"/>
    <w:rsid w:val="0030160C"/>
    <w:rsid w:val="003058A8"/>
    <w:rsid w:val="00306F05"/>
    <w:rsid w:val="003122B0"/>
    <w:rsid w:val="00316769"/>
    <w:rsid w:val="00324F18"/>
    <w:rsid w:val="0032534E"/>
    <w:rsid w:val="003260DF"/>
    <w:rsid w:val="00341951"/>
    <w:rsid w:val="003525D2"/>
    <w:rsid w:val="00362B11"/>
    <w:rsid w:val="00365016"/>
    <w:rsid w:val="0037091E"/>
    <w:rsid w:val="003762CC"/>
    <w:rsid w:val="00381E88"/>
    <w:rsid w:val="00394215"/>
    <w:rsid w:val="003A5F60"/>
    <w:rsid w:val="003A6B9A"/>
    <w:rsid w:val="003B12E4"/>
    <w:rsid w:val="003C0989"/>
    <w:rsid w:val="003D3601"/>
    <w:rsid w:val="003D49AA"/>
    <w:rsid w:val="003D557A"/>
    <w:rsid w:val="003D70E4"/>
    <w:rsid w:val="003E6981"/>
    <w:rsid w:val="003F1254"/>
    <w:rsid w:val="003F614C"/>
    <w:rsid w:val="00405740"/>
    <w:rsid w:val="00410764"/>
    <w:rsid w:val="00424EF1"/>
    <w:rsid w:val="004308A6"/>
    <w:rsid w:val="004325D1"/>
    <w:rsid w:val="00432BFF"/>
    <w:rsid w:val="004357ED"/>
    <w:rsid w:val="0044405C"/>
    <w:rsid w:val="00446667"/>
    <w:rsid w:val="004523A0"/>
    <w:rsid w:val="0045777B"/>
    <w:rsid w:val="00460B79"/>
    <w:rsid w:val="00466D2D"/>
    <w:rsid w:val="00474AB7"/>
    <w:rsid w:val="00490C04"/>
    <w:rsid w:val="00491537"/>
    <w:rsid w:val="004A2823"/>
    <w:rsid w:val="004A4976"/>
    <w:rsid w:val="004A4C31"/>
    <w:rsid w:val="004C53C6"/>
    <w:rsid w:val="004C5A07"/>
    <w:rsid w:val="004C64AC"/>
    <w:rsid w:val="004C78D1"/>
    <w:rsid w:val="004D0655"/>
    <w:rsid w:val="004D13C7"/>
    <w:rsid w:val="004E4927"/>
    <w:rsid w:val="004E7859"/>
    <w:rsid w:val="004F7927"/>
    <w:rsid w:val="005024F4"/>
    <w:rsid w:val="00507EED"/>
    <w:rsid w:val="00515951"/>
    <w:rsid w:val="00530A39"/>
    <w:rsid w:val="00530EBF"/>
    <w:rsid w:val="00545DB6"/>
    <w:rsid w:val="0055204B"/>
    <w:rsid w:val="00554B9C"/>
    <w:rsid w:val="00554E6E"/>
    <w:rsid w:val="00556972"/>
    <w:rsid w:val="005576C6"/>
    <w:rsid w:val="005800BE"/>
    <w:rsid w:val="00585EF8"/>
    <w:rsid w:val="00592DD2"/>
    <w:rsid w:val="00595C13"/>
    <w:rsid w:val="00597911"/>
    <w:rsid w:val="005A36E9"/>
    <w:rsid w:val="005A3B8A"/>
    <w:rsid w:val="005A5603"/>
    <w:rsid w:val="005C2439"/>
    <w:rsid w:val="005E04AB"/>
    <w:rsid w:val="005F2785"/>
    <w:rsid w:val="005F28C8"/>
    <w:rsid w:val="005F5EB1"/>
    <w:rsid w:val="00600F9D"/>
    <w:rsid w:val="00602297"/>
    <w:rsid w:val="006039D6"/>
    <w:rsid w:val="006053F2"/>
    <w:rsid w:val="00606E5C"/>
    <w:rsid w:val="00612144"/>
    <w:rsid w:val="00621184"/>
    <w:rsid w:val="00625C8D"/>
    <w:rsid w:val="006312E6"/>
    <w:rsid w:val="00633B41"/>
    <w:rsid w:val="0064672F"/>
    <w:rsid w:val="00660C51"/>
    <w:rsid w:val="00662715"/>
    <w:rsid w:val="00667177"/>
    <w:rsid w:val="00667C7A"/>
    <w:rsid w:val="00684F9E"/>
    <w:rsid w:val="00687496"/>
    <w:rsid w:val="00691E86"/>
    <w:rsid w:val="00691F01"/>
    <w:rsid w:val="00692E5C"/>
    <w:rsid w:val="00695907"/>
    <w:rsid w:val="00695B01"/>
    <w:rsid w:val="006A1B6A"/>
    <w:rsid w:val="006C39DE"/>
    <w:rsid w:val="006C592B"/>
    <w:rsid w:val="006C78E7"/>
    <w:rsid w:val="006D1023"/>
    <w:rsid w:val="006D5518"/>
    <w:rsid w:val="006E35A5"/>
    <w:rsid w:val="006F6E63"/>
    <w:rsid w:val="0070019E"/>
    <w:rsid w:val="00704E36"/>
    <w:rsid w:val="00707B30"/>
    <w:rsid w:val="0072005F"/>
    <w:rsid w:val="00732CAD"/>
    <w:rsid w:val="00736527"/>
    <w:rsid w:val="0073788F"/>
    <w:rsid w:val="00740346"/>
    <w:rsid w:val="00745B20"/>
    <w:rsid w:val="00756404"/>
    <w:rsid w:val="0076401C"/>
    <w:rsid w:val="00766574"/>
    <w:rsid w:val="00770621"/>
    <w:rsid w:val="00774B7B"/>
    <w:rsid w:val="00776FC8"/>
    <w:rsid w:val="0078174C"/>
    <w:rsid w:val="00784C29"/>
    <w:rsid w:val="00790224"/>
    <w:rsid w:val="007A5697"/>
    <w:rsid w:val="007A6811"/>
    <w:rsid w:val="007D12D6"/>
    <w:rsid w:val="007D1F8C"/>
    <w:rsid w:val="007D57AB"/>
    <w:rsid w:val="007E378C"/>
    <w:rsid w:val="007F0FD5"/>
    <w:rsid w:val="00800AFB"/>
    <w:rsid w:val="008215D8"/>
    <w:rsid w:val="00821877"/>
    <w:rsid w:val="00823EFE"/>
    <w:rsid w:val="008250D1"/>
    <w:rsid w:val="00827CF5"/>
    <w:rsid w:val="00843A63"/>
    <w:rsid w:val="0084739C"/>
    <w:rsid w:val="00847A9A"/>
    <w:rsid w:val="00850137"/>
    <w:rsid w:val="00862583"/>
    <w:rsid w:val="00884F6F"/>
    <w:rsid w:val="008852C0"/>
    <w:rsid w:val="00887CF3"/>
    <w:rsid w:val="00895575"/>
    <w:rsid w:val="0089777D"/>
    <w:rsid w:val="008A01E4"/>
    <w:rsid w:val="008A21A8"/>
    <w:rsid w:val="008A275E"/>
    <w:rsid w:val="008A3BA5"/>
    <w:rsid w:val="008A4350"/>
    <w:rsid w:val="008A5F19"/>
    <w:rsid w:val="008B06CA"/>
    <w:rsid w:val="008B49A2"/>
    <w:rsid w:val="008C1A81"/>
    <w:rsid w:val="008C20B7"/>
    <w:rsid w:val="008D0AA5"/>
    <w:rsid w:val="008D1ED4"/>
    <w:rsid w:val="008D2DD4"/>
    <w:rsid w:val="008E6977"/>
    <w:rsid w:val="009011A6"/>
    <w:rsid w:val="00901887"/>
    <w:rsid w:val="00906D8A"/>
    <w:rsid w:val="00913405"/>
    <w:rsid w:val="009136E1"/>
    <w:rsid w:val="00924A80"/>
    <w:rsid w:val="00930BC9"/>
    <w:rsid w:val="0094073F"/>
    <w:rsid w:val="00950772"/>
    <w:rsid w:val="009546DD"/>
    <w:rsid w:val="00965755"/>
    <w:rsid w:val="00976A9C"/>
    <w:rsid w:val="00983059"/>
    <w:rsid w:val="00983BE8"/>
    <w:rsid w:val="00986FCE"/>
    <w:rsid w:val="009A10BB"/>
    <w:rsid w:val="009A78D9"/>
    <w:rsid w:val="009B2752"/>
    <w:rsid w:val="009B68AC"/>
    <w:rsid w:val="009E7A81"/>
    <w:rsid w:val="009F1AB8"/>
    <w:rsid w:val="009F32CA"/>
    <w:rsid w:val="009F33A4"/>
    <w:rsid w:val="00A1125E"/>
    <w:rsid w:val="00A15DC5"/>
    <w:rsid w:val="00A165C2"/>
    <w:rsid w:val="00A24F18"/>
    <w:rsid w:val="00A35619"/>
    <w:rsid w:val="00A361E2"/>
    <w:rsid w:val="00A524EB"/>
    <w:rsid w:val="00A66159"/>
    <w:rsid w:val="00A740D1"/>
    <w:rsid w:val="00A761CC"/>
    <w:rsid w:val="00A76E39"/>
    <w:rsid w:val="00A801DB"/>
    <w:rsid w:val="00A85B67"/>
    <w:rsid w:val="00AA32B9"/>
    <w:rsid w:val="00AA7BF4"/>
    <w:rsid w:val="00AC18B0"/>
    <w:rsid w:val="00AC5468"/>
    <w:rsid w:val="00AC5597"/>
    <w:rsid w:val="00AD4260"/>
    <w:rsid w:val="00AD48E6"/>
    <w:rsid w:val="00AD7254"/>
    <w:rsid w:val="00AD750D"/>
    <w:rsid w:val="00AE5C81"/>
    <w:rsid w:val="00AF6976"/>
    <w:rsid w:val="00B01082"/>
    <w:rsid w:val="00B26EE2"/>
    <w:rsid w:val="00B439A3"/>
    <w:rsid w:val="00B553A0"/>
    <w:rsid w:val="00B6179C"/>
    <w:rsid w:val="00B67894"/>
    <w:rsid w:val="00B75902"/>
    <w:rsid w:val="00B8299A"/>
    <w:rsid w:val="00B875DD"/>
    <w:rsid w:val="00B92B4B"/>
    <w:rsid w:val="00B935B2"/>
    <w:rsid w:val="00B9646C"/>
    <w:rsid w:val="00B97552"/>
    <w:rsid w:val="00BA2624"/>
    <w:rsid w:val="00BA5447"/>
    <w:rsid w:val="00BC40BE"/>
    <w:rsid w:val="00BD136D"/>
    <w:rsid w:val="00BD287C"/>
    <w:rsid w:val="00BF15C7"/>
    <w:rsid w:val="00BF4848"/>
    <w:rsid w:val="00C07AFD"/>
    <w:rsid w:val="00C15D34"/>
    <w:rsid w:val="00C220C5"/>
    <w:rsid w:val="00C319EE"/>
    <w:rsid w:val="00C45B4B"/>
    <w:rsid w:val="00C56573"/>
    <w:rsid w:val="00C57173"/>
    <w:rsid w:val="00C629C0"/>
    <w:rsid w:val="00C704AE"/>
    <w:rsid w:val="00C77E46"/>
    <w:rsid w:val="00C8159C"/>
    <w:rsid w:val="00C81E18"/>
    <w:rsid w:val="00C96232"/>
    <w:rsid w:val="00CA1280"/>
    <w:rsid w:val="00CA7A4C"/>
    <w:rsid w:val="00CB3635"/>
    <w:rsid w:val="00CF1097"/>
    <w:rsid w:val="00CF5C86"/>
    <w:rsid w:val="00D023DE"/>
    <w:rsid w:val="00D029FE"/>
    <w:rsid w:val="00D05027"/>
    <w:rsid w:val="00D11BC9"/>
    <w:rsid w:val="00D12241"/>
    <w:rsid w:val="00D155F2"/>
    <w:rsid w:val="00D21E81"/>
    <w:rsid w:val="00D26BE6"/>
    <w:rsid w:val="00D3445A"/>
    <w:rsid w:val="00D413BD"/>
    <w:rsid w:val="00D4225C"/>
    <w:rsid w:val="00D44094"/>
    <w:rsid w:val="00D45E79"/>
    <w:rsid w:val="00D621DB"/>
    <w:rsid w:val="00D63543"/>
    <w:rsid w:val="00D7278E"/>
    <w:rsid w:val="00D72ED2"/>
    <w:rsid w:val="00D813E8"/>
    <w:rsid w:val="00D85C2A"/>
    <w:rsid w:val="00D87D87"/>
    <w:rsid w:val="00D93EDE"/>
    <w:rsid w:val="00D9549A"/>
    <w:rsid w:val="00DA5249"/>
    <w:rsid w:val="00DB5816"/>
    <w:rsid w:val="00DC07AE"/>
    <w:rsid w:val="00DC5133"/>
    <w:rsid w:val="00DD3A11"/>
    <w:rsid w:val="00DD453C"/>
    <w:rsid w:val="00DE4972"/>
    <w:rsid w:val="00DE7540"/>
    <w:rsid w:val="00DF3C7A"/>
    <w:rsid w:val="00E16BB0"/>
    <w:rsid w:val="00E20D74"/>
    <w:rsid w:val="00E22F57"/>
    <w:rsid w:val="00E34E11"/>
    <w:rsid w:val="00E40707"/>
    <w:rsid w:val="00E47722"/>
    <w:rsid w:val="00E50BD3"/>
    <w:rsid w:val="00E5416A"/>
    <w:rsid w:val="00E6275E"/>
    <w:rsid w:val="00E646D3"/>
    <w:rsid w:val="00E703E2"/>
    <w:rsid w:val="00E71F30"/>
    <w:rsid w:val="00E9277B"/>
    <w:rsid w:val="00EA1378"/>
    <w:rsid w:val="00EB5A43"/>
    <w:rsid w:val="00EC4BF0"/>
    <w:rsid w:val="00EC582F"/>
    <w:rsid w:val="00ED7C22"/>
    <w:rsid w:val="00EE0603"/>
    <w:rsid w:val="00EE54A2"/>
    <w:rsid w:val="00EE60C7"/>
    <w:rsid w:val="00F017A9"/>
    <w:rsid w:val="00F07E5D"/>
    <w:rsid w:val="00F10951"/>
    <w:rsid w:val="00F1166A"/>
    <w:rsid w:val="00F413DE"/>
    <w:rsid w:val="00F44A64"/>
    <w:rsid w:val="00F53784"/>
    <w:rsid w:val="00F70FDC"/>
    <w:rsid w:val="00F714F4"/>
    <w:rsid w:val="00F75CF2"/>
    <w:rsid w:val="00F779EA"/>
    <w:rsid w:val="00F80E72"/>
    <w:rsid w:val="00F8428F"/>
    <w:rsid w:val="00F93250"/>
    <w:rsid w:val="00FA6B5D"/>
    <w:rsid w:val="00FB55AC"/>
    <w:rsid w:val="00FC7F98"/>
    <w:rsid w:val="00FD526D"/>
    <w:rsid w:val="00FE2B87"/>
    <w:rsid w:val="00FE3252"/>
    <w:rsid w:val="00FF15EC"/>
    <w:rsid w:val="00FF1ED0"/>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1C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45A"/>
    <w:rPr>
      <w:sz w:val="24"/>
      <w:szCs w:val="24"/>
    </w:rPr>
  </w:style>
  <w:style w:type="paragraph" w:styleId="1">
    <w:name w:val="heading 1"/>
    <w:basedOn w:val="a"/>
    <w:next w:val="a"/>
    <w:qFormat/>
    <w:pPr>
      <w:keepNext/>
      <w:jc w:val="both"/>
      <w:outlineLvl w:val="0"/>
    </w:pPr>
    <w:rPr>
      <w:rFonts w:ascii="Arial" w:hAnsi="Arial" w:cs="Arial"/>
      <w:b/>
      <w:bCs/>
      <w:szCs w:val="20"/>
    </w:rPr>
  </w:style>
  <w:style w:type="paragraph" w:styleId="2">
    <w:name w:val="heading 2"/>
    <w:basedOn w:val="a"/>
    <w:next w:val="a"/>
    <w:qFormat/>
    <w:pPr>
      <w:keepNext/>
      <w:outlineLvl w:val="1"/>
    </w:pPr>
    <w:rPr>
      <w:rFonts w:ascii="Arial" w:hAnsi="Arial" w:cs="Arial"/>
      <w:b/>
      <w:bCs/>
      <w:sz w:val="22"/>
    </w:rPr>
  </w:style>
  <w:style w:type="paragraph" w:styleId="3">
    <w:name w:val="heading 3"/>
    <w:basedOn w:val="a"/>
    <w:next w:val="a"/>
    <w:qFormat/>
    <w:pPr>
      <w:keepNext/>
      <w:outlineLvl w:val="2"/>
    </w:pPr>
    <w:rPr>
      <w:rFonts w:eastAsia="Arial Unicode MS"/>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rFonts w:ascii="Arial" w:hAnsi="Arial" w:cs="Arial"/>
      <w:b/>
      <w:bCs/>
      <w:szCs w:val="20"/>
    </w:rPr>
  </w:style>
  <w:style w:type="paragraph" w:styleId="a4">
    <w:name w:val="Body Text"/>
    <w:basedOn w:val="a"/>
    <w:pPr>
      <w:spacing w:line="360" w:lineRule="auto"/>
      <w:jc w:val="both"/>
    </w:pPr>
    <w:rPr>
      <w:rFonts w:ascii="Arial" w:hAnsi="Arial" w:cs="Arial"/>
    </w:rPr>
  </w:style>
  <w:style w:type="paragraph" w:styleId="a5">
    <w:name w:val="Balloon Text"/>
    <w:basedOn w:val="a"/>
    <w:semiHidden/>
    <w:rsid w:val="00691F01"/>
    <w:rPr>
      <w:rFonts w:ascii="Tahoma" w:hAnsi="Tahoma" w:cs="Tahoma"/>
      <w:sz w:val="16"/>
      <w:szCs w:val="16"/>
    </w:rPr>
  </w:style>
  <w:style w:type="character" w:styleId="a6">
    <w:name w:val="Hyperlink"/>
    <w:rsid w:val="00A1125E"/>
    <w:rPr>
      <w:color w:val="0000FF"/>
      <w:u w:val="single"/>
    </w:rPr>
  </w:style>
  <w:style w:type="paragraph" w:styleId="30">
    <w:name w:val="Body Text 3"/>
    <w:basedOn w:val="a"/>
    <w:link w:val="31"/>
    <w:rsid w:val="00862583"/>
    <w:pPr>
      <w:spacing w:after="120"/>
    </w:pPr>
    <w:rPr>
      <w:sz w:val="16"/>
      <w:szCs w:val="16"/>
      <w:lang w:eastAsia="x-none"/>
    </w:rPr>
  </w:style>
  <w:style w:type="character" w:customStyle="1" w:styleId="31">
    <w:name w:val="Основной текст 3 Знак"/>
    <w:link w:val="30"/>
    <w:rsid w:val="00862583"/>
    <w:rPr>
      <w:sz w:val="16"/>
      <w:szCs w:val="16"/>
    </w:rPr>
  </w:style>
  <w:style w:type="paragraph" w:styleId="a7">
    <w:name w:val="footnote text"/>
    <w:basedOn w:val="a"/>
    <w:link w:val="a8"/>
    <w:unhideWhenUsed/>
    <w:rsid w:val="00862583"/>
    <w:rPr>
      <w:sz w:val="20"/>
      <w:szCs w:val="20"/>
    </w:rPr>
  </w:style>
  <w:style w:type="character" w:customStyle="1" w:styleId="a8">
    <w:name w:val="Текст сноски Знак"/>
    <w:basedOn w:val="a0"/>
    <w:link w:val="a7"/>
    <w:rsid w:val="00862583"/>
  </w:style>
  <w:style w:type="character" w:styleId="a9">
    <w:name w:val="footnote reference"/>
    <w:unhideWhenUsed/>
    <w:rsid w:val="00862583"/>
    <w:rPr>
      <w:vertAlign w:val="superscript"/>
    </w:rPr>
  </w:style>
  <w:style w:type="paragraph" w:styleId="aa">
    <w:name w:val="header"/>
    <w:basedOn w:val="a"/>
    <w:link w:val="ab"/>
    <w:rsid w:val="00133BF8"/>
    <w:pPr>
      <w:tabs>
        <w:tab w:val="center" w:pos="4677"/>
        <w:tab w:val="right" w:pos="9355"/>
      </w:tabs>
    </w:pPr>
  </w:style>
  <w:style w:type="character" w:customStyle="1" w:styleId="ab">
    <w:name w:val="Верхний колонтитул Знак"/>
    <w:link w:val="aa"/>
    <w:rsid w:val="00133BF8"/>
    <w:rPr>
      <w:sz w:val="24"/>
      <w:szCs w:val="24"/>
    </w:rPr>
  </w:style>
  <w:style w:type="paragraph" w:styleId="ac">
    <w:name w:val="footer"/>
    <w:basedOn w:val="a"/>
    <w:link w:val="ad"/>
    <w:uiPriority w:val="99"/>
    <w:rsid w:val="00133BF8"/>
    <w:pPr>
      <w:tabs>
        <w:tab w:val="center" w:pos="4677"/>
        <w:tab w:val="right" w:pos="9355"/>
      </w:tabs>
    </w:pPr>
  </w:style>
  <w:style w:type="character" w:customStyle="1" w:styleId="ad">
    <w:name w:val="Нижний колонтитул Знак"/>
    <w:link w:val="ac"/>
    <w:uiPriority w:val="99"/>
    <w:rsid w:val="00133BF8"/>
    <w:rPr>
      <w:sz w:val="24"/>
      <w:szCs w:val="24"/>
    </w:rPr>
  </w:style>
  <w:style w:type="paragraph" w:styleId="ae">
    <w:name w:val="List Paragraph"/>
    <w:basedOn w:val="a"/>
    <w:uiPriority w:val="34"/>
    <w:qFormat/>
    <w:rsid w:val="00EE54A2"/>
    <w:pPr>
      <w:spacing w:after="200" w:line="276" w:lineRule="auto"/>
      <w:ind w:left="720"/>
      <w:contextualSpacing/>
    </w:pPr>
    <w:rPr>
      <w:rFonts w:ascii="Calibri" w:eastAsia="Calibri" w:hAnsi="Calibri"/>
      <w:sz w:val="22"/>
      <w:szCs w:val="22"/>
      <w:lang w:eastAsia="en-US"/>
    </w:rPr>
  </w:style>
  <w:style w:type="paragraph" w:styleId="af">
    <w:name w:val="endnote text"/>
    <w:basedOn w:val="a"/>
    <w:link w:val="af0"/>
    <w:rsid w:val="003122B0"/>
    <w:rPr>
      <w:sz w:val="20"/>
      <w:szCs w:val="20"/>
    </w:rPr>
  </w:style>
  <w:style w:type="character" w:customStyle="1" w:styleId="af0">
    <w:name w:val="Текст концевой сноски Знак"/>
    <w:basedOn w:val="a0"/>
    <w:link w:val="af"/>
    <w:rsid w:val="003122B0"/>
  </w:style>
  <w:style w:type="character" w:styleId="af1">
    <w:name w:val="endnote reference"/>
    <w:rsid w:val="003122B0"/>
    <w:rPr>
      <w:vertAlign w:val="superscript"/>
    </w:rPr>
  </w:style>
  <w:style w:type="character" w:styleId="af2">
    <w:name w:val="annotation reference"/>
    <w:rsid w:val="00152A13"/>
    <w:rPr>
      <w:sz w:val="16"/>
      <w:szCs w:val="16"/>
    </w:rPr>
  </w:style>
  <w:style w:type="paragraph" w:styleId="af3">
    <w:name w:val="annotation text"/>
    <w:basedOn w:val="a"/>
    <w:link w:val="af4"/>
    <w:rsid w:val="00152A13"/>
    <w:rPr>
      <w:sz w:val="20"/>
      <w:szCs w:val="20"/>
    </w:rPr>
  </w:style>
  <w:style w:type="character" w:customStyle="1" w:styleId="af4">
    <w:name w:val="Текст примечания Знак"/>
    <w:basedOn w:val="a0"/>
    <w:link w:val="af3"/>
    <w:rsid w:val="00152A13"/>
  </w:style>
  <w:style w:type="paragraph" w:styleId="af5">
    <w:name w:val="annotation subject"/>
    <w:basedOn w:val="af3"/>
    <w:next w:val="af3"/>
    <w:link w:val="af6"/>
    <w:rsid w:val="00152A13"/>
    <w:rPr>
      <w:b/>
      <w:bCs/>
    </w:rPr>
  </w:style>
  <w:style w:type="character" w:customStyle="1" w:styleId="af6">
    <w:name w:val="Тема примечания Знак"/>
    <w:link w:val="af5"/>
    <w:rsid w:val="00152A13"/>
    <w:rPr>
      <w:b/>
      <w:bCs/>
    </w:rPr>
  </w:style>
  <w:style w:type="character" w:styleId="af7">
    <w:name w:val="Placeholder Text"/>
    <w:basedOn w:val="a0"/>
    <w:uiPriority w:val="99"/>
    <w:semiHidden/>
    <w:rsid w:val="00A35619"/>
    <w:rPr>
      <w:color w:val="808080"/>
    </w:rPr>
  </w:style>
  <w:style w:type="character" w:styleId="af8">
    <w:name w:val="Emphasis"/>
    <w:aliases w:val="Глава 3"/>
    <w:qFormat/>
    <w:rsid w:val="00662715"/>
    <w:rPr>
      <w:rFonts w:ascii="Arial" w:hAnsi="Arial" w:cs="Arial"/>
      <w:sz w:val="20"/>
      <w:szCs w:val="20"/>
    </w:rPr>
  </w:style>
  <w:style w:type="paragraph" w:styleId="af9">
    <w:name w:val="Revision"/>
    <w:hidden/>
    <w:uiPriority w:val="99"/>
    <w:semiHidden/>
    <w:rsid w:val="00F93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87DC-576A-4F33-8320-7BA0C593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6985</Characters>
  <Application>Microsoft Office Word</Application>
  <DocSecurity>0</DocSecurity>
  <Lines>131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2025-06-05T09:49:00Z</dcterms:created>
  <dcterms:modified xsi:type="dcterms:W3CDTF">2025-06-23T08:11:00Z</dcterms:modified>
</cp:coreProperties>
</file>