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2CFF" w14:textId="77777777" w:rsidR="00F93452" w:rsidRPr="004A230D" w:rsidRDefault="00F93452" w:rsidP="00F93452">
      <w:pPr>
        <w:spacing w:after="0" w:line="240" w:lineRule="auto"/>
        <w:ind w:left="5812" w:right="-81"/>
        <w:rPr>
          <w:rFonts w:ascii="Tahoma" w:eastAsia="Times New Roman" w:hAnsi="Tahoma" w:cs="Tahoma"/>
          <w:b/>
          <w:sz w:val="20"/>
          <w:szCs w:val="20"/>
          <w:lang w:val="en-US" w:eastAsia="x-none"/>
        </w:rPr>
      </w:pPr>
    </w:p>
    <w:p w14:paraId="6F722A25" w14:textId="77777777" w:rsidR="00F93452" w:rsidRPr="004A230D" w:rsidRDefault="00F93452" w:rsidP="00F93452">
      <w:pPr>
        <w:spacing w:after="0" w:line="240" w:lineRule="auto"/>
        <w:ind w:left="5812" w:right="-81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</w:p>
    <w:p w14:paraId="09C7C2DC" w14:textId="77777777" w:rsidR="00F93452" w:rsidRPr="004A230D" w:rsidRDefault="00F93452" w:rsidP="00B95856">
      <w:pPr>
        <w:spacing w:after="0" w:line="240" w:lineRule="auto"/>
        <w:ind w:left="4678" w:right="-81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val="x-none" w:eastAsia="x-none"/>
        </w:rPr>
        <w:t>УТВЕРЖДЕНО</w:t>
      </w:r>
    </w:p>
    <w:p w14:paraId="4F8B174F" w14:textId="77777777" w:rsidR="00F93452" w:rsidRPr="004A230D" w:rsidRDefault="00F93452" w:rsidP="00B95856">
      <w:pPr>
        <w:tabs>
          <w:tab w:val="left" w:pos="5387"/>
          <w:tab w:val="left" w:pos="5812"/>
        </w:tabs>
        <w:spacing w:after="0" w:line="240" w:lineRule="auto"/>
        <w:ind w:left="4678" w:right="-79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Приказом Публичного акционерного общества «Московская Биржа ММВБ-РТС»</w:t>
      </w:r>
    </w:p>
    <w:p w14:paraId="260A240B" w14:textId="6602AE35" w:rsidR="00F93452" w:rsidRPr="004A230D" w:rsidRDefault="00F93452" w:rsidP="00B95856">
      <w:pPr>
        <w:tabs>
          <w:tab w:val="left" w:pos="4962"/>
          <w:tab w:val="left" w:pos="5812"/>
        </w:tabs>
        <w:spacing w:after="0" w:line="240" w:lineRule="auto"/>
        <w:ind w:left="4678" w:right="28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(Приказ № </w:t>
      </w:r>
      <w:r w:rsidR="00844B91">
        <w:rPr>
          <w:rFonts w:ascii="Tahoma" w:hAnsi="Tahoma" w:cs="Tahoma"/>
          <w:sz w:val="20"/>
          <w:szCs w:val="20"/>
        </w:rPr>
        <w:t>МБ-П-2026-843</w:t>
      </w:r>
      <w:r w:rsidR="00844B91" w:rsidRPr="00111C26">
        <w:rPr>
          <w:rFonts w:ascii="Tahoma" w:hAnsi="Tahoma" w:cs="Tahoma"/>
          <w:sz w:val="20"/>
          <w:szCs w:val="20"/>
        </w:rPr>
        <w:t xml:space="preserve"> </w:t>
      </w:r>
      <w:r w:rsidR="00844B91" w:rsidRPr="00DE583B">
        <w:rPr>
          <w:rFonts w:ascii="Tahoma" w:hAnsi="Tahoma" w:cs="Tahoma"/>
          <w:sz w:val="20"/>
          <w:szCs w:val="20"/>
        </w:rPr>
        <w:t>от</w:t>
      </w:r>
      <w:r w:rsidR="00844B91">
        <w:rPr>
          <w:rFonts w:ascii="Tahoma" w:hAnsi="Tahoma" w:cs="Tahoma"/>
          <w:sz w:val="20"/>
          <w:szCs w:val="20"/>
        </w:rPr>
        <w:t xml:space="preserve"> 10 марта 2026г.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14:paraId="6E157483" w14:textId="77777777" w:rsidR="00F93452" w:rsidRPr="004A230D" w:rsidRDefault="00F93452" w:rsidP="00F93452">
      <w:pPr>
        <w:tabs>
          <w:tab w:val="left" w:pos="4962"/>
        </w:tabs>
        <w:spacing w:after="0" w:line="240" w:lineRule="auto"/>
        <w:ind w:left="5103" w:right="-81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823C079" w14:textId="77777777" w:rsidR="00F93452" w:rsidRPr="004A230D" w:rsidRDefault="00F93452" w:rsidP="00F93452">
      <w:pPr>
        <w:tabs>
          <w:tab w:val="left" w:pos="4962"/>
        </w:tabs>
        <w:spacing w:after="0" w:line="240" w:lineRule="auto"/>
        <w:ind w:left="5103" w:right="-81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E9BB79A" w14:textId="762F37F4" w:rsidR="00F93452" w:rsidRPr="004A230D" w:rsidRDefault="00F93452" w:rsidP="00F93452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4A230D">
        <w:rPr>
          <w:rFonts w:ascii="Tahoma" w:eastAsia="Arial Unicode MS" w:hAnsi="Tahoma" w:cs="Tahoma"/>
          <w:b/>
          <w:color w:val="000000"/>
          <w:sz w:val="20"/>
          <w:szCs w:val="20"/>
          <w:lang w:eastAsia="ru-RU"/>
        </w:rPr>
        <w:t xml:space="preserve">СПЕЦИФИКАЦИЯ 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</w:t>
      </w:r>
      <w:r w:rsidR="004E32C4">
        <w:rPr>
          <w:rFonts w:ascii="Tahoma" w:eastAsia="Arial Unicode MS" w:hAnsi="Tahoma" w:cs="Tahoma"/>
          <w:b/>
          <w:sz w:val="20"/>
          <w:szCs w:val="20"/>
          <w:lang w:eastAsia="ru-RU"/>
        </w:rPr>
        <w:t>ОГО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КОНТРАКТ</w:t>
      </w:r>
      <w:r w:rsidR="004E32C4">
        <w:rPr>
          <w:rFonts w:ascii="Tahoma" w:eastAsia="Arial Unicode MS" w:hAnsi="Tahoma" w:cs="Tahoma"/>
          <w:b/>
          <w:sz w:val="20"/>
          <w:szCs w:val="20"/>
          <w:lang w:eastAsia="ru-RU"/>
        </w:rPr>
        <w:t>А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</w:p>
    <w:p w14:paraId="56DF5A06" w14:textId="77777777" w:rsidR="00F93452" w:rsidRPr="004A230D" w:rsidRDefault="00F93452" w:rsidP="00F93452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4A230D">
        <w:rPr>
          <w:rFonts w:ascii="Tahoma" w:eastAsia="Arial Unicode MS" w:hAnsi="Tahoma" w:cs="Tahoma"/>
          <w:b/>
          <w:color w:val="000000"/>
          <w:sz w:val="20"/>
          <w:szCs w:val="20"/>
          <w:lang w:eastAsia="ru-RU"/>
        </w:rPr>
        <w:t>НА ИНДЕКС ВОЛАТИЛЬНОСТИ РОССИЙСКОГО РЫНКА</w:t>
      </w:r>
    </w:p>
    <w:p w14:paraId="3F9DE0D9" w14:textId="2B7CCA95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Настоящая спецификация определяет стандартные условия расчетного фьючерсного контракта на </w:t>
      </w:r>
      <w:r w:rsidR="00815120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815120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 (далее </w:t>
      </w:r>
      <w:r w:rsidR="005F1F11" w:rsidRPr="004A230D">
        <w:rPr>
          <w:rFonts w:ascii="Tahoma" w:eastAsia="Times New Roman" w:hAnsi="Tahoma" w:cs="Tahoma"/>
          <w:sz w:val="20"/>
          <w:szCs w:val="20"/>
          <w:lang w:eastAsia="x-none"/>
        </w:rPr>
        <w:t>–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Спецификация).</w:t>
      </w:r>
    </w:p>
    <w:p w14:paraId="26C7B9A7" w14:textId="6D747870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5C2DC3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ПАО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Московская Биржа (далее – Правила клиринга), правилами, регулирующими порядок проведения торгов на срочном рынке </w:t>
      </w:r>
      <w:r w:rsidR="005C2DC3" w:rsidRPr="004A230D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 (далее – Контракт).</w:t>
      </w:r>
    </w:p>
    <w:p w14:paraId="572A06D2" w14:textId="44374738" w:rsidR="00D80A1B" w:rsidRPr="004A230D" w:rsidRDefault="003534E1" w:rsidP="00A91A7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Базисным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активом Контракта является 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</w:t>
      </w:r>
      <w:r w:rsidR="00814A76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(код Индекса</w:t>
      </w:r>
      <w:r w:rsidR="004F2958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– </w:t>
      </w:r>
      <w:r w:rsidR="004F2958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4F2958" w:rsidRPr="004A230D">
        <w:rPr>
          <w:rFonts w:ascii="Tahoma" w:eastAsia="Times New Roman" w:hAnsi="Tahoma" w:cs="Tahoma"/>
          <w:sz w:val="20"/>
          <w:szCs w:val="20"/>
          <w:lang w:eastAsia="x-none"/>
        </w:rPr>
        <w:t>)</w:t>
      </w:r>
      <w:r w:rsidR="004D2995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</w:t>
      </w:r>
      <w:r w:rsidR="00E170E0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далее – Индекс </w:t>
      </w:r>
      <w:r w:rsidR="00E170E0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E170E0" w:rsidRPr="004A230D">
        <w:rPr>
          <w:rFonts w:ascii="Tahoma" w:eastAsia="Times New Roman" w:hAnsi="Tahoma" w:cs="Tahoma"/>
          <w:sz w:val="20"/>
          <w:szCs w:val="20"/>
          <w:lang w:eastAsia="x-none"/>
        </w:rPr>
        <w:t>)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рассчитываемый ПАО Московская Биржа (далее – Биржа) в соответствии с Методикой расчета </w:t>
      </w:r>
      <w:r w:rsidR="00A91A78" w:rsidRPr="004A230D">
        <w:rPr>
          <w:rFonts w:ascii="Tahoma" w:eastAsia="Times New Roman" w:hAnsi="Tahoma" w:cs="Tahoma"/>
          <w:sz w:val="20"/>
          <w:szCs w:val="20"/>
          <w:lang w:eastAsia="x-none"/>
        </w:rPr>
        <w:t>Индекса волатильности российского рынка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, опубликованной на сайте Биржи. 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="00DA61A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Индекса </w:t>
      </w:r>
      <w:r w:rsidR="008D4BE0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DA61A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рассчитывается </w:t>
      </w:r>
      <w:r w:rsidR="00393D3A" w:rsidRPr="004A230D">
        <w:rPr>
          <w:rFonts w:ascii="Tahoma" w:eastAsia="Times New Roman" w:hAnsi="Tahoma" w:cs="Tahoma"/>
          <w:sz w:val="20"/>
          <w:szCs w:val="20"/>
          <w:lang w:eastAsia="x-none"/>
        </w:rPr>
        <w:t>ПАО 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Московская Биржа (далее - Биржа) на основании цен двух серий опционов на фьючерсный контракт на Индекс РТС</w:t>
      </w:r>
      <w:r w:rsidR="00234D82" w:rsidRPr="004A230D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 w:rsidRPr="004A230D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14:paraId="02548740" w14:textId="6F6B07BB" w:rsidR="00D80A1B" w:rsidRPr="004A230D" w:rsidRDefault="00D80A1B" w:rsidP="001D3143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14:paraId="7FD5575F" w14:textId="7F0D5AE7" w:rsidR="00050D92" w:rsidRPr="004A230D" w:rsidRDefault="00050D92" w:rsidP="001D3143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14:paraId="3685CF66" w14:textId="77777777" w:rsidR="00050D92" w:rsidRPr="004A230D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46725E96" w14:textId="77777777" w:rsidR="00050D92" w:rsidRPr="004A230D" w:rsidRDefault="00050D92" w:rsidP="007E1A62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Заключение Контракта</w:t>
      </w:r>
    </w:p>
    <w:p w14:paraId="2CA374DD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0" w:name="_Ref231897687"/>
      <w:r w:rsidRPr="004A230D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0"/>
    </w:p>
    <w:p w14:paraId="15C709FF" w14:textId="77777777" w:rsidR="00050D92" w:rsidRPr="004A230D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код (обозначение) Контракта;</w:t>
      </w:r>
    </w:p>
    <w:p w14:paraId="0FD72899" w14:textId="77777777" w:rsidR="00D80208" w:rsidRPr="004A230D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C3D2875" w14:textId="6B217C5F" w:rsidR="00050D92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00512C" w:rsidRPr="004A230D">
        <w:rPr>
          <w:rFonts w:ascii="Tahoma" w:hAnsi="Tahoma" w:cs="Tahoma"/>
        </w:rPr>
        <w:t>.</w:t>
      </w:r>
    </w:p>
    <w:p w14:paraId="7EAD25F2" w14:textId="390E742A" w:rsidR="00A57B0B" w:rsidRPr="00A57B0B" w:rsidRDefault="00A57B0B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A57B0B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0C6D3F46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4A230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562121FE" w14:textId="77777777" w:rsidR="00050D92" w:rsidRPr="004A230D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RV</w:t>
      </w:r>
      <w:r w:rsidRPr="004A230D">
        <w:rPr>
          <w:rFonts w:ascii="Tahoma" w:hAnsi="Tahoma" w:cs="Tahoma"/>
          <w:lang w:val="en-US"/>
        </w:rPr>
        <w:t>I</w:t>
      </w:r>
      <w:r w:rsidR="002D1D0F" w:rsidRPr="004A230D">
        <w:rPr>
          <w:rFonts w:ascii="Tahoma" w:hAnsi="Tahoma" w:cs="Tahoma"/>
        </w:rPr>
        <w:t>-</w:t>
      </w:r>
      <w:r w:rsidRPr="004A230D">
        <w:rPr>
          <w:rFonts w:ascii="Tahoma" w:hAnsi="Tahoma" w:cs="Tahoma"/>
        </w:rPr>
        <w:t>&lt;месяц исполнения</w:t>
      </w:r>
      <w:proofErr w:type="gramStart"/>
      <w:r w:rsidRPr="004A230D">
        <w:rPr>
          <w:rFonts w:ascii="Tahoma" w:hAnsi="Tahoma" w:cs="Tahoma"/>
        </w:rPr>
        <w:t>&gt;.&lt;</w:t>
      </w:r>
      <w:proofErr w:type="gramEnd"/>
      <w:r w:rsidRPr="004A230D">
        <w:rPr>
          <w:rFonts w:ascii="Tahoma" w:hAnsi="Tahoma" w:cs="Tahoma"/>
        </w:rPr>
        <w:t>год исполнения&gt;.</w:t>
      </w:r>
    </w:p>
    <w:p w14:paraId="5021E4A4" w14:textId="60A21357" w:rsidR="00050D92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44CCD755" w14:textId="016DB2D9" w:rsidR="003B1E98" w:rsidRDefault="003B1E98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</w:p>
    <w:p w14:paraId="01D362CE" w14:textId="77777777" w:rsidR="003B1E98" w:rsidRPr="003B1E98" w:rsidRDefault="003B1E98" w:rsidP="008931EA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3B1E98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6872CF93" w14:textId="77777777" w:rsidR="003B1E98" w:rsidRPr="004A230D" w:rsidRDefault="003B1E98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</w:p>
    <w:p w14:paraId="3F4D397A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lastRenderedPageBreak/>
        <w:t>Цена Контракта.</w:t>
      </w:r>
    </w:p>
    <w:p w14:paraId="10A2C541" w14:textId="1641C613" w:rsidR="00050D92" w:rsidRPr="004A230D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4A230D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 w:rsidRPr="004A230D">
        <w:rPr>
          <w:rFonts w:ascii="Tahoma" w:hAnsi="Tahoma" w:cs="Tahoma"/>
        </w:rPr>
        <w:t xml:space="preserve"> </w:t>
      </w:r>
      <w:r w:rsidRPr="004A230D">
        <w:rPr>
          <w:rFonts w:ascii="Tahoma" w:hAnsi="Tahoma" w:cs="Tahoma"/>
        </w:rPr>
        <w:t>указывается в пунктах</w:t>
      </w:r>
      <w:r w:rsidR="00B357DA" w:rsidRPr="004A230D">
        <w:rPr>
          <w:rFonts w:ascii="Tahoma" w:hAnsi="Tahoma" w:cs="Tahoma"/>
        </w:rPr>
        <w:t xml:space="preserve"> как значение </w:t>
      </w:r>
      <w:r w:rsidR="00F75B0D" w:rsidRPr="004A230D">
        <w:rPr>
          <w:rFonts w:ascii="Tahoma" w:hAnsi="Tahoma" w:cs="Tahoma"/>
        </w:rPr>
        <w:t xml:space="preserve">Индекса </w:t>
      </w:r>
      <w:r w:rsidR="00F75B0D" w:rsidRPr="004A230D">
        <w:rPr>
          <w:rFonts w:ascii="Tahoma" w:hAnsi="Tahoma" w:cs="Tahoma"/>
          <w:lang w:val="en-US"/>
        </w:rPr>
        <w:t>RVI</w:t>
      </w:r>
      <w:r w:rsidRPr="004A230D">
        <w:rPr>
          <w:rFonts w:ascii="Tahoma" w:hAnsi="Tahoma" w:cs="Tahoma"/>
        </w:rPr>
        <w:t>.</w:t>
      </w:r>
    </w:p>
    <w:p w14:paraId="4F76107A" w14:textId="77777777" w:rsidR="00050D92" w:rsidRPr="004A230D" w:rsidRDefault="00050D92" w:rsidP="00A87F71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0,05 (ноль целых пять сотых) пункта. </w:t>
      </w:r>
    </w:p>
    <w:p w14:paraId="7F62E531" w14:textId="5C677123" w:rsidR="00050D92" w:rsidRPr="004A230D" w:rsidRDefault="00050D92" w:rsidP="00A87F71">
      <w:pPr>
        <w:pStyle w:val="1"/>
        <w:tabs>
          <w:tab w:val="num" w:pos="1418"/>
        </w:tabs>
        <w:spacing w:before="120"/>
        <w:ind w:left="1418"/>
        <w:rPr>
          <w:rFonts w:ascii="Tahoma" w:hAnsi="Tahoma" w:cs="Tahoma"/>
          <w:strike/>
        </w:rPr>
      </w:pPr>
      <w:r w:rsidRPr="004A230D">
        <w:rPr>
          <w:rFonts w:ascii="Tahoma" w:hAnsi="Tahoma" w:cs="Tahoma"/>
        </w:rPr>
        <w:t xml:space="preserve">Стоимость минимального шага цены рассчитывается в </w:t>
      </w:r>
      <w:r w:rsidR="00A87F71" w:rsidRPr="004A230D">
        <w:rPr>
          <w:rFonts w:ascii="Tahoma" w:hAnsi="Tahoma" w:cs="Tahoma"/>
        </w:rPr>
        <w:t>российских рублях</w:t>
      </w:r>
      <w:r w:rsidRPr="004A230D">
        <w:rPr>
          <w:rFonts w:ascii="Tahoma" w:hAnsi="Tahoma" w:cs="Tahoma"/>
        </w:rPr>
        <w:t xml:space="preserve"> и составляет </w:t>
      </w:r>
      <w:r w:rsidR="003F5ECC" w:rsidRPr="004A230D">
        <w:rPr>
          <w:rFonts w:ascii="Tahoma" w:hAnsi="Tahoma" w:cs="Tahoma"/>
        </w:rPr>
        <w:t>0</w:t>
      </w:r>
      <w:r w:rsidRPr="004A230D">
        <w:rPr>
          <w:rFonts w:ascii="Tahoma" w:hAnsi="Tahoma" w:cs="Tahoma"/>
        </w:rPr>
        <w:t>,</w:t>
      </w:r>
      <w:r w:rsidR="003F5ECC" w:rsidRPr="004A230D">
        <w:rPr>
          <w:rFonts w:ascii="Tahoma" w:hAnsi="Tahoma" w:cs="Tahoma"/>
        </w:rPr>
        <w:t>1</w:t>
      </w:r>
      <w:r w:rsidRPr="004A230D">
        <w:rPr>
          <w:rFonts w:ascii="Tahoma" w:hAnsi="Tahoma" w:cs="Tahoma"/>
        </w:rPr>
        <w:t>0 (</w:t>
      </w:r>
      <w:r w:rsidR="003F5ECC" w:rsidRPr="004A230D">
        <w:rPr>
          <w:rFonts w:ascii="Tahoma" w:hAnsi="Tahoma" w:cs="Tahoma"/>
        </w:rPr>
        <w:t>десятая</w:t>
      </w:r>
      <w:r w:rsidRPr="004A230D">
        <w:rPr>
          <w:rFonts w:ascii="Tahoma" w:hAnsi="Tahoma" w:cs="Tahoma"/>
        </w:rPr>
        <w:t>) долларов США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</w:t>
      </w:r>
      <w:r w:rsidR="000E7A5F" w:rsidRPr="004A230D">
        <w:rPr>
          <w:rFonts w:ascii="Tahoma" w:hAnsi="Tahoma" w:cs="Tahoma"/>
        </w:rPr>
        <w:t>.</w:t>
      </w:r>
    </w:p>
    <w:p w14:paraId="6987AB31" w14:textId="032C3727" w:rsidR="00050D92" w:rsidRPr="004A230D" w:rsidRDefault="00056CA8" w:rsidP="00DA3D17">
      <w:pPr>
        <w:pStyle w:val="a0"/>
        <w:tabs>
          <w:tab w:val="clear" w:pos="1287"/>
          <w:tab w:val="num" w:pos="851"/>
        </w:tabs>
        <w:spacing w:before="120" w:after="0"/>
        <w:ind w:left="738" w:hanging="454"/>
        <w:rPr>
          <w:rFonts w:ascii="Tahoma" w:hAnsi="Tahoma" w:cs="Tahoma"/>
        </w:rPr>
      </w:pPr>
      <w:bookmarkStart w:id="1" w:name="_Ref249525019"/>
      <w:bookmarkStart w:id="2" w:name="_Ref231714566"/>
      <w:r w:rsidRPr="004A230D">
        <w:rPr>
          <w:rFonts w:ascii="Tahoma" w:hAnsi="Tahoma" w:cs="Tahoma"/>
        </w:rPr>
        <w:t>П</w:t>
      </w:r>
      <w:r w:rsidR="00050D92" w:rsidRPr="004A230D">
        <w:rPr>
          <w:rFonts w:ascii="Tahoma" w:hAnsi="Tahoma" w:cs="Tahoma"/>
        </w:rPr>
        <w:t>оследним дн</w:t>
      </w:r>
      <w:r w:rsidRPr="004A230D">
        <w:rPr>
          <w:rFonts w:ascii="Tahoma" w:hAnsi="Tahoma" w:cs="Tahoma"/>
        </w:rPr>
        <w:t>ем</w:t>
      </w:r>
      <w:r w:rsidR="00050D92" w:rsidRPr="004A230D">
        <w:rPr>
          <w:rFonts w:ascii="Tahoma" w:hAnsi="Tahoma" w:cs="Tahoma"/>
        </w:rPr>
        <w:t xml:space="preserve"> заключения Контракта является последний день заключения Опциона ближней серии, исполняемого в месяц и год исполнения Контракта.</w:t>
      </w:r>
      <w:bookmarkEnd w:id="1"/>
      <w:bookmarkEnd w:id="2"/>
    </w:p>
    <w:p w14:paraId="14BF603A" w14:textId="20F7F214" w:rsidR="00056CA8" w:rsidRDefault="00056CA8" w:rsidP="00794514">
      <w:pPr>
        <w:pStyle w:val="a0"/>
        <w:numPr>
          <w:ilvl w:val="0"/>
          <w:numId w:val="0"/>
        </w:numPr>
        <w:spacing w:before="120"/>
        <w:ind w:left="737"/>
        <w:rPr>
          <w:rFonts w:ascii="Tahoma" w:hAnsi="Tahoma" w:cs="Tahoma"/>
        </w:rPr>
      </w:pPr>
      <w:r w:rsidRPr="004A230D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630EAB80" w14:textId="073D8BCB" w:rsidR="00E771BD" w:rsidRPr="004A230D" w:rsidRDefault="00E771BD" w:rsidP="00794514">
      <w:pPr>
        <w:pStyle w:val="a0"/>
        <w:numPr>
          <w:ilvl w:val="0"/>
          <w:numId w:val="0"/>
        </w:numPr>
        <w:spacing w:before="120"/>
        <w:ind w:left="737"/>
        <w:rPr>
          <w:rFonts w:ascii="Tahoma" w:hAnsi="Tahoma" w:cs="Tahoma"/>
        </w:rPr>
      </w:pPr>
      <w:r w:rsidRPr="00E771BD">
        <w:rPr>
          <w:rFonts w:ascii="Tahoma" w:hAnsi="Tahoma" w:cs="Tahoma"/>
        </w:rPr>
        <w:t xml:space="preserve">Время прекращения торгов Контрактом в последний день заключения Контракта: 19-00 </w:t>
      </w:r>
      <w:proofErr w:type="spellStart"/>
      <w:r w:rsidRPr="00E771BD">
        <w:rPr>
          <w:rFonts w:ascii="Tahoma" w:hAnsi="Tahoma" w:cs="Tahoma"/>
        </w:rPr>
        <w:t>мск</w:t>
      </w:r>
      <w:proofErr w:type="spellEnd"/>
      <w:r w:rsidRPr="00E771BD">
        <w:rPr>
          <w:rFonts w:ascii="Tahoma" w:hAnsi="Tahoma" w:cs="Tahoma"/>
        </w:rPr>
        <w:t>.</w:t>
      </w:r>
    </w:p>
    <w:p w14:paraId="66509579" w14:textId="4A2F4535" w:rsidR="00E36FFE" w:rsidRDefault="00E212AD" w:rsidP="0082574B">
      <w:pPr>
        <w:pStyle w:val="a0"/>
        <w:tabs>
          <w:tab w:val="clear" w:pos="1287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В целях Спецификации, д</w:t>
      </w:r>
      <w:r w:rsidR="00E36FFE" w:rsidRPr="004A230D">
        <w:rPr>
          <w:rFonts w:ascii="Tahoma" w:hAnsi="Tahoma" w:cs="Tahoma"/>
        </w:rPr>
        <w:t xml:space="preserve">нем исполнения Контракта считается </w:t>
      </w:r>
      <w:r w:rsidR="00FF3130" w:rsidRPr="00FF3130">
        <w:rPr>
          <w:rFonts w:ascii="Tahoma" w:hAnsi="Tahoma" w:cs="Tahoma"/>
        </w:rPr>
        <w:t xml:space="preserve">первый Расчетный день, следующий за последним днем </w:t>
      </w:r>
      <w:r w:rsidR="00E36FFE" w:rsidRPr="004A230D">
        <w:rPr>
          <w:rFonts w:ascii="Tahoma" w:hAnsi="Tahoma" w:cs="Tahoma"/>
        </w:rPr>
        <w:t>заключения Контракта,</w:t>
      </w:r>
      <w:r w:rsidR="00A975CB">
        <w:rPr>
          <w:rFonts w:ascii="Tahoma" w:hAnsi="Tahoma" w:cs="Tahoma"/>
        </w:rPr>
        <w:t xml:space="preserve"> в который осуществляется исполнение Обязательства по расчетам,</w:t>
      </w:r>
      <w:r w:rsidR="00E36FFE" w:rsidRPr="004A230D">
        <w:rPr>
          <w:rFonts w:ascii="Tahoma" w:hAnsi="Tahoma" w:cs="Tahoma"/>
        </w:rPr>
        <w:t xml:space="preserve"> за исключением случаев, предусмотренных пунктами </w:t>
      </w:r>
      <w:r w:rsidR="00D62E7F" w:rsidRPr="004A230D">
        <w:rPr>
          <w:rFonts w:ascii="Tahoma" w:hAnsi="Tahoma" w:cs="Tahoma"/>
        </w:rPr>
        <w:t>6</w:t>
      </w:r>
      <w:r w:rsidR="00E36FFE" w:rsidRPr="004A230D">
        <w:rPr>
          <w:rFonts w:ascii="Tahoma" w:hAnsi="Tahoma" w:cs="Tahoma"/>
        </w:rPr>
        <w:t xml:space="preserve">.1- </w:t>
      </w:r>
      <w:r w:rsidR="00D62E7F" w:rsidRPr="004A230D">
        <w:rPr>
          <w:rFonts w:ascii="Tahoma" w:hAnsi="Tahoma" w:cs="Tahoma"/>
        </w:rPr>
        <w:t>6</w:t>
      </w:r>
      <w:r w:rsidR="00E36FFE" w:rsidRPr="004A230D">
        <w:rPr>
          <w:rFonts w:ascii="Tahoma" w:hAnsi="Tahoma" w:cs="Tahoma"/>
        </w:rPr>
        <w:t>.2 Спецификации.</w:t>
      </w:r>
    </w:p>
    <w:p w14:paraId="475F1218" w14:textId="0A822EA3" w:rsidR="00FF3130" w:rsidRPr="00FF3130" w:rsidRDefault="00FF3130">
      <w:pPr>
        <w:pStyle w:val="a0"/>
        <w:tabs>
          <w:tab w:val="clear" w:pos="1287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 w:rsidRPr="008931EA">
        <w:rPr>
          <w:rFonts w:ascii="Tahoma" w:hAnsi="Tahoma" w:cs="Tahoma"/>
        </w:rPr>
        <w:t xml:space="preserve">В целях Спецификации, днем экспирации Контракта, считается день определения Обязательства по расчетам, согласно подпункту </w:t>
      </w:r>
      <w:r w:rsidR="001C6FB3" w:rsidRPr="008931EA">
        <w:rPr>
          <w:rFonts w:ascii="Tahoma" w:hAnsi="Tahoma" w:cs="Tahoma"/>
        </w:rPr>
        <w:t>3</w:t>
      </w:r>
      <w:r w:rsidRPr="008931EA">
        <w:rPr>
          <w:rFonts w:ascii="Tahoma" w:hAnsi="Tahoma" w:cs="Tahoma"/>
        </w:rPr>
        <w:t>.1 Спецификации.</w:t>
      </w:r>
    </w:p>
    <w:p w14:paraId="7C0AD368" w14:textId="25847A32" w:rsidR="0082574B" w:rsidRPr="004A230D" w:rsidRDefault="0082574B" w:rsidP="0082574B">
      <w:pPr>
        <w:pStyle w:val="a0"/>
        <w:tabs>
          <w:tab w:val="clear" w:pos="1287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 w:rsidRPr="004A230D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5625FAE5" w14:textId="77777777" w:rsidR="00050D92" w:rsidRPr="004A230D" w:rsidRDefault="00050D92" w:rsidP="008806CC">
      <w:pPr>
        <w:pStyle w:val="a"/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Контракту</w:t>
      </w:r>
    </w:p>
    <w:p w14:paraId="0A1718FB" w14:textId="632B17ED" w:rsidR="008806CC" w:rsidRDefault="008806CC" w:rsidP="00DC442E">
      <w:pPr>
        <w:pStyle w:val="a0"/>
        <w:tabs>
          <w:tab w:val="clear" w:pos="1287"/>
          <w:tab w:val="num" w:pos="709"/>
        </w:tabs>
        <w:spacing w:before="12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уплате вариационной маржи.</w:t>
      </w:r>
    </w:p>
    <w:p w14:paraId="0741B7E4" w14:textId="0E2BCB8B" w:rsidR="0058614D" w:rsidRPr="004A230D" w:rsidRDefault="0058614D" w:rsidP="008931EA">
      <w:pPr>
        <w:pStyle w:val="1"/>
      </w:pPr>
      <w:r w:rsidRPr="004A230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5840695F" w14:textId="00D28368" w:rsidR="008806CC" w:rsidRPr="004A230D" w:rsidRDefault="00050D92" w:rsidP="008931EA">
      <w:pPr>
        <w:pStyle w:val="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Вариационная </w:t>
      </w:r>
      <w:r w:rsidR="005922B0" w:rsidRPr="005922B0">
        <w:rPr>
          <w:rFonts w:ascii="Tahoma" w:hAnsi="Tahoma" w:cs="Tahoma"/>
        </w:rPr>
        <w:t xml:space="preserve">маржа рассчитывается </w:t>
      </w:r>
      <w:r w:rsidR="006178A8">
        <w:rPr>
          <w:rFonts w:ascii="Tahoma" w:hAnsi="Tahoma" w:cs="Tahoma"/>
        </w:rPr>
        <w:t>по итогам каждого Торгового дня</w:t>
      </w:r>
      <w:r w:rsidR="006178A8" w:rsidRPr="00B76AC0">
        <w:rPr>
          <w:rFonts w:ascii="Tahoma" w:hAnsi="Tahoma" w:cs="Tahoma"/>
        </w:rPr>
        <w:t xml:space="preserve"> </w:t>
      </w:r>
      <w:r w:rsidR="005922B0" w:rsidRPr="005922B0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Расчетного дня, следующего за днем заключения </w:t>
      </w:r>
      <w:r w:rsidR="0002745A">
        <w:rPr>
          <w:rFonts w:ascii="Tahoma" w:hAnsi="Tahoma" w:cs="Tahoma"/>
        </w:rPr>
        <w:t>К</w:t>
      </w:r>
      <w:r w:rsidR="005922B0" w:rsidRPr="005922B0">
        <w:rPr>
          <w:rFonts w:ascii="Tahoma" w:hAnsi="Tahoma" w:cs="Tahoma"/>
        </w:rPr>
        <w:t>онтракта, до дня исполнения Контракта</w:t>
      </w:r>
      <w:r w:rsidR="006178A8">
        <w:rPr>
          <w:rFonts w:ascii="Tahoma" w:hAnsi="Tahoma" w:cs="Tahoma"/>
        </w:rPr>
        <w:t xml:space="preserve"> включительно</w:t>
      </w:r>
      <w:r w:rsidR="005922B0" w:rsidRPr="005922B0">
        <w:rPr>
          <w:rFonts w:ascii="Tahoma" w:hAnsi="Tahoma" w:cs="Tahoma"/>
        </w:rPr>
        <w:t xml:space="preserve"> с учетом положений пункта </w:t>
      </w:r>
      <w:r w:rsidR="007F7EB8" w:rsidRPr="008931EA">
        <w:rPr>
          <w:rFonts w:ascii="Tahoma" w:hAnsi="Tahoma" w:cs="Tahoma"/>
        </w:rPr>
        <w:t>3</w:t>
      </w:r>
      <w:r w:rsidR="005922B0" w:rsidRPr="005922B0">
        <w:rPr>
          <w:rFonts w:ascii="Tahoma" w:hAnsi="Tahoma" w:cs="Tahoma"/>
        </w:rPr>
        <w:t xml:space="preserve"> настоящей Спецификации.  </w:t>
      </w:r>
    </w:p>
    <w:p w14:paraId="5ACB9E66" w14:textId="73196252" w:rsidR="0058614D" w:rsidRPr="0006233D" w:rsidRDefault="0058614D" w:rsidP="008931EA">
      <w:pPr>
        <w:pStyle w:val="1"/>
        <w:numPr>
          <w:ilvl w:val="0"/>
          <w:numId w:val="0"/>
        </w:numPr>
        <w:ind w:left="1135"/>
        <w:rPr>
          <w:rFonts w:ascii="Tahoma" w:hAnsi="Tahoma" w:cs="Tahoma"/>
        </w:rPr>
      </w:pPr>
      <w:bookmarkStart w:id="3" w:name="_Ref156961941"/>
      <w:r w:rsidRPr="0006233D">
        <w:rPr>
          <w:rFonts w:ascii="Tahoma" w:hAnsi="Tahoma" w:cs="Tahoma"/>
        </w:rPr>
        <w:t xml:space="preserve">Вариационная маржа рассчитывается в ходе Клиринговой сессии </w:t>
      </w:r>
      <w:proofErr w:type="spellStart"/>
      <w:r w:rsidRPr="0006233D">
        <w:rPr>
          <w:rFonts w:ascii="Tahoma" w:hAnsi="Tahoma" w:cs="Tahoma"/>
        </w:rPr>
        <w:t>mark-to-market</w:t>
      </w:r>
      <w:proofErr w:type="spellEnd"/>
      <w:r w:rsidRPr="008931EA">
        <w:rPr>
          <w:rFonts w:ascii="Tahoma" w:hAnsi="Tahoma" w:cs="Tahoma"/>
          <w:vertAlign w:val="superscript"/>
        </w:rPr>
        <w:footnoteReference w:id="1"/>
      </w:r>
      <w:r w:rsidRPr="0006233D">
        <w:rPr>
          <w:rFonts w:ascii="Tahoma" w:hAnsi="Tahoma" w:cs="Tahoma"/>
        </w:rPr>
        <w:t xml:space="preserve"> по следующим формулам:</w:t>
      </w:r>
    </w:p>
    <w:bookmarkEnd w:id="3"/>
    <w:p w14:paraId="16E59184" w14:textId="77777777" w:rsidR="00050D92" w:rsidRPr="004A230D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14:paraId="000C37A5" w14:textId="4BC5A868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</w:t>
      </w:r>
      <w:proofErr w:type="gramStart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Round(</w:t>
      </w:r>
      <w:proofErr w:type="gramEnd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W/R; 5); 2) –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*Round (W/R; 5); 2)          </w:t>
      </w:r>
    </w:p>
    <w:p w14:paraId="6FBF5B61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26B59762" w14:textId="77777777" w:rsidR="00743F55" w:rsidRPr="0096501F" w:rsidRDefault="00743F55" w:rsidP="008931EA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96501F">
        <w:rPr>
          <w:rFonts w:ascii="Tahoma" w:hAnsi="Tahoma" w:cs="Tahoma"/>
          <w:lang w:val="ru-RU"/>
        </w:rPr>
        <w:t>mark-to-market</w:t>
      </w:r>
      <w:proofErr w:type="spellEnd"/>
      <w:r w:rsidRPr="0096501F">
        <w:rPr>
          <w:rFonts w:ascii="Tahoma" w:hAnsi="Tahoma" w:cs="Tahoma"/>
          <w:lang w:val="ru-RU"/>
        </w:rPr>
        <w:t xml:space="preserve"> текущего Торгового дня;</w:t>
      </w:r>
    </w:p>
    <w:p w14:paraId="1F7D5010" w14:textId="77777777" w:rsidR="00743F55" w:rsidRPr="0096501F" w:rsidRDefault="00743F55" w:rsidP="008931EA">
      <w:pPr>
        <w:pStyle w:val="a8"/>
        <w:spacing w:after="0"/>
        <w:ind w:left="1276"/>
        <w:rPr>
          <w:rFonts w:ascii="Tahoma" w:hAnsi="Tahoma" w:cs="Tahoma"/>
          <w:lang w:val="ru-RU"/>
        </w:rPr>
      </w:pPr>
      <w:proofErr w:type="spellStart"/>
      <w:r w:rsidRPr="0096501F">
        <w:rPr>
          <w:rFonts w:ascii="Tahoma" w:hAnsi="Tahoma" w:cs="Tahoma"/>
          <w:lang w:val="ru-RU"/>
        </w:rPr>
        <w:t>Round</w:t>
      </w:r>
      <w:proofErr w:type="spellEnd"/>
      <w:r w:rsidRPr="0096501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7537E7" w14:textId="4E6733DE" w:rsidR="00743F55" w:rsidRPr="0096501F" w:rsidRDefault="00743F55" w:rsidP="008931EA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743F55">
        <w:rPr>
          <w:rFonts w:ascii="Tahoma" w:hAnsi="Tahoma" w:cs="Tahoma"/>
          <w:lang w:val="ru-RU"/>
        </w:rPr>
        <w:t>Ц</w:t>
      </w:r>
      <w:r w:rsidRPr="008931EA">
        <w:rPr>
          <w:rFonts w:ascii="Tahoma" w:hAnsi="Tahoma" w:cs="Tahoma"/>
          <w:vertAlign w:val="subscript"/>
          <w:lang w:val="ru-RU"/>
        </w:rPr>
        <w:t>0</w:t>
      </w:r>
      <w:r w:rsidRPr="0096501F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CEE5457" w14:textId="77777777" w:rsidR="00743F55" w:rsidRPr="0096501F" w:rsidRDefault="00743F55" w:rsidP="008931EA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7E2642A7" w14:textId="160403AE" w:rsidR="00743F55" w:rsidRDefault="00743F55" w:rsidP="00743F55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W – стоимость минимального шага цены;</w:t>
      </w:r>
    </w:p>
    <w:p w14:paraId="330DF55D" w14:textId="6E0753AA" w:rsidR="002076DD" w:rsidRDefault="002076DD" w:rsidP="00743F55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2076DD">
        <w:rPr>
          <w:rFonts w:ascii="Tahoma" w:hAnsi="Tahoma" w:cs="Tahoma"/>
          <w:lang w:val="ru-RU"/>
        </w:rPr>
        <w:t>R – минимальный шаг цены.</w:t>
      </w:r>
    </w:p>
    <w:p w14:paraId="2A218683" w14:textId="77777777" w:rsidR="002076DD" w:rsidRPr="0096501F" w:rsidRDefault="002076DD" w:rsidP="008931EA">
      <w:pPr>
        <w:pStyle w:val="a8"/>
        <w:spacing w:after="0"/>
        <w:ind w:left="1276"/>
        <w:rPr>
          <w:rFonts w:ascii="Tahoma" w:hAnsi="Tahoma" w:cs="Tahoma"/>
          <w:lang w:val="ru-RU"/>
        </w:rPr>
      </w:pPr>
    </w:p>
    <w:p w14:paraId="2A4F67A9" w14:textId="15209E2D" w:rsidR="002076DD" w:rsidRPr="002076DD" w:rsidRDefault="00050D92" w:rsidP="008931EA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076DD">
        <w:rPr>
          <w:rFonts w:ascii="Tahoma" w:eastAsia="Times New Roman" w:hAnsi="Tahoma" w:cs="Tahoma"/>
          <w:sz w:val="20"/>
          <w:szCs w:val="20"/>
          <w:lang w:eastAsia="ru-RU"/>
        </w:rPr>
        <w:t xml:space="preserve">Если </w:t>
      </w:r>
      <w:r w:rsidR="002076DD" w:rsidRPr="002076DD">
        <w:rPr>
          <w:rFonts w:ascii="Tahoma" w:eastAsia="Times New Roman" w:hAnsi="Tahoma" w:cs="Tahoma"/>
          <w:sz w:val="20"/>
          <w:szCs w:val="20"/>
          <w:lang w:eastAsia="ru-RU"/>
        </w:rPr>
        <w:t xml:space="preserve">расчет вариационной маржи по Контракту осуществлялся ранее в ходе Клиринговой сессии </w:t>
      </w:r>
      <w:proofErr w:type="spellStart"/>
      <w:r w:rsidR="002076DD" w:rsidRPr="002076DD">
        <w:rPr>
          <w:rFonts w:ascii="Tahoma" w:eastAsia="Times New Roman" w:hAnsi="Tahoma" w:cs="Tahoma"/>
          <w:sz w:val="20"/>
          <w:szCs w:val="20"/>
          <w:lang w:eastAsia="ru-RU"/>
        </w:rPr>
        <w:t>mark-to-market</w:t>
      </w:r>
      <w:proofErr w:type="spellEnd"/>
      <w:r w:rsidR="002076DD" w:rsidRPr="002076DD">
        <w:rPr>
          <w:rFonts w:ascii="Tahoma" w:eastAsia="Times New Roman" w:hAnsi="Tahoma" w:cs="Tahoma"/>
          <w:sz w:val="20"/>
          <w:szCs w:val="20"/>
          <w:lang w:eastAsia="ru-RU"/>
        </w:rPr>
        <w:t xml:space="preserve"> за предыдущий Торговый день:</w:t>
      </w:r>
    </w:p>
    <w:p w14:paraId="494D25D6" w14:textId="08FEA5EA" w:rsidR="00050D92" w:rsidRPr="002076DD" w:rsidRDefault="00050D92" w:rsidP="008931EA">
      <w:pPr>
        <w:tabs>
          <w:tab w:val="left" w:pos="1701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2076DD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ВМ</w:t>
      </w:r>
      <w:r w:rsidRPr="002076D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2076D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2076D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</w:t>
      </w:r>
      <w:proofErr w:type="gramStart"/>
      <w:r w:rsidRPr="002076DD">
        <w:rPr>
          <w:rFonts w:ascii="Tahoma" w:eastAsia="Times New Roman" w:hAnsi="Tahoma" w:cs="Tahoma"/>
          <w:b/>
          <w:sz w:val="20"/>
          <w:szCs w:val="20"/>
          <w:lang w:val="en-US" w:eastAsia="ru-RU"/>
        </w:rPr>
        <w:t>Round(</w:t>
      </w:r>
      <w:proofErr w:type="gramEnd"/>
      <w:r w:rsidRPr="002076DD">
        <w:rPr>
          <w:rFonts w:ascii="Tahoma" w:eastAsia="Times New Roman" w:hAnsi="Tahoma" w:cs="Tahoma"/>
          <w:b/>
          <w:sz w:val="20"/>
          <w:szCs w:val="20"/>
          <w:lang w:val="en-US" w:eastAsia="ru-RU"/>
        </w:rPr>
        <w:t>W/R; 5); 2) – Round (</w:t>
      </w:r>
      <w:r w:rsidRPr="002076D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2076DD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2076D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*Round(W/R; 5); 2)          </w:t>
      </w:r>
    </w:p>
    <w:p w14:paraId="2FB14E59" w14:textId="6AFACBE9" w:rsidR="00050D92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100A1B48" w14:textId="77777777" w:rsidR="00261D4B" w:rsidRPr="00261D4B" w:rsidRDefault="00261D4B" w:rsidP="008931EA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61D4B">
        <w:rPr>
          <w:rFonts w:ascii="Tahoma" w:eastAsia="Times New Roman" w:hAnsi="Tahoma" w:cs="Tahoma"/>
          <w:sz w:val="20"/>
          <w:szCs w:val="20"/>
          <w:lang w:eastAsia="ru-RU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>mark-to-market</w:t>
      </w:r>
      <w:proofErr w:type="spellEnd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 xml:space="preserve"> текущего Торгового дня;</w:t>
      </w:r>
    </w:p>
    <w:p w14:paraId="6EC55D6A" w14:textId="77777777" w:rsidR="00261D4B" w:rsidRPr="00261D4B" w:rsidRDefault="00261D4B" w:rsidP="008931EA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>Round</w:t>
      </w:r>
      <w:proofErr w:type="spellEnd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 </w:t>
      </w:r>
    </w:p>
    <w:p w14:paraId="249D978E" w14:textId="77777777" w:rsidR="00261D4B" w:rsidRPr="00261D4B" w:rsidRDefault="00261D4B" w:rsidP="008931EA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61D4B">
        <w:rPr>
          <w:rFonts w:ascii="Tahoma" w:eastAsia="Times New Roman" w:hAnsi="Tahoma" w:cs="Tahoma"/>
          <w:sz w:val="20"/>
          <w:szCs w:val="20"/>
          <w:lang w:eastAsia="ru-RU"/>
        </w:rPr>
        <w:t>РЦ – текущая (последняя) Расчетная цена Контракта;</w:t>
      </w:r>
    </w:p>
    <w:p w14:paraId="4CCBF9BA" w14:textId="77777777" w:rsidR="00261D4B" w:rsidRPr="00261D4B" w:rsidRDefault="00261D4B" w:rsidP="008931EA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>РЦп</w:t>
      </w:r>
      <w:proofErr w:type="spellEnd"/>
      <w:r w:rsidRPr="00261D4B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 определенная по итогам предыдущего Торгового дня;</w:t>
      </w:r>
    </w:p>
    <w:p w14:paraId="483837ED" w14:textId="77777777" w:rsidR="00261D4B" w:rsidRPr="00261D4B" w:rsidRDefault="00261D4B" w:rsidP="008931EA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61D4B">
        <w:rPr>
          <w:rFonts w:ascii="Tahoma" w:eastAsia="Times New Roman" w:hAnsi="Tahoma" w:cs="Tahoma"/>
          <w:sz w:val="20"/>
          <w:szCs w:val="20"/>
          <w:lang w:eastAsia="ru-RU"/>
        </w:rPr>
        <w:t>W – стоимость минимального шага цены;</w:t>
      </w:r>
    </w:p>
    <w:p w14:paraId="326D8F40" w14:textId="0F429CA2" w:rsidR="00261D4B" w:rsidRDefault="00261D4B" w:rsidP="001C6B78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61D4B">
        <w:rPr>
          <w:rFonts w:ascii="Tahoma" w:eastAsia="Times New Roman" w:hAnsi="Tahoma" w:cs="Tahoma"/>
          <w:sz w:val="20"/>
          <w:szCs w:val="20"/>
          <w:lang w:eastAsia="ru-RU"/>
        </w:rPr>
        <w:t>R – минимальный шаг цены.</w:t>
      </w:r>
    </w:p>
    <w:p w14:paraId="5A841989" w14:textId="0D197732" w:rsidR="00045245" w:rsidRPr="00F907FF" w:rsidRDefault="00647BD3" w:rsidP="008931EA">
      <w:pPr>
        <w:pStyle w:val="1"/>
        <w:spacing w:before="12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 xml:space="preserve">Для расчета вариационной маржи </w:t>
      </w:r>
      <w:r w:rsidR="006A6712">
        <w:rPr>
          <w:rFonts w:ascii="Tahoma" w:hAnsi="Tahoma" w:cs="Tahoma"/>
        </w:rPr>
        <w:t>с</w:t>
      </w:r>
      <w:r w:rsidR="00045245" w:rsidRPr="009E35B4">
        <w:rPr>
          <w:rFonts w:ascii="Tahoma" w:hAnsi="Tahoma" w:cs="Tahoma"/>
        </w:rPr>
        <w:t xml:space="preserve">тоимость минимального шага цены рассчитывается </w:t>
      </w:r>
      <w:r w:rsidR="00045245" w:rsidRPr="0006233D">
        <w:rPr>
          <w:rFonts w:ascii="Tahoma" w:hAnsi="Tahoma" w:cs="Tahoma"/>
        </w:rPr>
        <w:t xml:space="preserve">в российских рублях </w:t>
      </w:r>
      <w:r w:rsidR="00045245" w:rsidRPr="009E35B4">
        <w:rPr>
          <w:rFonts w:ascii="Tahoma" w:hAnsi="Tahoma" w:cs="Tahoma"/>
        </w:rPr>
        <w:t>с использованием Курса доллара США</w:t>
      </w:r>
      <w:r w:rsidR="00045245" w:rsidRPr="0006233D">
        <w:rPr>
          <w:rFonts w:ascii="Tahoma" w:hAnsi="Tahoma" w:cs="Tahoma"/>
        </w:rPr>
        <w:t xml:space="preserve"> к российскому рублю</w:t>
      </w:r>
      <w:r w:rsidR="00045245" w:rsidRPr="009E35B4">
        <w:rPr>
          <w:rFonts w:ascii="Tahoma" w:hAnsi="Tahoma" w:cs="Tahoma"/>
        </w:rPr>
        <w:t xml:space="preserve">, определённому в соответствии </w:t>
      </w:r>
      <w:r w:rsidR="00045245" w:rsidRPr="008931EA">
        <w:rPr>
          <w:rFonts w:ascii="Tahoma" w:hAnsi="Tahoma" w:cs="Tahoma"/>
        </w:rPr>
        <w:t xml:space="preserve">с Методикой расчета индикативных валютных курсов, утвержденной Биржей и опубликованной на сайте Биржи в сети Интернет. </w:t>
      </w:r>
      <w:r w:rsidR="00045245">
        <w:rPr>
          <w:rFonts w:ascii="Tahoma" w:hAnsi="Tahoma" w:cs="Tahoma"/>
        </w:rPr>
        <w:t>В</w:t>
      </w:r>
      <w:r w:rsidR="00045245" w:rsidRPr="009E35B4">
        <w:rPr>
          <w:rFonts w:ascii="Tahoma" w:hAnsi="Tahoma" w:cs="Tahoma"/>
        </w:rPr>
        <w:t>ремя определения</w:t>
      </w:r>
      <w:r w:rsidR="00045245">
        <w:rPr>
          <w:rFonts w:ascii="Tahoma" w:hAnsi="Tahoma" w:cs="Tahoma"/>
        </w:rPr>
        <w:t xml:space="preserve"> </w:t>
      </w:r>
      <w:r w:rsidR="00045245" w:rsidRPr="009E35B4">
        <w:rPr>
          <w:rFonts w:ascii="Tahoma" w:hAnsi="Tahoma" w:cs="Tahoma"/>
        </w:rPr>
        <w:t>Курса доллара США</w:t>
      </w:r>
      <w:r w:rsidR="00045245" w:rsidRPr="00B42D65">
        <w:rPr>
          <w:rFonts w:ascii="Tahoma" w:hAnsi="Tahoma" w:cs="Tahoma"/>
        </w:rPr>
        <w:t xml:space="preserve"> к российскому рублю</w:t>
      </w:r>
      <w:r w:rsidR="00045245" w:rsidRPr="009E35B4">
        <w:rPr>
          <w:rFonts w:ascii="Tahoma" w:hAnsi="Tahoma" w:cs="Tahoma"/>
        </w:rPr>
        <w:t xml:space="preserve"> устанавливается Биржей и публикуется на сайте Биржи в сети Интернет</w:t>
      </w:r>
      <w:r w:rsidR="00045245" w:rsidRPr="00F907FF">
        <w:rPr>
          <w:rFonts w:ascii="Tahoma" w:hAnsi="Tahoma" w:cs="Tahoma"/>
        </w:rPr>
        <w:t>.</w:t>
      </w:r>
    </w:p>
    <w:p w14:paraId="2611027A" w14:textId="6C55B10D" w:rsidR="00050D92" w:rsidRPr="004A230D" w:rsidRDefault="00050D92" w:rsidP="008931EA">
      <w:pPr>
        <w:pStyle w:val="1"/>
        <w:spacing w:before="12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</w:t>
      </w:r>
      <w:r w:rsidR="006D4425" w:rsidRPr="004A230D">
        <w:rPr>
          <w:rFonts w:ascii="Tahoma" w:hAnsi="Tahoma" w:cs="Tahoma"/>
        </w:rPr>
        <w:t>1.</w:t>
      </w:r>
      <w:r w:rsidR="00A004D1" w:rsidRPr="008931EA">
        <w:rPr>
          <w:rFonts w:ascii="Tahoma" w:hAnsi="Tahoma" w:cs="Tahoma"/>
        </w:rPr>
        <w:t>2</w:t>
      </w:r>
      <w:r w:rsidR="00A004D1" w:rsidRPr="004A230D">
        <w:rPr>
          <w:rFonts w:ascii="Tahoma" w:hAnsi="Tahoma" w:cs="Tahoma"/>
        </w:rPr>
        <w:t xml:space="preserve"> </w:t>
      </w:r>
      <w:r w:rsidRPr="004A230D">
        <w:rPr>
          <w:rFonts w:ascii="Tahoma" w:hAnsi="Tahoma" w:cs="Tahoma"/>
        </w:rPr>
        <w:t>Спецификации, осуществляется в порядке и сроки, установленные Правилами клиринга. При этом:</w:t>
      </w:r>
    </w:p>
    <w:p w14:paraId="7598DBA2" w14:textId="12DD49E2" w:rsidR="00050D92" w:rsidRPr="004A230D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</w:t>
      </w:r>
      <w:r w:rsidR="00C07FF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14:paraId="042EC37A" w14:textId="77777777" w:rsidR="006D4425" w:rsidRPr="004A230D" w:rsidRDefault="00050D92" w:rsidP="00DC442E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</w:t>
      </w:r>
      <w:r w:rsidR="006D4425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14:paraId="110DC8E9" w14:textId="2E7624BA" w:rsidR="006D4425" w:rsidRPr="004A230D" w:rsidRDefault="006D4425" w:rsidP="008931EA">
      <w:pPr>
        <w:pStyle w:val="1"/>
        <w:spacing w:before="12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8E13EDA" w14:textId="4EA0905E" w:rsidR="006D4425" w:rsidRPr="004A230D" w:rsidRDefault="006D4425" w:rsidP="00410279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Обязательство по расчетам.</w:t>
      </w:r>
    </w:p>
    <w:p w14:paraId="5435117A" w14:textId="056BC7B8" w:rsidR="006D4425" w:rsidRPr="004A230D" w:rsidRDefault="006D4425" w:rsidP="002042AC">
      <w:pPr>
        <w:pStyle w:val="a0"/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Обязательство </w:t>
      </w:r>
      <w:r w:rsidR="00F63F52" w:rsidRPr="00F63F52">
        <w:rPr>
          <w:rFonts w:ascii="Tahoma" w:hAnsi="Tahoma" w:cs="Tahoma"/>
        </w:rPr>
        <w:t xml:space="preserve">по уплате вариационной маржи, определяемое в ходе Клиринговой сессии </w:t>
      </w:r>
      <w:proofErr w:type="spellStart"/>
      <w:r w:rsidR="00F63F52" w:rsidRPr="00F63F52">
        <w:rPr>
          <w:rFonts w:ascii="Tahoma" w:hAnsi="Tahoma" w:cs="Tahoma"/>
        </w:rPr>
        <w:t>mark-to-market</w:t>
      </w:r>
      <w:proofErr w:type="spellEnd"/>
      <w:r w:rsidR="00F63F52" w:rsidRPr="00F63F52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</w:t>
      </w:r>
      <w:r w:rsidR="00576FA2">
        <w:rPr>
          <w:rFonts w:ascii="Tahoma" w:hAnsi="Tahoma" w:cs="Tahoma"/>
        </w:rPr>
        <w:t xml:space="preserve"> </w:t>
      </w:r>
      <w:r w:rsidR="00F63F52" w:rsidRPr="00F63F52">
        <w:rPr>
          <w:rFonts w:ascii="Tahoma" w:hAnsi="Tahoma" w:cs="Tahoma"/>
        </w:rPr>
        <w:t>исполнения Контракта.</w:t>
      </w:r>
    </w:p>
    <w:p w14:paraId="410CA0B6" w14:textId="68A5773D" w:rsidR="00312C06" w:rsidRPr="004A230D" w:rsidRDefault="00312C06" w:rsidP="00117BA5">
      <w:pPr>
        <w:pStyle w:val="a0"/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В целях определения Обязательства по расчетам текущая Расчетная цена Контракта (цена исполнения Контракта) определяется как </w:t>
      </w:r>
      <w:r w:rsidR="00A56507" w:rsidRPr="004A230D">
        <w:rPr>
          <w:rFonts w:ascii="Tahoma" w:hAnsi="Tahoma" w:cs="Tahoma"/>
        </w:rPr>
        <w:t xml:space="preserve">среднеарифметическое </w:t>
      </w:r>
      <w:r w:rsidRPr="004A230D">
        <w:rPr>
          <w:rFonts w:ascii="Tahoma" w:hAnsi="Tahoma" w:cs="Tahoma"/>
        </w:rPr>
        <w:t>значение Индекса RVI, рассчитанное за период с 14:0</w:t>
      </w:r>
      <w:r w:rsidR="00A038A3">
        <w:rPr>
          <w:rFonts w:ascii="Tahoma" w:hAnsi="Tahoma" w:cs="Tahoma"/>
        </w:rPr>
        <w:t>5</w:t>
      </w:r>
      <w:r w:rsidRPr="004A230D">
        <w:rPr>
          <w:rFonts w:ascii="Tahoma" w:hAnsi="Tahoma" w:cs="Tahoma"/>
        </w:rPr>
        <w:t xml:space="preserve">:15 до 18:05:00 включительно </w:t>
      </w:r>
      <w:r w:rsidR="008F5916" w:rsidRPr="004A230D">
        <w:rPr>
          <w:rFonts w:ascii="Tahoma" w:hAnsi="Tahoma" w:cs="Tahoma"/>
        </w:rPr>
        <w:t xml:space="preserve">(далее – Период расчета) </w:t>
      </w:r>
      <w:r w:rsidRPr="004A230D">
        <w:rPr>
          <w:rFonts w:ascii="Tahoma" w:hAnsi="Tahoma" w:cs="Tahoma"/>
        </w:rPr>
        <w:t xml:space="preserve">в </w:t>
      </w:r>
      <w:r w:rsidR="00B8393B">
        <w:rPr>
          <w:rFonts w:ascii="Tahoma" w:hAnsi="Tahoma" w:cs="Tahoma"/>
        </w:rPr>
        <w:t>последний день заключения</w:t>
      </w:r>
      <w:r w:rsidRPr="004A230D">
        <w:rPr>
          <w:rFonts w:ascii="Tahoma" w:hAnsi="Tahoma" w:cs="Tahoma"/>
        </w:rPr>
        <w:t xml:space="preserve"> Контракта, определенный в соответствии с пунктами 1.</w:t>
      </w:r>
      <w:r w:rsidR="00380795">
        <w:rPr>
          <w:rFonts w:ascii="Tahoma" w:hAnsi="Tahoma" w:cs="Tahoma"/>
        </w:rPr>
        <w:t>4</w:t>
      </w:r>
      <w:r w:rsidR="00F672E8">
        <w:rPr>
          <w:rFonts w:ascii="Tahoma" w:hAnsi="Tahoma" w:cs="Tahoma"/>
        </w:rPr>
        <w:t>-1.</w:t>
      </w:r>
      <w:r w:rsidR="00380795">
        <w:rPr>
          <w:rFonts w:ascii="Tahoma" w:hAnsi="Tahoma" w:cs="Tahoma"/>
        </w:rPr>
        <w:t>5</w:t>
      </w:r>
      <w:r w:rsidRPr="004A230D">
        <w:rPr>
          <w:rFonts w:ascii="Tahoma" w:hAnsi="Tahoma" w:cs="Tahoma"/>
        </w:rPr>
        <w:t xml:space="preserve"> </w:t>
      </w:r>
      <w:r w:rsidR="00380795">
        <w:rPr>
          <w:rFonts w:ascii="Tahoma" w:hAnsi="Tahoma" w:cs="Tahoma"/>
        </w:rPr>
        <w:t>настоящей</w:t>
      </w:r>
      <w:r w:rsidRPr="004A230D">
        <w:rPr>
          <w:rFonts w:ascii="Tahoma" w:hAnsi="Tahoma" w:cs="Tahoma"/>
        </w:rPr>
        <w:t xml:space="preserve"> Спецификации</w:t>
      </w:r>
      <w:r w:rsidR="008F5916" w:rsidRPr="004A230D">
        <w:rPr>
          <w:rFonts w:ascii="Tahoma" w:hAnsi="Tahoma" w:cs="Tahoma"/>
        </w:rPr>
        <w:t>.</w:t>
      </w:r>
      <w:r w:rsidRPr="004A230D">
        <w:rPr>
          <w:rFonts w:ascii="Tahoma" w:hAnsi="Tahoma" w:cs="Tahoma"/>
        </w:rPr>
        <w:t xml:space="preserve"> </w:t>
      </w:r>
    </w:p>
    <w:p w14:paraId="63F97774" w14:textId="77777777" w:rsidR="00D61A38" w:rsidRPr="004A230D" w:rsidRDefault="00D61A38" w:rsidP="00D61A38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46886B6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14:paraId="6904F1B2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7DB923FC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42A67115" w14:textId="77777777" w:rsidR="00D61A38" w:rsidRPr="004A230D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064D1A42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361A0D" w:rsidRPr="004A230D">
        <w:rPr>
          <w:rFonts w:ascii="Tahoma" w:hAnsi="Tahoma" w:cs="Tahoma"/>
        </w:rPr>
        <w:t>,</w:t>
      </w:r>
      <w:r w:rsidRPr="004A230D">
        <w:rPr>
          <w:rFonts w:ascii="Tahoma" w:hAnsi="Tahoma" w:cs="Tahoma"/>
        </w:rPr>
        <w:t xml:space="preserve"> Правилами торгов</w:t>
      </w:r>
      <w:r w:rsidR="00361A0D" w:rsidRPr="004A230D">
        <w:rPr>
          <w:rFonts w:ascii="Tahoma" w:hAnsi="Tahoma" w:cs="Tahoma"/>
        </w:rPr>
        <w:t xml:space="preserve"> и Правилами допуска</w:t>
      </w:r>
      <w:r w:rsidRPr="004A230D">
        <w:rPr>
          <w:rFonts w:ascii="Tahoma" w:hAnsi="Tahoma" w:cs="Tahoma"/>
        </w:rPr>
        <w:t>.</w:t>
      </w:r>
    </w:p>
    <w:p w14:paraId="56F51178" w14:textId="1E5E7A81" w:rsidR="00D61A38" w:rsidRPr="004A230D" w:rsidRDefault="00D61A38" w:rsidP="00410279">
      <w:pPr>
        <w:pStyle w:val="a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lastRenderedPageBreak/>
        <w:t>Особые условия</w:t>
      </w:r>
    </w:p>
    <w:p w14:paraId="12AC0AFA" w14:textId="51449718" w:rsidR="00D61A38" w:rsidRPr="004A230D" w:rsidRDefault="00D61A38" w:rsidP="008931EA">
      <w:pPr>
        <w:pStyle w:val="a0"/>
        <w:spacing w:before="12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В случае </w:t>
      </w:r>
      <w:r w:rsidR="00573263" w:rsidRPr="004A230D">
        <w:rPr>
          <w:rFonts w:ascii="Tahoma" w:eastAsia="Calibri" w:hAnsi="Tahoma" w:cs="Tahoma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4A230D">
        <w:rPr>
          <w:rFonts w:ascii="Tahoma" w:eastAsia="Calibri" w:hAnsi="Tahoma" w:cs="Tahoma"/>
        </w:rPr>
        <w:t>приостановления/прекращения заключения Контракта на Торгах</w:t>
      </w:r>
      <w:r w:rsidR="00D4016F" w:rsidRPr="004A230D">
        <w:rPr>
          <w:rFonts w:ascii="Tahoma" w:eastAsia="Calibri" w:hAnsi="Tahoma" w:cs="Tahoma"/>
        </w:rPr>
        <w:t xml:space="preserve">, </w:t>
      </w:r>
      <w:r w:rsidR="00D4016F" w:rsidRPr="004A230D">
        <w:rPr>
          <w:rFonts w:ascii="Tahoma" w:hAnsi="Tahoma" w:cs="Tahoma"/>
        </w:rPr>
        <w:t>приостановления/прекращения расчета Индекса R</w:t>
      </w:r>
      <w:r w:rsidR="00D4016F" w:rsidRPr="004A230D">
        <w:rPr>
          <w:rFonts w:ascii="Tahoma" w:hAnsi="Tahoma" w:cs="Tahoma"/>
          <w:lang w:val="en-US"/>
        </w:rPr>
        <w:t>VI</w:t>
      </w:r>
      <w:r w:rsidRPr="004A230D">
        <w:rPr>
          <w:rFonts w:ascii="Tahoma" w:eastAsia="Calibri" w:hAnsi="Tahoma" w:cs="Tahoma"/>
        </w:rPr>
        <w:t>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14:paraId="6D2DDF40" w14:textId="55045E52" w:rsidR="00D61A38" w:rsidRPr="00844B91" w:rsidRDefault="00D61A38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 xml:space="preserve">об изменении даты последнего дня заключения Контракта; </w:t>
      </w:r>
    </w:p>
    <w:p w14:paraId="41663A46" w14:textId="57CA5CFF" w:rsidR="00AB7393" w:rsidRPr="00844B91" w:rsidRDefault="00AB7393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>об изменении даты дня экспирации Контракта;</w:t>
      </w:r>
    </w:p>
    <w:p w14:paraId="0BA29416" w14:textId="4D0417DD" w:rsidR="008A4D37" w:rsidRPr="00844B91" w:rsidRDefault="00D61A38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>об изменении даты дня исполнения Контракта;</w:t>
      </w:r>
    </w:p>
    <w:p w14:paraId="74C460AB" w14:textId="3E6EEA99" w:rsidR="00887E85" w:rsidRPr="00844B91" w:rsidRDefault="00887E85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>об изменении времени прекращения торгов Контрактом;</w:t>
      </w:r>
    </w:p>
    <w:p w14:paraId="13DA9091" w14:textId="311452D3" w:rsidR="00D61A38" w:rsidRPr="00844B91" w:rsidRDefault="008A4D37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 xml:space="preserve">об изменении периода расчета цены </w:t>
      </w:r>
      <w:r w:rsidR="00D31BBB" w:rsidRPr="00844B91">
        <w:rPr>
          <w:rFonts w:ascii="Tahoma" w:eastAsia="Calibri" w:hAnsi="Tahoma" w:cs="Tahoma"/>
        </w:rPr>
        <w:t>исполнения</w:t>
      </w:r>
      <w:r w:rsidRPr="00844B91">
        <w:rPr>
          <w:rFonts w:ascii="Tahoma" w:eastAsia="Calibri" w:hAnsi="Tahoma" w:cs="Tahoma"/>
        </w:rPr>
        <w:t xml:space="preserve"> </w:t>
      </w:r>
      <w:r w:rsidR="003B45F1" w:rsidRPr="00844B91">
        <w:rPr>
          <w:rFonts w:ascii="Tahoma" w:eastAsia="Calibri" w:hAnsi="Tahoma" w:cs="Tahoma"/>
        </w:rPr>
        <w:t>Контракта</w:t>
      </w:r>
      <w:r w:rsidRPr="00844B91">
        <w:rPr>
          <w:rFonts w:ascii="Tahoma" w:eastAsia="Calibri" w:hAnsi="Tahoma" w:cs="Tahoma"/>
        </w:rPr>
        <w:t>;</w:t>
      </w:r>
    </w:p>
    <w:p w14:paraId="42E8B6F5" w14:textId="38DD8E38" w:rsidR="00D61A38" w:rsidRPr="00844B91" w:rsidRDefault="00D61A38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>об изменении текущей (последней) Расчетной цены и</w:t>
      </w:r>
      <w:r w:rsidR="00573263" w:rsidRPr="00844B91">
        <w:rPr>
          <w:rFonts w:ascii="Tahoma" w:eastAsia="Calibri" w:hAnsi="Tahoma" w:cs="Tahoma"/>
        </w:rPr>
        <w:t xml:space="preserve"> (или)</w:t>
      </w:r>
      <w:r w:rsidRPr="00844B91">
        <w:rPr>
          <w:rFonts w:ascii="Tahoma" w:eastAsia="Calibri" w:hAnsi="Tahoma" w:cs="Tahoma"/>
        </w:rPr>
        <w:t xml:space="preserve"> определени</w:t>
      </w:r>
      <w:r w:rsidR="00573263" w:rsidRPr="00844B91">
        <w:rPr>
          <w:rFonts w:ascii="Tahoma" w:eastAsia="Calibri" w:hAnsi="Tahoma" w:cs="Tahoma"/>
        </w:rPr>
        <w:t>и</w:t>
      </w:r>
      <w:r w:rsidRPr="00844B91">
        <w:rPr>
          <w:rFonts w:ascii="Tahoma" w:eastAsia="Calibri" w:hAnsi="Tahoma" w:cs="Tahoma"/>
        </w:rPr>
        <w:t xml:space="preserve"> порядка расчета и уплаты вариационной маржи; </w:t>
      </w:r>
    </w:p>
    <w:p w14:paraId="74BFBC41" w14:textId="1F08B744" w:rsidR="00D61A38" w:rsidRPr="00844B91" w:rsidRDefault="00D61A38" w:rsidP="008931EA">
      <w:pPr>
        <w:pStyle w:val="1"/>
        <w:spacing w:after="0"/>
        <w:ind w:left="1134"/>
        <w:rPr>
          <w:rFonts w:ascii="Tahoma" w:eastAsia="Calibri" w:hAnsi="Tahoma" w:cs="Tahoma"/>
        </w:rPr>
      </w:pPr>
      <w:r w:rsidRPr="00844B91">
        <w:rPr>
          <w:rFonts w:ascii="Tahoma" w:eastAsia="Calibri" w:hAnsi="Tahoma" w:cs="Tahoma"/>
        </w:rPr>
        <w:t>иные решения, предусмотренные Правилами торгов.</w:t>
      </w:r>
    </w:p>
    <w:p w14:paraId="347D5B5B" w14:textId="79B6E235" w:rsidR="005E630E" w:rsidRPr="004A230D" w:rsidRDefault="00D61A38" w:rsidP="008931EA">
      <w:pPr>
        <w:pStyle w:val="a0"/>
        <w:spacing w:before="12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Биржа </w:t>
      </w:r>
      <w:r w:rsidR="005E630E" w:rsidRPr="004A230D">
        <w:rPr>
          <w:rFonts w:ascii="Tahoma" w:eastAsia="Calibri" w:hAnsi="Tahoma" w:cs="Tahoma"/>
        </w:rPr>
        <w:t xml:space="preserve">вправе по согласованию с Клиринговым центром изменить дату последнего дня заключения </w:t>
      </w:r>
      <w:r w:rsidR="00B4238B">
        <w:rPr>
          <w:rFonts w:ascii="Tahoma" w:hAnsi="Tahoma" w:cs="Tahoma"/>
        </w:rPr>
        <w:t>и (или) дату дня эксп</w:t>
      </w:r>
      <w:bookmarkStart w:id="4" w:name="_GoBack"/>
      <w:bookmarkEnd w:id="4"/>
      <w:r w:rsidR="00B4238B">
        <w:rPr>
          <w:rFonts w:ascii="Tahoma" w:hAnsi="Tahoma" w:cs="Tahoma"/>
        </w:rPr>
        <w:t>ирации</w:t>
      </w:r>
      <w:r w:rsidR="00B4238B" w:rsidRPr="002E4172">
        <w:rPr>
          <w:rFonts w:ascii="Tahoma" w:hAnsi="Tahoma" w:cs="Tahoma"/>
        </w:rPr>
        <w:t xml:space="preserve"> </w:t>
      </w:r>
      <w:r w:rsidR="005E630E" w:rsidRPr="004A230D">
        <w:rPr>
          <w:rFonts w:ascii="Tahoma" w:eastAsia="Calibri" w:hAnsi="Tahoma" w:cs="Tahoma"/>
        </w:rPr>
        <w:t>и (или) дату дня исполнения Контракта с определенным кодом, или принять иное (иные) решение (решения), предусмотренные пунктом 6.1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AFF8C36" w14:textId="0276B549" w:rsidR="00806DED" w:rsidRPr="008931EA" w:rsidRDefault="00DE149D" w:rsidP="008931EA">
      <w:pPr>
        <w:pStyle w:val="a0"/>
        <w:spacing w:before="12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Информация </w:t>
      </w:r>
      <w:r w:rsidR="00806DED" w:rsidRPr="008931EA">
        <w:rPr>
          <w:rFonts w:ascii="Tahoma" w:eastAsia="Calibri" w:hAnsi="Tahoma" w:cs="Tahoma"/>
        </w:rPr>
        <w:t xml:space="preserve">о решении (решениях), принятом (принятых) Биржей в соответствии с пунктами 6.1 и (или) 6.2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6.1 и (или) 6.2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27EAD5DB" w14:textId="021E7B7C" w:rsidR="00D61A38" w:rsidRPr="004A230D" w:rsidRDefault="00361A0D" w:rsidP="008931EA">
      <w:pPr>
        <w:pStyle w:val="a0"/>
        <w:spacing w:before="12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Если </w:t>
      </w:r>
      <w:r w:rsidR="004145A9" w:rsidRPr="004A230D">
        <w:rPr>
          <w:rFonts w:ascii="Tahoma" w:eastAsia="Calibri" w:hAnsi="Tahoma" w:cs="Tahoma"/>
        </w:rPr>
        <w:t>иное не установлено решением Биржи, с момента вступления в силу решения (решений), принятого (принятых) Биржей в соответствии с пунктами 6.1 и (или) 6.2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771AF551" w14:textId="00D5AC1C" w:rsidR="00724F0A" w:rsidRPr="004A230D" w:rsidRDefault="00724F0A" w:rsidP="00410279">
      <w:pPr>
        <w:pStyle w:val="a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>Внесение изменений и дополнений в Спецификацию</w:t>
      </w:r>
    </w:p>
    <w:p w14:paraId="59BB27DE" w14:textId="03F69077" w:rsidR="00A923D2" w:rsidRPr="004A230D" w:rsidRDefault="00724F0A" w:rsidP="00B42DD7">
      <w:pPr>
        <w:pStyle w:val="a0"/>
        <w:spacing w:before="120"/>
        <w:ind w:left="851"/>
        <w:rPr>
          <w:rFonts w:ascii="Tahoma" w:eastAsia="Calibri" w:hAnsi="Tahoma" w:cs="Tahoma"/>
          <w:color w:val="auto"/>
          <w:lang w:eastAsia="en-US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Биржа вправе по согласованию с Клиринговым центром внести изменения и дополнения в Спецификацию.</w:t>
      </w:r>
    </w:p>
    <w:p w14:paraId="639B30C9" w14:textId="084F8A08" w:rsidR="00724F0A" w:rsidRPr="004A230D" w:rsidRDefault="00724F0A" w:rsidP="00B42DD7">
      <w:pPr>
        <w:pStyle w:val="a0"/>
        <w:spacing w:before="120" w:after="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662D28" w:rsidRPr="004A230D">
        <w:rPr>
          <w:rFonts w:ascii="Tahoma" w:eastAsia="Calibri" w:hAnsi="Tahoma" w:cs="Tahoma"/>
        </w:rPr>
        <w:t>.</w:t>
      </w:r>
    </w:p>
    <w:p w14:paraId="08342ACA" w14:textId="04420343" w:rsidR="00A923D2" w:rsidRPr="004A230D" w:rsidRDefault="00B42DD7" w:rsidP="00B42DD7">
      <w:pPr>
        <w:pStyle w:val="a0"/>
        <w:spacing w:before="120"/>
        <w:ind w:left="851"/>
        <w:rPr>
          <w:rFonts w:ascii="Tahoma" w:eastAsia="Calibri" w:hAnsi="Tahoma" w:cs="Tahoma"/>
          <w:color w:val="auto"/>
          <w:lang w:eastAsia="en-US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рабочих дня до введения ее в действие.</w:t>
      </w:r>
    </w:p>
    <w:p w14:paraId="6788DA86" w14:textId="77777777" w:rsidR="00A923D2" w:rsidRPr="004A230D" w:rsidRDefault="00A923D2" w:rsidP="00B42DD7">
      <w:pPr>
        <w:pStyle w:val="a0"/>
        <w:shd w:val="clear" w:color="auto" w:fill="FFFFFF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</w:t>
      </w:r>
      <w:r w:rsidRPr="004A230D">
        <w:rPr>
          <w:rFonts w:ascii="Tahoma" w:hAnsi="Tahoma" w:cs="Tahoma"/>
        </w:rPr>
        <w:t xml:space="preserve"> Контрактам считаются измененными с учетом таких изменений и дополнений.</w:t>
      </w:r>
    </w:p>
    <w:p w14:paraId="72302E19" w14:textId="57236DC8" w:rsidR="00D61A38" w:rsidRPr="004A230D" w:rsidRDefault="00D61A38" w:rsidP="008A0BCD">
      <w:pPr>
        <w:tabs>
          <w:tab w:val="left" w:pos="851"/>
        </w:tabs>
        <w:spacing w:before="120"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D61A38" w:rsidRPr="004A230D" w:rsidSect="00814FDC">
      <w:headerReference w:type="default" r:id="rId8"/>
      <w:footerReference w:type="default" r:id="rId9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FB00F" w14:textId="77777777" w:rsidR="00FD19A2" w:rsidRDefault="00FD19A2" w:rsidP="00724F0A">
      <w:pPr>
        <w:spacing w:after="0" w:line="240" w:lineRule="auto"/>
      </w:pPr>
      <w:r>
        <w:separator/>
      </w:r>
    </w:p>
  </w:endnote>
  <w:endnote w:type="continuationSeparator" w:id="0">
    <w:p w14:paraId="367350CA" w14:textId="77777777" w:rsidR="00FD19A2" w:rsidRDefault="00FD19A2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3329D47" w14:textId="77777777"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960266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7C85195" w14:textId="77777777"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0C7FC" w14:textId="77777777" w:rsidR="00FD19A2" w:rsidRDefault="00FD19A2" w:rsidP="00724F0A">
      <w:pPr>
        <w:spacing w:after="0" w:line="240" w:lineRule="auto"/>
      </w:pPr>
      <w:r>
        <w:separator/>
      </w:r>
    </w:p>
  </w:footnote>
  <w:footnote w:type="continuationSeparator" w:id="0">
    <w:p w14:paraId="49E6CB41" w14:textId="77777777" w:rsidR="00FD19A2" w:rsidRDefault="00FD19A2" w:rsidP="00724F0A">
      <w:pPr>
        <w:spacing w:after="0" w:line="240" w:lineRule="auto"/>
      </w:pPr>
      <w:r>
        <w:continuationSeparator/>
      </w:r>
    </w:p>
  </w:footnote>
  <w:footnote w:id="1">
    <w:p w14:paraId="50889482" w14:textId="77777777" w:rsidR="0058614D" w:rsidRPr="00080533" w:rsidRDefault="0058614D" w:rsidP="0058614D">
      <w:pPr>
        <w:pStyle w:val="af9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b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93C" w14:textId="2CD16467" w:rsidR="00B60C25" w:rsidRPr="00B60C25" w:rsidRDefault="00B60C25" w:rsidP="00EA18EC">
    <w:pPr>
      <w:pStyle w:val="af0"/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</w:t>
    </w:r>
    <w:r w:rsidR="00E21A0E">
      <w:rPr>
        <w:rFonts w:ascii="Tahoma" w:hAnsi="Tahoma" w:cs="Tahoma"/>
        <w:b/>
        <w:sz w:val="20"/>
        <w:szCs w:val="20"/>
      </w:rPr>
      <w:t>ых</w:t>
    </w:r>
    <w:r w:rsidRPr="00B60C25">
      <w:rPr>
        <w:rFonts w:ascii="Tahoma" w:hAnsi="Tahoma" w:cs="Tahoma"/>
        <w:b/>
        <w:sz w:val="20"/>
        <w:szCs w:val="20"/>
      </w:rPr>
      <w:t xml:space="preserve"> контракт</w:t>
    </w:r>
    <w:r w:rsidR="00E21A0E">
      <w:rPr>
        <w:rFonts w:ascii="Tahoma" w:hAnsi="Tahoma" w:cs="Tahoma"/>
        <w:b/>
        <w:sz w:val="20"/>
        <w:szCs w:val="20"/>
      </w:rPr>
      <w:t>ов</w:t>
    </w:r>
  </w:p>
  <w:p w14:paraId="5B63BEC6" w14:textId="12EFD546" w:rsidR="00B60C25" w:rsidRDefault="00B60C25" w:rsidP="00EA18EC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 xml:space="preserve">на </w:t>
    </w:r>
    <w:r w:rsidR="00564DDF">
      <w:rPr>
        <w:rFonts w:ascii="Tahoma" w:hAnsi="Tahoma" w:cs="Tahoma"/>
        <w:b/>
        <w:sz w:val="20"/>
        <w:szCs w:val="20"/>
      </w:rPr>
      <w:t xml:space="preserve">Индекс </w:t>
    </w:r>
    <w:r w:rsidRPr="00B60C25">
      <w:rPr>
        <w:rFonts w:ascii="Tahoma" w:hAnsi="Tahoma" w:cs="Tahoma"/>
        <w:b/>
        <w:sz w:val="20"/>
        <w:szCs w:val="20"/>
      </w:rPr>
      <w:t>волатильност</w:t>
    </w:r>
    <w:r w:rsidR="00564DDF">
      <w:rPr>
        <w:rFonts w:ascii="Tahoma" w:hAnsi="Tahoma" w:cs="Tahoma"/>
        <w:b/>
        <w:sz w:val="20"/>
        <w:szCs w:val="20"/>
      </w:rPr>
      <w:t>и</w:t>
    </w:r>
    <w:r w:rsidRPr="00B60C25">
      <w:rPr>
        <w:rFonts w:ascii="Tahoma" w:hAnsi="Tahoma" w:cs="Tahoma"/>
        <w:b/>
        <w:sz w:val="20"/>
        <w:szCs w:val="20"/>
      </w:rPr>
      <w:t xml:space="preserve"> российского рынка</w:t>
    </w:r>
  </w:p>
  <w:p w14:paraId="1C9A92D1" w14:textId="77777777"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BBF"/>
    <w:multiLevelType w:val="multilevel"/>
    <w:tmpl w:val="AF6AFA3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135"/>
        </w:tabs>
        <w:ind w:left="1135" w:hanging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F742AC"/>
    <w:multiLevelType w:val="hybridMultilevel"/>
    <w:tmpl w:val="F878A134"/>
    <w:lvl w:ilvl="0" w:tplc="BF12A12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7081"/>
    <w:multiLevelType w:val="hybridMultilevel"/>
    <w:tmpl w:val="A858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2"/>
  </w:num>
  <w:num w:numId="14">
    <w:abstractNumId w:val="11"/>
  </w:num>
  <w:num w:numId="15">
    <w:abstractNumId w:val="5"/>
  </w:num>
  <w:num w:numId="16">
    <w:abstractNumId w:val="4"/>
    <w:lvlOverride w:ilvl="0">
      <w:startOverride w:val="2"/>
    </w:lvlOverride>
    <w:lvlOverride w:ilvl="1">
      <w:startOverride w:val="2"/>
    </w:lvlOverride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92"/>
    <w:rsid w:val="00002BC6"/>
    <w:rsid w:val="00003B34"/>
    <w:rsid w:val="00003C0C"/>
    <w:rsid w:val="0000512C"/>
    <w:rsid w:val="0000564C"/>
    <w:rsid w:val="00007DFD"/>
    <w:rsid w:val="00013FF6"/>
    <w:rsid w:val="00016DFB"/>
    <w:rsid w:val="000217BB"/>
    <w:rsid w:val="00023494"/>
    <w:rsid w:val="0002745A"/>
    <w:rsid w:val="00033F73"/>
    <w:rsid w:val="00045245"/>
    <w:rsid w:val="00050222"/>
    <w:rsid w:val="00050D92"/>
    <w:rsid w:val="00055E26"/>
    <w:rsid w:val="00056CA8"/>
    <w:rsid w:val="000574A4"/>
    <w:rsid w:val="000623F2"/>
    <w:rsid w:val="00081821"/>
    <w:rsid w:val="00081C32"/>
    <w:rsid w:val="0008319D"/>
    <w:rsid w:val="000845CB"/>
    <w:rsid w:val="00097E6B"/>
    <w:rsid w:val="000C1F00"/>
    <w:rsid w:val="000C67DD"/>
    <w:rsid w:val="000D3743"/>
    <w:rsid w:val="000D54B4"/>
    <w:rsid w:val="000D774A"/>
    <w:rsid w:val="000E3DC7"/>
    <w:rsid w:val="000E6047"/>
    <w:rsid w:val="000E722C"/>
    <w:rsid w:val="000E7A5F"/>
    <w:rsid w:val="00117BA5"/>
    <w:rsid w:val="00122BDC"/>
    <w:rsid w:val="00140175"/>
    <w:rsid w:val="0014079F"/>
    <w:rsid w:val="001503D3"/>
    <w:rsid w:val="00151C7C"/>
    <w:rsid w:val="0018145E"/>
    <w:rsid w:val="00185211"/>
    <w:rsid w:val="00195A4D"/>
    <w:rsid w:val="001A5B30"/>
    <w:rsid w:val="001B1C90"/>
    <w:rsid w:val="001C390F"/>
    <w:rsid w:val="001C3C1A"/>
    <w:rsid w:val="001C6B78"/>
    <w:rsid w:val="001C6FB3"/>
    <w:rsid w:val="001C7172"/>
    <w:rsid w:val="001D2161"/>
    <w:rsid w:val="001D3143"/>
    <w:rsid w:val="001F222E"/>
    <w:rsid w:val="002042AC"/>
    <w:rsid w:val="00206BC4"/>
    <w:rsid w:val="002076DD"/>
    <w:rsid w:val="00210781"/>
    <w:rsid w:val="002107DA"/>
    <w:rsid w:val="0022098E"/>
    <w:rsid w:val="002210D7"/>
    <w:rsid w:val="00230BA1"/>
    <w:rsid w:val="00234D82"/>
    <w:rsid w:val="00241B71"/>
    <w:rsid w:val="0025031D"/>
    <w:rsid w:val="00251CE0"/>
    <w:rsid w:val="002570EE"/>
    <w:rsid w:val="00261D4B"/>
    <w:rsid w:val="00262AF9"/>
    <w:rsid w:val="0026442E"/>
    <w:rsid w:val="00274E58"/>
    <w:rsid w:val="0028264B"/>
    <w:rsid w:val="00285FDF"/>
    <w:rsid w:val="002860A0"/>
    <w:rsid w:val="00290F8D"/>
    <w:rsid w:val="00291C5C"/>
    <w:rsid w:val="00293820"/>
    <w:rsid w:val="0029497D"/>
    <w:rsid w:val="002B3C44"/>
    <w:rsid w:val="002B4DB6"/>
    <w:rsid w:val="002C3B04"/>
    <w:rsid w:val="002C5F7A"/>
    <w:rsid w:val="002D1D0F"/>
    <w:rsid w:val="002D3912"/>
    <w:rsid w:val="002E5962"/>
    <w:rsid w:val="002F5D84"/>
    <w:rsid w:val="00300D02"/>
    <w:rsid w:val="00311310"/>
    <w:rsid w:val="00312C06"/>
    <w:rsid w:val="00315F11"/>
    <w:rsid w:val="0033220B"/>
    <w:rsid w:val="00350410"/>
    <w:rsid w:val="003534E1"/>
    <w:rsid w:val="00361A0D"/>
    <w:rsid w:val="00365DCA"/>
    <w:rsid w:val="00375348"/>
    <w:rsid w:val="00380795"/>
    <w:rsid w:val="00393D3A"/>
    <w:rsid w:val="003B1E98"/>
    <w:rsid w:val="003B45F1"/>
    <w:rsid w:val="003B75DE"/>
    <w:rsid w:val="003C2975"/>
    <w:rsid w:val="003D7F5D"/>
    <w:rsid w:val="003E7976"/>
    <w:rsid w:val="003F15BB"/>
    <w:rsid w:val="003F5ECC"/>
    <w:rsid w:val="003F7633"/>
    <w:rsid w:val="003F7958"/>
    <w:rsid w:val="00410279"/>
    <w:rsid w:val="004145A9"/>
    <w:rsid w:val="00423B63"/>
    <w:rsid w:val="00425AA5"/>
    <w:rsid w:val="00440842"/>
    <w:rsid w:val="00440F29"/>
    <w:rsid w:val="004441DE"/>
    <w:rsid w:val="004638CF"/>
    <w:rsid w:val="004863F4"/>
    <w:rsid w:val="00487DC8"/>
    <w:rsid w:val="00496F69"/>
    <w:rsid w:val="004A230D"/>
    <w:rsid w:val="004B60C1"/>
    <w:rsid w:val="004C208A"/>
    <w:rsid w:val="004C6122"/>
    <w:rsid w:val="004D0C69"/>
    <w:rsid w:val="004D2995"/>
    <w:rsid w:val="004E32C4"/>
    <w:rsid w:val="004F1919"/>
    <w:rsid w:val="004F2958"/>
    <w:rsid w:val="00500F68"/>
    <w:rsid w:val="00506828"/>
    <w:rsid w:val="00514817"/>
    <w:rsid w:val="00516487"/>
    <w:rsid w:val="00517EB5"/>
    <w:rsid w:val="00522717"/>
    <w:rsid w:val="0054521B"/>
    <w:rsid w:val="0056166B"/>
    <w:rsid w:val="00564DDF"/>
    <w:rsid w:val="00565012"/>
    <w:rsid w:val="00573002"/>
    <w:rsid w:val="00573263"/>
    <w:rsid w:val="00576FA2"/>
    <w:rsid w:val="0058614D"/>
    <w:rsid w:val="00591514"/>
    <w:rsid w:val="005922B0"/>
    <w:rsid w:val="0059487F"/>
    <w:rsid w:val="005B2717"/>
    <w:rsid w:val="005B4D00"/>
    <w:rsid w:val="005C2DC3"/>
    <w:rsid w:val="005C7CDB"/>
    <w:rsid w:val="005D3ABD"/>
    <w:rsid w:val="005E50A9"/>
    <w:rsid w:val="005E630E"/>
    <w:rsid w:val="005F1F11"/>
    <w:rsid w:val="006000F9"/>
    <w:rsid w:val="006030EB"/>
    <w:rsid w:val="00605A71"/>
    <w:rsid w:val="006178A8"/>
    <w:rsid w:val="00630AD9"/>
    <w:rsid w:val="00635EC4"/>
    <w:rsid w:val="006378A0"/>
    <w:rsid w:val="00647BD3"/>
    <w:rsid w:val="00662D28"/>
    <w:rsid w:val="00662E5F"/>
    <w:rsid w:val="006734F2"/>
    <w:rsid w:val="00674FD2"/>
    <w:rsid w:val="00684D12"/>
    <w:rsid w:val="0069770E"/>
    <w:rsid w:val="006A6202"/>
    <w:rsid w:val="006A6712"/>
    <w:rsid w:val="006D3DC7"/>
    <w:rsid w:val="006D4425"/>
    <w:rsid w:val="006E5D52"/>
    <w:rsid w:val="006F5649"/>
    <w:rsid w:val="006F58D5"/>
    <w:rsid w:val="00702A93"/>
    <w:rsid w:val="007078B5"/>
    <w:rsid w:val="00712167"/>
    <w:rsid w:val="00724F0A"/>
    <w:rsid w:val="00743F55"/>
    <w:rsid w:val="00752468"/>
    <w:rsid w:val="00752E41"/>
    <w:rsid w:val="007609FA"/>
    <w:rsid w:val="007700A8"/>
    <w:rsid w:val="00794514"/>
    <w:rsid w:val="00797F91"/>
    <w:rsid w:val="007D126A"/>
    <w:rsid w:val="007D2171"/>
    <w:rsid w:val="007D7D8B"/>
    <w:rsid w:val="007E1A62"/>
    <w:rsid w:val="007E3A3E"/>
    <w:rsid w:val="007E5493"/>
    <w:rsid w:val="007E5DCE"/>
    <w:rsid w:val="007F37DA"/>
    <w:rsid w:val="007F78D4"/>
    <w:rsid w:val="007F7EB8"/>
    <w:rsid w:val="00801A94"/>
    <w:rsid w:val="00806123"/>
    <w:rsid w:val="00806DED"/>
    <w:rsid w:val="0081391D"/>
    <w:rsid w:val="00814A76"/>
    <w:rsid w:val="00814FDC"/>
    <w:rsid w:val="00815120"/>
    <w:rsid w:val="0082574B"/>
    <w:rsid w:val="0082666C"/>
    <w:rsid w:val="008302A7"/>
    <w:rsid w:val="00844B91"/>
    <w:rsid w:val="008515F1"/>
    <w:rsid w:val="00871919"/>
    <w:rsid w:val="008727DC"/>
    <w:rsid w:val="008738BE"/>
    <w:rsid w:val="008806CC"/>
    <w:rsid w:val="00883D20"/>
    <w:rsid w:val="00887E85"/>
    <w:rsid w:val="008931EA"/>
    <w:rsid w:val="008A0BCD"/>
    <w:rsid w:val="008A4D37"/>
    <w:rsid w:val="008B6AA3"/>
    <w:rsid w:val="008C65AA"/>
    <w:rsid w:val="008D4BE0"/>
    <w:rsid w:val="008E2FC4"/>
    <w:rsid w:val="008F453A"/>
    <w:rsid w:val="008F5916"/>
    <w:rsid w:val="008F7030"/>
    <w:rsid w:val="00904888"/>
    <w:rsid w:val="009146E7"/>
    <w:rsid w:val="00917AD5"/>
    <w:rsid w:val="00917DC5"/>
    <w:rsid w:val="00923238"/>
    <w:rsid w:val="009273E7"/>
    <w:rsid w:val="0093650D"/>
    <w:rsid w:val="009413D5"/>
    <w:rsid w:val="00951507"/>
    <w:rsid w:val="009542D5"/>
    <w:rsid w:val="00960266"/>
    <w:rsid w:val="009640E5"/>
    <w:rsid w:val="009709BE"/>
    <w:rsid w:val="00980318"/>
    <w:rsid w:val="009933AE"/>
    <w:rsid w:val="009B1994"/>
    <w:rsid w:val="009B7E65"/>
    <w:rsid w:val="009D4C5A"/>
    <w:rsid w:val="009F109D"/>
    <w:rsid w:val="009F4897"/>
    <w:rsid w:val="00A004D1"/>
    <w:rsid w:val="00A02E00"/>
    <w:rsid w:val="00A038A3"/>
    <w:rsid w:val="00A12993"/>
    <w:rsid w:val="00A15CCB"/>
    <w:rsid w:val="00A2583A"/>
    <w:rsid w:val="00A50996"/>
    <w:rsid w:val="00A5372C"/>
    <w:rsid w:val="00A56507"/>
    <w:rsid w:val="00A57B0B"/>
    <w:rsid w:val="00A62CF9"/>
    <w:rsid w:val="00A71EEA"/>
    <w:rsid w:val="00A81B21"/>
    <w:rsid w:val="00A87F71"/>
    <w:rsid w:val="00A91A78"/>
    <w:rsid w:val="00A923D2"/>
    <w:rsid w:val="00A975CB"/>
    <w:rsid w:val="00AA01DF"/>
    <w:rsid w:val="00AA4303"/>
    <w:rsid w:val="00AB1F20"/>
    <w:rsid w:val="00AB6A84"/>
    <w:rsid w:val="00AB6E5C"/>
    <w:rsid w:val="00AB7393"/>
    <w:rsid w:val="00AD6263"/>
    <w:rsid w:val="00AF0295"/>
    <w:rsid w:val="00AF3261"/>
    <w:rsid w:val="00AF5A5B"/>
    <w:rsid w:val="00AF70B7"/>
    <w:rsid w:val="00B0752C"/>
    <w:rsid w:val="00B13903"/>
    <w:rsid w:val="00B353D9"/>
    <w:rsid w:val="00B357DA"/>
    <w:rsid w:val="00B41E5C"/>
    <w:rsid w:val="00B4238B"/>
    <w:rsid w:val="00B42D3E"/>
    <w:rsid w:val="00B42DD7"/>
    <w:rsid w:val="00B52EFC"/>
    <w:rsid w:val="00B60C25"/>
    <w:rsid w:val="00B8393B"/>
    <w:rsid w:val="00B90392"/>
    <w:rsid w:val="00B93A8F"/>
    <w:rsid w:val="00B93C01"/>
    <w:rsid w:val="00B95856"/>
    <w:rsid w:val="00B961B7"/>
    <w:rsid w:val="00BB22BC"/>
    <w:rsid w:val="00BC1F77"/>
    <w:rsid w:val="00BC2D61"/>
    <w:rsid w:val="00BC2F3E"/>
    <w:rsid w:val="00BD5E17"/>
    <w:rsid w:val="00BF69A3"/>
    <w:rsid w:val="00C01574"/>
    <w:rsid w:val="00C02363"/>
    <w:rsid w:val="00C04BAD"/>
    <w:rsid w:val="00C075F1"/>
    <w:rsid w:val="00C07FF2"/>
    <w:rsid w:val="00C20674"/>
    <w:rsid w:val="00C21A1C"/>
    <w:rsid w:val="00C301BD"/>
    <w:rsid w:val="00C47796"/>
    <w:rsid w:val="00C569F6"/>
    <w:rsid w:val="00CA4732"/>
    <w:rsid w:val="00CA7A85"/>
    <w:rsid w:val="00CB3E06"/>
    <w:rsid w:val="00CD0E09"/>
    <w:rsid w:val="00CE699F"/>
    <w:rsid w:val="00D1075A"/>
    <w:rsid w:val="00D14C45"/>
    <w:rsid w:val="00D31BBB"/>
    <w:rsid w:val="00D33FD0"/>
    <w:rsid w:val="00D34BBD"/>
    <w:rsid w:val="00D4016F"/>
    <w:rsid w:val="00D517A9"/>
    <w:rsid w:val="00D53AA8"/>
    <w:rsid w:val="00D57619"/>
    <w:rsid w:val="00D605DE"/>
    <w:rsid w:val="00D61A38"/>
    <w:rsid w:val="00D62E7F"/>
    <w:rsid w:val="00D640EA"/>
    <w:rsid w:val="00D80208"/>
    <w:rsid w:val="00D80503"/>
    <w:rsid w:val="00D80746"/>
    <w:rsid w:val="00D80A1B"/>
    <w:rsid w:val="00DA087C"/>
    <w:rsid w:val="00DA3D17"/>
    <w:rsid w:val="00DA61AB"/>
    <w:rsid w:val="00DB5E8E"/>
    <w:rsid w:val="00DC442E"/>
    <w:rsid w:val="00DD1743"/>
    <w:rsid w:val="00DE149D"/>
    <w:rsid w:val="00E1339C"/>
    <w:rsid w:val="00E170E0"/>
    <w:rsid w:val="00E212AD"/>
    <w:rsid w:val="00E21A0E"/>
    <w:rsid w:val="00E36FFE"/>
    <w:rsid w:val="00E41AAD"/>
    <w:rsid w:val="00E51DE7"/>
    <w:rsid w:val="00E736A2"/>
    <w:rsid w:val="00E73BA7"/>
    <w:rsid w:val="00E771BD"/>
    <w:rsid w:val="00E946CB"/>
    <w:rsid w:val="00E95D43"/>
    <w:rsid w:val="00E97142"/>
    <w:rsid w:val="00EA18EC"/>
    <w:rsid w:val="00EB753D"/>
    <w:rsid w:val="00EC2A05"/>
    <w:rsid w:val="00EE209B"/>
    <w:rsid w:val="00EE2E68"/>
    <w:rsid w:val="00F03936"/>
    <w:rsid w:val="00F1398E"/>
    <w:rsid w:val="00F35406"/>
    <w:rsid w:val="00F42EB0"/>
    <w:rsid w:val="00F5190C"/>
    <w:rsid w:val="00F54766"/>
    <w:rsid w:val="00F56C21"/>
    <w:rsid w:val="00F612D2"/>
    <w:rsid w:val="00F63F52"/>
    <w:rsid w:val="00F6411D"/>
    <w:rsid w:val="00F6595A"/>
    <w:rsid w:val="00F65B7E"/>
    <w:rsid w:val="00F6630C"/>
    <w:rsid w:val="00F672E8"/>
    <w:rsid w:val="00F75B0D"/>
    <w:rsid w:val="00F82386"/>
    <w:rsid w:val="00F93452"/>
    <w:rsid w:val="00F95964"/>
    <w:rsid w:val="00FD19A2"/>
    <w:rsid w:val="00FD1BA7"/>
    <w:rsid w:val="00FD1FBC"/>
    <w:rsid w:val="00FE1A15"/>
    <w:rsid w:val="00FE5556"/>
    <w:rsid w:val="00FE6E3D"/>
    <w:rsid w:val="00FF1899"/>
    <w:rsid w:val="00FF3130"/>
    <w:rsid w:val="00FF5510"/>
    <w:rsid w:val="00FF60F8"/>
    <w:rsid w:val="00FF63AB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224"/>
  <w15:docId w15:val="{B340E0A7-4CE5-40DC-8ADC-5DF52EE4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tabs>
        <w:tab w:val="clear" w:pos="993"/>
        <w:tab w:val="num" w:pos="1287"/>
      </w:tabs>
      <w:autoSpaceDE w:val="0"/>
      <w:autoSpaceDN w:val="0"/>
      <w:spacing w:after="60" w:line="240" w:lineRule="auto"/>
      <w:ind w:left="1287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rsid w:val="00AB6E5C"/>
    <w:rPr>
      <w:sz w:val="20"/>
      <w:szCs w:val="20"/>
    </w:rPr>
  </w:style>
  <w:style w:type="character" w:styleId="afb">
    <w:name w:val="footnote reference"/>
    <w:basedOn w:val="a2"/>
    <w:unhideWhenUsed/>
    <w:rsid w:val="00AB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DA5E-CDD3-4740-AEE3-F2618607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Екатерина Бандакова</cp:lastModifiedBy>
  <cp:revision>5</cp:revision>
  <cp:lastPrinted>2014-04-16T08:51:00Z</cp:lastPrinted>
  <dcterms:created xsi:type="dcterms:W3CDTF">2026-02-26T14:11:00Z</dcterms:created>
  <dcterms:modified xsi:type="dcterms:W3CDTF">2026-03-10T12:37:00Z</dcterms:modified>
</cp:coreProperties>
</file>