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ook w:val="01E0" w:firstRow="1" w:lastRow="1" w:firstColumn="1" w:lastColumn="1" w:noHBand="0" w:noVBand="0"/>
      </w:tblPr>
      <w:tblGrid>
        <w:gridCol w:w="5636"/>
        <w:gridCol w:w="4216"/>
      </w:tblGrid>
      <w:tr w:rsidR="000978CA" w:rsidRPr="002470E3" w14:paraId="7A885D47" w14:textId="77777777" w:rsidTr="00BA5F98">
        <w:trPr>
          <w:jc w:val="center"/>
        </w:trPr>
        <w:tc>
          <w:tcPr>
            <w:tcW w:w="5636" w:type="dxa"/>
          </w:tcPr>
          <w:p w14:paraId="524B41D6" w14:textId="77777777" w:rsidR="00DF07EC" w:rsidRPr="002470E3" w:rsidRDefault="00DF07EC" w:rsidP="00DF07EC">
            <w:pPr>
              <w:pStyle w:val="Iauiue"/>
              <w:widowControl w:val="0"/>
              <w:ind w:left="68"/>
              <w:rPr>
                <w:rFonts w:ascii="Arial" w:hAnsi="Arial" w:cs="Arial"/>
                <w:b/>
              </w:rPr>
            </w:pPr>
            <w:r>
              <w:rPr>
                <w:rFonts w:ascii="Arial" w:hAnsi="Arial"/>
                <w:b/>
              </w:rPr>
              <w:t>APPROVED</w:t>
            </w:r>
          </w:p>
          <w:p w14:paraId="2C29A1E9" w14:textId="77777777" w:rsidR="00DF07EC" w:rsidRPr="00DF07EC" w:rsidRDefault="00DF07EC" w:rsidP="00DF07EC">
            <w:pPr>
              <w:pStyle w:val="Iauiue"/>
              <w:widowControl w:val="0"/>
              <w:spacing w:before="100"/>
              <w:ind w:left="68"/>
              <w:rPr>
                <w:rFonts w:ascii="Arial" w:hAnsi="Arial" w:cs="Arial"/>
                <w:lang w:val="en-US"/>
              </w:rPr>
            </w:pPr>
          </w:p>
          <w:p w14:paraId="54352216" w14:textId="2BB5478B" w:rsidR="00DF07EC" w:rsidRPr="002470E3" w:rsidRDefault="00DF07EC" w:rsidP="00DF07EC">
            <w:pPr>
              <w:pStyle w:val="Iauiue"/>
              <w:widowControl w:val="0"/>
              <w:spacing w:before="100"/>
              <w:ind w:left="68"/>
              <w:rPr>
                <w:rFonts w:ascii="Arial" w:hAnsi="Arial" w:cs="Arial"/>
              </w:rPr>
            </w:pPr>
            <w:r>
              <w:rPr>
                <w:rFonts w:ascii="Arial" w:hAnsi="Arial"/>
              </w:rPr>
              <w:t xml:space="preserve">by the Executive Board </w:t>
            </w:r>
            <w:r>
              <w:rPr>
                <w:rFonts w:ascii="Arial" w:hAnsi="Arial"/>
              </w:rPr>
              <w:cr/>
              <w:t xml:space="preserve">Moscow Exchange </w:t>
            </w:r>
            <w:r>
              <w:rPr>
                <w:rFonts w:ascii="Arial" w:hAnsi="Arial"/>
              </w:rPr>
              <w:cr/>
            </w:r>
            <w:r>
              <w:rPr>
                <w:rFonts w:ascii="Arial" w:hAnsi="Arial"/>
              </w:rPr>
              <w:br/>
              <w:t>2</w:t>
            </w:r>
            <w:r w:rsidR="00545C97">
              <w:rPr>
                <w:rFonts w:ascii="Arial" w:hAnsi="Arial"/>
              </w:rPr>
              <w:t xml:space="preserve">2 January </w:t>
            </w:r>
            <w:r>
              <w:rPr>
                <w:rFonts w:ascii="Arial" w:hAnsi="Arial"/>
              </w:rPr>
              <w:t>202</w:t>
            </w:r>
            <w:r w:rsidR="00545C97">
              <w:rPr>
                <w:rFonts w:ascii="Arial" w:hAnsi="Arial"/>
              </w:rPr>
              <w:t>4</w:t>
            </w:r>
            <w:r>
              <w:rPr>
                <w:rFonts w:ascii="Arial" w:hAnsi="Arial"/>
              </w:rPr>
              <w:t xml:space="preserve"> (Minutes No. </w:t>
            </w:r>
            <w:r w:rsidR="00545C97">
              <w:rPr>
                <w:rFonts w:ascii="Arial" w:hAnsi="Arial"/>
              </w:rPr>
              <w:t>4</w:t>
            </w:r>
            <w:r>
              <w:rPr>
                <w:rFonts w:ascii="Arial" w:hAnsi="Arial"/>
              </w:rPr>
              <w:t>))</w:t>
            </w:r>
          </w:p>
          <w:p w14:paraId="0F42330C" w14:textId="77777777" w:rsidR="00DF07EC" w:rsidRPr="002470E3" w:rsidRDefault="00DF07EC" w:rsidP="00DF07EC">
            <w:pPr>
              <w:pStyle w:val="Iauiue"/>
              <w:widowControl w:val="0"/>
              <w:spacing w:before="100"/>
              <w:ind w:left="68"/>
              <w:rPr>
                <w:rFonts w:ascii="Arial" w:hAnsi="Arial" w:cs="Arial"/>
              </w:rPr>
            </w:pPr>
            <w:r>
              <w:rPr>
                <w:rFonts w:ascii="Arial" w:hAnsi="Arial"/>
              </w:rPr>
              <w:t xml:space="preserve">Chairman of the Executive Board </w:t>
            </w:r>
          </w:p>
          <w:p w14:paraId="183CFC03" w14:textId="01672954" w:rsidR="000978CA" w:rsidRPr="00FE4720" w:rsidRDefault="00DF07EC" w:rsidP="00DF07EC">
            <w:pPr>
              <w:pStyle w:val="Iauiue"/>
              <w:widowControl w:val="0"/>
              <w:spacing w:before="100"/>
              <w:ind w:left="68"/>
              <w:rPr>
                <w:rFonts w:ascii="Arial" w:hAnsi="Arial" w:cs="Arial"/>
              </w:rPr>
            </w:pPr>
            <w:r>
              <w:rPr>
                <w:rFonts w:ascii="Arial" w:hAnsi="Arial"/>
              </w:rPr>
              <w:t xml:space="preserve">_______________ </w:t>
            </w:r>
            <w:proofErr w:type="spellStart"/>
            <w:r>
              <w:rPr>
                <w:rFonts w:ascii="Arial" w:hAnsi="Arial"/>
              </w:rPr>
              <w:t>Yury</w:t>
            </w:r>
            <w:proofErr w:type="spellEnd"/>
            <w:r>
              <w:rPr>
                <w:rFonts w:ascii="Arial" w:hAnsi="Arial"/>
              </w:rPr>
              <w:t xml:space="preserve"> Denisov</w:t>
            </w:r>
          </w:p>
        </w:tc>
        <w:tc>
          <w:tcPr>
            <w:tcW w:w="4216" w:type="dxa"/>
          </w:tcPr>
          <w:p w14:paraId="54EF471F" w14:textId="38DB5B53" w:rsidR="000978CA" w:rsidRPr="002470E3" w:rsidRDefault="000978CA" w:rsidP="00BA5F98">
            <w:pPr>
              <w:pStyle w:val="Iauiue"/>
              <w:widowControl w:val="0"/>
              <w:spacing w:before="100" w:after="120"/>
              <w:ind w:left="68"/>
              <w:rPr>
                <w:rFonts w:ascii="Arial" w:hAnsi="Arial" w:cs="Arial"/>
              </w:rPr>
            </w:pPr>
          </w:p>
        </w:tc>
      </w:tr>
    </w:tbl>
    <w:p w14:paraId="15D348F2" w14:textId="77777777" w:rsidR="00DF07EC" w:rsidRDefault="00DF07EC" w:rsidP="000978CA">
      <w:pPr>
        <w:pStyle w:val="1"/>
        <w:jc w:val="center"/>
        <w:rPr>
          <w:sz w:val="24"/>
        </w:rPr>
      </w:pPr>
    </w:p>
    <w:p w14:paraId="1B13490A" w14:textId="77777777" w:rsidR="00DF07EC" w:rsidRDefault="00DF07EC" w:rsidP="000978CA">
      <w:pPr>
        <w:pStyle w:val="1"/>
        <w:jc w:val="center"/>
        <w:rPr>
          <w:sz w:val="24"/>
        </w:rPr>
      </w:pPr>
    </w:p>
    <w:p w14:paraId="5C6F7802" w14:textId="65A2368A" w:rsidR="000978CA" w:rsidRPr="000C6B64" w:rsidRDefault="000978CA" w:rsidP="000978CA">
      <w:pPr>
        <w:pStyle w:val="1"/>
        <w:jc w:val="center"/>
        <w:rPr>
          <w:sz w:val="24"/>
          <w:szCs w:val="24"/>
        </w:rPr>
      </w:pPr>
      <w:r>
        <w:rPr>
          <w:sz w:val="24"/>
        </w:rPr>
        <w:t>Reference Exchange Rate Methodology</w:t>
      </w:r>
    </w:p>
    <w:p w14:paraId="3B5BD173" w14:textId="77777777" w:rsidR="000978CA" w:rsidRPr="002B04A2" w:rsidRDefault="000978CA" w:rsidP="000978CA">
      <w:pPr>
        <w:spacing w:beforeLines="50" w:before="120" w:afterLines="50" w:after="120"/>
        <w:rPr>
          <w:rFonts w:ascii="Arial" w:hAnsi="Arial" w:cs="Arial"/>
          <w:b/>
          <w:sz w:val="20"/>
          <w:szCs w:val="20"/>
        </w:rPr>
      </w:pPr>
    </w:p>
    <w:p w14:paraId="4C7EF1C2" w14:textId="77777777" w:rsidR="000978CA" w:rsidRPr="00502DCD"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General provisions</w:t>
      </w:r>
    </w:p>
    <w:p w14:paraId="3D0D762B" w14:textId="61E166BD" w:rsidR="000978CA" w:rsidRPr="00502DCD" w:rsidRDefault="000978CA" w:rsidP="000978CA">
      <w:pPr>
        <w:pStyle w:val="3"/>
        <w:numPr>
          <w:ilvl w:val="1"/>
          <w:numId w:val="1"/>
        </w:numPr>
        <w:spacing w:beforeLines="50" w:before="120" w:after="0"/>
        <w:jc w:val="both"/>
        <w:rPr>
          <w:rFonts w:cs="Arial"/>
          <w:szCs w:val="20"/>
        </w:rPr>
      </w:pPr>
      <w:r>
        <w:t>The present Methodology for calculation of the reference foreign exchange rates (the "Methodology") establishes a procedure for calculation of the reference foreign exchange rate (the "Reference Exchange Rate") by Public Joint Stock Company Moscow Exchange MICEX-RTS (the "Moscow Exchange") used for calculation of the Moscow Exchange Derivatives and Equity indices and (or) other indicators as needed for conducting on-exchange trading and making operations on the Exchange’s markets.</w:t>
      </w:r>
    </w:p>
    <w:p w14:paraId="487B2F87" w14:textId="1DBDE574" w:rsidR="000978CA" w:rsidRPr="00502DCD" w:rsidRDefault="000978CA" w:rsidP="000978CA">
      <w:pPr>
        <w:pStyle w:val="3"/>
        <w:numPr>
          <w:ilvl w:val="1"/>
          <w:numId w:val="1"/>
        </w:numPr>
        <w:spacing w:beforeLines="50" w:before="120" w:after="0"/>
        <w:jc w:val="both"/>
        <w:rPr>
          <w:rFonts w:cs="Arial"/>
          <w:szCs w:val="20"/>
        </w:rPr>
      </w:pPr>
      <w:r>
        <w:t>The Reference Exchange Rate is calculated by the Exchange based on information on FX trading data of the Exchange (the "MOEX Exchange Rate"), and/or information on the exchange rate of a foreign currency of one country expressed in the monetary unit of another country, announced by the central bank of the quoted country and released on the official website of the respective central bank (the "Central Bank Rate of the quoted country"), and/or information on the Bank of Russia exchange rates of a foreign currency against the Russian rouble (the "Bank of Russia Exchange Rate"), and/or information on the ratio of the two Reference Rates (the "Cross Rate").</w:t>
      </w:r>
    </w:p>
    <w:p w14:paraId="38DB3B10" w14:textId="77777777" w:rsidR="000978CA" w:rsidRPr="006460DC" w:rsidRDefault="000978CA" w:rsidP="000978CA">
      <w:pPr>
        <w:pStyle w:val="3"/>
        <w:numPr>
          <w:ilvl w:val="1"/>
          <w:numId w:val="1"/>
        </w:numPr>
        <w:spacing w:beforeLines="50" w:before="120" w:after="0"/>
        <w:jc w:val="both"/>
      </w:pPr>
      <w:r>
        <w:t>The list of Reference Rates calculated by the Exchange, as well as their calculation parameters and data sources are specified in Appendix 1 to this Methodology.</w:t>
      </w:r>
    </w:p>
    <w:p w14:paraId="4D75B9AA" w14:textId="77777777" w:rsidR="000978CA" w:rsidRPr="00502DCD" w:rsidRDefault="000978CA" w:rsidP="000978CA">
      <w:pPr>
        <w:pStyle w:val="3"/>
        <w:numPr>
          <w:ilvl w:val="1"/>
          <w:numId w:val="1"/>
        </w:numPr>
        <w:spacing w:beforeLines="50" w:before="120" w:after="0"/>
        <w:jc w:val="both"/>
        <w:rPr>
          <w:rFonts w:cs="Arial"/>
          <w:szCs w:val="20"/>
        </w:rPr>
      </w:pPr>
      <w:r>
        <w:t>This Methodology, as well as all amendments and additions thereto, shall be approved by the Exchange and shall come into effect on a date determined by the Exchange.</w:t>
      </w:r>
    </w:p>
    <w:p w14:paraId="38609B54" w14:textId="77777777" w:rsidR="000978CA" w:rsidRDefault="000978CA" w:rsidP="000978CA">
      <w:pPr>
        <w:pStyle w:val="3"/>
        <w:numPr>
          <w:ilvl w:val="1"/>
          <w:numId w:val="1"/>
        </w:numPr>
        <w:spacing w:beforeLines="50" w:before="120" w:after="0"/>
        <w:jc w:val="both"/>
        <w:rPr>
          <w:rFonts w:cs="Arial"/>
          <w:szCs w:val="20"/>
        </w:rPr>
      </w:pPr>
      <w:r>
        <w:t>Following endorsement by the Exchange, this Methodology is made available on the Exchange website at least one business day before coming into force, unless the Exchange decides otherwise.</w:t>
      </w:r>
    </w:p>
    <w:p w14:paraId="6D33C6EC"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MOEX Exchange Rate</w:t>
      </w:r>
    </w:p>
    <w:p w14:paraId="76632AAA" w14:textId="77777777" w:rsidR="000978CA" w:rsidRDefault="000978CA" w:rsidP="000978CA">
      <w:pPr>
        <w:pStyle w:val="3"/>
        <w:numPr>
          <w:ilvl w:val="1"/>
          <w:numId w:val="1"/>
        </w:numPr>
        <w:spacing w:beforeLines="50" w:before="120" w:after="0"/>
        <w:jc w:val="both"/>
      </w:pPr>
      <w:r>
        <w:t xml:space="preserve">The MOEX Exchange Rate is calculated </w:t>
      </w:r>
      <w:proofErr w:type="gramStart"/>
      <w:r>
        <w:t>on the basis of</w:t>
      </w:r>
      <w:proofErr w:type="gramEnd"/>
      <w:r>
        <w:t xml:space="preserve"> FX trades in the relevant Instrument executed on the Exchange.</w:t>
      </w:r>
    </w:p>
    <w:p w14:paraId="5568C15B" w14:textId="77777777" w:rsidR="000978CA" w:rsidRDefault="000978CA" w:rsidP="000978CA">
      <w:pPr>
        <w:pStyle w:val="3"/>
        <w:numPr>
          <w:ilvl w:val="1"/>
          <w:numId w:val="1"/>
        </w:numPr>
        <w:spacing w:beforeLines="50" w:before="120" w:after="0"/>
        <w:jc w:val="both"/>
      </w:pPr>
      <w:r>
        <w:t>The MOEX Exchange Rate is calculated every second during the trading hours in the main mode on each day the Moscow Exchange FX Market is open.</w:t>
      </w:r>
    </w:p>
    <w:p w14:paraId="2ECE94CE" w14:textId="77777777" w:rsidR="000978CA" w:rsidRDefault="000978CA" w:rsidP="000978CA">
      <w:pPr>
        <w:pStyle w:val="3"/>
        <w:numPr>
          <w:ilvl w:val="1"/>
          <w:numId w:val="1"/>
        </w:numPr>
        <w:spacing w:beforeLines="50" w:before="120" w:after="0"/>
        <w:jc w:val="both"/>
      </w:pPr>
      <w:r>
        <w:t>The MOEX Exchange Rate is calculated according to the following formula:</w:t>
      </w:r>
    </w:p>
    <w:bookmarkStart w:id="0" w:name="_Hlk20315160"/>
    <w:p w14:paraId="462F6705" w14:textId="77777777" w:rsidR="000978CA" w:rsidRDefault="007236B6" w:rsidP="000978CA">
      <w:pPr>
        <w:pStyle w:val="3"/>
        <w:spacing w:beforeLines="50" w:before="120"/>
        <w:jc w:val="center"/>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moex</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oMath>
      </m:oMathPara>
    </w:p>
    <w:bookmarkEnd w:id="0"/>
    <w:p w14:paraId="23900FE6"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68BE9F4D" w14:textId="77777777" w:rsidR="000978CA" w:rsidRPr="00A44142" w:rsidRDefault="007236B6" w:rsidP="000978CA">
      <w:pPr>
        <w:ind w:left="417" w:firstLine="493"/>
        <w:jc w:val="both"/>
        <w:rPr>
          <w:rFonts w:ascii="Arial" w:hAnsi="Arial" w:cs="Arial"/>
          <w:sz w:val="20"/>
          <w:szCs w:val="20"/>
        </w:rPr>
      </w:pPr>
      <m:oMath>
        <m:sSubSup>
          <m:sSubSupPr>
            <m:ctrlPr>
              <w:rPr>
                <w:rFonts w:ascii="Cambria Math" w:hAnsi="Cambria Math"/>
                <w:i/>
                <w:sz w:val="22"/>
                <w:szCs w:val="16"/>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C6424A">
        <w:rPr>
          <w:rFonts w:ascii="Arial" w:hAnsi="Arial"/>
          <w:sz w:val="22"/>
        </w:rPr>
        <w:t xml:space="preserve"> </w:t>
      </w:r>
      <w:r w:rsidR="00C6424A">
        <w:rPr>
          <w:rFonts w:ascii="Arial" w:hAnsi="Arial"/>
          <w:sz w:val="20"/>
        </w:rPr>
        <w:t>– the MOEX Exchange Rate at time t;</w:t>
      </w:r>
    </w:p>
    <w:p w14:paraId="73F24860" w14:textId="2468A694" w:rsidR="000978CA" w:rsidRDefault="000978CA" w:rsidP="000978CA">
      <w:pPr>
        <w:ind w:left="910"/>
        <w:jc w:val="both"/>
        <w:rPr>
          <w:rFonts w:ascii="Arial" w:hAnsi="Arial" w:cs="Arial"/>
          <w:sz w:val="20"/>
          <w:szCs w:val="20"/>
        </w:rPr>
      </w:pPr>
      <w:proofErr w:type="spellStart"/>
      <w:r>
        <w:rPr>
          <w:rFonts w:ascii="Arial" w:hAnsi="Arial"/>
          <w:sz w:val="20"/>
        </w:rPr>
        <w:t>MA</w:t>
      </w:r>
      <w:r>
        <w:rPr>
          <w:rFonts w:ascii="Arial" w:hAnsi="Arial"/>
          <w:sz w:val="20"/>
          <w:vertAlign w:val="subscript"/>
        </w:rPr>
        <w:t>t</w:t>
      </w:r>
      <w:proofErr w:type="spellEnd"/>
      <w:r>
        <w:rPr>
          <w:rFonts w:ascii="Arial" w:hAnsi="Arial"/>
          <w:sz w:val="20"/>
        </w:rPr>
        <w:t xml:space="preserve"> – moving average at time t, determined in accordance with the paragraph </w:t>
      </w:r>
      <w:r>
        <w:rPr>
          <w:rFonts w:ascii="Arial" w:hAnsi="Arial" w:cs="Arial"/>
          <w:sz w:val="20"/>
        </w:rPr>
        <w:fldChar w:fldCharType="begin"/>
      </w:r>
      <w:r>
        <w:rPr>
          <w:rFonts w:ascii="Arial" w:hAnsi="Arial" w:cs="Arial"/>
          <w:sz w:val="20"/>
        </w:rPr>
        <w:instrText xml:space="preserve"> REF _Ref306028248 \r \h </w:instrText>
      </w:r>
      <w:r>
        <w:rPr>
          <w:rFonts w:ascii="Arial" w:hAnsi="Arial" w:cs="Arial"/>
          <w:sz w:val="20"/>
        </w:rPr>
      </w:r>
      <w:r>
        <w:rPr>
          <w:rFonts w:ascii="Arial" w:hAnsi="Arial" w:cs="Arial"/>
          <w:sz w:val="20"/>
        </w:rPr>
        <w:fldChar w:fldCharType="separate"/>
      </w:r>
      <w:r w:rsidR="00DF07EC">
        <w:rPr>
          <w:rFonts w:ascii="Arial" w:hAnsi="Arial" w:cs="Arial"/>
          <w:sz w:val="20"/>
        </w:rPr>
        <w:t>2.4</w:t>
      </w:r>
      <w:r>
        <w:rPr>
          <w:rFonts w:ascii="Arial" w:hAnsi="Arial" w:cs="Arial"/>
          <w:sz w:val="20"/>
        </w:rPr>
        <w:fldChar w:fldCharType="end"/>
      </w:r>
      <w:r>
        <w:rPr>
          <w:rFonts w:ascii="Arial" w:hAnsi="Arial"/>
          <w:sz w:val="20"/>
        </w:rPr>
        <w:t xml:space="preserve"> of this Methodology.</w:t>
      </w:r>
    </w:p>
    <w:p w14:paraId="30CF914C" w14:textId="77777777" w:rsidR="000978CA" w:rsidRDefault="000978CA" w:rsidP="000978CA">
      <w:pPr>
        <w:pStyle w:val="3"/>
        <w:numPr>
          <w:ilvl w:val="1"/>
          <w:numId w:val="1"/>
        </w:numPr>
        <w:spacing w:beforeLines="50" w:before="120" w:after="0"/>
        <w:jc w:val="both"/>
      </w:pPr>
      <w:bookmarkStart w:id="1" w:name="_Ref306028248"/>
      <w:r>
        <w:t>The moving average at time t is calculated using the following formula:</w:t>
      </w:r>
      <w:bookmarkEnd w:id="1"/>
    </w:p>
    <w:p w14:paraId="2605E55B" w14:textId="77777777" w:rsidR="000978CA" w:rsidRPr="002A4EE8" w:rsidRDefault="000978CA" w:rsidP="000978CA">
      <w:pPr>
        <w:jc w:val="center"/>
      </w:pPr>
      <w:r>
        <w:object w:dxaOrig="1800" w:dyaOrig="680" w14:anchorId="018A4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33.2pt" o:ole="">
            <v:imagedata r:id="rId8" o:title=""/>
          </v:shape>
          <o:OLEObject Type="Embed" ProgID="Equation.3" ShapeID="_x0000_i1025" DrawAspect="Content" ObjectID="_1771071974" r:id="rId9"/>
        </w:object>
      </w:r>
    </w:p>
    <w:p w14:paraId="4B3C983E" w14:textId="77777777" w:rsidR="000978CA" w:rsidRDefault="000978CA" w:rsidP="000978CA">
      <w:pPr>
        <w:ind w:left="910"/>
        <w:jc w:val="both"/>
        <w:rPr>
          <w:rFonts w:ascii="Arial" w:hAnsi="Arial" w:cs="Arial"/>
          <w:sz w:val="20"/>
          <w:szCs w:val="20"/>
        </w:rPr>
      </w:pPr>
      <w:r>
        <w:rPr>
          <w:rFonts w:ascii="Arial" w:hAnsi="Arial"/>
          <w:sz w:val="20"/>
        </w:rPr>
        <w:t xml:space="preserve">where: </w:t>
      </w:r>
    </w:p>
    <w:p w14:paraId="6EA96799" w14:textId="77777777" w:rsidR="000978CA" w:rsidRDefault="000978CA" w:rsidP="000978CA">
      <w:pPr>
        <w:ind w:left="910"/>
        <w:jc w:val="both"/>
        <w:rPr>
          <w:rFonts w:ascii="Arial" w:hAnsi="Arial" w:cs="Arial"/>
          <w:sz w:val="20"/>
          <w:szCs w:val="20"/>
        </w:rPr>
      </w:pPr>
      <w:proofErr w:type="spellStart"/>
      <w:r>
        <w:rPr>
          <w:rFonts w:ascii="Arial" w:hAnsi="Arial"/>
          <w:sz w:val="20"/>
        </w:rPr>
        <w:lastRenderedPageBreak/>
        <w:t>MA</w:t>
      </w:r>
      <w:r>
        <w:rPr>
          <w:rFonts w:ascii="Arial" w:hAnsi="Arial"/>
          <w:sz w:val="20"/>
          <w:vertAlign w:val="subscript"/>
        </w:rPr>
        <w:t>t</w:t>
      </w:r>
      <w:proofErr w:type="spellEnd"/>
      <w:r>
        <w:rPr>
          <w:rFonts w:ascii="Arial" w:hAnsi="Arial"/>
          <w:sz w:val="20"/>
        </w:rPr>
        <w:t xml:space="preserve"> – moving average at time t;</w:t>
      </w:r>
    </w:p>
    <w:p w14:paraId="73F85A0E" w14:textId="58EB57A8" w:rsidR="000978CA" w:rsidRPr="00032E03" w:rsidRDefault="000978CA" w:rsidP="000978CA">
      <w:pPr>
        <w:ind w:left="910"/>
        <w:jc w:val="both"/>
        <w:rPr>
          <w:rFonts w:ascii="Arial" w:hAnsi="Arial" w:cs="Arial"/>
          <w:sz w:val="20"/>
          <w:szCs w:val="20"/>
        </w:rPr>
      </w:pPr>
      <w:r>
        <w:rPr>
          <w:rFonts w:ascii="Arial" w:hAnsi="Arial"/>
          <w:sz w:val="20"/>
        </w:rPr>
        <w:t>R</w:t>
      </w:r>
      <w:r>
        <w:rPr>
          <w:rFonts w:ascii="Arial" w:hAnsi="Arial"/>
          <w:sz w:val="20"/>
          <w:vertAlign w:val="subscript"/>
        </w:rPr>
        <w:t>i</w:t>
      </w:r>
      <w:r>
        <w:rPr>
          <w:rFonts w:ascii="Arial" w:hAnsi="Arial"/>
          <w:sz w:val="20"/>
        </w:rPr>
        <w:t xml:space="preserve"> – the trade price after elimination of non-market deviations, at time </w:t>
      </w:r>
      <w:proofErr w:type="spellStart"/>
      <w:r>
        <w:rPr>
          <w:rFonts w:ascii="Arial" w:hAnsi="Arial"/>
          <w:sz w:val="20"/>
        </w:rPr>
        <w:t>i</w:t>
      </w:r>
      <w:proofErr w:type="spellEnd"/>
      <w:r>
        <w:rPr>
          <w:rFonts w:ascii="Arial" w:hAnsi="Arial"/>
          <w:sz w:val="20"/>
        </w:rPr>
        <w:t xml:space="preserve"> determined in accordance with paragraph </w:t>
      </w:r>
      <w:r>
        <w:rPr>
          <w:rFonts w:ascii="Arial" w:hAnsi="Arial" w:cs="Arial"/>
          <w:sz w:val="20"/>
        </w:rPr>
        <w:fldChar w:fldCharType="begin"/>
      </w:r>
      <w:r>
        <w:rPr>
          <w:rFonts w:ascii="Arial" w:hAnsi="Arial" w:cs="Arial"/>
          <w:sz w:val="20"/>
        </w:rPr>
        <w:instrText xml:space="preserve"> REF _Ref306028343 \r </w:instrText>
      </w:r>
      <w:r>
        <w:rPr>
          <w:rFonts w:ascii="Arial" w:hAnsi="Arial" w:cs="Arial"/>
          <w:sz w:val="20"/>
        </w:rPr>
        <w:fldChar w:fldCharType="separate"/>
      </w:r>
      <w:r w:rsidR="00DF07EC">
        <w:rPr>
          <w:rFonts w:ascii="Arial" w:hAnsi="Arial" w:cs="Arial"/>
          <w:sz w:val="20"/>
        </w:rPr>
        <w:t>2.5</w:t>
      </w:r>
      <w:r>
        <w:rPr>
          <w:rFonts w:ascii="Arial" w:hAnsi="Arial" w:cs="Arial"/>
          <w:sz w:val="20"/>
        </w:rPr>
        <w:fldChar w:fldCharType="end"/>
      </w:r>
      <w:r>
        <w:rPr>
          <w:rFonts w:ascii="Arial" w:hAnsi="Arial"/>
          <w:sz w:val="20"/>
        </w:rPr>
        <w:t xml:space="preserve"> of this Methodology;</w:t>
      </w:r>
    </w:p>
    <w:p w14:paraId="19A3C67F" w14:textId="77777777" w:rsidR="000978CA" w:rsidRPr="00032E03" w:rsidRDefault="000978CA" w:rsidP="000978CA">
      <w:pPr>
        <w:ind w:left="910"/>
        <w:jc w:val="both"/>
        <w:rPr>
          <w:rFonts w:ascii="Arial" w:hAnsi="Arial" w:cs="Arial"/>
          <w:sz w:val="20"/>
          <w:szCs w:val="20"/>
        </w:rPr>
      </w:pPr>
      <w:r>
        <w:rPr>
          <w:rFonts w:ascii="Arial" w:hAnsi="Arial"/>
          <w:sz w:val="20"/>
        </w:rPr>
        <w:t>M - averaging period expressed in seconds, determined according to Appendix 1 to this Methodology.</w:t>
      </w:r>
    </w:p>
    <w:p w14:paraId="3B02AFE8" w14:textId="77777777" w:rsidR="000978CA" w:rsidRDefault="000978CA" w:rsidP="000978CA">
      <w:pPr>
        <w:pStyle w:val="3"/>
        <w:numPr>
          <w:ilvl w:val="1"/>
          <w:numId w:val="1"/>
        </w:numPr>
        <w:spacing w:beforeLines="50" w:before="120" w:after="0"/>
        <w:jc w:val="both"/>
      </w:pPr>
      <w:bookmarkStart w:id="2" w:name="_Ref306028343"/>
      <w:r>
        <w:t>The trade price after discarding non-market deviations at time t is determined by the following formula:</w:t>
      </w:r>
      <w:bookmarkEnd w:id="2"/>
    </w:p>
    <w:p w14:paraId="712332D7" w14:textId="77777777" w:rsidR="000978CA" w:rsidRDefault="000978CA" w:rsidP="000978CA">
      <w:pPr>
        <w:jc w:val="center"/>
      </w:pPr>
    </w:p>
    <w:p w14:paraId="6E6260F5" w14:textId="77777777" w:rsidR="000978CA" w:rsidRPr="00032E03" w:rsidRDefault="000978CA" w:rsidP="000978CA">
      <w:pPr>
        <w:jc w:val="center"/>
      </w:pPr>
      <w:r>
        <w:object w:dxaOrig="5420" w:dyaOrig="1960" w14:anchorId="32022B1E">
          <v:shape id="_x0000_i1026" type="#_x0000_t75" style="width:270.45pt;height:96.4pt" o:ole="">
            <v:imagedata r:id="rId10" o:title=""/>
          </v:shape>
          <o:OLEObject Type="Embed" ProgID="Equation.3" ShapeID="_x0000_i1026" DrawAspect="Content" ObjectID="_1771071975" r:id="rId11"/>
        </w:object>
      </w:r>
    </w:p>
    <w:p w14:paraId="4F2E84C6" w14:textId="77777777" w:rsidR="000978CA" w:rsidRPr="00323A6A" w:rsidRDefault="000978CA" w:rsidP="000978CA">
      <w:pPr>
        <w:ind w:leftChars="94" w:left="226" w:firstLine="493"/>
        <w:jc w:val="both"/>
        <w:rPr>
          <w:rFonts w:ascii="Arial" w:hAnsi="Arial" w:cs="Arial"/>
          <w:sz w:val="20"/>
          <w:szCs w:val="20"/>
        </w:rPr>
      </w:pPr>
      <w:r>
        <w:rPr>
          <w:rFonts w:ascii="Arial" w:hAnsi="Arial"/>
          <w:sz w:val="20"/>
        </w:rPr>
        <w:t>where:</w:t>
      </w:r>
    </w:p>
    <w:p w14:paraId="46A87DD1" w14:textId="77777777" w:rsidR="000978CA" w:rsidRDefault="000978CA" w:rsidP="000978CA">
      <w:pPr>
        <w:ind w:leftChars="295" w:left="708" w:firstLine="11"/>
        <w:jc w:val="both"/>
      </w:pPr>
      <w:r>
        <w:rPr>
          <w:rFonts w:ascii="Arial" w:hAnsi="Arial"/>
          <w:sz w:val="20"/>
        </w:rPr>
        <w:t>R</w:t>
      </w:r>
      <w:r>
        <w:rPr>
          <w:rFonts w:ascii="Arial" w:hAnsi="Arial"/>
          <w:sz w:val="20"/>
          <w:vertAlign w:val="subscript"/>
        </w:rPr>
        <w:t>t</w:t>
      </w:r>
      <w:r>
        <w:rPr>
          <w:rFonts w:ascii="Arial" w:hAnsi="Arial"/>
          <w:sz w:val="20"/>
        </w:rPr>
        <w:t xml:space="preserve"> - the trade price after discarding non-market deviations at time t;</w:t>
      </w:r>
    </w:p>
    <w:p w14:paraId="48EF8541" w14:textId="77777777" w:rsidR="000978CA" w:rsidRDefault="000978CA" w:rsidP="000978CA">
      <w:pPr>
        <w:ind w:leftChars="295" w:left="708" w:firstLine="11"/>
        <w:jc w:val="both"/>
        <w:rPr>
          <w:rFonts w:ascii="Arial" w:hAnsi="Arial" w:cs="Arial"/>
          <w:sz w:val="20"/>
          <w:szCs w:val="20"/>
        </w:rPr>
      </w:pPr>
      <w:r>
        <w:rPr>
          <w:rFonts w:ascii="Arial" w:hAnsi="Arial"/>
          <w:sz w:val="20"/>
        </w:rPr>
        <w:t>R</w:t>
      </w:r>
      <w:r>
        <w:rPr>
          <w:rFonts w:ascii="Arial" w:hAnsi="Arial"/>
          <w:sz w:val="20"/>
          <w:vertAlign w:val="subscript"/>
        </w:rPr>
        <w:t>t-1</w:t>
      </w:r>
      <w:r>
        <w:rPr>
          <w:rFonts w:ascii="Arial" w:hAnsi="Arial"/>
          <w:sz w:val="20"/>
        </w:rPr>
        <w:t xml:space="preserve"> - the trade price after discarding non-market deviations at time t-1;</w:t>
      </w:r>
    </w:p>
    <w:p w14:paraId="27D7EFA6" w14:textId="77777777" w:rsidR="000978CA" w:rsidRDefault="000978CA" w:rsidP="000978CA">
      <w:pPr>
        <w:ind w:leftChars="295" w:left="708" w:firstLine="11"/>
        <w:jc w:val="both"/>
        <w:rPr>
          <w:rFonts w:ascii="Arial" w:hAnsi="Arial" w:cs="Arial"/>
          <w:sz w:val="20"/>
          <w:szCs w:val="20"/>
        </w:rPr>
      </w:pPr>
      <w:proofErr w:type="spellStart"/>
      <w:r>
        <w:rPr>
          <w:rFonts w:ascii="Arial" w:hAnsi="Arial"/>
          <w:sz w:val="20"/>
        </w:rPr>
        <w:t>RA</w:t>
      </w:r>
      <w:r>
        <w:rPr>
          <w:rFonts w:ascii="Arial" w:hAnsi="Arial"/>
          <w:sz w:val="20"/>
          <w:vertAlign w:val="subscript"/>
        </w:rPr>
        <w:t>t</w:t>
      </w:r>
      <w:proofErr w:type="spellEnd"/>
      <w:r>
        <w:rPr>
          <w:rFonts w:ascii="Arial" w:hAnsi="Arial"/>
          <w:sz w:val="20"/>
        </w:rPr>
        <w:t xml:space="preserve"> - the price of the last trade in the corresponding Instrument at time t (without regard to negotiated trades);</w:t>
      </w:r>
    </w:p>
    <w:p w14:paraId="22116F66" w14:textId="77777777" w:rsidR="000978CA" w:rsidRPr="00032E03" w:rsidRDefault="000978CA" w:rsidP="000978CA">
      <w:pPr>
        <w:ind w:leftChars="295" w:left="708" w:firstLine="11"/>
        <w:jc w:val="both"/>
        <w:rPr>
          <w:rFonts w:ascii="Arial" w:hAnsi="Arial" w:cs="Arial"/>
          <w:sz w:val="20"/>
          <w:szCs w:val="20"/>
        </w:rPr>
      </w:pPr>
      <w:r>
        <w:rPr>
          <w:rFonts w:ascii="Arial" w:hAnsi="Arial"/>
          <w:sz w:val="20"/>
        </w:rPr>
        <w:t>K - max deviation value determined in accordance with Appendix 1 to this Methodology;</w:t>
      </w:r>
    </w:p>
    <w:p w14:paraId="11EB6975" w14:textId="77777777" w:rsidR="000978CA" w:rsidRDefault="000978CA" w:rsidP="000978CA">
      <w:pPr>
        <w:ind w:leftChars="295" w:left="708" w:firstLine="11"/>
        <w:jc w:val="both"/>
        <w:rPr>
          <w:rFonts w:ascii="Arial" w:hAnsi="Arial" w:cs="Arial"/>
          <w:sz w:val="20"/>
          <w:szCs w:val="20"/>
        </w:rPr>
      </w:pPr>
      <w:r>
        <w:rPr>
          <w:rFonts w:ascii="Arial" w:hAnsi="Arial"/>
          <w:sz w:val="20"/>
        </w:rPr>
        <w:t>S - deviation calculation period, expressed in seconds, determined in accordance with Appendix 1 to this Methodology.</w:t>
      </w:r>
    </w:p>
    <w:p w14:paraId="0F397956" w14:textId="77777777" w:rsidR="000978CA" w:rsidRDefault="000978CA" w:rsidP="000978CA">
      <w:pPr>
        <w:ind w:leftChars="295" w:left="708" w:firstLine="11"/>
        <w:jc w:val="both"/>
        <w:rPr>
          <w:rFonts w:ascii="Arial" w:hAnsi="Arial" w:cs="Arial"/>
          <w:sz w:val="20"/>
          <w:szCs w:val="20"/>
        </w:rPr>
      </w:pPr>
    </w:p>
    <w:p w14:paraId="68246F69" w14:textId="658EF8DF"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Central Bank Rate of the quoted country</w:t>
      </w:r>
    </w:p>
    <w:p w14:paraId="58D30A66" w14:textId="77777777" w:rsidR="000978CA" w:rsidRDefault="000978CA" w:rsidP="000978CA">
      <w:pPr>
        <w:pStyle w:val="3"/>
        <w:numPr>
          <w:ilvl w:val="1"/>
          <w:numId w:val="1"/>
        </w:numPr>
        <w:spacing w:beforeLines="50" w:before="120" w:after="0"/>
        <w:ind w:left="788" w:hanging="431"/>
        <w:jc w:val="both"/>
      </w:pPr>
      <w:r>
        <w:t xml:space="preserve">The exchange rate of the central bank of the state of the quoted currency is determined by the central bank of the state of the quoted currency </w:t>
      </w:r>
      <w:proofErr w:type="gramStart"/>
      <w:r>
        <w:t>on the basis of</w:t>
      </w:r>
      <w:proofErr w:type="gramEnd"/>
      <w:r>
        <w:t xml:space="preserve"> trading data in connection with the respective currency. This rate is published on the official website of the given central bank.</w:t>
      </w:r>
    </w:p>
    <w:p w14:paraId="3342E38A" w14:textId="77777777" w:rsidR="000978CA" w:rsidRDefault="000978CA" w:rsidP="000C0D0D">
      <w:pPr>
        <w:pStyle w:val="3"/>
        <w:spacing w:after="0"/>
        <w:jc w:val="both"/>
        <w:rPr>
          <w:rFonts w:cs="Arial"/>
        </w:rPr>
      </w:pPr>
    </w:p>
    <w:p w14:paraId="282001F9" w14:textId="77777777"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Bank of Russia Exchange Rate</w:t>
      </w:r>
    </w:p>
    <w:p w14:paraId="6EF862F4" w14:textId="578EB2A7" w:rsidR="000978CA" w:rsidRDefault="00A86F22" w:rsidP="000978CA">
      <w:pPr>
        <w:pStyle w:val="3"/>
        <w:numPr>
          <w:ilvl w:val="1"/>
          <w:numId w:val="1"/>
        </w:numPr>
        <w:spacing w:beforeLines="50" w:before="120" w:after="0"/>
        <w:ind w:left="788" w:hanging="431"/>
        <w:jc w:val="both"/>
      </w:pPr>
      <w:r>
        <w:t>The exchange rate of the Bank of Russia is determined as the latest exchange rate of the foreign currency against the Russian rouble as published on the official website of the Central Bank of the Russian Federation on the Internet (</w:t>
      </w:r>
      <w:hyperlink r:id="rId12" w:history="1">
        <w:r>
          <w:rPr>
            <w:rStyle w:val="a8"/>
          </w:rPr>
          <w:t>https://cbr.ru/currency_base/daily/</w:t>
        </w:r>
      </w:hyperlink>
      <w:r>
        <w:t>). The exchange monitors the page at most once an hour, as a rule.</w:t>
      </w:r>
    </w:p>
    <w:p w14:paraId="49F91F01" w14:textId="6B505848" w:rsidR="000978CA" w:rsidRDefault="000978CA" w:rsidP="000C0D0D">
      <w:pPr>
        <w:pStyle w:val="3"/>
        <w:spacing w:after="0"/>
        <w:jc w:val="both"/>
        <w:rPr>
          <w:rFonts w:cs="Arial"/>
        </w:rPr>
      </w:pPr>
    </w:p>
    <w:p w14:paraId="752746A5"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Cross Rates</w:t>
      </w:r>
    </w:p>
    <w:p w14:paraId="7ECE2D9C" w14:textId="77777777" w:rsidR="000978CA" w:rsidRDefault="000978CA" w:rsidP="000978CA">
      <w:pPr>
        <w:pStyle w:val="3"/>
        <w:numPr>
          <w:ilvl w:val="1"/>
          <w:numId w:val="1"/>
        </w:numPr>
        <w:spacing w:beforeLines="50" w:before="120" w:after="0"/>
        <w:ind w:left="788" w:hanging="431"/>
        <w:jc w:val="both"/>
      </w:pPr>
      <w:r>
        <w:t>The calculation of the Cross Rates shown in Table 2 of Appendix 1 shall be carried out according to the formula for calculating the Cross Rate using the Reference Rates shown in Table 1 of Appendix 1:</w:t>
      </w:r>
    </w:p>
    <w:p w14:paraId="4C360CD1" w14:textId="77777777" w:rsidR="007F065E" w:rsidRPr="00404519" w:rsidRDefault="007236B6" w:rsidP="000978CA">
      <w:pPr>
        <w:pStyle w:val="3"/>
        <w:spacing w:beforeLines="50" w:before="120"/>
        <w:jc w:val="center"/>
        <w:rPr>
          <w:sz w:val="22"/>
        </w:rPr>
      </w:pPr>
      <m:oMathPara>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cur1cur3</m:t>
              </m:r>
            </m:sup>
          </m:sSubSup>
          <m:r>
            <w:rPr>
              <w:rFonts w:ascii="Cambria Math" w:hAnsi="Cambria Math"/>
              <w:sz w:val="22"/>
              <w:lang w:val="en-US"/>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lang w:val="en-US"/>
                    </w:rPr>
                    <m:t>cur1cur2</m:t>
                  </m:r>
                </m:sup>
              </m:sSubSup>
            </m:num>
            <m:den>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cur3cur2</m:t>
                  </m:r>
                </m:sup>
              </m:sSubSup>
            </m:den>
          </m:f>
        </m:oMath>
      </m:oMathPara>
    </w:p>
    <w:p w14:paraId="38049505"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22D5AAFF" w14:textId="69296FAF" w:rsidR="000978CA" w:rsidRPr="00A44142" w:rsidRDefault="007F065E"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cur1cur3</w:t>
      </w:r>
      <w:r>
        <w:rPr>
          <w:rFonts w:ascii="Arial" w:hAnsi="Arial"/>
        </w:rPr>
        <w:t xml:space="preserve"> – the Reference Exchange Rate of currency 1 to currency 3 at time t.</w:t>
      </w:r>
    </w:p>
    <w:p w14:paraId="7A0DCBBB" w14:textId="77777777" w:rsidR="000978CA" w:rsidRPr="00A44142"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cur1cur2</w:t>
      </w:r>
      <w:r>
        <w:rPr>
          <w:rFonts w:ascii="Arial" w:hAnsi="Arial"/>
          <w:sz w:val="20"/>
        </w:rPr>
        <w:t xml:space="preserve"> – the Reference Exchange Rate of currency 1 to currency 2 at time t;</w:t>
      </w:r>
    </w:p>
    <w:p w14:paraId="7E4DAFA1" w14:textId="62535A84" w:rsidR="000978CA" w:rsidRPr="004B52E7"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cur3cur2</w:t>
      </w:r>
      <w:r>
        <w:rPr>
          <w:rFonts w:ascii="Arial" w:hAnsi="Arial"/>
        </w:rPr>
        <w:t xml:space="preserve"> – the Reference Exchange Rate of currency 3 to currency 2 at time t.</w:t>
      </w:r>
    </w:p>
    <w:p w14:paraId="0557A682" w14:textId="77777777" w:rsidR="000978CA" w:rsidRPr="00AB614D" w:rsidRDefault="000978CA" w:rsidP="000C0D0D">
      <w:pPr>
        <w:pStyle w:val="3"/>
        <w:spacing w:after="0"/>
        <w:jc w:val="both"/>
        <w:rPr>
          <w:rFonts w:cs="Arial"/>
        </w:rPr>
      </w:pPr>
    </w:p>
    <w:p w14:paraId="0E9B75D0" w14:textId="77777777" w:rsidR="000978CA" w:rsidRPr="00D005C7" w:rsidRDefault="000978CA" w:rsidP="000978CA">
      <w:pPr>
        <w:pStyle w:val="3"/>
        <w:numPr>
          <w:ilvl w:val="0"/>
          <w:numId w:val="1"/>
        </w:numPr>
        <w:spacing w:beforeLines="50" w:before="120" w:after="0"/>
        <w:jc w:val="both"/>
        <w:rPr>
          <w:b/>
          <w:bCs/>
        </w:rPr>
      </w:pPr>
      <w:r>
        <w:rPr>
          <w:b/>
        </w:rPr>
        <w:t>Supplementary</w:t>
      </w:r>
    </w:p>
    <w:p w14:paraId="7D0362F5" w14:textId="32C94DA8" w:rsidR="000978CA" w:rsidRDefault="000978CA" w:rsidP="000978CA">
      <w:pPr>
        <w:pStyle w:val="3"/>
        <w:numPr>
          <w:ilvl w:val="1"/>
          <w:numId w:val="1"/>
        </w:numPr>
        <w:tabs>
          <w:tab w:val="left" w:pos="851"/>
        </w:tabs>
        <w:spacing w:beforeLines="50" w:before="120" w:after="0"/>
        <w:ind w:left="788" w:hanging="431"/>
        <w:jc w:val="both"/>
      </w:pPr>
      <w:r>
        <w:t xml:space="preserve">If the currency pair used to calculate the Reference Rate is not traded on the Exchange, one of the following values is set as the Reference Rate: </w:t>
      </w:r>
    </w:p>
    <w:p w14:paraId="05F84C44" w14:textId="59E5B47C" w:rsidR="000978CA" w:rsidRDefault="000978CA" w:rsidP="000978CA">
      <w:pPr>
        <w:pStyle w:val="3"/>
        <w:tabs>
          <w:tab w:val="left" w:pos="851"/>
        </w:tabs>
        <w:spacing w:beforeLines="50" w:before="120" w:after="0"/>
        <w:ind w:left="788"/>
        <w:jc w:val="both"/>
      </w:pPr>
      <w:r>
        <w:t>a) the value of the Bank of Russia Exchange Rate;</w:t>
      </w:r>
    </w:p>
    <w:p w14:paraId="2192788A" w14:textId="2055F846" w:rsidR="000978CA" w:rsidRDefault="000978CA" w:rsidP="000978CA">
      <w:pPr>
        <w:pStyle w:val="3"/>
        <w:tabs>
          <w:tab w:val="left" w:pos="851"/>
        </w:tabs>
        <w:spacing w:beforeLines="50" w:before="120" w:after="0"/>
        <w:ind w:left="788"/>
        <w:jc w:val="both"/>
      </w:pPr>
      <w:r>
        <w:t>b) the value of the Cross Rate calculated using the Bank of Russia Exchange Rate for the currency pair not traded;</w:t>
      </w:r>
    </w:p>
    <w:p w14:paraId="0B270394" w14:textId="1D225858" w:rsidR="000978CA" w:rsidRDefault="000978CA" w:rsidP="000978CA">
      <w:pPr>
        <w:pStyle w:val="3"/>
        <w:tabs>
          <w:tab w:val="left" w:pos="851"/>
        </w:tabs>
        <w:spacing w:beforeLines="50" w:before="120" w:after="0"/>
        <w:ind w:left="788"/>
        <w:jc w:val="both"/>
      </w:pPr>
      <w:r>
        <w:lastRenderedPageBreak/>
        <w:t>c) the value of the Central Bank exchange rate for the state of the quoted currency on the day the Reference Rate is determined;</w:t>
      </w:r>
    </w:p>
    <w:p w14:paraId="72C0F624" w14:textId="5B147A1E" w:rsidR="000978CA" w:rsidRDefault="000978CA" w:rsidP="000978CA">
      <w:pPr>
        <w:pStyle w:val="3"/>
        <w:tabs>
          <w:tab w:val="left" w:pos="851"/>
        </w:tabs>
        <w:spacing w:beforeLines="50" w:before="120" w:after="0"/>
        <w:ind w:left="788"/>
        <w:jc w:val="both"/>
      </w:pPr>
      <w:r>
        <w:t>d) the value of the exchange rate as quoted on Russian or international stock exchanges, if the Exchange so decides.</w:t>
      </w:r>
    </w:p>
    <w:p w14:paraId="6FAFB7D0" w14:textId="77777777" w:rsidR="000978CA" w:rsidRPr="00582DC4" w:rsidRDefault="000978CA" w:rsidP="000978CA">
      <w:pPr>
        <w:keepNext/>
        <w:numPr>
          <w:ilvl w:val="0"/>
          <w:numId w:val="1"/>
        </w:numPr>
        <w:spacing w:beforeLines="50" w:before="120" w:afterLines="50" w:after="120"/>
        <w:ind w:left="357" w:hanging="357"/>
        <w:rPr>
          <w:rFonts w:ascii="Arial" w:hAnsi="Arial" w:cs="Arial"/>
          <w:b/>
          <w:sz w:val="20"/>
          <w:szCs w:val="20"/>
        </w:rPr>
      </w:pPr>
      <w:r>
        <w:rPr>
          <w:rFonts w:ascii="Arial" w:hAnsi="Arial"/>
          <w:b/>
          <w:sz w:val="20"/>
        </w:rPr>
        <w:t>Publication of Reference Rate values</w:t>
      </w:r>
    </w:p>
    <w:p w14:paraId="432BA6C4" w14:textId="77777777" w:rsidR="000978CA" w:rsidRDefault="000978CA" w:rsidP="000978CA">
      <w:pPr>
        <w:pStyle w:val="3"/>
        <w:numPr>
          <w:ilvl w:val="1"/>
          <w:numId w:val="1"/>
        </w:numPr>
        <w:spacing w:beforeLines="50" w:before="120" w:after="0"/>
        <w:ind w:left="788" w:hanging="431"/>
        <w:jc w:val="both"/>
      </w:pPr>
      <w:r>
        <w:t>The Exchange may disclose the calculated values of the Reference Rates for information purposes on its website.</w:t>
      </w:r>
    </w:p>
    <w:p w14:paraId="7CA97EF2" w14:textId="77777777" w:rsidR="000978CA" w:rsidRDefault="000978CA" w:rsidP="000978CA">
      <w:pPr>
        <w:jc w:val="right"/>
        <w:rPr>
          <w:rFonts w:ascii="Arial" w:hAnsi="Arial" w:cs="Arial"/>
          <w:sz w:val="20"/>
          <w:szCs w:val="20"/>
        </w:rPr>
      </w:pPr>
      <w:r>
        <w:br w:type="page"/>
      </w:r>
      <w:r>
        <w:rPr>
          <w:rFonts w:ascii="Arial" w:hAnsi="Arial"/>
          <w:sz w:val="20"/>
        </w:rPr>
        <w:lastRenderedPageBreak/>
        <w:t>Appendix 1 to the Reference Exchange Rate Methodology</w:t>
      </w:r>
    </w:p>
    <w:p w14:paraId="0D7810A3" w14:textId="77777777" w:rsidR="000978CA" w:rsidRPr="002B04A2" w:rsidRDefault="000978CA" w:rsidP="000978CA">
      <w:pPr>
        <w:jc w:val="right"/>
        <w:rPr>
          <w:rFonts w:ascii="Arial" w:hAnsi="Arial" w:cs="Arial"/>
          <w:sz w:val="20"/>
          <w:szCs w:val="20"/>
        </w:rPr>
      </w:pPr>
    </w:p>
    <w:p w14:paraId="52230778" w14:textId="77777777" w:rsidR="000978CA" w:rsidRDefault="000978CA" w:rsidP="000978CA">
      <w:pPr>
        <w:rPr>
          <w:rFonts w:ascii="Arial" w:hAnsi="Arial" w:cs="Arial"/>
          <w:b/>
          <w:sz w:val="20"/>
          <w:szCs w:val="20"/>
        </w:rPr>
      </w:pPr>
    </w:p>
    <w:p w14:paraId="24E260A9" w14:textId="77777777" w:rsidR="000978CA" w:rsidRDefault="000978CA" w:rsidP="000978CA">
      <w:pPr>
        <w:pStyle w:val="1"/>
      </w:pPr>
      <w:r>
        <w:t>List of Reference Exchange Rates and Calculation Parameters</w:t>
      </w:r>
    </w:p>
    <w:p w14:paraId="1BA2F39C" w14:textId="77777777" w:rsidR="000978CA" w:rsidRDefault="000978CA" w:rsidP="00F07F63">
      <w:pPr>
        <w:rPr>
          <w:rFonts w:ascii="Arial" w:hAnsi="Arial" w:cs="Arial"/>
          <w:b/>
          <w:sz w:val="20"/>
          <w:szCs w:val="20"/>
        </w:rPr>
      </w:pPr>
      <w:r>
        <w:rPr>
          <w:rFonts w:ascii="Arial" w:hAnsi="Arial"/>
          <w:b/>
          <w:sz w:val="20"/>
        </w:rPr>
        <w:t>Table 1</w:t>
      </w:r>
    </w:p>
    <w:tbl>
      <w:tblPr>
        <w:tblStyle w:val="a3"/>
        <w:tblW w:w="9502" w:type="dxa"/>
        <w:tblInd w:w="-5" w:type="dxa"/>
        <w:tblLayout w:type="fixed"/>
        <w:tblLook w:val="04A0" w:firstRow="1" w:lastRow="0" w:firstColumn="1" w:lastColumn="0" w:noHBand="0" w:noVBand="1"/>
      </w:tblPr>
      <w:tblGrid>
        <w:gridCol w:w="1134"/>
        <w:gridCol w:w="1560"/>
        <w:gridCol w:w="1701"/>
        <w:gridCol w:w="1559"/>
        <w:gridCol w:w="1276"/>
        <w:gridCol w:w="1134"/>
        <w:gridCol w:w="1138"/>
      </w:tblGrid>
      <w:tr w:rsidR="000978CA" w:rsidRPr="001B1CBE" w14:paraId="3481B84D" w14:textId="77777777" w:rsidTr="00B66CBC">
        <w:tc>
          <w:tcPr>
            <w:tcW w:w="1134" w:type="dxa"/>
          </w:tcPr>
          <w:p w14:paraId="556874B2" w14:textId="77777777" w:rsidR="000978CA" w:rsidRPr="00B66CBC" w:rsidRDefault="000978CA">
            <w:pPr>
              <w:spacing w:after="120"/>
              <w:rPr>
                <w:rFonts w:ascii="Arial" w:hAnsi="Arial" w:cs="Arial"/>
                <w:b/>
                <w:sz w:val="18"/>
                <w:szCs w:val="18"/>
              </w:rPr>
            </w:pPr>
            <w:r>
              <w:rPr>
                <w:rFonts w:ascii="Arial" w:hAnsi="Arial"/>
                <w:b/>
                <w:sz w:val="18"/>
              </w:rPr>
              <w:t>Code</w:t>
            </w:r>
          </w:p>
        </w:tc>
        <w:tc>
          <w:tcPr>
            <w:tcW w:w="1560" w:type="dxa"/>
          </w:tcPr>
          <w:p w14:paraId="2351C661" w14:textId="77777777" w:rsidR="000978CA" w:rsidRPr="00B66CBC" w:rsidRDefault="000978CA">
            <w:pPr>
              <w:spacing w:after="120"/>
              <w:rPr>
                <w:rFonts w:ascii="Arial" w:hAnsi="Arial" w:cs="Arial"/>
                <w:b/>
                <w:sz w:val="18"/>
                <w:szCs w:val="18"/>
              </w:rPr>
            </w:pPr>
            <w:r>
              <w:rPr>
                <w:rFonts w:ascii="Arial" w:hAnsi="Arial"/>
                <w:b/>
                <w:sz w:val="18"/>
              </w:rPr>
              <w:t>Reference Exchange Rate</w:t>
            </w:r>
          </w:p>
        </w:tc>
        <w:tc>
          <w:tcPr>
            <w:tcW w:w="1701" w:type="dxa"/>
          </w:tcPr>
          <w:p w14:paraId="1334386E" w14:textId="3F34E92C" w:rsidR="000978CA" w:rsidRPr="00B66CBC" w:rsidRDefault="000978CA">
            <w:pPr>
              <w:spacing w:after="120"/>
              <w:rPr>
                <w:rFonts w:ascii="Arial" w:hAnsi="Arial" w:cs="Arial"/>
                <w:b/>
                <w:sz w:val="18"/>
                <w:szCs w:val="18"/>
              </w:rPr>
            </w:pPr>
            <w:r>
              <w:rPr>
                <w:rFonts w:ascii="Arial" w:hAnsi="Arial"/>
                <w:b/>
                <w:sz w:val="18"/>
              </w:rPr>
              <w:t>Rates used for Reference Exchange Rate calculation</w:t>
            </w:r>
          </w:p>
        </w:tc>
        <w:tc>
          <w:tcPr>
            <w:tcW w:w="1559" w:type="dxa"/>
          </w:tcPr>
          <w:p w14:paraId="5565887C" w14:textId="77777777" w:rsidR="000978CA" w:rsidRPr="00B66CBC" w:rsidRDefault="000978CA">
            <w:pPr>
              <w:spacing w:after="120"/>
              <w:rPr>
                <w:rFonts w:ascii="Arial" w:hAnsi="Arial" w:cs="Arial"/>
                <w:b/>
                <w:sz w:val="18"/>
                <w:szCs w:val="18"/>
              </w:rPr>
            </w:pPr>
            <w:r>
              <w:rPr>
                <w:rFonts w:ascii="Arial" w:hAnsi="Arial"/>
                <w:b/>
                <w:sz w:val="18"/>
              </w:rPr>
              <w:t>Instrument</w:t>
            </w:r>
          </w:p>
        </w:tc>
        <w:tc>
          <w:tcPr>
            <w:tcW w:w="1276" w:type="dxa"/>
          </w:tcPr>
          <w:p w14:paraId="3331E38D" w14:textId="145F08B9" w:rsidR="000978CA" w:rsidRPr="00B66CBC" w:rsidRDefault="000978CA">
            <w:pPr>
              <w:spacing w:after="120"/>
              <w:rPr>
                <w:rFonts w:ascii="Arial" w:hAnsi="Arial" w:cs="Arial"/>
                <w:b/>
                <w:sz w:val="18"/>
                <w:szCs w:val="18"/>
              </w:rPr>
            </w:pPr>
            <w:r>
              <w:rPr>
                <w:rFonts w:ascii="Arial" w:hAnsi="Arial"/>
                <w:b/>
                <w:sz w:val="18"/>
              </w:rPr>
              <w:t>Extreme deviate K</w:t>
            </w:r>
          </w:p>
        </w:tc>
        <w:tc>
          <w:tcPr>
            <w:tcW w:w="1134" w:type="dxa"/>
          </w:tcPr>
          <w:p w14:paraId="1BF35E48" w14:textId="77777777" w:rsidR="000978CA" w:rsidRPr="00B66CBC" w:rsidRDefault="000978CA">
            <w:pPr>
              <w:spacing w:after="120"/>
              <w:rPr>
                <w:rFonts w:ascii="Arial" w:hAnsi="Arial" w:cs="Arial"/>
                <w:b/>
                <w:sz w:val="18"/>
                <w:szCs w:val="18"/>
              </w:rPr>
            </w:pPr>
            <w:r>
              <w:rPr>
                <w:rFonts w:ascii="Arial" w:hAnsi="Arial"/>
                <w:b/>
                <w:sz w:val="18"/>
              </w:rPr>
              <w:t>Averaging period M</w:t>
            </w:r>
          </w:p>
        </w:tc>
        <w:tc>
          <w:tcPr>
            <w:tcW w:w="1138" w:type="dxa"/>
          </w:tcPr>
          <w:p w14:paraId="6274C3A0" w14:textId="1CDE5163" w:rsidR="000978CA" w:rsidRPr="00B66CBC" w:rsidRDefault="000978CA">
            <w:pPr>
              <w:spacing w:after="120"/>
              <w:rPr>
                <w:rFonts w:ascii="Arial" w:hAnsi="Arial" w:cs="Arial"/>
                <w:b/>
                <w:sz w:val="18"/>
                <w:szCs w:val="18"/>
              </w:rPr>
            </w:pPr>
            <w:r>
              <w:rPr>
                <w:rFonts w:ascii="Arial" w:hAnsi="Arial"/>
                <w:b/>
                <w:sz w:val="18"/>
              </w:rPr>
              <w:t>Deviation calculation period S</w:t>
            </w:r>
          </w:p>
        </w:tc>
      </w:tr>
      <w:tr w:rsidR="000978CA" w:rsidRPr="001B1CBE" w14:paraId="744D5D16" w14:textId="77777777" w:rsidTr="00A72529">
        <w:trPr>
          <w:trHeight w:val="527"/>
        </w:trPr>
        <w:tc>
          <w:tcPr>
            <w:tcW w:w="1134" w:type="dxa"/>
          </w:tcPr>
          <w:p w14:paraId="6F884061" w14:textId="77777777" w:rsidR="000978CA" w:rsidRPr="00B66CBC" w:rsidRDefault="000978CA" w:rsidP="00A72529">
            <w:pPr>
              <w:spacing w:after="120"/>
              <w:jc w:val="center"/>
              <w:rPr>
                <w:rFonts w:ascii="Arial" w:hAnsi="Arial" w:cs="Arial"/>
                <w:sz w:val="18"/>
                <w:szCs w:val="18"/>
              </w:rPr>
            </w:pPr>
            <w:r>
              <w:rPr>
                <w:rFonts w:ascii="Arial" w:hAnsi="Arial"/>
                <w:sz w:val="18"/>
              </w:rPr>
              <w:t>USD/RUB</w:t>
            </w:r>
          </w:p>
        </w:tc>
        <w:tc>
          <w:tcPr>
            <w:tcW w:w="1560" w:type="dxa"/>
          </w:tcPr>
          <w:p w14:paraId="591AC458" w14:textId="77777777" w:rsidR="000978CA" w:rsidRPr="00B66CBC" w:rsidRDefault="000978CA" w:rsidP="00BA5F98">
            <w:pPr>
              <w:spacing w:after="120"/>
              <w:rPr>
                <w:rFonts w:ascii="Arial" w:hAnsi="Arial" w:cs="Arial"/>
                <w:sz w:val="18"/>
                <w:szCs w:val="18"/>
              </w:rPr>
            </w:pPr>
            <w:r>
              <w:rPr>
                <w:rFonts w:ascii="Arial" w:hAnsi="Arial"/>
                <w:sz w:val="18"/>
              </w:rPr>
              <w:t>Reference US Dollar to Russian Rouble exchange rate</w:t>
            </w:r>
          </w:p>
        </w:tc>
        <w:tc>
          <w:tcPr>
            <w:tcW w:w="1701" w:type="dxa"/>
          </w:tcPr>
          <w:p w14:paraId="72EB4E97"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4832E2E7" w14:textId="77777777" w:rsidR="000978CA" w:rsidRPr="00B66CBC" w:rsidRDefault="000978CA" w:rsidP="00BA5F98">
            <w:pPr>
              <w:spacing w:after="120"/>
              <w:rPr>
                <w:rFonts w:ascii="Arial" w:hAnsi="Arial" w:cs="Arial"/>
                <w:sz w:val="18"/>
                <w:szCs w:val="18"/>
              </w:rPr>
            </w:pPr>
            <w:r>
              <w:rPr>
                <w:rFonts w:ascii="Arial" w:hAnsi="Arial"/>
                <w:sz w:val="18"/>
              </w:rPr>
              <w:t>USDRUB_TOM</w:t>
            </w:r>
          </w:p>
        </w:tc>
        <w:tc>
          <w:tcPr>
            <w:tcW w:w="1276" w:type="dxa"/>
          </w:tcPr>
          <w:p w14:paraId="63378F0F"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57815CD"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AE95421"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0978CA" w:rsidRPr="001B1CBE" w14:paraId="0E0B5AFF" w14:textId="77777777" w:rsidTr="00A72529">
        <w:trPr>
          <w:trHeight w:val="810"/>
        </w:trPr>
        <w:tc>
          <w:tcPr>
            <w:tcW w:w="1134" w:type="dxa"/>
          </w:tcPr>
          <w:p w14:paraId="56F912CC" w14:textId="77777777" w:rsidR="000978CA" w:rsidRPr="00B66CBC" w:rsidRDefault="000978CA" w:rsidP="00A72529">
            <w:pPr>
              <w:spacing w:after="120"/>
              <w:jc w:val="center"/>
              <w:rPr>
                <w:rFonts w:ascii="Arial" w:hAnsi="Arial" w:cs="Arial"/>
                <w:sz w:val="18"/>
                <w:szCs w:val="18"/>
              </w:rPr>
            </w:pPr>
            <w:r>
              <w:rPr>
                <w:rFonts w:ascii="Arial" w:hAnsi="Arial"/>
                <w:sz w:val="18"/>
              </w:rPr>
              <w:t>EUR/RUB</w:t>
            </w:r>
          </w:p>
        </w:tc>
        <w:tc>
          <w:tcPr>
            <w:tcW w:w="1560" w:type="dxa"/>
          </w:tcPr>
          <w:p w14:paraId="2C52F50D" w14:textId="77777777" w:rsidR="000978CA" w:rsidRPr="00B66CBC" w:rsidRDefault="000978CA" w:rsidP="00BA5F98">
            <w:pPr>
              <w:spacing w:after="120"/>
              <w:rPr>
                <w:rFonts w:ascii="Arial" w:hAnsi="Arial" w:cs="Arial"/>
                <w:sz w:val="18"/>
                <w:szCs w:val="18"/>
              </w:rPr>
            </w:pPr>
            <w:r>
              <w:rPr>
                <w:rFonts w:ascii="Arial" w:hAnsi="Arial"/>
                <w:sz w:val="18"/>
              </w:rPr>
              <w:t>Reference Euro to Russian Rouble exchange rate</w:t>
            </w:r>
          </w:p>
        </w:tc>
        <w:tc>
          <w:tcPr>
            <w:tcW w:w="1701" w:type="dxa"/>
          </w:tcPr>
          <w:p w14:paraId="058FBE81"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768C18FA" w14:textId="77777777" w:rsidR="000978CA" w:rsidRPr="00B66CBC" w:rsidRDefault="000978CA" w:rsidP="00BA5F98">
            <w:pPr>
              <w:spacing w:after="120"/>
              <w:rPr>
                <w:rFonts w:ascii="Arial" w:hAnsi="Arial" w:cs="Arial"/>
                <w:sz w:val="18"/>
                <w:szCs w:val="18"/>
              </w:rPr>
            </w:pPr>
            <w:r>
              <w:rPr>
                <w:rFonts w:ascii="Arial" w:hAnsi="Arial"/>
                <w:sz w:val="18"/>
              </w:rPr>
              <w:t>EURRUB_TOM</w:t>
            </w:r>
          </w:p>
        </w:tc>
        <w:tc>
          <w:tcPr>
            <w:tcW w:w="1276" w:type="dxa"/>
          </w:tcPr>
          <w:p w14:paraId="77A71EE9"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159C6A8"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C26F82B"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96100E" w:rsidRPr="001B1CBE" w14:paraId="5454CFE2" w14:textId="77777777" w:rsidTr="00A72529">
        <w:trPr>
          <w:trHeight w:val="810"/>
        </w:trPr>
        <w:tc>
          <w:tcPr>
            <w:tcW w:w="1134" w:type="dxa"/>
          </w:tcPr>
          <w:p w14:paraId="090863EB" w14:textId="5B77DD95" w:rsidR="0096100E" w:rsidRPr="00B66CBC" w:rsidRDefault="0096100E" w:rsidP="00A72529">
            <w:pPr>
              <w:spacing w:after="120"/>
              <w:jc w:val="center"/>
              <w:rPr>
                <w:rFonts w:ascii="Arial" w:hAnsi="Arial" w:cs="Arial"/>
                <w:sz w:val="18"/>
                <w:szCs w:val="18"/>
              </w:rPr>
            </w:pPr>
            <w:r>
              <w:rPr>
                <w:rFonts w:ascii="Arial" w:hAnsi="Arial"/>
                <w:sz w:val="18"/>
              </w:rPr>
              <w:t>CNY/RUB</w:t>
            </w:r>
          </w:p>
        </w:tc>
        <w:tc>
          <w:tcPr>
            <w:tcW w:w="1560" w:type="dxa"/>
          </w:tcPr>
          <w:p w14:paraId="21EDE67F" w14:textId="207C87AE" w:rsidR="0096100E" w:rsidRPr="00B66CBC" w:rsidRDefault="0096100E" w:rsidP="0096100E">
            <w:pPr>
              <w:spacing w:after="120"/>
              <w:rPr>
                <w:rFonts w:ascii="Arial" w:hAnsi="Arial" w:cs="Arial"/>
                <w:sz w:val="18"/>
                <w:szCs w:val="18"/>
              </w:rPr>
            </w:pPr>
            <w:r>
              <w:rPr>
                <w:rFonts w:ascii="Arial" w:hAnsi="Arial"/>
                <w:sz w:val="18"/>
              </w:rPr>
              <w:t>Reference Chinese Yuan to Russian Rouble exchange rate</w:t>
            </w:r>
          </w:p>
        </w:tc>
        <w:tc>
          <w:tcPr>
            <w:tcW w:w="1701" w:type="dxa"/>
          </w:tcPr>
          <w:p w14:paraId="3EB04B7C" w14:textId="646DDCED" w:rsidR="0096100E" w:rsidRPr="00B66CBC" w:rsidRDefault="0096100E" w:rsidP="0096100E">
            <w:pPr>
              <w:spacing w:after="120"/>
              <w:rPr>
                <w:rFonts w:ascii="Arial" w:hAnsi="Arial" w:cs="Arial"/>
                <w:sz w:val="18"/>
                <w:szCs w:val="18"/>
              </w:rPr>
            </w:pPr>
            <w:r>
              <w:rPr>
                <w:rFonts w:ascii="Arial" w:hAnsi="Arial"/>
                <w:sz w:val="18"/>
              </w:rPr>
              <w:t>MOEX Exchange Rate</w:t>
            </w:r>
          </w:p>
        </w:tc>
        <w:tc>
          <w:tcPr>
            <w:tcW w:w="1559" w:type="dxa"/>
          </w:tcPr>
          <w:p w14:paraId="0C4CBA7A" w14:textId="65C14B35" w:rsidR="0096100E" w:rsidRPr="00B66CBC" w:rsidRDefault="0096100E">
            <w:pPr>
              <w:spacing w:after="120"/>
              <w:rPr>
                <w:rFonts w:ascii="Arial" w:hAnsi="Arial" w:cs="Arial"/>
                <w:sz w:val="18"/>
                <w:szCs w:val="18"/>
              </w:rPr>
            </w:pPr>
            <w:r>
              <w:rPr>
                <w:rFonts w:ascii="Arial" w:hAnsi="Arial"/>
                <w:sz w:val="18"/>
              </w:rPr>
              <w:t>CNYRUB_TOM</w:t>
            </w:r>
          </w:p>
        </w:tc>
        <w:tc>
          <w:tcPr>
            <w:tcW w:w="1276" w:type="dxa"/>
          </w:tcPr>
          <w:p w14:paraId="769A9968" w14:textId="436F2BA9" w:rsidR="0096100E" w:rsidRPr="00B66CBC" w:rsidRDefault="0096100E" w:rsidP="00B66CBC">
            <w:pPr>
              <w:spacing w:after="120"/>
              <w:rPr>
                <w:rFonts w:ascii="Arial" w:hAnsi="Arial" w:cs="Arial"/>
                <w:sz w:val="18"/>
                <w:szCs w:val="18"/>
              </w:rPr>
            </w:pPr>
            <w:r>
              <w:rPr>
                <w:rFonts w:ascii="Arial" w:hAnsi="Arial"/>
                <w:sz w:val="18"/>
              </w:rPr>
              <w:t>0.0005</w:t>
            </w:r>
          </w:p>
        </w:tc>
        <w:tc>
          <w:tcPr>
            <w:tcW w:w="1134" w:type="dxa"/>
          </w:tcPr>
          <w:p w14:paraId="23FC28BD" w14:textId="1AEAD275" w:rsidR="0096100E" w:rsidRPr="00B66CBC" w:rsidRDefault="0096100E" w:rsidP="00B66CBC">
            <w:pPr>
              <w:spacing w:after="120"/>
              <w:rPr>
                <w:rFonts w:ascii="Arial" w:hAnsi="Arial" w:cs="Arial"/>
                <w:sz w:val="18"/>
                <w:szCs w:val="18"/>
              </w:rPr>
            </w:pPr>
            <w:r>
              <w:rPr>
                <w:rFonts w:ascii="Arial" w:hAnsi="Arial"/>
                <w:sz w:val="18"/>
              </w:rPr>
              <w:t>60</w:t>
            </w:r>
          </w:p>
        </w:tc>
        <w:tc>
          <w:tcPr>
            <w:tcW w:w="1138" w:type="dxa"/>
          </w:tcPr>
          <w:p w14:paraId="1BB39B2D" w14:textId="3D9880BC" w:rsidR="0096100E" w:rsidRPr="00B66CBC" w:rsidRDefault="0096100E" w:rsidP="00B66CBC">
            <w:pPr>
              <w:spacing w:after="120"/>
              <w:rPr>
                <w:rFonts w:ascii="Arial" w:hAnsi="Arial" w:cs="Arial"/>
                <w:sz w:val="18"/>
                <w:szCs w:val="18"/>
              </w:rPr>
            </w:pPr>
            <w:r>
              <w:rPr>
                <w:rFonts w:ascii="Arial" w:hAnsi="Arial"/>
                <w:sz w:val="18"/>
              </w:rPr>
              <w:t>60</w:t>
            </w:r>
          </w:p>
        </w:tc>
      </w:tr>
      <w:tr w:rsidR="0096100E" w:rsidRPr="001B1CBE" w14:paraId="6A6ADC5E" w14:textId="77777777" w:rsidTr="00A72529">
        <w:trPr>
          <w:trHeight w:val="1180"/>
        </w:trPr>
        <w:tc>
          <w:tcPr>
            <w:tcW w:w="1134" w:type="dxa"/>
          </w:tcPr>
          <w:p w14:paraId="64AEA627" w14:textId="77777777" w:rsidR="0096100E" w:rsidRPr="00B66CBC" w:rsidRDefault="0096100E" w:rsidP="00A72529">
            <w:pPr>
              <w:spacing w:after="120"/>
              <w:jc w:val="center"/>
              <w:rPr>
                <w:rFonts w:ascii="Arial" w:hAnsi="Arial" w:cs="Arial"/>
                <w:sz w:val="18"/>
                <w:szCs w:val="18"/>
              </w:rPr>
            </w:pPr>
            <w:r>
              <w:rPr>
                <w:rFonts w:ascii="Arial" w:hAnsi="Arial"/>
                <w:sz w:val="18"/>
              </w:rPr>
              <w:t>CHF/ RUB</w:t>
            </w:r>
          </w:p>
        </w:tc>
        <w:tc>
          <w:tcPr>
            <w:tcW w:w="1560" w:type="dxa"/>
          </w:tcPr>
          <w:p w14:paraId="1B2904E1" w14:textId="77777777" w:rsidR="0096100E" w:rsidRPr="00B66CBC" w:rsidRDefault="0096100E" w:rsidP="0096100E">
            <w:pPr>
              <w:spacing w:after="120"/>
              <w:rPr>
                <w:rFonts w:ascii="Arial" w:hAnsi="Arial" w:cs="Arial"/>
                <w:sz w:val="18"/>
                <w:szCs w:val="18"/>
              </w:rPr>
            </w:pPr>
            <w:r>
              <w:rPr>
                <w:rFonts w:ascii="Arial" w:hAnsi="Arial"/>
                <w:sz w:val="18"/>
              </w:rPr>
              <w:t>Reference Swiss Franc to Russian Rouble exchange rate</w:t>
            </w:r>
          </w:p>
        </w:tc>
        <w:tc>
          <w:tcPr>
            <w:tcW w:w="1701" w:type="dxa"/>
          </w:tcPr>
          <w:p w14:paraId="0FACF5FF" w14:textId="42D663B4"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7965EB56" w14:textId="00108DB2" w:rsidR="0096100E" w:rsidRPr="00B66CBC" w:rsidRDefault="00B66CBC">
            <w:pPr>
              <w:spacing w:after="120"/>
              <w:rPr>
                <w:rFonts w:ascii="Arial" w:hAnsi="Arial" w:cs="Arial"/>
                <w:sz w:val="18"/>
                <w:szCs w:val="18"/>
              </w:rPr>
            </w:pPr>
            <w:r>
              <w:rPr>
                <w:rFonts w:ascii="Arial" w:hAnsi="Arial"/>
                <w:sz w:val="18"/>
              </w:rPr>
              <w:t>CHF</w:t>
            </w:r>
          </w:p>
        </w:tc>
        <w:tc>
          <w:tcPr>
            <w:tcW w:w="1276" w:type="dxa"/>
          </w:tcPr>
          <w:p w14:paraId="560228D1" w14:textId="16189E63"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2BE4CD64" w14:textId="498102B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03A84BA6" w14:textId="7551602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B0CFA54" w14:textId="77777777" w:rsidTr="00A72529">
        <w:trPr>
          <w:trHeight w:val="810"/>
        </w:trPr>
        <w:tc>
          <w:tcPr>
            <w:tcW w:w="1134" w:type="dxa"/>
          </w:tcPr>
          <w:p w14:paraId="209503C7" w14:textId="77777777" w:rsidR="0096100E" w:rsidRPr="00B66CBC" w:rsidRDefault="0096100E" w:rsidP="00A72529">
            <w:pPr>
              <w:spacing w:after="120"/>
              <w:jc w:val="center"/>
              <w:rPr>
                <w:rFonts w:ascii="Arial" w:hAnsi="Arial" w:cs="Arial"/>
                <w:sz w:val="18"/>
                <w:szCs w:val="18"/>
              </w:rPr>
            </w:pPr>
            <w:r>
              <w:rPr>
                <w:rFonts w:ascii="Arial" w:hAnsi="Arial"/>
                <w:sz w:val="18"/>
              </w:rPr>
              <w:t>JPY/ RUB</w:t>
            </w:r>
          </w:p>
        </w:tc>
        <w:tc>
          <w:tcPr>
            <w:tcW w:w="1560" w:type="dxa"/>
          </w:tcPr>
          <w:p w14:paraId="0FBEA5EA" w14:textId="77777777" w:rsidR="0096100E" w:rsidRPr="00B66CBC" w:rsidRDefault="0096100E" w:rsidP="0096100E">
            <w:pPr>
              <w:spacing w:after="120"/>
              <w:rPr>
                <w:rFonts w:ascii="Arial" w:hAnsi="Arial" w:cs="Arial"/>
                <w:sz w:val="18"/>
                <w:szCs w:val="18"/>
              </w:rPr>
            </w:pPr>
            <w:r>
              <w:rPr>
                <w:rFonts w:ascii="Arial" w:hAnsi="Arial"/>
                <w:sz w:val="18"/>
              </w:rPr>
              <w:t>Reference Japanese Yen to Russian Rouble exchange rate</w:t>
            </w:r>
          </w:p>
        </w:tc>
        <w:tc>
          <w:tcPr>
            <w:tcW w:w="1701" w:type="dxa"/>
          </w:tcPr>
          <w:p w14:paraId="1FEFB376" w14:textId="7821DF98" w:rsidR="0096100E" w:rsidRPr="00B66CBC" w:rsidRDefault="00B66CBC" w:rsidP="0096100E">
            <w:pPr>
              <w:spacing w:after="120"/>
              <w:rPr>
                <w:rFonts w:ascii="Arial" w:hAnsi="Arial" w:cs="Arial"/>
                <w:sz w:val="18"/>
                <w:szCs w:val="18"/>
              </w:rPr>
            </w:pPr>
            <w:r>
              <w:rPr>
                <w:rFonts w:ascii="Arial" w:hAnsi="Arial"/>
                <w:sz w:val="18"/>
              </w:rPr>
              <w:t>Bank of Russia rate divided by 100</w:t>
            </w:r>
          </w:p>
        </w:tc>
        <w:tc>
          <w:tcPr>
            <w:tcW w:w="1559" w:type="dxa"/>
          </w:tcPr>
          <w:p w14:paraId="49C48B36" w14:textId="7D7C708F" w:rsidR="0096100E" w:rsidRPr="00B66CBC" w:rsidRDefault="006D2B34">
            <w:pPr>
              <w:spacing w:after="120"/>
              <w:rPr>
                <w:rFonts w:ascii="Arial" w:hAnsi="Arial" w:cs="Arial"/>
                <w:sz w:val="18"/>
                <w:szCs w:val="18"/>
              </w:rPr>
            </w:pPr>
            <w:r>
              <w:rPr>
                <w:rFonts w:ascii="Arial" w:hAnsi="Arial"/>
                <w:sz w:val="18"/>
              </w:rPr>
              <w:t>JPY / 100</w:t>
            </w:r>
          </w:p>
        </w:tc>
        <w:tc>
          <w:tcPr>
            <w:tcW w:w="1276" w:type="dxa"/>
          </w:tcPr>
          <w:p w14:paraId="141D6C30" w14:textId="29F71DC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47CC318C" w14:textId="083E30A4"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7F95A5F7" w14:textId="54DCB2C8"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D21C51A" w14:textId="77777777" w:rsidTr="00A72529">
        <w:trPr>
          <w:trHeight w:val="810"/>
        </w:trPr>
        <w:tc>
          <w:tcPr>
            <w:tcW w:w="1134" w:type="dxa"/>
          </w:tcPr>
          <w:p w14:paraId="2BEC3D43" w14:textId="77777777" w:rsidR="0096100E" w:rsidRPr="00B66CBC" w:rsidRDefault="0096100E" w:rsidP="00A72529">
            <w:pPr>
              <w:spacing w:after="120"/>
              <w:jc w:val="center"/>
              <w:rPr>
                <w:rFonts w:ascii="Arial" w:hAnsi="Arial" w:cs="Arial"/>
                <w:sz w:val="18"/>
                <w:szCs w:val="18"/>
              </w:rPr>
            </w:pPr>
            <w:r>
              <w:rPr>
                <w:rFonts w:ascii="Arial" w:hAnsi="Arial"/>
                <w:sz w:val="18"/>
              </w:rPr>
              <w:t>TRY/ RUB</w:t>
            </w:r>
          </w:p>
        </w:tc>
        <w:tc>
          <w:tcPr>
            <w:tcW w:w="1560" w:type="dxa"/>
          </w:tcPr>
          <w:p w14:paraId="20F6F787" w14:textId="77777777" w:rsidR="0096100E" w:rsidRPr="00B66CBC" w:rsidRDefault="0096100E" w:rsidP="0096100E">
            <w:pPr>
              <w:spacing w:after="120"/>
              <w:rPr>
                <w:rFonts w:ascii="Arial" w:hAnsi="Arial" w:cs="Arial"/>
                <w:sz w:val="18"/>
                <w:szCs w:val="18"/>
              </w:rPr>
            </w:pPr>
            <w:r>
              <w:rPr>
                <w:rFonts w:ascii="Arial" w:hAnsi="Arial"/>
                <w:sz w:val="18"/>
              </w:rPr>
              <w:t>Reference Turkish Lira to Russian Rouble exchange rate</w:t>
            </w:r>
          </w:p>
        </w:tc>
        <w:tc>
          <w:tcPr>
            <w:tcW w:w="1701" w:type="dxa"/>
          </w:tcPr>
          <w:p w14:paraId="3D82B4C2" w14:textId="360A0919"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5A5D5197" w14:textId="751C6F18" w:rsidR="0096100E" w:rsidRPr="00B66CBC" w:rsidRDefault="006D2B34">
            <w:pPr>
              <w:spacing w:after="120"/>
              <w:rPr>
                <w:rFonts w:ascii="Arial" w:hAnsi="Arial" w:cs="Arial"/>
                <w:sz w:val="18"/>
                <w:szCs w:val="18"/>
              </w:rPr>
            </w:pPr>
            <w:r>
              <w:rPr>
                <w:rFonts w:ascii="Arial" w:hAnsi="Arial"/>
                <w:sz w:val="18"/>
              </w:rPr>
              <w:t>TRY / 10</w:t>
            </w:r>
          </w:p>
        </w:tc>
        <w:tc>
          <w:tcPr>
            <w:tcW w:w="1276" w:type="dxa"/>
          </w:tcPr>
          <w:p w14:paraId="490FE2E6" w14:textId="5EDECF4C"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180719E" w14:textId="24C37FE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379368A1" w14:textId="7B0DE2CE"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69F3C447" w14:textId="77777777" w:rsidTr="00A72529">
        <w:trPr>
          <w:trHeight w:val="810"/>
        </w:trPr>
        <w:tc>
          <w:tcPr>
            <w:tcW w:w="1134" w:type="dxa"/>
          </w:tcPr>
          <w:p w14:paraId="4DE7BC2A" w14:textId="77777777" w:rsidR="0096100E" w:rsidRPr="00B66CBC" w:rsidRDefault="0096100E" w:rsidP="00A72529">
            <w:pPr>
              <w:spacing w:after="120"/>
              <w:jc w:val="center"/>
              <w:rPr>
                <w:rFonts w:ascii="Arial" w:hAnsi="Arial" w:cs="Arial"/>
                <w:sz w:val="18"/>
                <w:szCs w:val="18"/>
              </w:rPr>
            </w:pPr>
            <w:r>
              <w:rPr>
                <w:rFonts w:ascii="Arial" w:hAnsi="Arial"/>
                <w:sz w:val="18"/>
              </w:rPr>
              <w:t>GBP/ RUB</w:t>
            </w:r>
          </w:p>
        </w:tc>
        <w:tc>
          <w:tcPr>
            <w:tcW w:w="1560" w:type="dxa"/>
          </w:tcPr>
          <w:p w14:paraId="4E2A80E8" w14:textId="77777777" w:rsidR="0096100E" w:rsidRPr="00B66CBC" w:rsidRDefault="0096100E" w:rsidP="0096100E">
            <w:pPr>
              <w:spacing w:after="120"/>
              <w:rPr>
                <w:rFonts w:ascii="Arial" w:hAnsi="Arial" w:cs="Arial"/>
                <w:sz w:val="18"/>
                <w:szCs w:val="18"/>
              </w:rPr>
            </w:pPr>
            <w:r>
              <w:rPr>
                <w:rFonts w:ascii="Arial" w:hAnsi="Arial"/>
                <w:sz w:val="18"/>
              </w:rPr>
              <w:t>Reference Pound Sterling to Russian Rouble exchange rate</w:t>
            </w:r>
          </w:p>
        </w:tc>
        <w:tc>
          <w:tcPr>
            <w:tcW w:w="1701" w:type="dxa"/>
          </w:tcPr>
          <w:p w14:paraId="4FA02277" w14:textId="3B9DAA83"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4D57156F" w14:textId="54DCE698" w:rsidR="0096100E" w:rsidRPr="00B66CBC" w:rsidRDefault="006D2B34">
            <w:pPr>
              <w:spacing w:after="120"/>
              <w:rPr>
                <w:rFonts w:ascii="Arial" w:hAnsi="Arial" w:cs="Arial"/>
                <w:sz w:val="18"/>
                <w:szCs w:val="18"/>
              </w:rPr>
            </w:pPr>
            <w:r>
              <w:rPr>
                <w:rFonts w:ascii="Arial" w:hAnsi="Arial"/>
                <w:sz w:val="18"/>
              </w:rPr>
              <w:t>GBP</w:t>
            </w:r>
          </w:p>
        </w:tc>
        <w:tc>
          <w:tcPr>
            <w:tcW w:w="1276" w:type="dxa"/>
          </w:tcPr>
          <w:p w14:paraId="20DE13E0" w14:textId="398748AF"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2AD35F8" w14:textId="15FC37E5"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49FC2A68" w14:textId="07F9094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5D456879" w14:textId="77777777" w:rsidTr="00A72529">
        <w:trPr>
          <w:trHeight w:val="810"/>
        </w:trPr>
        <w:tc>
          <w:tcPr>
            <w:tcW w:w="1134" w:type="dxa"/>
          </w:tcPr>
          <w:p w14:paraId="02EE20BE" w14:textId="789B627B" w:rsidR="0096100E" w:rsidRPr="00B66CBC" w:rsidRDefault="0096100E" w:rsidP="00A72529">
            <w:pPr>
              <w:spacing w:after="120"/>
              <w:jc w:val="center"/>
              <w:rPr>
                <w:rFonts w:ascii="Arial" w:hAnsi="Arial" w:cs="Arial"/>
                <w:sz w:val="18"/>
                <w:szCs w:val="18"/>
              </w:rPr>
            </w:pPr>
            <w:r>
              <w:rPr>
                <w:rFonts w:ascii="Arial" w:hAnsi="Arial"/>
                <w:sz w:val="18"/>
              </w:rPr>
              <w:t>HKD/RUB</w:t>
            </w:r>
          </w:p>
        </w:tc>
        <w:tc>
          <w:tcPr>
            <w:tcW w:w="1560" w:type="dxa"/>
          </w:tcPr>
          <w:p w14:paraId="046AC084" w14:textId="72EB1FA5" w:rsidR="0096100E" w:rsidRPr="00B66CBC" w:rsidRDefault="0096100E" w:rsidP="0096100E">
            <w:pPr>
              <w:spacing w:after="120"/>
              <w:rPr>
                <w:rFonts w:ascii="Arial" w:hAnsi="Arial" w:cs="Arial"/>
                <w:bCs/>
                <w:iCs/>
                <w:sz w:val="18"/>
                <w:szCs w:val="18"/>
              </w:rPr>
            </w:pPr>
            <w:r>
              <w:rPr>
                <w:rFonts w:ascii="Arial" w:hAnsi="Arial"/>
                <w:sz w:val="18"/>
              </w:rPr>
              <w:t>Reference Hong Kong Dollar to Russian Rouble exchange rate</w:t>
            </w:r>
          </w:p>
        </w:tc>
        <w:tc>
          <w:tcPr>
            <w:tcW w:w="1701" w:type="dxa"/>
          </w:tcPr>
          <w:p w14:paraId="0E6830DF" w14:textId="77E5043C"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4E2785DC" w14:textId="27E07B24" w:rsidR="0096100E" w:rsidRPr="00B66CBC" w:rsidRDefault="006D2B34">
            <w:pPr>
              <w:spacing w:after="120"/>
              <w:rPr>
                <w:rFonts w:ascii="Arial" w:hAnsi="Arial" w:cs="Arial"/>
                <w:sz w:val="18"/>
                <w:szCs w:val="18"/>
              </w:rPr>
            </w:pPr>
            <w:r>
              <w:rPr>
                <w:rFonts w:ascii="Arial" w:hAnsi="Arial"/>
                <w:sz w:val="18"/>
              </w:rPr>
              <w:t>HKD / 10</w:t>
            </w:r>
          </w:p>
        </w:tc>
        <w:tc>
          <w:tcPr>
            <w:tcW w:w="1276" w:type="dxa"/>
          </w:tcPr>
          <w:p w14:paraId="5D4735FB" w14:textId="69E0EBF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FEEB34E" w14:textId="74C96567"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53617800" w14:textId="6D44183A" w:rsidR="0096100E" w:rsidRPr="00B66CBC" w:rsidRDefault="0096100E" w:rsidP="00B66CBC">
            <w:pPr>
              <w:spacing w:after="120"/>
              <w:rPr>
                <w:rFonts w:ascii="Arial" w:hAnsi="Arial" w:cs="Arial"/>
                <w:sz w:val="18"/>
                <w:szCs w:val="18"/>
              </w:rPr>
            </w:pPr>
            <w:r>
              <w:rPr>
                <w:rFonts w:ascii="Arial" w:hAnsi="Arial"/>
                <w:sz w:val="18"/>
              </w:rPr>
              <w:t>-</w:t>
            </w:r>
          </w:p>
        </w:tc>
      </w:tr>
      <w:tr w:rsidR="00455E7E" w:rsidRPr="001B1CBE" w14:paraId="18911967" w14:textId="77777777" w:rsidTr="00A72529">
        <w:trPr>
          <w:trHeight w:val="810"/>
        </w:trPr>
        <w:tc>
          <w:tcPr>
            <w:tcW w:w="1134" w:type="dxa"/>
          </w:tcPr>
          <w:p w14:paraId="4F6E0E5B" w14:textId="7E70A796" w:rsidR="00455E7E" w:rsidRPr="00B66CBC" w:rsidRDefault="00455E7E" w:rsidP="00A72529">
            <w:pPr>
              <w:spacing w:after="120"/>
              <w:jc w:val="center"/>
              <w:rPr>
                <w:rFonts w:ascii="Arial" w:hAnsi="Arial" w:cs="Arial"/>
                <w:sz w:val="18"/>
                <w:szCs w:val="18"/>
              </w:rPr>
            </w:pPr>
            <w:r>
              <w:rPr>
                <w:rFonts w:ascii="Arial" w:hAnsi="Arial"/>
                <w:sz w:val="18"/>
              </w:rPr>
              <w:t>CAD/RUB</w:t>
            </w:r>
          </w:p>
        </w:tc>
        <w:tc>
          <w:tcPr>
            <w:tcW w:w="1560" w:type="dxa"/>
            <w:vAlign w:val="center"/>
          </w:tcPr>
          <w:p w14:paraId="4C29A99A" w14:textId="71D15C61" w:rsidR="00455E7E" w:rsidRPr="00B66CBC" w:rsidRDefault="00455E7E">
            <w:pPr>
              <w:spacing w:after="120"/>
              <w:rPr>
                <w:rFonts w:ascii="Arial" w:hAnsi="Arial" w:cs="Arial"/>
                <w:sz w:val="18"/>
                <w:szCs w:val="18"/>
              </w:rPr>
            </w:pPr>
            <w:r>
              <w:rPr>
                <w:rFonts w:ascii="Arial" w:hAnsi="Arial"/>
                <w:sz w:val="18"/>
              </w:rPr>
              <w:t>Reference Canadian Dollar to Russian Rouble exchange rate</w:t>
            </w:r>
          </w:p>
        </w:tc>
        <w:tc>
          <w:tcPr>
            <w:tcW w:w="1701" w:type="dxa"/>
          </w:tcPr>
          <w:p w14:paraId="755C4C0A" w14:textId="1FC44EA1" w:rsidR="00455E7E" w:rsidRPr="00B66CBC" w:rsidRDefault="00A72529" w:rsidP="00A72529">
            <w:pPr>
              <w:spacing w:after="120"/>
              <w:rPr>
                <w:rFonts w:ascii="Arial" w:hAnsi="Arial" w:cs="Arial"/>
                <w:sz w:val="18"/>
                <w:szCs w:val="18"/>
              </w:rPr>
            </w:pPr>
            <w:r>
              <w:rPr>
                <w:rFonts w:ascii="Arial" w:hAnsi="Arial"/>
                <w:sz w:val="18"/>
              </w:rPr>
              <w:t>Bank of Russia Exchange Rate</w:t>
            </w:r>
          </w:p>
        </w:tc>
        <w:tc>
          <w:tcPr>
            <w:tcW w:w="1559" w:type="dxa"/>
          </w:tcPr>
          <w:p w14:paraId="70DE0654" w14:textId="490939D9" w:rsidR="00455E7E" w:rsidRPr="00B66CBC" w:rsidRDefault="006D2B34">
            <w:pPr>
              <w:spacing w:after="120"/>
              <w:rPr>
                <w:rFonts w:ascii="Arial" w:hAnsi="Arial" w:cs="Arial"/>
                <w:sz w:val="18"/>
                <w:szCs w:val="18"/>
              </w:rPr>
            </w:pPr>
            <w:r>
              <w:rPr>
                <w:rFonts w:ascii="Arial" w:hAnsi="Arial"/>
                <w:sz w:val="18"/>
              </w:rPr>
              <w:t xml:space="preserve">CAD </w:t>
            </w:r>
          </w:p>
        </w:tc>
        <w:tc>
          <w:tcPr>
            <w:tcW w:w="1276" w:type="dxa"/>
          </w:tcPr>
          <w:p w14:paraId="10A5B789" w14:textId="7D7E4395" w:rsidR="00455E7E" w:rsidRPr="00B66CBC" w:rsidRDefault="00455E7E" w:rsidP="00B66CBC">
            <w:pPr>
              <w:spacing w:after="120"/>
              <w:rPr>
                <w:rFonts w:ascii="Arial" w:hAnsi="Arial" w:cs="Arial"/>
                <w:sz w:val="18"/>
                <w:szCs w:val="18"/>
              </w:rPr>
            </w:pPr>
            <w:r>
              <w:rPr>
                <w:rFonts w:ascii="Arial" w:hAnsi="Arial"/>
                <w:sz w:val="18"/>
              </w:rPr>
              <w:t>-</w:t>
            </w:r>
          </w:p>
        </w:tc>
        <w:tc>
          <w:tcPr>
            <w:tcW w:w="1134" w:type="dxa"/>
          </w:tcPr>
          <w:p w14:paraId="407EAF5A" w14:textId="6FF3B8E4" w:rsidR="00455E7E" w:rsidRPr="00B66CBC" w:rsidRDefault="00455E7E" w:rsidP="00B66CBC">
            <w:pPr>
              <w:spacing w:after="120"/>
              <w:rPr>
                <w:rFonts w:ascii="Arial" w:hAnsi="Arial" w:cs="Arial"/>
                <w:sz w:val="18"/>
                <w:szCs w:val="18"/>
              </w:rPr>
            </w:pPr>
            <w:r>
              <w:rPr>
                <w:rFonts w:ascii="Arial" w:hAnsi="Arial"/>
                <w:sz w:val="18"/>
              </w:rPr>
              <w:t>-</w:t>
            </w:r>
          </w:p>
        </w:tc>
        <w:tc>
          <w:tcPr>
            <w:tcW w:w="1138" w:type="dxa"/>
          </w:tcPr>
          <w:p w14:paraId="5719EC75" w14:textId="7408F624" w:rsidR="00455E7E" w:rsidRPr="00B66CBC" w:rsidRDefault="00455E7E" w:rsidP="00B66CBC">
            <w:pPr>
              <w:spacing w:after="120"/>
              <w:rPr>
                <w:rFonts w:ascii="Arial" w:hAnsi="Arial" w:cs="Arial"/>
                <w:sz w:val="18"/>
                <w:szCs w:val="18"/>
              </w:rPr>
            </w:pPr>
            <w:r>
              <w:rPr>
                <w:rFonts w:ascii="Arial" w:hAnsi="Arial"/>
                <w:sz w:val="18"/>
              </w:rPr>
              <w:t>-</w:t>
            </w:r>
          </w:p>
        </w:tc>
      </w:tr>
      <w:tr w:rsidR="00545C97" w:rsidRPr="001B1CBE" w14:paraId="1ECFF08A" w14:textId="77777777" w:rsidTr="00A72529">
        <w:trPr>
          <w:trHeight w:val="810"/>
        </w:trPr>
        <w:tc>
          <w:tcPr>
            <w:tcW w:w="1134" w:type="dxa"/>
          </w:tcPr>
          <w:p w14:paraId="2588970C" w14:textId="00C95AB1" w:rsidR="00545C97" w:rsidRDefault="00545C97" w:rsidP="00545C97">
            <w:pPr>
              <w:spacing w:after="120"/>
              <w:jc w:val="center"/>
              <w:rPr>
                <w:rFonts w:ascii="Arial" w:hAnsi="Arial"/>
                <w:sz w:val="18"/>
              </w:rPr>
            </w:pPr>
            <w:r>
              <w:rPr>
                <w:rFonts w:ascii="Arial" w:hAnsi="Arial" w:cs="Arial"/>
                <w:sz w:val="18"/>
                <w:szCs w:val="18"/>
              </w:rPr>
              <w:t>USD/KZT</w:t>
            </w:r>
          </w:p>
        </w:tc>
        <w:tc>
          <w:tcPr>
            <w:tcW w:w="1560" w:type="dxa"/>
            <w:vAlign w:val="center"/>
          </w:tcPr>
          <w:p w14:paraId="1A9150F7" w14:textId="23B18B0D" w:rsidR="00545C97" w:rsidRPr="00545C97" w:rsidRDefault="00545C97" w:rsidP="00545C97">
            <w:pPr>
              <w:spacing w:after="120"/>
              <w:rPr>
                <w:rFonts w:ascii="Arial" w:hAnsi="Arial"/>
                <w:sz w:val="18"/>
                <w:lang w:val="en-US"/>
              </w:rPr>
            </w:pPr>
            <w:r>
              <w:rPr>
                <w:rFonts w:ascii="Arial" w:hAnsi="Arial"/>
                <w:sz w:val="18"/>
                <w:lang w:val="en-US"/>
              </w:rPr>
              <w:t>Reference</w:t>
            </w:r>
            <w:r w:rsidRPr="00545C97">
              <w:rPr>
                <w:rFonts w:ascii="Arial" w:hAnsi="Arial"/>
                <w:sz w:val="18"/>
                <w:lang w:val="en-US"/>
              </w:rPr>
              <w:t xml:space="preserve"> exchange rate of the US dollar to the Kazakhstani </w:t>
            </w:r>
            <w:proofErr w:type="spellStart"/>
            <w:r w:rsidRPr="00545C97">
              <w:rPr>
                <w:rFonts w:ascii="Arial" w:hAnsi="Arial"/>
                <w:sz w:val="18"/>
                <w:lang w:val="en-US"/>
              </w:rPr>
              <w:t>tenge</w:t>
            </w:r>
            <w:proofErr w:type="spellEnd"/>
          </w:p>
          <w:p w14:paraId="04176EEB" w14:textId="47A8E628" w:rsidR="00545C97" w:rsidRPr="00545C97" w:rsidRDefault="00545C97" w:rsidP="00545C97">
            <w:pPr>
              <w:spacing w:after="120"/>
              <w:rPr>
                <w:rFonts w:ascii="Arial" w:hAnsi="Arial"/>
                <w:sz w:val="18"/>
                <w:lang w:val="en-US"/>
              </w:rPr>
            </w:pPr>
          </w:p>
        </w:tc>
        <w:tc>
          <w:tcPr>
            <w:tcW w:w="1701" w:type="dxa"/>
          </w:tcPr>
          <w:p w14:paraId="1206F2C2" w14:textId="65F885D7" w:rsidR="00545C97" w:rsidRDefault="00545C97" w:rsidP="00545C97">
            <w:pPr>
              <w:spacing w:after="120"/>
              <w:rPr>
                <w:rFonts w:ascii="Arial" w:hAnsi="Arial"/>
                <w:sz w:val="18"/>
              </w:rPr>
            </w:pPr>
            <w:r w:rsidRPr="004055D6">
              <w:rPr>
                <w:rFonts w:ascii="Arial" w:hAnsi="Arial"/>
                <w:sz w:val="18"/>
              </w:rPr>
              <w:t>MOEX Exchange Rate</w:t>
            </w:r>
          </w:p>
        </w:tc>
        <w:tc>
          <w:tcPr>
            <w:tcW w:w="1559" w:type="dxa"/>
          </w:tcPr>
          <w:p w14:paraId="2F9BB799" w14:textId="4D5F9CC9" w:rsidR="00545C97" w:rsidRDefault="00545C97" w:rsidP="00545C97">
            <w:pPr>
              <w:spacing w:after="120"/>
              <w:rPr>
                <w:rFonts w:ascii="Arial" w:hAnsi="Arial"/>
                <w:sz w:val="18"/>
              </w:rPr>
            </w:pPr>
            <w:r w:rsidRPr="00BC3E22">
              <w:rPr>
                <w:rFonts w:ascii="Arial" w:hAnsi="Arial" w:cs="Arial"/>
                <w:sz w:val="18"/>
                <w:szCs w:val="18"/>
                <w:lang w:val="ru-RU"/>
              </w:rPr>
              <w:t>USDKZT_TOM</w:t>
            </w:r>
          </w:p>
        </w:tc>
        <w:tc>
          <w:tcPr>
            <w:tcW w:w="1276" w:type="dxa"/>
          </w:tcPr>
          <w:p w14:paraId="03DF2820" w14:textId="680E9B7E"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2313084D" w14:textId="13700DC3"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2C32400D" w14:textId="4CCCB546" w:rsidR="00545C97" w:rsidRDefault="00545C97" w:rsidP="00545C97">
            <w:pPr>
              <w:spacing w:after="120"/>
              <w:rPr>
                <w:rFonts w:ascii="Arial" w:hAnsi="Arial"/>
                <w:sz w:val="18"/>
              </w:rPr>
            </w:pPr>
            <w:r w:rsidRPr="00B66CBC">
              <w:rPr>
                <w:rFonts w:ascii="Arial" w:hAnsi="Arial" w:cs="Arial"/>
                <w:sz w:val="18"/>
                <w:szCs w:val="18"/>
              </w:rPr>
              <w:t>60</w:t>
            </w:r>
          </w:p>
        </w:tc>
      </w:tr>
      <w:tr w:rsidR="00545C97" w:rsidRPr="001B1CBE" w14:paraId="6A96D395" w14:textId="77777777" w:rsidTr="00A72529">
        <w:trPr>
          <w:trHeight w:val="810"/>
        </w:trPr>
        <w:tc>
          <w:tcPr>
            <w:tcW w:w="1134" w:type="dxa"/>
          </w:tcPr>
          <w:p w14:paraId="0FD4899B" w14:textId="64532A8D" w:rsidR="00545C97" w:rsidRDefault="00545C97" w:rsidP="00545C97">
            <w:pPr>
              <w:spacing w:after="120"/>
              <w:jc w:val="center"/>
              <w:rPr>
                <w:rFonts w:ascii="Arial" w:hAnsi="Arial"/>
                <w:sz w:val="18"/>
              </w:rPr>
            </w:pPr>
            <w:r>
              <w:rPr>
                <w:rFonts w:ascii="Arial" w:hAnsi="Arial" w:cs="Arial"/>
                <w:sz w:val="18"/>
                <w:szCs w:val="18"/>
              </w:rPr>
              <w:lastRenderedPageBreak/>
              <w:t>KZT/RUB</w:t>
            </w:r>
          </w:p>
        </w:tc>
        <w:tc>
          <w:tcPr>
            <w:tcW w:w="1560" w:type="dxa"/>
            <w:vAlign w:val="center"/>
          </w:tcPr>
          <w:p w14:paraId="67AFB57B" w14:textId="47EFE28F" w:rsidR="00545C97" w:rsidRPr="007236B6" w:rsidRDefault="007236B6" w:rsidP="00545C97">
            <w:pPr>
              <w:spacing w:after="120"/>
              <w:rPr>
                <w:rFonts w:ascii="Arial" w:hAnsi="Arial" w:cs="Arial"/>
                <w:sz w:val="18"/>
                <w:szCs w:val="18"/>
              </w:rPr>
            </w:pPr>
            <w:bookmarkStart w:id="3" w:name="_GoBack"/>
            <w:bookmarkEnd w:id="3"/>
            <w:r>
              <w:rPr>
                <w:rFonts w:ascii="Arial" w:hAnsi="Arial"/>
                <w:sz w:val="18"/>
                <w:lang w:val="en-US"/>
              </w:rPr>
              <w:t>Reference</w:t>
            </w:r>
            <w:r w:rsidR="00545C97" w:rsidRPr="00545C97">
              <w:rPr>
                <w:rFonts w:ascii="Arial" w:hAnsi="Arial"/>
                <w:sz w:val="18"/>
                <w:lang w:val="en-US"/>
              </w:rPr>
              <w:t xml:space="preserve"> exchange rate of Kazakhstani </w:t>
            </w:r>
            <w:proofErr w:type="spellStart"/>
            <w:r w:rsidR="00545C97" w:rsidRPr="00545C97">
              <w:rPr>
                <w:rFonts w:ascii="Arial" w:hAnsi="Arial"/>
                <w:sz w:val="18"/>
                <w:lang w:val="en-US"/>
              </w:rPr>
              <w:t>tenge</w:t>
            </w:r>
            <w:proofErr w:type="spellEnd"/>
            <w:r w:rsidR="00545C97" w:rsidRPr="00545C97">
              <w:rPr>
                <w:rFonts w:ascii="Arial" w:hAnsi="Arial"/>
                <w:sz w:val="18"/>
                <w:lang w:val="en-US"/>
              </w:rPr>
              <w:t xml:space="preserve"> to Russian </w:t>
            </w:r>
            <w:proofErr w:type="spellStart"/>
            <w:r w:rsidR="00545C97" w:rsidRPr="00545C97">
              <w:rPr>
                <w:rFonts w:ascii="Arial" w:hAnsi="Arial"/>
                <w:sz w:val="18"/>
                <w:lang w:val="en-US"/>
              </w:rPr>
              <w:t>rouble</w:t>
            </w:r>
            <w:proofErr w:type="spellEnd"/>
            <w:r w:rsidR="00545C97" w:rsidRPr="00545C97">
              <w:rPr>
                <w:rFonts w:ascii="Arial" w:hAnsi="Arial"/>
                <w:sz w:val="18"/>
                <w:lang w:val="en-US"/>
              </w:rPr>
              <w:t xml:space="preserve"> divided by 100</w:t>
            </w:r>
          </w:p>
        </w:tc>
        <w:tc>
          <w:tcPr>
            <w:tcW w:w="1701" w:type="dxa"/>
          </w:tcPr>
          <w:p w14:paraId="5AD21609" w14:textId="75B4728B" w:rsidR="00545C97" w:rsidRDefault="00545C97" w:rsidP="00545C97">
            <w:pPr>
              <w:spacing w:after="120"/>
              <w:rPr>
                <w:rFonts w:ascii="Arial" w:hAnsi="Arial"/>
                <w:sz w:val="18"/>
              </w:rPr>
            </w:pPr>
            <w:r w:rsidRPr="004055D6">
              <w:rPr>
                <w:rFonts w:ascii="Arial" w:hAnsi="Arial"/>
                <w:sz w:val="18"/>
              </w:rPr>
              <w:t>MOEX Exchange Rate</w:t>
            </w:r>
          </w:p>
        </w:tc>
        <w:tc>
          <w:tcPr>
            <w:tcW w:w="1559" w:type="dxa"/>
          </w:tcPr>
          <w:p w14:paraId="48A435C1" w14:textId="185E0E6D" w:rsidR="00545C97" w:rsidRDefault="00545C97" w:rsidP="00545C97">
            <w:pPr>
              <w:spacing w:after="120"/>
              <w:rPr>
                <w:rFonts w:ascii="Arial" w:hAnsi="Arial"/>
                <w:sz w:val="18"/>
              </w:rPr>
            </w:pPr>
            <w:r w:rsidRPr="00BC3E22">
              <w:rPr>
                <w:rFonts w:ascii="Arial" w:hAnsi="Arial" w:cs="Arial"/>
                <w:sz w:val="18"/>
                <w:szCs w:val="18"/>
                <w:lang w:val="ru-RU"/>
              </w:rPr>
              <w:t>KZT</w:t>
            </w:r>
            <w:r>
              <w:rPr>
                <w:rFonts w:ascii="Arial" w:hAnsi="Arial" w:cs="Arial"/>
                <w:sz w:val="18"/>
                <w:szCs w:val="18"/>
              </w:rPr>
              <w:t>RUB</w:t>
            </w:r>
            <w:r w:rsidRPr="00BC3E22">
              <w:rPr>
                <w:rFonts w:ascii="Arial" w:hAnsi="Arial" w:cs="Arial"/>
                <w:sz w:val="18"/>
                <w:szCs w:val="18"/>
                <w:lang w:val="ru-RU"/>
              </w:rPr>
              <w:t>_TOM</w:t>
            </w:r>
            <w:r>
              <w:rPr>
                <w:rFonts w:ascii="Arial" w:hAnsi="Arial" w:cs="Arial"/>
                <w:sz w:val="18"/>
                <w:szCs w:val="18"/>
                <w:lang w:val="ru-RU"/>
              </w:rPr>
              <w:t xml:space="preserve"> / 100</w:t>
            </w:r>
          </w:p>
        </w:tc>
        <w:tc>
          <w:tcPr>
            <w:tcW w:w="1276" w:type="dxa"/>
          </w:tcPr>
          <w:p w14:paraId="5EAF08D3" w14:textId="6B5C2810"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7BF26D13" w14:textId="4979DE0E"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1E4F7DB9" w14:textId="63489CD2" w:rsidR="00545C97" w:rsidRDefault="00545C97" w:rsidP="00545C97">
            <w:pPr>
              <w:spacing w:after="120"/>
              <w:rPr>
                <w:rFonts w:ascii="Arial" w:hAnsi="Arial"/>
                <w:sz w:val="18"/>
              </w:rPr>
            </w:pPr>
            <w:r w:rsidRPr="00B66CBC">
              <w:rPr>
                <w:rFonts w:ascii="Arial" w:hAnsi="Arial" w:cs="Arial"/>
                <w:sz w:val="18"/>
                <w:szCs w:val="18"/>
              </w:rPr>
              <w:t>60</w:t>
            </w:r>
          </w:p>
        </w:tc>
      </w:tr>
    </w:tbl>
    <w:p w14:paraId="4943279F" w14:textId="785BECD2" w:rsidR="00C53164" w:rsidRDefault="00C53164">
      <w:pPr>
        <w:spacing w:after="160" w:line="259" w:lineRule="auto"/>
        <w:rPr>
          <w:rFonts w:ascii="Arial" w:hAnsi="Arial" w:cs="Arial"/>
          <w:b/>
          <w:sz w:val="20"/>
          <w:szCs w:val="20"/>
        </w:rPr>
      </w:pPr>
      <w:bookmarkStart w:id="4" w:name="_Hlk16515426"/>
    </w:p>
    <w:p w14:paraId="186BEAA1" w14:textId="716EF894" w:rsidR="000978CA" w:rsidRPr="000969CE" w:rsidRDefault="000978CA" w:rsidP="000978CA">
      <w:pPr>
        <w:rPr>
          <w:rFonts w:ascii="Arial" w:hAnsi="Arial" w:cs="Arial"/>
          <w:b/>
          <w:sz w:val="20"/>
          <w:szCs w:val="20"/>
        </w:rPr>
      </w:pPr>
      <w:r>
        <w:rPr>
          <w:rFonts w:ascii="Arial" w:hAnsi="Arial"/>
          <w:b/>
          <w:sz w:val="20"/>
        </w:rPr>
        <w:t>Table 2</w:t>
      </w:r>
    </w:p>
    <w:tbl>
      <w:tblPr>
        <w:tblStyle w:val="a3"/>
        <w:tblW w:w="8500" w:type="dxa"/>
        <w:tblLayout w:type="fixed"/>
        <w:tblLook w:val="04A0" w:firstRow="1" w:lastRow="0" w:firstColumn="1" w:lastColumn="0" w:noHBand="0" w:noVBand="1"/>
      </w:tblPr>
      <w:tblGrid>
        <w:gridCol w:w="1555"/>
        <w:gridCol w:w="3827"/>
        <w:gridCol w:w="1701"/>
        <w:gridCol w:w="1417"/>
      </w:tblGrid>
      <w:tr w:rsidR="000978CA" w:rsidRPr="00A72529" w14:paraId="42275841" w14:textId="77777777" w:rsidTr="00BA5F98">
        <w:tc>
          <w:tcPr>
            <w:tcW w:w="1555" w:type="dxa"/>
          </w:tcPr>
          <w:bookmarkEnd w:id="4"/>
          <w:p w14:paraId="7F14F3A2" w14:textId="77777777" w:rsidR="000978CA" w:rsidRPr="00A72529" w:rsidRDefault="000978CA" w:rsidP="00BA5F98">
            <w:pPr>
              <w:spacing w:after="120"/>
              <w:rPr>
                <w:rFonts w:ascii="Arial" w:hAnsi="Arial" w:cs="Arial"/>
                <w:b/>
                <w:sz w:val="18"/>
                <w:szCs w:val="18"/>
              </w:rPr>
            </w:pPr>
            <w:r>
              <w:rPr>
                <w:rFonts w:ascii="Arial" w:hAnsi="Arial"/>
                <w:b/>
                <w:sz w:val="18"/>
              </w:rPr>
              <w:t>Code</w:t>
            </w:r>
          </w:p>
        </w:tc>
        <w:tc>
          <w:tcPr>
            <w:tcW w:w="3827" w:type="dxa"/>
          </w:tcPr>
          <w:p w14:paraId="61D38330" w14:textId="05F149C3" w:rsidR="000978CA" w:rsidRPr="00A72529" w:rsidRDefault="000978CA" w:rsidP="00BA5F98">
            <w:pPr>
              <w:spacing w:after="120"/>
              <w:rPr>
                <w:rFonts w:ascii="Arial" w:hAnsi="Arial" w:cs="Arial"/>
                <w:b/>
                <w:sz w:val="18"/>
                <w:szCs w:val="18"/>
                <w:highlight w:val="yellow"/>
              </w:rPr>
            </w:pPr>
            <w:r>
              <w:rPr>
                <w:rFonts w:ascii="Arial" w:hAnsi="Arial"/>
                <w:b/>
                <w:sz w:val="18"/>
              </w:rPr>
              <w:t>Cross Rate</w:t>
            </w:r>
          </w:p>
        </w:tc>
        <w:tc>
          <w:tcPr>
            <w:tcW w:w="1701" w:type="dxa"/>
          </w:tcPr>
          <w:p w14:paraId="0A5CB3AA" w14:textId="77777777"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cur1cur2</w:t>
            </w:r>
          </w:p>
        </w:tc>
        <w:tc>
          <w:tcPr>
            <w:tcW w:w="1417" w:type="dxa"/>
          </w:tcPr>
          <w:p w14:paraId="21653177" w14:textId="625F31AD"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cur3cur2</w:t>
            </w:r>
          </w:p>
        </w:tc>
      </w:tr>
      <w:tr w:rsidR="000978CA" w:rsidRPr="00A72529" w14:paraId="409B663A" w14:textId="77777777" w:rsidTr="00BA5F98">
        <w:trPr>
          <w:trHeight w:val="527"/>
        </w:trPr>
        <w:tc>
          <w:tcPr>
            <w:tcW w:w="1555" w:type="dxa"/>
          </w:tcPr>
          <w:p w14:paraId="7A718E07" w14:textId="77777777" w:rsidR="000978CA" w:rsidRPr="00A72529" w:rsidRDefault="000978CA" w:rsidP="00BA5F98">
            <w:pPr>
              <w:shd w:val="clear" w:color="auto" w:fill="FFFFFF"/>
              <w:spacing w:after="120"/>
              <w:rPr>
                <w:rFonts w:ascii="Arial" w:hAnsi="Arial" w:cs="Arial"/>
                <w:sz w:val="18"/>
                <w:szCs w:val="18"/>
              </w:rPr>
            </w:pPr>
            <w:r>
              <w:rPr>
                <w:rFonts w:ascii="Arial" w:hAnsi="Arial"/>
                <w:sz w:val="18"/>
              </w:rPr>
              <w:t>USD/JPY</w:t>
            </w:r>
          </w:p>
        </w:tc>
        <w:tc>
          <w:tcPr>
            <w:tcW w:w="3827" w:type="dxa"/>
          </w:tcPr>
          <w:p w14:paraId="7162894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Japanese Yen exchange rate</w:t>
            </w:r>
          </w:p>
        </w:tc>
        <w:tc>
          <w:tcPr>
            <w:tcW w:w="1701" w:type="dxa"/>
          </w:tcPr>
          <w:p w14:paraId="6C38F71A"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606C94F5"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JPY/ RUB</w:t>
            </w:r>
          </w:p>
        </w:tc>
      </w:tr>
      <w:tr w:rsidR="000978CA" w:rsidRPr="00A72529" w14:paraId="5EF4C357" w14:textId="77777777" w:rsidTr="00BA5F98">
        <w:trPr>
          <w:trHeight w:val="527"/>
        </w:trPr>
        <w:tc>
          <w:tcPr>
            <w:tcW w:w="1555" w:type="dxa"/>
          </w:tcPr>
          <w:p w14:paraId="24AD962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USD/CHF</w:t>
            </w:r>
          </w:p>
        </w:tc>
        <w:tc>
          <w:tcPr>
            <w:tcW w:w="3827" w:type="dxa"/>
          </w:tcPr>
          <w:p w14:paraId="3265991A"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Swiss Franc exchange rate</w:t>
            </w:r>
          </w:p>
        </w:tc>
        <w:tc>
          <w:tcPr>
            <w:tcW w:w="1701" w:type="dxa"/>
          </w:tcPr>
          <w:p w14:paraId="7EAF52DB"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270AA8A7"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CHF/ RUB</w:t>
            </w:r>
          </w:p>
        </w:tc>
      </w:tr>
      <w:tr w:rsidR="000978CA" w:rsidRPr="00A72529" w14:paraId="535775A7" w14:textId="77777777" w:rsidTr="00BA5F98">
        <w:trPr>
          <w:trHeight w:val="527"/>
        </w:trPr>
        <w:tc>
          <w:tcPr>
            <w:tcW w:w="1555" w:type="dxa"/>
          </w:tcPr>
          <w:p w14:paraId="6EF6D50B"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USD/TRY</w:t>
            </w:r>
          </w:p>
        </w:tc>
        <w:tc>
          <w:tcPr>
            <w:tcW w:w="3827" w:type="dxa"/>
          </w:tcPr>
          <w:p w14:paraId="0E57EB2E"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Turkish Lira exchange rate</w:t>
            </w:r>
          </w:p>
        </w:tc>
        <w:tc>
          <w:tcPr>
            <w:tcW w:w="1701" w:type="dxa"/>
          </w:tcPr>
          <w:p w14:paraId="5DE5F1A4"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597407AE"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TRY/ RUB</w:t>
            </w:r>
          </w:p>
        </w:tc>
      </w:tr>
      <w:tr w:rsidR="001236C1" w:rsidRPr="00A72529" w14:paraId="1A8D481C" w14:textId="77777777" w:rsidTr="00BA5F98">
        <w:trPr>
          <w:trHeight w:val="527"/>
        </w:trPr>
        <w:tc>
          <w:tcPr>
            <w:tcW w:w="1555" w:type="dxa"/>
          </w:tcPr>
          <w:p w14:paraId="5D496088"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EUR/USD</w:t>
            </w:r>
          </w:p>
        </w:tc>
        <w:tc>
          <w:tcPr>
            <w:tcW w:w="3827" w:type="dxa"/>
          </w:tcPr>
          <w:p w14:paraId="63092B94"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Reference Euro to US Dollar exchange rate</w:t>
            </w:r>
          </w:p>
        </w:tc>
        <w:tc>
          <w:tcPr>
            <w:tcW w:w="1701" w:type="dxa"/>
          </w:tcPr>
          <w:p w14:paraId="71D9B55D" w14:textId="5E0717EC"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EUR/RUB</w:t>
            </w:r>
          </w:p>
        </w:tc>
        <w:tc>
          <w:tcPr>
            <w:tcW w:w="1417" w:type="dxa"/>
          </w:tcPr>
          <w:p w14:paraId="480FA081" w14:textId="512DB065"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USD/RUB</w:t>
            </w:r>
          </w:p>
        </w:tc>
      </w:tr>
    </w:tbl>
    <w:p w14:paraId="17F6CA2E" w14:textId="77777777" w:rsidR="000978CA" w:rsidRPr="00CA6C89" w:rsidRDefault="000978CA" w:rsidP="000978CA">
      <w:pPr>
        <w:rPr>
          <w:rFonts w:ascii="Arial" w:hAnsi="Arial" w:cs="Arial"/>
          <w:b/>
          <w:sz w:val="20"/>
          <w:szCs w:val="20"/>
        </w:rPr>
      </w:pPr>
    </w:p>
    <w:sectPr w:rsidR="000978CA" w:rsidRPr="00CA6C89">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6895" w14:textId="77777777" w:rsidR="0067627A" w:rsidRDefault="0067627A" w:rsidP="00382378">
      <w:r>
        <w:separator/>
      </w:r>
    </w:p>
  </w:endnote>
  <w:endnote w:type="continuationSeparator" w:id="0">
    <w:p w14:paraId="6046C3A2" w14:textId="77777777" w:rsidR="0067627A" w:rsidRDefault="0067627A" w:rsidP="00382378">
      <w:r>
        <w:continuationSeparator/>
      </w:r>
    </w:p>
  </w:endnote>
  <w:endnote w:type="continuationNotice" w:id="1">
    <w:p w14:paraId="51D51A54" w14:textId="77777777" w:rsidR="0067627A" w:rsidRDefault="00676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12162"/>
      <w:docPartObj>
        <w:docPartGallery w:val="Page Numbers (Bottom of Page)"/>
        <w:docPartUnique/>
      </w:docPartObj>
    </w:sdtPr>
    <w:sdtEndPr/>
    <w:sdtContent>
      <w:p w14:paraId="1B150F4F" w14:textId="1BEF6CAA" w:rsidR="00382378" w:rsidRDefault="00382378">
        <w:pPr>
          <w:pStyle w:val="a6"/>
          <w:jc w:val="right"/>
        </w:pPr>
        <w:r>
          <w:fldChar w:fldCharType="begin"/>
        </w:r>
        <w:r>
          <w:instrText>PAGE   \* MERGEFORMAT</w:instrText>
        </w:r>
        <w:r>
          <w:fldChar w:fldCharType="separate"/>
        </w:r>
        <w:r>
          <w:t>2</w:t>
        </w:r>
        <w:r>
          <w:fldChar w:fldCharType="end"/>
        </w:r>
      </w:p>
    </w:sdtContent>
  </w:sdt>
  <w:p w14:paraId="5488DDD0" w14:textId="77777777" w:rsidR="00382378" w:rsidRDefault="003823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22E46" w14:textId="77777777" w:rsidR="0067627A" w:rsidRDefault="0067627A" w:rsidP="00382378">
      <w:r>
        <w:separator/>
      </w:r>
    </w:p>
  </w:footnote>
  <w:footnote w:type="continuationSeparator" w:id="0">
    <w:p w14:paraId="4A449C31" w14:textId="77777777" w:rsidR="0067627A" w:rsidRDefault="0067627A" w:rsidP="00382378">
      <w:r>
        <w:continuationSeparator/>
      </w:r>
    </w:p>
  </w:footnote>
  <w:footnote w:type="continuationNotice" w:id="1">
    <w:p w14:paraId="4EF08A0A" w14:textId="77777777" w:rsidR="0067627A" w:rsidRDefault="00676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0B0C" w14:textId="77777777" w:rsidR="00456C65" w:rsidRDefault="00456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oNotTrackFormatting/>
  <w:defaultTabStop w:val="708"/>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CA"/>
    <w:rsid w:val="000167FD"/>
    <w:rsid w:val="000220A3"/>
    <w:rsid w:val="000978CA"/>
    <w:rsid w:val="000C0D0D"/>
    <w:rsid w:val="001236C1"/>
    <w:rsid w:val="00134BD4"/>
    <w:rsid w:val="002069DC"/>
    <w:rsid w:val="00320AC6"/>
    <w:rsid w:val="0036076A"/>
    <w:rsid w:val="00382378"/>
    <w:rsid w:val="00404519"/>
    <w:rsid w:val="00455E7E"/>
    <w:rsid w:val="00456C65"/>
    <w:rsid w:val="00545C97"/>
    <w:rsid w:val="00594DD8"/>
    <w:rsid w:val="005F6364"/>
    <w:rsid w:val="0067627A"/>
    <w:rsid w:val="00686304"/>
    <w:rsid w:val="006975DA"/>
    <w:rsid w:val="006D2B34"/>
    <w:rsid w:val="00702848"/>
    <w:rsid w:val="007236B6"/>
    <w:rsid w:val="00776334"/>
    <w:rsid w:val="007A1747"/>
    <w:rsid w:val="007F065E"/>
    <w:rsid w:val="0096100E"/>
    <w:rsid w:val="00A72529"/>
    <w:rsid w:val="00A76A4E"/>
    <w:rsid w:val="00A86F22"/>
    <w:rsid w:val="00AF6DD6"/>
    <w:rsid w:val="00B66CBC"/>
    <w:rsid w:val="00B8624F"/>
    <w:rsid w:val="00BC000B"/>
    <w:rsid w:val="00C53164"/>
    <w:rsid w:val="00C6424A"/>
    <w:rsid w:val="00CE46E3"/>
    <w:rsid w:val="00D1134C"/>
    <w:rsid w:val="00D84265"/>
    <w:rsid w:val="00D910A2"/>
    <w:rsid w:val="00DF07EC"/>
    <w:rsid w:val="00E31C83"/>
    <w:rsid w:val="00E36F0D"/>
    <w:rsid w:val="00F0322E"/>
    <w:rsid w:val="00F07F63"/>
    <w:rsid w:val="00FA48A2"/>
    <w:rsid w:val="00FB3A7B"/>
    <w:rsid w:val="00FC0F3F"/>
    <w:rsid w:val="00FE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C0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978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8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F63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CA"/>
    <w:rPr>
      <w:rFonts w:ascii="Arial" w:eastAsia="Times New Roman" w:hAnsi="Arial" w:cs="Arial"/>
      <w:b/>
      <w:bCs/>
      <w:kern w:val="32"/>
      <w:sz w:val="32"/>
      <w:szCs w:val="32"/>
      <w:lang w:eastAsia="ru-RU"/>
    </w:rPr>
  </w:style>
  <w:style w:type="paragraph" w:styleId="3">
    <w:name w:val="Body Text 3"/>
    <w:basedOn w:val="a"/>
    <w:link w:val="30"/>
    <w:rsid w:val="000978CA"/>
    <w:pPr>
      <w:spacing w:after="120"/>
    </w:pPr>
    <w:rPr>
      <w:rFonts w:ascii="Arial" w:hAnsi="Arial"/>
      <w:sz w:val="20"/>
      <w:szCs w:val="16"/>
    </w:rPr>
  </w:style>
  <w:style w:type="character" w:customStyle="1" w:styleId="30">
    <w:name w:val="Основной текст 3 Знак"/>
    <w:basedOn w:val="a0"/>
    <w:link w:val="3"/>
    <w:rsid w:val="000978CA"/>
    <w:rPr>
      <w:rFonts w:ascii="Arial" w:eastAsia="Times New Roman" w:hAnsi="Arial" w:cs="Times New Roman"/>
      <w:sz w:val="20"/>
      <w:szCs w:val="16"/>
      <w:lang w:eastAsia="ru-RU"/>
    </w:rPr>
  </w:style>
  <w:style w:type="paragraph" w:customStyle="1" w:styleId="Iauiue">
    <w:name w:val="Iau?iue"/>
    <w:rsid w:val="000978CA"/>
    <w:pPr>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0978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F6364"/>
    <w:rPr>
      <w:rFonts w:asciiTheme="majorHAnsi" w:eastAsiaTheme="majorEastAsia" w:hAnsiTheme="majorHAnsi" w:cstheme="majorBidi"/>
      <w:color w:val="2F5496" w:themeColor="accent1" w:themeShade="BF"/>
      <w:sz w:val="26"/>
      <w:szCs w:val="26"/>
      <w:lang w:eastAsia="ru-RU"/>
    </w:rPr>
  </w:style>
  <w:style w:type="paragraph" w:styleId="a4">
    <w:name w:val="header"/>
    <w:basedOn w:val="a"/>
    <w:link w:val="a5"/>
    <w:uiPriority w:val="99"/>
    <w:unhideWhenUsed/>
    <w:rsid w:val="00382378"/>
    <w:pPr>
      <w:tabs>
        <w:tab w:val="center" w:pos="4677"/>
        <w:tab w:val="right" w:pos="9355"/>
      </w:tabs>
    </w:pPr>
  </w:style>
  <w:style w:type="character" w:customStyle="1" w:styleId="a5">
    <w:name w:val="Верхний колонтитул Знак"/>
    <w:basedOn w:val="a0"/>
    <w:link w:val="a4"/>
    <w:uiPriority w:val="99"/>
    <w:rsid w:val="0038237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2378"/>
    <w:pPr>
      <w:tabs>
        <w:tab w:val="center" w:pos="4677"/>
        <w:tab w:val="right" w:pos="9355"/>
      </w:tabs>
    </w:pPr>
  </w:style>
  <w:style w:type="character" w:customStyle="1" w:styleId="a7">
    <w:name w:val="Нижний колонтитул Знак"/>
    <w:basedOn w:val="a0"/>
    <w:link w:val="a6"/>
    <w:uiPriority w:val="99"/>
    <w:rsid w:val="00382378"/>
    <w:rPr>
      <w:rFonts w:ascii="Times New Roman" w:eastAsia="Times New Roman" w:hAnsi="Times New Roman" w:cs="Times New Roman"/>
      <w:sz w:val="24"/>
      <w:szCs w:val="24"/>
      <w:lang w:eastAsia="ru-RU"/>
    </w:rPr>
  </w:style>
  <w:style w:type="character" w:styleId="a8">
    <w:name w:val="Hyperlink"/>
    <w:basedOn w:val="a0"/>
    <w:uiPriority w:val="99"/>
    <w:unhideWhenUsed/>
    <w:rsid w:val="00E36F0D"/>
    <w:rPr>
      <w:color w:val="0563C1" w:themeColor="hyperlink"/>
      <w:u w:val="single"/>
    </w:rPr>
  </w:style>
  <w:style w:type="character" w:styleId="a9">
    <w:name w:val="Unresolved Mention"/>
    <w:basedOn w:val="a0"/>
    <w:uiPriority w:val="99"/>
    <w:semiHidden/>
    <w:unhideWhenUsed/>
    <w:rsid w:val="00E36F0D"/>
    <w:rPr>
      <w:color w:val="605E5C"/>
      <w:shd w:val="clear" w:color="auto" w:fill="E1DFDD"/>
    </w:rPr>
  </w:style>
  <w:style w:type="paragraph" w:styleId="aa">
    <w:name w:val="List Paragraph"/>
    <w:basedOn w:val="a"/>
    <w:uiPriority w:val="34"/>
    <w:qFormat/>
    <w:rsid w:val="000C0D0D"/>
    <w:pPr>
      <w:ind w:left="720"/>
      <w:contextualSpacing/>
    </w:pPr>
  </w:style>
  <w:style w:type="paragraph" w:styleId="ab">
    <w:name w:val="Revision"/>
    <w:hidden/>
    <w:uiPriority w:val="99"/>
    <w:semiHidden/>
    <w:rsid w:val="00456C6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br.ru/currency_base/dai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3E11-DA19-4AA6-830E-63F869BE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2024-03-04T12:38:00Z</dcterms:created>
  <dcterms:modified xsi:type="dcterms:W3CDTF">2024-03-04T12:38:00Z</dcterms:modified>
</cp:coreProperties>
</file>