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28DF" w:rsidRPr="00D60C69" w:rsidRDefault="003C28DF" w:rsidP="003C28DF">
      <w:pPr>
        <w:ind w:left="5954" w:right="-79"/>
        <w:rPr>
          <w:rFonts w:ascii="Arial" w:hAnsi="Arial" w:cs="Arial"/>
          <w:b/>
          <w:sz w:val="20"/>
          <w:szCs w:val="20"/>
          <w:lang w:val="en-US"/>
        </w:rPr>
      </w:pPr>
      <w:r w:rsidRPr="00D60C69">
        <w:rPr>
          <w:rFonts w:ascii="Arial" w:hAnsi="Arial" w:cs="Arial"/>
          <w:b/>
          <w:bCs/>
          <w:sz w:val="20"/>
          <w:szCs w:val="20"/>
          <w:lang w:val="en-US"/>
        </w:rPr>
        <w:t>APPROVED</w:t>
      </w:r>
    </w:p>
    <w:p w:rsidR="003C28DF" w:rsidRPr="00D60C69" w:rsidRDefault="003C28DF" w:rsidP="003C28DF">
      <w:pPr>
        <w:tabs>
          <w:tab w:val="left" w:pos="4962"/>
        </w:tabs>
        <w:ind w:left="5954" w:right="-79"/>
        <w:rPr>
          <w:rFonts w:ascii="Arial" w:hAnsi="Arial" w:cs="Arial"/>
          <w:bCs/>
          <w:sz w:val="20"/>
          <w:szCs w:val="20"/>
          <w:lang w:val="en-US"/>
        </w:rPr>
      </w:pPr>
      <w:r w:rsidRPr="00D60C69">
        <w:rPr>
          <w:rFonts w:ascii="Arial" w:hAnsi="Arial" w:cs="Arial"/>
          <w:sz w:val="20"/>
          <w:szCs w:val="20"/>
          <w:lang w:val="en-US"/>
        </w:rPr>
        <w:t>by resolution of</w:t>
      </w:r>
      <w:r w:rsidRPr="00D60C69">
        <w:rPr>
          <w:rFonts w:ascii="Arial" w:hAnsi="Arial" w:cs="Arial"/>
          <w:sz w:val="20"/>
          <w:szCs w:val="20"/>
          <w:lang w:val="en-US"/>
        </w:rPr>
        <w:br/>
        <w:t>the Executive Board of</w:t>
      </w:r>
    </w:p>
    <w:p w:rsidR="003C28DF" w:rsidRPr="00D60C69" w:rsidRDefault="003C28DF" w:rsidP="003C28DF">
      <w:pPr>
        <w:tabs>
          <w:tab w:val="left" w:pos="4962"/>
        </w:tabs>
        <w:ind w:left="5954" w:right="-79"/>
        <w:rPr>
          <w:rFonts w:ascii="Arial" w:hAnsi="Arial" w:cs="Arial"/>
          <w:sz w:val="20"/>
          <w:szCs w:val="20"/>
          <w:lang w:val="en-US"/>
        </w:rPr>
      </w:pPr>
      <w:r>
        <w:rPr>
          <w:rFonts w:ascii="Arial" w:hAnsi="Arial" w:cs="Arial"/>
          <w:sz w:val="20"/>
          <w:szCs w:val="20"/>
          <w:lang w:val="en-US"/>
        </w:rPr>
        <w:t xml:space="preserve">Public </w:t>
      </w:r>
      <w:r w:rsidRPr="00D60C69">
        <w:rPr>
          <w:rFonts w:ascii="Arial" w:hAnsi="Arial" w:cs="Arial"/>
          <w:sz w:val="20"/>
          <w:szCs w:val="20"/>
          <w:lang w:val="en-US"/>
        </w:rPr>
        <w:t>Joint</w:t>
      </w:r>
      <w:r>
        <w:rPr>
          <w:rFonts w:ascii="Arial" w:hAnsi="Arial" w:cs="Arial"/>
          <w:sz w:val="20"/>
          <w:szCs w:val="20"/>
          <w:lang w:val="en-US"/>
        </w:rPr>
        <w:t>-</w:t>
      </w:r>
      <w:r w:rsidRPr="00D60C69">
        <w:rPr>
          <w:rFonts w:ascii="Arial" w:hAnsi="Arial" w:cs="Arial"/>
          <w:sz w:val="20"/>
          <w:szCs w:val="20"/>
          <w:lang w:val="en-US"/>
        </w:rPr>
        <w:t xml:space="preserve">Stock Company </w:t>
      </w:r>
    </w:p>
    <w:p w:rsidR="003C28DF" w:rsidRPr="00D60C69" w:rsidRDefault="003C28DF" w:rsidP="003C28DF">
      <w:pPr>
        <w:tabs>
          <w:tab w:val="left" w:pos="4962"/>
        </w:tabs>
        <w:ind w:left="5954" w:right="-79"/>
        <w:rPr>
          <w:rFonts w:ascii="Arial" w:hAnsi="Arial" w:cs="Arial"/>
          <w:sz w:val="20"/>
          <w:szCs w:val="20"/>
          <w:lang w:val="en-US"/>
        </w:rPr>
      </w:pPr>
      <w:r w:rsidRPr="00D60C69">
        <w:rPr>
          <w:rFonts w:ascii="Arial" w:hAnsi="Arial" w:cs="Arial"/>
          <w:sz w:val="20"/>
          <w:szCs w:val="20"/>
          <w:lang w:val="en-US"/>
        </w:rPr>
        <w:t>«Moscow Exchange MICEX-RTS»</w:t>
      </w:r>
    </w:p>
    <w:p w:rsidR="003C28DF" w:rsidRPr="00D60C69" w:rsidRDefault="003C28DF" w:rsidP="003C28DF">
      <w:pPr>
        <w:tabs>
          <w:tab w:val="left" w:pos="4962"/>
        </w:tabs>
        <w:ind w:left="5954" w:right="-79"/>
        <w:rPr>
          <w:rFonts w:ascii="Arial" w:hAnsi="Arial" w:cs="Arial"/>
          <w:sz w:val="20"/>
          <w:szCs w:val="20"/>
          <w:lang w:val="en-US"/>
        </w:rPr>
      </w:pPr>
      <w:r w:rsidRPr="00D60C69">
        <w:rPr>
          <w:rFonts w:ascii="Arial" w:hAnsi="Arial" w:cs="Arial"/>
          <w:sz w:val="20"/>
          <w:szCs w:val="20"/>
          <w:lang w:val="en-US"/>
        </w:rPr>
        <w:t>(Minutes No.</w:t>
      </w:r>
      <w:r>
        <w:rPr>
          <w:rFonts w:ascii="Arial" w:hAnsi="Arial" w:cs="Arial"/>
          <w:sz w:val="20"/>
          <w:szCs w:val="20"/>
          <w:lang w:val="en-US"/>
        </w:rPr>
        <w:t>44</w:t>
      </w:r>
      <w:r w:rsidRPr="00D60C69">
        <w:rPr>
          <w:rFonts w:ascii="Arial" w:hAnsi="Arial" w:cs="Arial"/>
          <w:sz w:val="20"/>
          <w:szCs w:val="20"/>
          <w:lang w:val="en-US"/>
        </w:rPr>
        <w:t xml:space="preserve"> as of </w:t>
      </w:r>
      <w:r>
        <w:rPr>
          <w:rFonts w:ascii="Arial" w:hAnsi="Arial" w:cs="Arial"/>
          <w:sz w:val="20"/>
          <w:szCs w:val="20"/>
          <w:lang w:val="en-US"/>
        </w:rPr>
        <w:t>August</w:t>
      </w:r>
      <w:r w:rsidRPr="00D60C69">
        <w:rPr>
          <w:rFonts w:ascii="Arial" w:hAnsi="Arial" w:cs="Arial"/>
          <w:sz w:val="20"/>
          <w:szCs w:val="20"/>
          <w:lang w:val="en-US"/>
        </w:rPr>
        <w:t xml:space="preserve"> </w:t>
      </w:r>
      <w:r>
        <w:rPr>
          <w:rFonts w:ascii="Arial" w:hAnsi="Arial" w:cs="Arial"/>
          <w:sz w:val="20"/>
          <w:szCs w:val="20"/>
          <w:lang w:val="en-US"/>
        </w:rPr>
        <w:t>07</w:t>
      </w:r>
      <w:r w:rsidRPr="00D60C69">
        <w:rPr>
          <w:rFonts w:ascii="Arial" w:hAnsi="Arial" w:cs="Arial"/>
          <w:sz w:val="20"/>
          <w:szCs w:val="20"/>
          <w:lang w:val="en-US"/>
        </w:rPr>
        <w:t>, 201</w:t>
      </w:r>
      <w:r>
        <w:rPr>
          <w:rFonts w:ascii="Arial" w:hAnsi="Arial" w:cs="Arial"/>
          <w:sz w:val="20"/>
          <w:szCs w:val="20"/>
          <w:lang w:val="en-US"/>
        </w:rPr>
        <w:t>5</w:t>
      </w:r>
      <w:r w:rsidRPr="00D60C69">
        <w:rPr>
          <w:rFonts w:ascii="Arial" w:hAnsi="Arial" w:cs="Arial"/>
          <w:sz w:val="20"/>
          <w:szCs w:val="20"/>
          <w:lang w:val="en-US"/>
        </w:rPr>
        <w:t>)</w:t>
      </w:r>
    </w:p>
    <w:p w:rsidR="003C28DF" w:rsidRPr="00D60C69" w:rsidRDefault="003C28DF" w:rsidP="003C28DF">
      <w:pPr>
        <w:pStyle w:val="a3"/>
        <w:spacing w:before="240" w:beforeAutospacing="0" w:after="0" w:afterAutospacing="0"/>
        <w:ind w:right="96"/>
        <w:jc w:val="center"/>
        <w:rPr>
          <w:rFonts w:ascii="Arial" w:hAnsi="Arial" w:cs="Arial"/>
          <w:b/>
          <w:bCs/>
          <w:color w:val="auto"/>
          <w:lang w:val="en-US"/>
        </w:rPr>
      </w:pPr>
      <w:r w:rsidRPr="00D60C69">
        <w:rPr>
          <w:rFonts w:ascii="Arial" w:hAnsi="Arial" w:cs="Arial"/>
          <w:b/>
          <w:bCs/>
          <w:color w:val="auto"/>
          <w:lang w:val="en-US"/>
        </w:rPr>
        <w:t>RTS INDEX FUTURES CONTRACT SPECIFICATION</w:t>
      </w:r>
    </w:p>
    <w:p w:rsidR="003C28DF" w:rsidRPr="00D60C69" w:rsidRDefault="003C28DF" w:rsidP="003C28DF">
      <w:pPr>
        <w:pStyle w:val="a3"/>
        <w:tabs>
          <w:tab w:val="left" w:pos="9180"/>
        </w:tabs>
        <w:spacing w:before="240" w:beforeAutospacing="0" w:after="0" w:afterAutospacing="0"/>
        <w:ind w:right="-6"/>
        <w:jc w:val="both"/>
        <w:rPr>
          <w:rFonts w:ascii="Arial" w:hAnsi="Arial" w:cs="Arial"/>
          <w:color w:val="auto"/>
          <w:lang w:val="en-US"/>
        </w:rPr>
      </w:pPr>
      <w:r w:rsidRPr="00D60C69">
        <w:rPr>
          <w:rFonts w:ascii="Arial" w:hAnsi="Arial" w:cs="Arial"/>
          <w:color w:val="auto"/>
          <w:lang w:val="en-US"/>
        </w:rPr>
        <w:t xml:space="preserve">The RTS Index Futures Contract Specification (hereinafter, </w:t>
      </w:r>
      <w:r w:rsidRPr="00D60C69">
        <w:rPr>
          <w:rFonts w:ascii="Arial" w:hAnsi="Arial" w:cs="Arial"/>
          <w:lang w:val="en-US"/>
        </w:rPr>
        <w:t>“</w:t>
      </w:r>
      <w:r w:rsidRPr="00D60C69">
        <w:rPr>
          <w:rFonts w:ascii="Arial" w:hAnsi="Arial" w:cs="Arial"/>
          <w:color w:val="auto"/>
          <w:lang w:val="en-US"/>
        </w:rPr>
        <w:t>Specifications</w:t>
      </w:r>
      <w:r w:rsidRPr="00D60C69">
        <w:rPr>
          <w:rFonts w:ascii="Arial" w:hAnsi="Arial" w:cs="Arial"/>
          <w:lang w:val="en-US"/>
        </w:rPr>
        <w:t>”</w:t>
      </w:r>
      <w:r w:rsidRPr="00D60C69">
        <w:rPr>
          <w:rFonts w:ascii="Arial" w:hAnsi="Arial" w:cs="Arial"/>
          <w:color w:val="auto"/>
          <w:lang w:val="en-US"/>
        </w:rPr>
        <w:t xml:space="preserve">) establishes the standard terms and conditions under the cash-settled RTS Index Futures Contract (hereinafter, </w:t>
      </w:r>
      <w:r w:rsidRPr="00D60C69">
        <w:rPr>
          <w:rFonts w:ascii="Arial" w:hAnsi="Arial" w:cs="Arial"/>
          <w:lang w:val="en-US"/>
        </w:rPr>
        <w:t>“</w:t>
      </w:r>
      <w:r w:rsidRPr="00D60C69">
        <w:rPr>
          <w:rFonts w:ascii="Arial" w:hAnsi="Arial" w:cs="Arial"/>
          <w:color w:val="auto"/>
          <w:lang w:val="en-US"/>
        </w:rPr>
        <w:t>Contract</w:t>
      </w:r>
      <w:r w:rsidRPr="00D60C69">
        <w:rPr>
          <w:rFonts w:ascii="Arial" w:hAnsi="Arial" w:cs="Arial"/>
          <w:lang w:val="en-US"/>
        </w:rPr>
        <w:t>”</w:t>
      </w:r>
      <w:r w:rsidRPr="00D60C69">
        <w:rPr>
          <w:rFonts w:ascii="Arial" w:hAnsi="Arial" w:cs="Arial"/>
          <w:color w:val="auto"/>
          <w:lang w:val="en-US"/>
        </w:rPr>
        <w:t>).</w:t>
      </w:r>
    </w:p>
    <w:p w:rsidR="003C28DF" w:rsidRPr="005324D6" w:rsidRDefault="003C28DF" w:rsidP="003C28DF">
      <w:pPr>
        <w:pStyle w:val="a3"/>
        <w:tabs>
          <w:tab w:val="left" w:pos="9180"/>
        </w:tabs>
        <w:spacing w:before="120" w:beforeAutospacing="0" w:after="0" w:afterAutospacing="0"/>
        <w:ind w:right="-6"/>
        <w:jc w:val="both"/>
        <w:rPr>
          <w:rFonts w:ascii="Arial" w:hAnsi="Arial" w:cs="Arial"/>
          <w:lang w:val="en-US"/>
        </w:rPr>
      </w:pPr>
      <w:r w:rsidRPr="005324D6">
        <w:rPr>
          <w:rFonts w:ascii="Arial" w:hAnsi="Arial" w:cs="Arial"/>
          <w:lang w:val="en-US"/>
        </w:rPr>
        <w:t xml:space="preserve">The Specifications, together with the Clearing Rules of the Derivatives Market (hereinafter, </w:t>
      </w:r>
      <w:r w:rsidRPr="00D60C69">
        <w:rPr>
          <w:rFonts w:ascii="Arial" w:hAnsi="Arial" w:cs="Arial"/>
          <w:lang w:val="en-US"/>
        </w:rPr>
        <w:t>“</w:t>
      </w:r>
      <w:r w:rsidRPr="005324D6">
        <w:rPr>
          <w:rFonts w:ascii="Arial" w:hAnsi="Arial" w:cs="Arial"/>
          <w:lang w:val="en-US"/>
        </w:rPr>
        <w:t>Clearing Rules</w:t>
      </w:r>
      <w:r w:rsidRPr="00D60C69">
        <w:rPr>
          <w:rFonts w:ascii="Arial" w:hAnsi="Arial" w:cs="Arial"/>
          <w:lang w:val="en-US"/>
        </w:rPr>
        <w:t>”</w:t>
      </w:r>
      <w:r w:rsidRPr="005324D6">
        <w:rPr>
          <w:rFonts w:ascii="Arial" w:hAnsi="Arial" w:cs="Arial"/>
          <w:lang w:val="en-US"/>
        </w:rPr>
        <w:t xml:space="preserve">) and Trading Rules of the Derivatives Market (hereinafter, </w:t>
      </w:r>
      <w:r w:rsidRPr="00D60C69">
        <w:rPr>
          <w:rFonts w:ascii="Arial" w:hAnsi="Arial" w:cs="Arial"/>
          <w:lang w:val="en-US"/>
        </w:rPr>
        <w:t>“</w:t>
      </w:r>
      <w:r w:rsidRPr="005324D6">
        <w:rPr>
          <w:rFonts w:ascii="Arial" w:hAnsi="Arial" w:cs="Arial"/>
          <w:lang w:val="en-US"/>
        </w:rPr>
        <w:t>Trading Rules</w:t>
      </w:r>
      <w:r w:rsidRPr="00D60C69">
        <w:rPr>
          <w:rFonts w:ascii="Arial" w:hAnsi="Arial" w:cs="Arial"/>
          <w:lang w:val="en-US"/>
        </w:rPr>
        <w:t>”</w:t>
      </w:r>
      <w:r w:rsidRPr="005324D6">
        <w:rPr>
          <w:rFonts w:ascii="Arial" w:hAnsi="Arial" w:cs="Arial"/>
          <w:lang w:val="en-US"/>
        </w:rPr>
        <w:t>) define the obligations under the Contract, as well as the procedures for their creation, effects, and extinction.</w:t>
      </w:r>
    </w:p>
    <w:p w:rsidR="003C28DF" w:rsidRPr="00D60C69" w:rsidRDefault="003C28DF" w:rsidP="003C28DF">
      <w:pPr>
        <w:tabs>
          <w:tab w:val="left" w:pos="0"/>
        </w:tabs>
        <w:autoSpaceDE w:val="0"/>
        <w:autoSpaceDN w:val="0"/>
        <w:spacing w:before="120"/>
        <w:jc w:val="both"/>
        <w:rPr>
          <w:rFonts w:ascii="Arial" w:hAnsi="Arial" w:cs="Arial"/>
          <w:sz w:val="20"/>
          <w:szCs w:val="20"/>
          <w:lang w:val="en-US"/>
        </w:rPr>
      </w:pPr>
      <w:r w:rsidRPr="00D60C69">
        <w:rPr>
          <w:rFonts w:ascii="Arial" w:hAnsi="Arial" w:cs="Arial"/>
          <w:sz w:val="20"/>
          <w:szCs w:val="20"/>
          <w:lang w:val="en-US"/>
        </w:rPr>
        <w:t>The Contract’s underlying asset is the RTS Index (index code – RTSI). RTS Index is calculated by the Moscow Exchange (hereinafter, “Exchange”) in accordance with the methodology approved by the Exchange and registered with the Bank of Russia (hereinafter, “RTS Index”).</w:t>
      </w:r>
    </w:p>
    <w:p w:rsidR="003C28DF" w:rsidRPr="00D60C69" w:rsidRDefault="003C28DF" w:rsidP="003C28DF">
      <w:pPr>
        <w:tabs>
          <w:tab w:val="left" w:pos="0"/>
        </w:tabs>
        <w:autoSpaceDE w:val="0"/>
        <w:autoSpaceDN w:val="0"/>
        <w:spacing w:before="120"/>
        <w:jc w:val="both"/>
        <w:rPr>
          <w:rFonts w:ascii="Arial" w:hAnsi="Arial" w:cs="Arial"/>
          <w:sz w:val="20"/>
          <w:szCs w:val="20"/>
          <w:lang w:val="en-US"/>
        </w:rPr>
      </w:pPr>
      <w:r w:rsidRPr="00D60C69">
        <w:rPr>
          <w:rFonts w:ascii="Arial" w:hAnsi="Arial" w:cs="Arial"/>
          <w:sz w:val="20"/>
          <w:szCs w:val="20"/>
          <w:lang w:val="en-US"/>
        </w:rPr>
        <w:t>Terms not explicitly defined in these Specifications will have the same definitions as in the Trading Rules, the Clearing Rules,</w:t>
      </w:r>
      <w:r w:rsidRPr="00D60C69" w:rsidDel="0069327B">
        <w:rPr>
          <w:rFonts w:ascii="Arial" w:hAnsi="Arial" w:cs="Arial"/>
          <w:sz w:val="20"/>
          <w:szCs w:val="20"/>
          <w:lang w:val="en-US"/>
        </w:rPr>
        <w:t xml:space="preserve"> </w:t>
      </w:r>
      <w:r w:rsidRPr="00D60C69">
        <w:rPr>
          <w:rFonts w:ascii="Arial" w:hAnsi="Arial" w:cs="Arial"/>
          <w:sz w:val="20"/>
          <w:szCs w:val="20"/>
          <w:lang w:val="en-US"/>
        </w:rPr>
        <w:t>and the laws of the Russian Federation.</w:t>
      </w:r>
    </w:p>
    <w:p w:rsidR="003C28DF" w:rsidRPr="00D60C69" w:rsidRDefault="003C28DF" w:rsidP="003C28DF">
      <w:pPr>
        <w:pStyle w:val="a3"/>
        <w:numPr>
          <w:ilvl w:val="0"/>
          <w:numId w:val="2"/>
        </w:numPr>
        <w:tabs>
          <w:tab w:val="clear" w:pos="720"/>
          <w:tab w:val="num" w:pos="360"/>
          <w:tab w:val="left" w:pos="9180"/>
        </w:tabs>
        <w:spacing w:before="120" w:beforeAutospacing="0" w:after="0" w:afterAutospacing="0"/>
        <w:ind w:right="-5" w:hanging="720"/>
        <w:jc w:val="both"/>
        <w:rPr>
          <w:rFonts w:ascii="Arial" w:hAnsi="Arial" w:cs="Arial"/>
          <w:color w:val="auto"/>
          <w:lang w:val="en-US"/>
        </w:rPr>
      </w:pPr>
      <w:r w:rsidRPr="00D60C69">
        <w:rPr>
          <w:rFonts w:ascii="Arial" w:hAnsi="Arial" w:cs="Arial"/>
          <w:b/>
          <w:bCs/>
          <w:color w:val="auto"/>
          <w:lang w:val="en-US"/>
        </w:rPr>
        <w:t>Entering into the Contract</w:t>
      </w:r>
    </w:p>
    <w:p w:rsidR="003C28DF" w:rsidRPr="00D60C69" w:rsidRDefault="003C28DF" w:rsidP="003C28DF">
      <w:pPr>
        <w:pStyle w:val="a8"/>
        <w:numPr>
          <w:ilvl w:val="1"/>
          <w:numId w:val="2"/>
        </w:numPr>
        <w:tabs>
          <w:tab w:val="clear" w:pos="750"/>
          <w:tab w:val="num" w:pos="426"/>
        </w:tabs>
        <w:ind w:left="426" w:hanging="426"/>
        <w:rPr>
          <w:color w:val="000000"/>
          <w:lang w:val="en-US" w:eastAsia="x-none"/>
        </w:rPr>
      </w:pPr>
      <w:r w:rsidRPr="00D60C69">
        <w:rPr>
          <w:color w:val="000000"/>
          <w:lang w:val="en-US" w:eastAsia="x-none"/>
        </w:rPr>
        <w:t>Entering into the Contract in the course of trading is sanctioned by the Exchange, and must contain the following:</w:t>
      </w:r>
    </w:p>
    <w:p w:rsidR="003C28DF" w:rsidRPr="00D60C69" w:rsidRDefault="003C28DF" w:rsidP="003C28DF">
      <w:pPr>
        <w:pStyle w:val="a8"/>
        <w:numPr>
          <w:ilvl w:val="1"/>
          <w:numId w:val="5"/>
        </w:numPr>
        <w:ind w:left="748" w:right="0" w:hanging="323"/>
        <w:rPr>
          <w:color w:val="000000"/>
          <w:lang w:val="en-US" w:eastAsia="x-none"/>
        </w:rPr>
      </w:pPr>
      <w:r w:rsidRPr="00D60C69">
        <w:rPr>
          <w:color w:val="000000"/>
          <w:lang w:val="en-US" w:eastAsia="x-none"/>
        </w:rPr>
        <w:t>Contract code (designation);</w:t>
      </w:r>
    </w:p>
    <w:p w:rsidR="003C28DF" w:rsidRPr="00D60C69" w:rsidRDefault="003C28DF" w:rsidP="003C28DF">
      <w:pPr>
        <w:pStyle w:val="a8"/>
        <w:numPr>
          <w:ilvl w:val="1"/>
          <w:numId w:val="5"/>
        </w:numPr>
        <w:spacing w:before="0"/>
        <w:ind w:left="748" w:right="0" w:hanging="323"/>
        <w:rPr>
          <w:color w:val="000000"/>
          <w:lang w:val="en-US" w:eastAsia="x-none"/>
        </w:rPr>
      </w:pPr>
      <w:r w:rsidRPr="00D60C69">
        <w:rPr>
          <w:color w:val="000000"/>
          <w:lang w:val="en-US" w:eastAsia="x-none"/>
        </w:rPr>
        <w:t>Date of the first trading day when the Contract may be entered into (hereinafter, “first trading day”);</w:t>
      </w:r>
    </w:p>
    <w:p w:rsidR="003C28DF" w:rsidRPr="00D60C69" w:rsidRDefault="003C28DF" w:rsidP="003C28DF">
      <w:pPr>
        <w:pStyle w:val="a8"/>
        <w:numPr>
          <w:ilvl w:val="1"/>
          <w:numId w:val="5"/>
        </w:numPr>
        <w:spacing w:before="0"/>
        <w:ind w:left="748" w:right="0" w:hanging="323"/>
        <w:rPr>
          <w:color w:val="000000"/>
          <w:lang w:val="en-US" w:eastAsia="x-none"/>
        </w:rPr>
      </w:pPr>
      <w:r w:rsidRPr="00D60C69">
        <w:rPr>
          <w:color w:val="000000"/>
          <w:lang w:val="en-US" w:eastAsia="x-none"/>
        </w:rPr>
        <w:t>Opening time when the Contract may be entered into (i.e. the start of trading in the Contract);</w:t>
      </w:r>
    </w:p>
    <w:p w:rsidR="003C28DF" w:rsidRPr="00D60C69" w:rsidRDefault="003C28DF" w:rsidP="003C28DF">
      <w:pPr>
        <w:pStyle w:val="a8"/>
        <w:numPr>
          <w:ilvl w:val="1"/>
          <w:numId w:val="5"/>
        </w:numPr>
        <w:spacing w:before="0"/>
        <w:ind w:left="748" w:right="0" w:hanging="323"/>
        <w:rPr>
          <w:color w:val="000000"/>
          <w:lang w:val="en-US" w:eastAsia="x-none"/>
        </w:rPr>
      </w:pPr>
      <w:r w:rsidRPr="00D60C69">
        <w:rPr>
          <w:color w:val="000000"/>
          <w:lang w:val="en-US" w:eastAsia="x-none"/>
        </w:rPr>
        <w:t>Initial settlement price of the Contract;</w:t>
      </w:r>
    </w:p>
    <w:p w:rsidR="003C28DF" w:rsidRPr="00D60C69" w:rsidRDefault="003C28DF" w:rsidP="003C28DF">
      <w:pPr>
        <w:pStyle w:val="a8"/>
        <w:numPr>
          <w:ilvl w:val="1"/>
          <w:numId w:val="5"/>
        </w:numPr>
        <w:spacing w:before="0"/>
        <w:ind w:left="748" w:right="0" w:hanging="323"/>
        <w:rPr>
          <w:color w:val="000000"/>
          <w:lang w:val="en-US" w:eastAsia="x-none"/>
        </w:rPr>
      </w:pPr>
      <w:r w:rsidRPr="00D60C69">
        <w:rPr>
          <w:color w:val="000000"/>
          <w:lang w:val="en-US" w:eastAsia="x-none"/>
        </w:rPr>
        <w:t>Initial price bands for the Contract.</w:t>
      </w:r>
    </w:p>
    <w:p w:rsidR="003C28DF" w:rsidRPr="00D60C69" w:rsidRDefault="003C28DF" w:rsidP="003C28DF">
      <w:pPr>
        <w:pStyle w:val="a8"/>
        <w:numPr>
          <w:ilvl w:val="1"/>
          <w:numId w:val="2"/>
        </w:numPr>
        <w:tabs>
          <w:tab w:val="clear" w:pos="750"/>
          <w:tab w:val="clear" w:pos="9000"/>
          <w:tab w:val="num" w:pos="426"/>
        </w:tabs>
        <w:ind w:left="426" w:right="0" w:hanging="426"/>
        <w:rPr>
          <w:lang w:val="en-US"/>
        </w:rPr>
      </w:pPr>
      <w:r w:rsidRPr="00D60C69">
        <w:rPr>
          <w:lang w:val="en-US"/>
        </w:rPr>
        <w:t>The code (designation) of the Contract consists of the following:</w:t>
      </w:r>
    </w:p>
    <w:p w:rsidR="003C28DF" w:rsidRPr="00D60C69" w:rsidRDefault="003C28DF" w:rsidP="003C28DF">
      <w:pPr>
        <w:pStyle w:val="a8"/>
        <w:tabs>
          <w:tab w:val="clear" w:pos="720"/>
        </w:tabs>
        <w:ind w:left="426" w:firstLine="0"/>
        <w:rPr>
          <w:lang w:val="en-US"/>
        </w:rPr>
      </w:pPr>
      <w:r w:rsidRPr="00D60C69">
        <w:rPr>
          <w:lang w:val="en-US"/>
        </w:rPr>
        <w:t>RTS-&lt;settlement month&gt;.&lt;settlement year&gt;.</w:t>
      </w:r>
    </w:p>
    <w:p w:rsidR="003C28DF" w:rsidRPr="00D60C69" w:rsidRDefault="003C28DF" w:rsidP="003C28DF">
      <w:pPr>
        <w:pStyle w:val="a8"/>
        <w:tabs>
          <w:tab w:val="clear" w:pos="720"/>
        </w:tabs>
        <w:ind w:left="426" w:firstLine="0"/>
        <w:rPr>
          <w:lang w:val="en-US"/>
        </w:rPr>
      </w:pPr>
      <w:r w:rsidRPr="00D60C69">
        <w:rPr>
          <w:lang w:val="en-US"/>
        </w:rPr>
        <w:t>The settlement month and settlement year specified in the Contract code (designation) (hereinafter, “Contract’s settlement month” and “Contract’s settlement year”, respectively) is stated in Arabic numerals and is used in determining the termination of trading in the Contract (hereinafter, “Contract’s last trading day”) and the Contract’s final settlement date.</w:t>
      </w:r>
    </w:p>
    <w:p w:rsidR="003C28DF" w:rsidRPr="00D60C69" w:rsidRDefault="003C28DF" w:rsidP="003C28DF">
      <w:pPr>
        <w:pStyle w:val="a3"/>
        <w:numPr>
          <w:ilvl w:val="1"/>
          <w:numId w:val="2"/>
        </w:numPr>
        <w:tabs>
          <w:tab w:val="clear" w:pos="750"/>
          <w:tab w:val="num" w:pos="426"/>
          <w:tab w:val="left" w:pos="1620"/>
        </w:tabs>
        <w:spacing w:before="120" w:beforeAutospacing="0" w:after="0" w:afterAutospacing="0"/>
        <w:ind w:left="426" w:right="-6" w:hanging="426"/>
        <w:jc w:val="both"/>
        <w:rPr>
          <w:rFonts w:ascii="Arial" w:hAnsi="Arial" w:cs="Arial"/>
          <w:lang w:val="en-US"/>
        </w:rPr>
      </w:pPr>
      <w:r w:rsidRPr="00D60C69">
        <w:rPr>
          <w:rFonts w:ascii="Arial" w:hAnsi="Arial" w:cs="Arial"/>
          <w:color w:val="auto"/>
          <w:lang w:val="en-US"/>
        </w:rPr>
        <w:t>The Contract price.</w:t>
      </w:r>
    </w:p>
    <w:p w:rsidR="003C28DF" w:rsidRPr="00D60C69" w:rsidRDefault="003C28DF" w:rsidP="003C28DF">
      <w:pPr>
        <w:pStyle w:val="a3"/>
        <w:numPr>
          <w:ilvl w:val="2"/>
          <w:numId w:val="2"/>
        </w:numPr>
        <w:tabs>
          <w:tab w:val="clear" w:pos="1080"/>
          <w:tab w:val="left" w:pos="993"/>
        </w:tabs>
        <w:spacing w:before="120" w:beforeAutospacing="0" w:after="0" w:afterAutospacing="0"/>
        <w:ind w:left="993" w:right="-6" w:hanging="567"/>
        <w:jc w:val="both"/>
        <w:rPr>
          <w:rFonts w:ascii="Arial" w:hAnsi="Arial" w:cs="Arial"/>
          <w:color w:val="auto"/>
          <w:lang w:val="en-US"/>
        </w:rPr>
      </w:pPr>
      <w:r w:rsidRPr="00D60C69">
        <w:rPr>
          <w:rFonts w:ascii="Arial" w:hAnsi="Arial" w:cs="Arial"/>
          <w:color w:val="auto"/>
          <w:lang w:val="en-US"/>
        </w:rPr>
        <w:t>Upon entering into the Contract in the course of trading, the Contract price will be quoted in points, which denote RTS Index value multiplied by 100 (one hundred).</w:t>
      </w:r>
    </w:p>
    <w:p w:rsidR="003C28DF" w:rsidRPr="00D60C69" w:rsidRDefault="003C28DF" w:rsidP="003C28DF">
      <w:pPr>
        <w:pStyle w:val="a3"/>
        <w:numPr>
          <w:ilvl w:val="2"/>
          <w:numId w:val="2"/>
        </w:numPr>
        <w:tabs>
          <w:tab w:val="clear" w:pos="1080"/>
          <w:tab w:val="left" w:pos="993"/>
        </w:tabs>
        <w:spacing w:before="120" w:beforeAutospacing="0" w:after="0" w:afterAutospacing="0"/>
        <w:ind w:left="993" w:right="-6" w:hanging="567"/>
        <w:jc w:val="both"/>
        <w:rPr>
          <w:rFonts w:ascii="Arial" w:hAnsi="Arial" w:cs="Arial"/>
          <w:color w:val="auto"/>
          <w:lang w:val="en-US"/>
        </w:rPr>
      </w:pPr>
      <w:r w:rsidRPr="00D60C69">
        <w:rPr>
          <w:rFonts w:ascii="Arial" w:hAnsi="Arial" w:cs="Arial"/>
          <w:lang w:val="en-US"/>
        </w:rPr>
        <w:t>The Contract’s minimum price interval (hereinafter, “tick”) during the course of trading is 10 (ten) points</w:t>
      </w:r>
      <w:r w:rsidRPr="00D60C69">
        <w:rPr>
          <w:rFonts w:ascii="Arial" w:hAnsi="Arial" w:cs="Arial"/>
          <w:color w:val="auto"/>
          <w:lang w:val="en-US"/>
        </w:rPr>
        <w:t>.</w:t>
      </w:r>
    </w:p>
    <w:p w:rsidR="003C28DF" w:rsidRPr="00650D0C" w:rsidRDefault="003C28DF" w:rsidP="003C28DF">
      <w:pPr>
        <w:pStyle w:val="a3"/>
        <w:numPr>
          <w:ilvl w:val="2"/>
          <w:numId w:val="2"/>
        </w:numPr>
        <w:tabs>
          <w:tab w:val="clear" w:pos="1080"/>
          <w:tab w:val="left" w:pos="993"/>
        </w:tabs>
        <w:spacing w:before="120" w:beforeAutospacing="0" w:after="0" w:afterAutospacing="0"/>
        <w:ind w:left="993" w:right="-6" w:hanging="567"/>
        <w:jc w:val="both"/>
        <w:rPr>
          <w:rFonts w:ascii="Arial" w:hAnsi="Arial" w:cs="Arial"/>
          <w:color w:val="auto"/>
          <w:lang w:val="en-US"/>
        </w:rPr>
      </w:pPr>
      <w:r w:rsidRPr="00D60C69">
        <w:rPr>
          <w:rFonts w:ascii="Arial" w:hAnsi="Arial" w:cs="Arial"/>
          <w:lang w:val="en-US"/>
        </w:rPr>
        <w:t xml:space="preserve">The value of a tick is USD 0.2 (two-tenths US Dollars), expressed in Rubles – the national currency of the Russian Federation, and converted from US Dollars into Rubles using the Exchange’s official USD/RUB FX rate (hereinafter, “USD/RUB FX rate”). The Exchange determines the USD/RUB FX rate according to the methodology described in the document titled, “Methodology for Calculation of the Indicative Foreign Exchange Rate”, published on the Exchange’s website. The USD/RUB FX rate is bounded by price bands set by the National Clearing Centre, a subsidiary of the Moscow Exchange Group (hereinafter, “NCC”), which are published on the Exchange’s website. </w:t>
      </w:r>
    </w:p>
    <w:p w:rsidR="003C28DF" w:rsidRPr="005E71E2" w:rsidRDefault="003C28DF" w:rsidP="003C28DF">
      <w:pPr>
        <w:pStyle w:val="a3"/>
        <w:numPr>
          <w:ilvl w:val="1"/>
          <w:numId w:val="2"/>
        </w:numPr>
        <w:tabs>
          <w:tab w:val="clear" w:pos="750"/>
          <w:tab w:val="num" w:pos="426"/>
          <w:tab w:val="left" w:pos="993"/>
        </w:tabs>
        <w:spacing w:before="120" w:beforeAutospacing="0" w:after="0" w:afterAutospacing="0"/>
        <w:ind w:left="426" w:right="-6" w:hanging="426"/>
        <w:jc w:val="both"/>
        <w:rPr>
          <w:rFonts w:ascii="Arial" w:hAnsi="Arial" w:cs="Arial"/>
          <w:color w:val="auto"/>
          <w:lang w:val="en-US"/>
        </w:rPr>
      </w:pPr>
      <w:r w:rsidRPr="00650D0C">
        <w:rPr>
          <w:rFonts w:ascii="Arial" w:hAnsi="Arial" w:cs="Arial"/>
          <w:bCs/>
          <w:lang w:val="en-US"/>
        </w:rPr>
        <w:t xml:space="preserve">The last </w:t>
      </w:r>
      <w:r>
        <w:rPr>
          <w:rFonts w:ascii="Arial" w:hAnsi="Arial" w:cs="Arial"/>
          <w:bCs/>
          <w:lang w:val="en-US"/>
        </w:rPr>
        <w:t>t</w:t>
      </w:r>
      <w:r w:rsidRPr="00650D0C">
        <w:rPr>
          <w:rFonts w:ascii="Arial" w:hAnsi="Arial" w:cs="Arial"/>
          <w:bCs/>
          <w:lang w:val="en-US"/>
        </w:rPr>
        <w:t xml:space="preserve">rading day for the Contract shall be the 3 (third) Thursday of the Contract’s settlement </w:t>
      </w:r>
      <w:r w:rsidRPr="00650D0C">
        <w:rPr>
          <w:rFonts w:ascii="Arial" w:hAnsi="Arial" w:cs="Arial"/>
          <w:lang w:val="en-US"/>
        </w:rPr>
        <w:t>month</w:t>
      </w:r>
      <w:r w:rsidRPr="00650D0C">
        <w:rPr>
          <w:rFonts w:ascii="Arial" w:hAnsi="Arial" w:cs="Arial"/>
          <w:bCs/>
          <w:lang w:val="en-US"/>
        </w:rPr>
        <w:t xml:space="preserve"> </w:t>
      </w:r>
      <w:r>
        <w:rPr>
          <w:rFonts w:ascii="Arial" w:hAnsi="Arial" w:cs="Arial"/>
          <w:bCs/>
          <w:lang w:val="en-US"/>
        </w:rPr>
        <w:t>and</w:t>
      </w:r>
      <w:r w:rsidRPr="00650D0C">
        <w:rPr>
          <w:rFonts w:ascii="Arial" w:hAnsi="Arial" w:cs="Arial"/>
          <w:bCs/>
          <w:lang w:val="en-US"/>
        </w:rPr>
        <w:t xml:space="preserve"> year.</w:t>
      </w:r>
      <w:r w:rsidRPr="00650D0C">
        <w:rPr>
          <w:rFonts w:ascii="Arial" w:hAnsi="Arial" w:cs="Arial"/>
          <w:lang w:val="en-US"/>
        </w:rPr>
        <w:t xml:space="preserve"> I</w:t>
      </w:r>
      <w:r w:rsidRPr="00650D0C">
        <w:rPr>
          <w:rFonts w:ascii="Arial" w:hAnsi="Arial" w:cs="Arial"/>
          <w:bCs/>
          <w:lang w:val="en-US"/>
        </w:rPr>
        <w:t xml:space="preserve">f </w:t>
      </w:r>
      <w:r w:rsidRPr="005E71E2">
        <w:rPr>
          <w:rFonts w:ascii="Arial" w:hAnsi="Arial" w:cs="Arial"/>
          <w:bCs/>
          <w:lang w:val="en-US"/>
        </w:rPr>
        <w:t>that</w:t>
      </w:r>
      <w:r w:rsidRPr="00650D0C">
        <w:rPr>
          <w:rFonts w:ascii="Arial" w:hAnsi="Arial" w:cs="Arial"/>
          <w:bCs/>
          <w:lang w:val="en-US"/>
        </w:rPr>
        <w:t xml:space="preserve"> day is a non-trading day, the Contract’s last trading day is the Trading day preceding the </w:t>
      </w:r>
      <w:r>
        <w:rPr>
          <w:rFonts w:ascii="Arial" w:hAnsi="Arial" w:cs="Arial"/>
          <w:bCs/>
          <w:lang w:val="en-US"/>
        </w:rPr>
        <w:t>3 (</w:t>
      </w:r>
      <w:r w:rsidRPr="00650D0C">
        <w:rPr>
          <w:rFonts w:ascii="Arial" w:hAnsi="Arial" w:cs="Arial"/>
          <w:bCs/>
          <w:lang w:val="en-US"/>
        </w:rPr>
        <w:t>third</w:t>
      </w:r>
      <w:r>
        <w:rPr>
          <w:rFonts w:ascii="Arial" w:hAnsi="Arial" w:cs="Arial"/>
          <w:bCs/>
          <w:lang w:val="en-US"/>
        </w:rPr>
        <w:t>)</w:t>
      </w:r>
      <w:r w:rsidRPr="00650D0C">
        <w:rPr>
          <w:rFonts w:ascii="Arial" w:hAnsi="Arial" w:cs="Arial"/>
          <w:bCs/>
          <w:lang w:val="en-US"/>
        </w:rPr>
        <w:t xml:space="preserve"> Thursday of the Contract’s settlement month </w:t>
      </w:r>
      <w:r>
        <w:rPr>
          <w:rFonts w:ascii="Arial" w:hAnsi="Arial" w:cs="Arial"/>
          <w:bCs/>
          <w:lang w:val="en-US"/>
        </w:rPr>
        <w:t xml:space="preserve">and </w:t>
      </w:r>
      <w:r w:rsidRPr="00650D0C">
        <w:rPr>
          <w:rFonts w:ascii="Arial" w:hAnsi="Arial" w:cs="Arial"/>
          <w:bCs/>
          <w:lang w:val="en-US"/>
        </w:rPr>
        <w:t>year</w:t>
      </w:r>
      <w:r>
        <w:rPr>
          <w:rFonts w:ascii="Arial" w:hAnsi="Arial" w:cs="Arial"/>
          <w:bCs/>
          <w:lang w:val="en-US"/>
        </w:rPr>
        <w:t>.</w:t>
      </w:r>
    </w:p>
    <w:p w:rsidR="003C28DF" w:rsidRDefault="003C28DF" w:rsidP="003C28DF">
      <w:pPr>
        <w:pStyle w:val="a8"/>
        <w:tabs>
          <w:tab w:val="clear" w:pos="720"/>
          <w:tab w:val="clear" w:pos="9000"/>
        </w:tabs>
        <w:autoSpaceDE w:val="0"/>
        <w:autoSpaceDN w:val="0"/>
        <w:spacing w:after="60"/>
        <w:ind w:left="426" w:right="0" w:firstLine="0"/>
        <w:rPr>
          <w:bCs/>
          <w:lang w:val="en-US"/>
        </w:rPr>
      </w:pPr>
      <w:r w:rsidRPr="005E71E2">
        <w:rPr>
          <w:bCs/>
          <w:lang w:val="en-US"/>
        </w:rPr>
        <w:t xml:space="preserve">The Exchange is entitled to establish a date of the Contract’s last </w:t>
      </w:r>
      <w:r>
        <w:rPr>
          <w:bCs/>
          <w:lang w:val="en-US"/>
        </w:rPr>
        <w:t>t</w:t>
      </w:r>
      <w:r w:rsidRPr="005E71E2">
        <w:rPr>
          <w:bCs/>
          <w:lang w:val="en-US"/>
        </w:rPr>
        <w:t>rading day other than as specified herein as agreed with the Clearing Center.</w:t>
      </w:r>
    </w:p>
    <w:p w:rsidR="003C28DF" w:rsidRPr="00A5005B" w:rsidRDefault="003C28DF" w:rsidP="003C28DF">
      <w:pPr>
        <w:pStyle w:val="a8"/>
        <w:numPr>
          <w:ilvl w:val="1"/>
          <w:numId w:val="2"/>
        </w:numPr>
        <w:tabs>
          <w:tab w:val="clear" w:pos="750"/>
          <w:tab w:val="clear" w:pos="9000"/>
          <w:tab w:val="num" w:pos="426"/>
        </w:tabs>
        <w:autoSpaceDE w:val="0"/>
        <w:autoSpaceDN w:val="0"/>
        <w:spacing w:before="0" w:after="60"/>
        <w:ind w:left="426" w:right="0" w:hanging="426"/>
        <w:rPr>
          <w:lang w:val="en-US"/>
        </w:rPr>
      </w:pPr>
      <w:r w:rsidRPr="005E71E2">
        <w:rPr>
          <w:lang w:val="en-US"/>
        </w:rPr>
        <w:t xml:space="preserve">The Contract’s final settlement date will coincide with the Contract’s last trading day, except in the cases provided for in Sections </w:t>
      </w:r>
      <w:r>
        <w:rPr>
          <w:lang w:val="en-US"/>
        </w:rPr>
        <w:t>2.2.3.2</w:t>
      </w:r>
      <w:r w:rsidRPr="00A5005B">
        <w:rPr>
          <w:lang w:val="en-US"/>
        </w:rPr>
        <w:t>., 5.1., 5.2</w:t>
      </w:r>
      <w:r>
        <w:rPr>
          <w:lang w:val="en-US"/>
        </w:rPr>
        <w:t>.</w:t>
      </w:r>
      <w:r w:rsidRPr="00A5005B">
        <w:rPr>
          <w:lang w:val="en-US"/>
        </w:rPr>
        <w:t xml:space="preserve"> herein. </w:t>
      </w:r>
    </w:p>
    <w:p w:rsidR="003C28DF" w:rsidRPr="00D47F76" w:rsidRDefault="003C28DF" w:rsidP="003C28DF">
      <w:pPr>
        <w:pStyle w:val="a3"/>
        <w:numPr>
          <w:ilvl w:val="0"/>
          <w:numId w:val="2"/>
        </w:numPr>
        <w:tabs>
          <w:tab w:val="clear" w:pos="720"/>
          <w:tab w:val="num" w:pos="360"/>
          <w:tab w:val="left" w:pos="9180"/>
        </w:tabs>
        <w:spacing w:before="120" w:beforeAutospacing="0" w:after="0" w:afterAutospacing="0"/>
        <w:ind w:right="-5" w:hanging="720"/>
        <w:jc w:val="both"/>
        <w:rPr>
          <w:rFonts w:ascii="Arial" w:hAnsi="Arial" w:cs="Arial"/>
          <w:color w:val="auto"/>
          <w:lang w:val="en-US"/>
        </w:rPr>
      </w:pPr>
      <w:r w:rsidRPr="00D47F76">
        <w:rPr>
          <w:rFonts w:ascii="Arial" w:hAnsi="Arial" w:cs="Arial"/>
          <w:b/>
          <w:bCs/>
          <w:color w:val="auto"/>
          <w:lang w:val="en-US"/>
        </w:rPr>
        <w:lastRenderedPageBreak/>
        <w:t>Obligations under the Contract</w:t>
      </w:r>
    </w:p>
    <w:p w:rsidR="003C28DF" w:rsidRDefault="003C28DF" w:rsidP="003C28DF">
      <w:pPr>
        <w:pStyle w:val="a3"/>
        <w:numPr>
          <w:ilvl w:val="1"/>
          <w:numId w:val="2"/>
        </w:numPr>
        <w:tabs>
          <w:tab w:val="clear" w:pos="750"/>
          <w:tab w:val="num" w:pos="426"/>
          <w:tab w:val="left" w:pos="1620"/>
        </w:tabs>
        <w:spacing w:before="120" w:beforeAutospacing="0" w:after="0" w:afterAutospacing="0"/>
        <w:ind w:left="426" w:right="-6" w:hanging="426"/>
        <w:jc w:val="both"/>
        <w:rPr>
          <w:rFonts w:ascii="Arial" w:hAnsi="Arial" w:cs="Arial"/>
          <w:lang w:val="en-US"/>
        </w:rPr>
      </w:pPr>
      <w:r>
        <w:rPr>
          <w:rFonts w:ascii="Arial" w:hAnsi="Arial" w:cs="Arial"/>
          <w:lang w:val="en-US"/>
        </w:rPr>
        <w:t>Variation Margin Obligations</w:t>
      </w:r>
    </w:p>
    <w:p w:rsidR="003C28DF" w:rsidRDefault="003C28DF" w:rsidP="003C28DF">
      <w:pPr>
        <w:pStyle w:val="a3"/>
        <w:numPr>
          <w:ilvl w:val="2"/>
          <w:numId w:val="2"/>
        </w:numPr>
        <w:tabs>
          <w:tab w:val="left" w:pos="1620"/>
        </w:tabs>
        <w:spacing w:before="120" w:beforeAutospacing="0" w:after="0" w:afterAutospacing="0"/>
        <w:ind w:left="1077" w:right="-6" w:hanging="510"/>
        <w:jc w:val="both"/>
        <w:rPr>
          <w:rFonts w:ascii="Arial" w:hAnsi="Arial" w:cs="Arial"/>
          <w:lang w:val="en-US"/>
        </w:rPr>
      </w:pPr>
      <w:r w:rsidRPr="00D60C69">
        <w:rPr>
          <w:rFonts w:ascii="Arial" w:hAnsi="Arial" w:cs="Arial"/>
          <w:lang w:val="en-US"/>
        </w:rPr>
        <w:t xml:space="preserve">The Parties to the Contract must pay </w:t>
      </w:r>
      <w:r w:rsidRPr="00D47F76">
        <w:rPr>
          <w:rFonts w:ascii="Arial" w:hAnsi="Arial" w:cs="Arial"/>
          <w:lang w:val="en-US"/>
        </w:rPr>
        <w:t>cash (</w:t>
      </w:r>
      <w:r w:rsidRPr="00D60C69">
        <w:rPr>
          <w:rFonts w:ascii="Arial" w:hAnsi="Arial" w:cs="Arial"/>
          <w:lang w:val="en-US"/>
        </w:rPr>
        <w:t>variation margin</w:t>
      </w:r>
      <w:r>
        <w:rPr>
          <w:rFonts w:ascii="Arial" w:hAnsi="Arial" w:cs="Arial"/>
          <w:lang w:val="en-US"/>
        </w:rPr>
        <w:t>) to</w:t>
      </w:r>
      <w:r w:rsidRPr="00D60C69">
        <w:rPr>
          <w:rFonts w:ascii="Arial" w:hAnsi="Arial" w:cs="Arial"/>
          <w:lang w:val="en-US"/>
        </w:rPr>
        <w:t xml:space="preserve"> each other in the amount depending on the changes in the value of the RTS Index.</w:t>
      </w:r>
    </w:p>
    <w:p w:rsidR="003C28DF" w:rsidRDefault="003C28DF" w:rsidP="003C28DF">
      <w:pPr>
        <w:numPr>
          <w:ilvl w:val="2"/>
          <w:numId w:val="2"/>
        </w:numPr>
        <w:spacing w:before="120"/>
        <w:ind w:left="1077" w:hanging="510"/>
        <w:jc w:val="both"/>
        <w:rPr>
          <w:rFonts w:ascii="Arial" w:hAnsi="Arial" w:cs="Arial"/>
          <w:color w:val="000000"/>
          <w:sz w:val="20"/>
          <w:szCs w:val="20"/>
          <w:lang w:val="en-US" w:eastAsia="x-none"/>
        </w:rPr>
      </w:pPr>
      <w:r w:rsidRPr="00D47F76">
        <w:rPr>
          <w:rFonts w:ascii="Arial" w:hAnsi="Arial" w:cs="Arial"/>
          <w:color w:val="000000"/>
          <w:sz w:val="20"/>
          <w:szCs w:val="20"/>
          <w:lang w:val="en-US" w:eastAsia="x-none"/>
        </w:rPr>
        <w:t xml:space="preserve">The variation margin is calculated and paid throughout the period starting from the Contract’s first trading day to its last trading day. </w:t>
      </w:r>
      <w:bookmarkStart w:id="0" w:name="_Ref156961941"/>
    </w:p>
    <w:p w:rsidR="003C28DF" w:rsidRPr="00D47F76" w:rsidRDefault="003C28DF" w:rsidP="003C28DF">
      <w:pPr>
        <w:numPr>
          <w:ilvl w:val="2"/>
          <w:numId w:val="2"/>
        </w:numPr>
        <w:spacing w:before="120"/>
        <w:ind w:left="1077" w:hanging="510"/>
        <w:jc w:val="both"/>
        <w:rPr>
          <w:rFonts w:ascii="Arial" w:hAnsi="Arial" w:cs="Arial"/>
          <w:color w:val="000000"/>
          <w:sz w:val="16"/>
          <w:szCs w:val="20"/>
          <w:lang w:val="en-US" w:eastAsia="x-none"/>
        </w:rPr>
      </w:pPr>
      <w:r>
        <w:rPr>
          <w:rFonts w:ascii="Arial" w:hAnsi="Arial" w:cs="Arial"/>
          <w:sz w:val="20"/>
          <w:lang w:val="en-US"/>
        </w:rPr>
        <w:t>The v</w:t>
      </w:r>
      <w:r w:rsidRPr="00D47F76">
        <w:rPr>
          <w:rFonts w:ascii="Arial" w:hAnsi="Arial" w:cs="Arial"/>
          <w:sz w:val="20"/>
          <w:lang w:val="en-US"/>
        </w:rPr>
        <w:t>ariation margin is calculated according to the following formulas:</w:t>
      </w:r>
      <w:bookmarkEnd w:id="0"/>
    </w:p>
    <w:p w:rsidR="003C28DF" w:rsidRPr="00D60C69" w:rsidRDefault="003C28DF" w:rsidP="003C28DF">
      <w:pPr>
        <w:tabs>
          <w:tab w:val="num" w:pos="993"/>
          <w:tab w:val="num" w:pos="1701"/>
        </w:tabs>
        <w:autoSpaceDE w:val="0"/>
        <w:autoSpaceDN w:val="0"/>
        <w:spacing w:before="120"/>
        <w:ind w:left="1134"/>
        <w:jc w:val="both"/>
        <w:rPr>
          <w:rFonts w:ascii="Arial" w:hAnsi="Arial" w:cs="Arial"/>
          <w:color w:val="000000"/>
          <w:sz w:val="20"/>
          <w:szCs w:val="20"/>
          <w:lang w:val="en-US"/>
        </w:rPr>
      </w:pPr>
      <w:r>
        <w:rPr>
          <w:rFonts w:ascii="Arial" w:hAnsi="Arial" w:cs="Arial"/>
          <w:color w:val="000000"/>
          <w:sz w:val="20"/>
          <w:szCs w:val="20"/>
          <w:lang w:val="en-US"/>
        </w:rPr>
        <w:t xml:space="preserve">2.1.3.1. </w:t>
      </w:r>
      <w:r w:rsidRPr="00D60C69">
        <w:rPr>
          <w:rFonts w:ascii="Arial" w:hAnsi="Arial" w:cs="Arial"/>
          <w:sz w:val="20"/>
          <w:szCs w:val="20"/>
          <w:lang w:val="en-US"/>
        </w:rPr>
        <w:t>During the intraday clearing session</w:t>
      </w:r>
      <w:r w:rsidRPr="00D60C69">
        <w:rPr>
          <w:rFonts w:ascii="Arial" w:hAnsi="Arial" w:cs="Arial"/>
          <w:color w:val="000000"/>
          <w:sz w:val="20"/>
          <w:szCs w:val="20"/>
          <w:lang w:val="en-US"/>
        </w:rPr>
        <w:t>:</w:t>
      </w:r>
    </w:p>
    <w:p w:rsidR="003C28DF" w:rsidRPr="00D60C69" w:rsidRDefault="003C28DF" w:rsidP="003C28DF">
      <w:pPr>
        <w:numPr>
          <w:ilvl w:val="0"/>
          <w:numId w:val="3"/>
        </w:numPr>
        <w:tabs>
          <w:tab w:val="left" w:pos="1560"/>
        </w:tabs>
        <w:autoSpaceDE w:val="0"/>
        <w:autoSpaceDN w:val="0"/>
        <w:spacing w:before="120"/>
        <w:ind w:hanging="437"/>
        <w:jc w:val="both"/>
        <w:rPr>
          <w:rFonts w:ascii="Arial" w:hAnsi="Arial" w:cs="Arial"/>
          <w:sz w:val="20"/>
          <w:szCs w:val="20"/>
          <w:lang w:val="en-US"/>
        </w:rPr>
      </w:pPr>
      <w:r w:rsidRPr="00D47F76">
        <w:rPr>
          <w:rFonts w:ascii="Arial" w:hAnsi="Arial" w:cs="Arial"/>
          <w:color w:val="000000"/>
          <w:sz w:val="20"/>
          <w:szCs w:val="20"/>
          <w:lang w:val="en-US"/>
        </w:rPr>
        <w:t xml:space="preserve">In case </w:t>
      </w:r>
      <w:r>
        <w:rPr>
          <w:rFonts w:ascii="Arial" w:hAnsi="Arial" w:cs="Arial"/>
          <w:color w:val="000000"/>
          <w:sz w:val="20"/>
          <w:szCs w:val="20"/>
          <w:lang w:val="en-US"/>
        </w:rPr>
        <w:t xml:space="preserve">the </w:t>
      </w:r>
      <w:r w:rsidRPr="00D47F76">
        <w:rPr>
          <w:rFonts w:ascii="Arial" w:hAnsi="Arial" w:cs="Arial"/>
          <w:color w:val="000000"/>
          <w:sz w:val="20"/>
          <w:szCs w:val="20"/>
          <w:lang w:val="en-US"/>
        </w:rPr>
        <w:t>variation margin for the Contract has not been calculated before</w:t>
      </w:r>
      <w:r w:rsidRPr="00D60C69">
        <w:rPr>
          <w:rFonts w:ascii="Arial" w:hAnsi="Arial" w:cs="Arial"/>
          <w:color w:val="000000"/>
          <w:sz w:val="20"/>
          <w:szCs w:val="20"/>
          <w:lang w:val="en-US"/>
        </w:rPr>
        <w:t>:</w:t>
      </w:r>
    </w:p>
    <w:p w:rsidR="003C28DF" w:rsidRPr="00D60C69" w:rsidRDefault="003C28DF" w:rsidP="003C28DF">
      <w:pPr>
        <w:tabs>
          <w:tab w:val="left" w:pos="2780"/>
        </w:tabs>
        <w:spacing w:before="120"/>
        <w:ind w:left="1560"/>
        <w:jc w:val="both"/>
        <w:rPr>
          <w:rFonts w:ascii="Arial" w:hAnsi="Arial" w:cs="Arial"/>
          <w:b/>
          <w:color w:val="000000"/>
          <w:sz w:val="20"/>
          <w:szCs w:val="20"/>
          <w:lang w:val="en-US"/>
        </w:rPr>
      </w:pPr>
      <w:r w:rsidRPr="00D60C69">
        <w:rPr>
          <w:rFonts w:ascii="Arial" w:hAnsi="Arial" w:cs="Arial"/>
          <w:b/>
          <w:color w:val="000000"/>
          <w:sz w:val="20"/>
          <w:szCs w:val="20"/>
          <w:lang w:val="en-US"/>
        </w:rPr>
        <w:t>VМ</w:t>
      </w:r>
      <w:r w:rsidRPr="00D60C69">
        <w:rPr>
          <w:rFonts w:ascii="Arial" w:hAnsi="Arial" w:cs="Arial"/>
          <w:b/>
          <w:color w:val="000000"/>
          <w:sz w:val="20"/>
          <w:szCs w:val="20"/>
          <w:vertAlign w:val="subscript"/>
          <w:lang w:val="en-US"/>
        </w:rPr>
        <w:t>1</w:t>
      </w:r>
      <w:r w:rsidRPr="00D60C69">
        <w:rPr>
          <w:rFonts w:ascii="Arial" w:hAnsi="Arial" w:cs="Arial"/>
          <w:b/>
          <w:color w:val="000000"/>
          <w:sz w:val="20"/>
          <w:szCs w:val="20"/>
          <w:lang w:val="en-US"/>
        </w:rPr>
        <w:t xml:space="preserve"> = Round (SP</w:t>
      </w:r>
      <w:r w:rsidRPr="00D60C69">
        <w:rPr>
          <w:rFonts w:ascii="Arial" w:hAnsi="Arial" w:cs="Arial"/>
          <w:b/>
          <w:color w:val="000000"/>
          <w:sz w:val="20"/>
          <w:szCs w:val="20"/>
          <w:vertAlign w:val="subscript"/>
          <w:lang w:val="en-US"/>
        </w:rPr>
        <w:t>1</w:t>
      </w:r>
      <w:r w:rsidRPr="00D60C69">
        <w:rPr>
          <w:rFonts w:ascii="Arial" w:hAnsi="Arial" w:cs="Arial"/>
          <w:b/>
          <w:color w:val="000000"/>
          <w:sz w:val="20"/>
          <w:szCs w:val="20"/>
          <w:lang w:val="en-US"/>
        </w:rPr>
        <w:t>*Round</w:t>
      </w:r>
      <w:r>
        <w:rPr>
          <w:rFonts w:ascii="Arial" w:hAnsi="Arial" w:cs="Arial"/>
          <w:b/>
          <w:color w:val="000000"/>
          <w:sz w:val="20"/>
          <w:szCs w:val="20"/>
          <w:lang w:val="en-US"/>
        </w:rPr>
        <w:t xml:space="preserve"> </w:t>
      </w:r>
      <w:r w:rsidRPr="00D60C69">
        <w:rPr>
          <w:rFonts w:ascii="Arial" w:hAnsi="Arial" w:cs="Arial"/>
          <w:b/>
          <w:color w:val="000000"/>
          <w:sz w:val="20"/>
          <w:szCs w:val="20"/>
          <w:lang w:val="en-US"/>
        </w:rPr>
        <w:t>(W</w:t>
      </w:r>
      <w:r w:rsidRPr="00D60C69">
        <w:rPr>
          <w:rFonts w:ascii="Arial" w:hAnsi="Arial" w:cs="Arial"/>
          <w:b/>
          <w:color w:val="000000"/>
          <w:sz w:val="20"/>
          <w:szCs w:val="20"/>
          <w:vertAlign w:val="subscript"/>
          <w:lang w:val="en-US"/>
        </w:rPr>
        <w:t>1</w:t>
      </w:r>
      <w:r w:rsidRPr="00D60C69">
        <w:rPr>
          <w:rFonts w:ascii="Arial" w:hAnsi="Arial" w:cs="Arial"/>
          <w:b/>
          <w:color w:val="000000"/>
          <w:sz w:val="20"/>
          <w:szCs w:val="20"/>
          <w:lang w:val="en-US"/>
        </w:rPr>
        <w:t>/R; 5); 2) – Round (P</w:t>
      </w:r>
      <w:r w:rsidRPr="00D60C69">
        <w:rPr>
          <w:rFonts w:ascii="Arial" w:hAnsi="Arial" w:cs="Arial"/>
          <w:b/>
          <w:color w:val="000000"/>
          <w:sz w:val="20"/>
          <w:szCs w:val="20"/>
          <w:vertAlign w:val="subscript"/>
          <w:lang w:val="en-US"/>
        </w:rPr>
        <w:t>0</w:t>
      </w:r>
      <w:r w:rsidRPr="00D60C69">
        <w:rPr>
          <w:rFonts w:ascii="Arial" w:hAnsi="Arial" w:cs="Arial"/>
          <w:b/>
          <w:color w:val="000000"/>
          <w:sz w:val="20"/>
          <w:szCs w:val="20"/>
          <w:lang w:val="en-US"/>
        </w:rPr>
        <w:t>*Round (W</w:t>
      </w:r>
      <w:r w:rsidRPr="00D60C69">
        <w:rPr>
          <w:rFonts w:ascii="Arial" w:hAnsi="Arial" w:cs="Arial"/>
          <w:b/>
          <w:color w:val="000000"/>
          <w:sz w:val="20"/>
          <w:szCs w:val="20"/>
          <w:vertAlign w:val="subscript"/>
          <w:lang w:val="en-US"/>
        </w:rPr>
        <w:t>1</w:t>
      </w:r>
      <w:r w:rsidRPr="00D60C69">
        <w:rPr>
          <w:rFonts w:ascii="Arial" w:hAnsi="Arial" w:cs="Arial"/>
          <w:b/>
          <w:color w:val="000000"/>
          <w:sz w:val="20"/>
          <w:szCs w:val="20"/>
          <w:lang w:val="en-US"/>
        </w:rPr>
        <w:t>/R; 5); 2</w:t>
      </w:r>
    </w:p>
    <w:p w:rsidR="003C28DF" w:rsidRPr="00D60C69" w:rsidRDefault="003C28DF" w:rsidP="003C28DF">
      <w:pPr>
        <w:tabs>
          <w:tab w:val="left" w:pos="9000"/>
        </w:tabs>
        <w:autoSpaceDE w:val="0"/>
        <w:autoSpaceDN w:val="0"/>
        <w:spacing w:before="120"/>
        <w:ind w:left="1560"/>
        <w:jc w:val="both"/>
        <w:rPr>
          <w:rFonts w:ascii="Arial" w:hAnsi="Arial" w:cs="Arial"/>
          <w:sz w:val="20"/>
          <w:szCs w:val="20"/>
          <w:lang w:val="en-US"/>
        </w:rPr>
      </w:pPr>
      <w:r w:rsidRPr="00D60C69">
        <w:rPr>
          <w:rFonts w:ascii="Arial" w:hAnsi="Arial" w:cs="Arial"/>
          <w:sz w:val="20"/>
          <w:szCs w:val="20"/>
          <w:lang w:val="en-US"/>
        </w:rPr>
        <w:t>where:</w:t>
      </w:r>
      <w:r w:rsidRPr="00D60C69">
        <w:rPr>
          <w:rFonts w:ascii="Arial" w:hAnsi="Arial" w:cs="Arial"/>
          <w:sz w:val="20"/>
          <w:szCs w:val="20"/>
          <w:lang w:val="en-US"/>
        </w:rPr>
        <w:tab/>
      </w:r>
    </w:p>
    <w:p w:rsidR="003C28DF" w:rsidRPr="003F0F28" w:rsidRDefault="003C28DF" w:rsidP="003C28DF">
      <w:pPr>
        <w:tabs>
          <w:tab w:val="left" w:pos="9000"/>
        </w:tabs>
        <w:autoSpaceDE w:val="0"/>
        <w:autoSpaceDN w:val="0"/>
        <w:ind w:left="1560"/>
        <w:jc w:val="both"/>
        <w:rPr>
          <w:rFonts w:ascii="Arial" w:hAnsi="Arial" w:cs="Arial"/>
          <w:sz w:val="20"/>
          <w:szCs w:val="20"/>
          <w:lang w:val="en-US"/>
        </w:rPr>
      </w:pPr>
      <w:r w:rsidRPr="003F0F28">
        <w:rPr>
          <w:rFonts w:ascii="Arial" w:hAnsi="Arial" w:cs="Arial"/>
          <w:sz w:val="20"/>
          <w:szCs w:val="20"/>
          <w:lang w:val="en-US"/>
        </w:rPr>
        <w:t>V</w:t>
      </w:r>
      <w:r w:rsidRPr="003F0F28">
        <w:rPr>
          <w:rFonts w:ascii="Arial" w:hAnsi="Arial" w:cs="Arial"/>
          <w:sz w:val="20"/>
          <w:szCs w:val="20"/>
        </w:rPr>
        <w:t>М</w:t>
      </w:r>
      <w:r w:rsidRPr="003F0F28">
        <w:rPr>
          <w:rFonts w:ascii="Arial" w:hAnsi="Arial" w:cs="Arial"/>
          <w:sz w:val="20"/>
          <w:szCs w:val="20"/>
          <w:vertAlign w:val="subscript"/>
          <w:lang w:val="en-US"/>
        </w:rPr>
        <w:t>1</w:t>
      </w:r>
      <w:r w:rsidRPr="003F0F28">
        <w:rPr>
          <w:rFonts w:ascii="Arial" w:hAnsi="Arial" w:cs="Arial"/>
          <w:sz w:val="20"/>
          <w:szCs w:val="20"/>
          <w:lang w:val="en-US"/>
        </w:rPr>
        <w:t xml:space="preserve"> – variation margin for the current trading day’s intraday settlement period, calculated durin</w:t>
      </w:r>
      <w:r>
        <w:rPr>
          <w:rFonts w:ascii="Arial" w:hAnsi="Arial" w:cs="Arial"/>
          <w:sz w:val="20"/>
          <w:szCs w:val="20"/>
          <w:lang w:val="en-US"/>
        </w:rPr>
        <w:t>g the intraday clearing session;</w:t>
      </w:r>
    </w:p>
    <w:p w:rsidR="003C28DF" w:rsidRPr="003F0F28" w:rsidRDefault="003C28DF" w:rsidP="003C28DF">
      <w:pPr>
        <w:tabs>
          <w:tab w:val="left" w:pos="9000"/>
        </w:tabs>
        <w:autoSpaceDE w:val="0"/>
        <w:autoSpaceDN w:val="0"/>
        <w:ind w:left="1560"/>
        <w:jc w:val="both"/>
        <w:rPr>
          <w:rFonts w:ascii="Arial" w:hAnsi="Arial" w:cs="Arial"/>
          <w:sz w:val="20"/>
          <w:szCs w:val="20"/>
          <w:lang w:val="en-US"/>
        </w:rPr>
      </w:pPr>
      <w:r w:rsidRPr="003F0F28">
        <w:rPr>
          <w:rFonts w:ascii="Arial" w:hAnsi="Arial" w:cs="Arial"/>
          <w:sz w:val="20"/>
          <w:szCs w:val="20"/>
          <w:lang w:val="en-US"/>
        </w:rPr>
        <w:t>Round – mathematical rounding to the specified precision;</w:t>
      </w:r>
    </w:p>
    <w:p w:rsidR="003C28DF" w:rsidRPr="003F0F28" w:rsidRDefault="003C28DF" w:rsidP="003C28DF">
      <w:pPr>
        <w:tabs>
          <w:tab w:val="left" w:pos="9000"/>
        </w:tabs>
        <w:autoSpaceDE w:val="0"/>
        <w:autoSpaceDN w:val="0"/>
        <w:ind w:left="1560"/>
        <w:jc w:val="both"/>
        <w:rPr>
          <w:rFonts w:ascii="Arial" w:hAnsi="Arial" w:cs="Arial"/>
          <w:sz w:val="20"/>
          <w:szCs w:val="20"/>
          <w:lang w:val="en-US"/>
        </w:rPr>
      </w:pPr>
      <w:r w:rsidRPr="003F0F28">
        <w:rPr>
          <w:rFonts w:ascii="Arial" w:hAnsi="Arial" w:cs="Arial"/>
          <w:sz w:val="20"/>
          <w:szCs w:val="20"/>
          <w:lang w:val="en-US"/>
        </w:rPr>
        <w:t>P</w:t>
      </w:r>
      <w:r w:rsidRPr="003F0F28">
        <w:rPr>
          <w:rFonts w:ascii="Arial" w:hAnsi="Arial" w:cs="Arial"/>
          <w:sz w:val="20"/>
          <w:szCs w:val="20"/>
          <w:vertAlign w:val="subscript"/>
          <w:lang w:val="en-US"/>
        </w:rPr>
        <w:t>o</w:t>
      </w:r>
      <w:r w:rsidRPr="003F0F28">
        <w:rPr>
          <w:rFonts w:ascii="Arial" w:hAnsi="Arial" w:cs="Arial"/>
          <w:sz w:val="20"/>
          <w:szCs w:val="20"/>
          <w:lang w:val="en-US"/>
        </w:rPr>
        <w:t xml:space="preserve"> – execution price of the Contract;</w:t>
      </w:r>
    </w:p>
    <w:p w:rsidR="003C28DF" w:rsidRPr="003F0F28" w:rsidRDefault="003C28DF" w:rsidP="003C28DF">
      <w:pPr>
        <w:tabs>
          <w:tab w:val="left" w:pos="9000"/>
        </w:tabs>
        <w:autoSpaceDE w:val="0"/>
        <w:autoSpaceDN w:val="0"/>
        <w:ind w:left="1560"/>
        <w:jc w:val="both"/>
        <w:rPr>
          <w:rFonts w:ascii="Arial" w:hAnsi="Arial" w:cs="Arial"/>
          <w:sz w:val="20"/>
          <w:szCs w:val="20"/>
          <w:lang w:val="en-US"/>
        </w:rPr>
      </w:pPr>
      <w:r w:rsidRPr="003F0F28">
        <w:rPr>
          <w:rFonts w:ascii="Arial" w:hAnsi="Arial" w:cs="Arial"/>
          <w:sz w:val="20"/>
          <w:szCs w:val="20"/>
          <w:lang w:val="en-US"/>
        </w:rPr>
        <w:t>SP</w:t>
      </w:r>
      <w:r w:rsidRPr="003F0F28">
        <w:rPr>
          <w:rFonts w:ascii="Arial" w:hAnsi="Arial" w:cs="Arial"/>
          <w:sz w:val="20"/>
          <w:szCs w:val="20"/>
          <w:vertAlign w:val="subscript"/>
          <w:lang w:val="en-US"/>
        </w:rPr>
        <w:t>1</w:t>
      </w:r>
      <w:r w:rsidRPr="003F0F28">
        <w:rPr>
          <w:rFonts w:ascii="Arial" w:hAnsi="Arial" w:cs="Arial"/>
          <w:sz w:val="20"/>
          <w:szCs w:val="20"/>
          <w:lang w:val="en-US"/>
        </w:rPr>
        <w:t xml:space="preserve"> – current settlement price of the Contract;</w:t>
      </w:r>
    </w:p>
    <w:p w:rsidR="003C28DF" w:rsidRPr="003F0F28" w:rsidRDefault="003C28DF" w:rsidP="003C28DF">
      <w:pPr>
        <w:tabs>
          <w:tab w:val="left" w:pos="9000"/>
        </w:tabs>
        <w:autoSpaceDE w:val="0"/>
        <w:autoSpaceDN w:val="0"/>
        <w:ind w:left="1560"/>
        <w:jc w:val="both"/>
        <w:rPr>
          <w:rFonts w:ascii="Arial" w:hAnsi="Arial" w:cs="Arial"/>
          <w:sz w:val="20"/>
          <w:szCs w:val="20"/>
          <w:lang w:val="en-US"/>
        </w:rPr>
      </w:pPr>
      <w:r w:rsidRPr="003F0F28">
        <w:rPr>
          <w:rFonts w:ascii="Arial" w:hAnsi="Arial" w:cs="Arial"/>
          <w:sz w:val="20"/>
          <w:szCs w:val="20"/>
          <w:lang w:val="en-US"/>
        </w:rPr>
        <w:t>W</w:t>
      </w:r>
      <w:r w:rsidRPr="003F0F28">
        <w:rPr>
          <w:rFonts w:ascii="Arial" w:hAnsi="Arial" w:cs="Arial"/>
          <w:sz w:val="20"/>
          <w:szCs w:val="20"/>
          <w:vertAlign w:val="subscript"/>
          <w:lang w:val="en-US"/>
        </w:rPr>
        <w:t xml:space="preserve">1 </w:t>
      </w:r>
      <w:r>
        <w:rPr>
          <w:rFonts w:ascii="Arial" w:hAnsi="Arial" w:cs="Arial"/>
          <w:sz w:val="20"/>
          <w:szCs w:val="20"/>
          <w:lang w:val="en-US"/>
        </w:rPr>
        <w:t>– tick value;</w:t>
      </w:r>
    </w:p>
    <w:p w:rsidR="003C28DF" w:rsidRPr="003F0F28" w:rsidRDefault="003C28DF" w:rsidP="003C28DF">
      <w:pPr>
        <w:tabs>
          <w:tab w:val="left" w:pos="9000"/>
        </w:tabs>
        <w:autoSpaceDE w:val="0"/>
        <w:autoSpaceDN w:val="0"/>
        <w:ind w:left="1560"/>
        <w:jc w:val="both"/>
        <w:rPr>
          <w:rFonts w:ascii="Arial" w:hAnsi="Arial" w:cs="Arial"/>
          <w:sz w:val="20"/>
          <w:szCs w:val="20"/>
          <w:lang w:val="en-US"/>
        </w:rPr>
      </w:pPr>
      <w:r w:rsidRPr="003F0F28">
        <w:rPr>
          <w:rFonts w:ascii="Arial" w:hAnsi="Arial" w:cs="Arial"/>
          <w:sz w:val="20"/>
          <w:szCs w:val="20"/>
          <w:lang w:val="en-US"/>
        </w:rPr>
        <w:t>R – tick size.</w:t>
      </w:r>
    </w:p>
    <w:p w:rsidR="003C28DF" w:rsidRPr="00D60C69" w:rsidRDefault="003C28DF" w:rsidP="003C28DF">
      <w:pPr>
        <w:numPr>
          <w:ilvl w:val="0"/>
          <w:numId w:val="3"/>
        </w:numPr>
        <w:autoSpaceDE w:val="0"/>
        <w:autoSpaceDN w:val="0"/>
        <w:spacing w:before="120"/>
        <w:ind w:left="1701" w:hanging="567"/>
        <w:jc w:val="both"/>
        <w:rPr>
          <w:rFonts w:ascii="Arial" w:hAnsi="Arial" w:cs="Arial"/>
          <w:sz w:val="20"/>
          <w:szCs w:val="20"/>
          <w:lang w:val="en-US"/>
        </w:rPr>
      </w:pPr>
      <w:r w:rsidRPr="00D60C69">
        <w:rPr>
          <w:rFonts w:ascii="Arial" w:hAnsi="Arial" w:cs="Arial"/>
          <w:sz w:val="20"/>
          <w:szCs w:val="20"/>
          <w:lang w:val="en-US"/>
        </w:rPr>
        <w:t>If the variation margin has been calculated before:</w:t>
      </w:r>
    </w:p>
    <w:p w:rsidR="003C28DF" w:rsidRPr="00D60C69" w:rsidRDefault="003C28DF" w:rsidP="003C28DF">
      <w:pPr>
        <w:spacing w:before="120"/>
        <w:ind w:left="1560"/>
        <w:jc w:val="both"/>
        <w:rPr>
          <w:rFonts w:ascii="Arial" w:hAnsi="Arial" w:cs="Arial"/>
          <w:b/>
          <w:sz w:val="20"/>
          <w:szCs w:val="20"/>
          <w:lang w:val="en-US"/>
        </w:rPr>
      </w:pPr>
      <w:r w:rsidRPr="00D60C69">
        <w:rPr>
          <w:rFonts w:ascii="Arial" w:hAnsi="Arial" w:cs="Arial"/>
          <w:b/>
          <w:sz w:val="20"/>
          <w:szCs w:val="20"/>
          <w:lang w:val="en-US"/>
        </w:rPr>
        <w:t>VМ</w:t>
      </w:r>
      <w:r w:rsidRPr="00D60C69">
        <w:rPr>
          <w:rFonts w:ascii="Arial" w:hAnsi="Arial" w:cs="Arial"/>
          <w:b/>
          <w:sz w:val="20"/>
          <w:szCs w:val="20"/>
          <w:vertAlign w:val="subscript"/>
          <w:lang w:val="en-US"/>
        </w:rPr>
        <w:t>1</w:t>
      </w:r>
      <w:r w:rsidRPr="00D60C69">
        <w:rPr>
          <w:rFonts w:ascii="Arial" w:hAnsi="Arial" w:cs="Arial"/>
          <w:b/>
          <w:sz w:val="20"/>
          <w:szCs w:val="20"/>
          <w:lang w:val="en-US"/>
        </w:rPr>
        <w:t xml:space="preserve"> = Round (SP</w:t>
      </w:r>
      <w:r w:rsidRPr="00D60C69">
        <w:rPr>
          <w:rFonts w:ascii="Arial" w:hAnsi="Arial" w:cs="Arial"/>
          <w:b/>
          <w:sz w:val="20"/>
          <w:szCs w:val="20"/>
          <w:vertAlign w:val="subscript"/>
          <w:lang w:val="en-US"/>
        </w:rPr>
        <w:t>1</w:t>
      </w:r>
      <w:r w:rsidRPr="00D60C69">
        <w:rPr>
          <w:rFonts w:ascii="Arial" w:hAnsi="Arial" w:cs="Arial"/>
          <w:b/>
          <w:sz w:val="20"/>
          <w:szCs w:val="20"/>
          <w:lang w:val="en-US"/>
        </w:rPr>
        <w:t>*Round</w:t>
      </w:r>
      <w:r>
        <w:rPr>
          <w:rFonts w:ascii="Arial" w:hAnsi="Arial" w:cs="Arial"/>
          <w:b/>
          <w:sz w:val="20"/>
          <w:szCs w:val="20"/>
          <w:lang w:val="en-US"/>
        </w:rPr>
        <w:t xml:space="preserve"> </w:t>
      </w:r>
      <w:r w:rsidRPr="00D60C69">
        <w:rPr>
          <w:rFonts w:ascii="Arial" w:hAnsi="Arial" w:cs="Arial"/>
          <w:b/>
          <w:sz w:val="20"/>
          <w:szCs w:val="20"/>
          <w:lang w:val="en-US"/>
        </w:rPr>
        <w:t>(W</w:t>
      </w:r>
      <w:r w:rsidRPr="00D60C69">
        <w:rPr>
          <w:rFonts w:ascii="Arial" w:hAnsi="Arial" w:cs="Arial"/>
          <w:b/>
          <w:sz w:val="20"/>
          <w:szCs w:val="20"/>
          <w:vertAlign w:val="subscript"/>
          <w:lang w:val="en-US"/>
        </w:rPr>
        <w:t>1</w:t>
      </w:r>
      <w:r w:rsidRPr="00D60C69">
        <w:rPr>
          <w:rFonts w:ascii="Arial" w:hAnsi="Arial" w:cs="Arial"/>
          <w:b/>
          <w:sz w:val="20"/>
          <w:szCs w:val="20"/>
          <w:lang w:val="en-US"/>
        </w:rPr>
        <w:t>/R; 5); 2) – Round (SP</w:t>
      </w:r>
      <w:r w:rsidRPr="00D60C69">
        <w:rPr>
          <w:rFonts w:ascii="Arial" w:hAnsi="Arial" w:cs="Arial"/>
          <w:b/>
          <w:sz w:val="20"/>
          <w:szCs w:val="20"/>
          <w:vertAlign w:val="subscript"/>
          <w:lang w:val="en-US"/>
        </w:rPr>
        <w:t>p</w:t>
      </w:r>
      <w:r w:rsidRPr="00D60C69">
        <w:rPr>
          <w:rFonts w:ascii="Arial" w:hAnsi="Arial" w:cs="Arial"/>
          <w:b/>
          <w:sz w:val="20"/>
          <w:szCs w:val="20"/>
          <w:lang w:val="en-US"/>
        </w:rPr>
        <w:t>*Round</w:t>
      </w:r>
      <w:r>
        <w:rPr>
          <w:rFonts w:ascii="Arial" w:hAnsi="Arial" w:cs="Arial"/>
          <w:b/>
          <w:sz w:val="20"/>
          <w:szCs w:val="20"/>
          <w:lang w:val="en-US"/>
        </w:rPr>
        <w:t xml:space="preserve"> </w:t>
      </w:r>
      <w:r w:rsidRPr="00D60C69">
        <w:rPr>
          <w:rFonts w:ascii="Arial" w:hAnsi="Arial" w:cs="Arial"/>
          <w:b/>
          <w:sz w:val="20"/>
          <w:szCs w:val="20"/>
          <w:lang w:val="en-US"/>
        </w:rPr>
        <w:t>(W</w:t>
      </w:r>
      <w:r w:rsidRPr="00D60C69">
        <w:rPr>
          <w:rFonts w:ascii="Arial" w:hAnsi="Arial" w:cs="Arial"/>
          <w:b/>
          <w:sz w:val="20"/>
          <w:szCs w:val="20"/>
          <w:vertAlign w:val="subscript"/>
          <w:lang w:val="en-US"/>
        </w:rPr>
        <w:t>1</w:t>
      </w:r>
      <w:r w:rsidRPr="00D60C69">
        <w:rPr>
          <w:rFonts w:ascii="Arial" w:hAnsi="Arial" w:cs="Arial"/>
          <w:b/>
          <w:sz w:val="20"/>
          <w:szCs w:val="20"/>
          <w:lang w:val="en-US"/>
        </w:rPr>
        <w:t>/R; 5); 2)</w:t>
      </w:r>
    </w:p>
    <w:p w:rsidR="003C28DF" w:rsidRPr="00D60C69" w:rsidRDefault="003C28DF" w:rsidP="003C28DF">
      <w:pPr>
        <w:spacing w:before="120"/>
        <w:ind w:left="1560"/>
        <w:jc w:val="both"/>
        <w:rPr>
          <w:rFonts w:ascii="Arial" w:hAnsi="Arial" w:cs="Arial"/>
          <w:iCs/>
          <w:sz w:val="20"/>
          <w:szCs w:val="20"/>
          <w:lang w:val="en-US"/>
        </w:rPr>
      </w:pPr>
      <w:r w:rsidRPr="00D60C69">
        <w:rPr>
          <w:rFonts w:ascii="Arial" w:hAnsi="Arial" w:cs="Arial"/>
          <w:iCs/>
          <w:sz w:val="20"/>
          <w:szCs w:val="20"/>
          <w:lang w:val="en-US"/>
        </w:rPr>
        <w:t>where:</w:t>
      </w:r>
    </w:p>
    <w:p w:rsidR="003C28DF" w:rsidRPr="00D60C69" w:rsidRDefault="003C28DF" w:rsidP="003C28DF">
      <w:pPr>
        <w:ind w:left="1560"/>
        <w:jc w:val="both"/>
        <w:rPr>
          <w:rFonts w:ascii="Arial" w:eastAsia="Calibri" w:hAnsi="Arial" w:cs="Arial"/>
          <w:iCs/>
          <w:sz w:val="20"/>
          <w:szCs w:val="20"/>
          <w:lang w:val="en-US" w:eastAsia="en-US"/>
        </w:rPr>
      </w:pPr>
      <w:r w:rsidRPr="00D60C69">
        <w:rPr>
          <w:rFonts w:ascii="Arial" w:eastAsia="Calibri" w:hAnsi="Arial" w:cs="Arial"/>
          <w:iCs/>
          <w:sz w:val="20"/>
          <w:szCs w:val="20"/>
          <w:lang w:val="en-US" w:eastAsia="en-US"/>
        </w:rPr>
        <w:t>V</w:t>
      </w:r>
      <w:r w:rsidRPr="00D60C69">
        <w:rPr>
          <w:rFonts w:ascii="Arial" w:eastAsia="Calibri" w:hAnsi="Arial" w:cs="Arial"/>
          <w:iCs/>
          <w:sz w:val="20"/>
          <w:szCs w:val="20"/>
          <w:lang w:eastAsia="en-US"/>
        </w:rPr>
        <w:t>М</w:t>
      </w:r>
      <w:r w:rsidRPr="00D60C69">
        <w:rPr>
          <w:rFonts w:ascii="Arial" w:eastAsia="Calibri" w:hAnsi="Arial" w:cs="Arial"/>
          <w:iCs/>
          <w:sz w:val="20"/>
          <w:szCs w:val="20"/>
          <w:lang w:val="en-US" w:eastAsia="en-US"/>
        </w:rPr>
        <w:t xml:space="preserve">1 – </w:t>
      </w:r>
      <w:r w:rsidRPr="003F0F28">
        <w:rPr>
          <w:rFonts w:ascii="Arial" w:hAnsi="Arial" w:cs="Arial"/>
          <w:sz w:val="20"/>
          <w:szCs w:val="20"/>
          <w:lang w:val="en-US"/>
        </w:rPr>
        <w:t>variation margin for the current trading day’s intraday settlement period, calculated durin</w:t>
      </w:r>
      <w:r>
        <w:rPr>
          <w:rFonts w:ascii="Arial" w:hAnsi="Arial" w:cs="Arial"/>
          <w:sz w:val="20"/>
          <w:szCs w:val="20"/>
          <w:lang w:val="en-US"/>
        </w:rPr>
        <w:t>g the intraday clearing session;</w:t>
      </w:r>
    </w:p>
    <w:p w:rsidR="003C28DF" w:rsidRPr="00D60C69" w:rsidRDefault="003C28DF" w:rsidP="003C28DF">
      <w:pPr>
        <w:ind w:left="1560"/>
        <w:jc w:val="both"/>
        <w:rPr>
          <w:rFonts w:ascii="Arial" w:eastAsia="Calibri" w:hAnsi="Arial" w:cs="Arial"/>
          <w:iCs/>
          <w:sz w:val="20"/>
          <w:szCs w:val="20"/>
          <w:lang w:val="en-US" w:eastAsia="en-US"/>
        </w:rPr>
      </w:pPr>
      <w:r w:rsidRPr="00D60C69">
        <w:rPr>
          <w:rFonts w:ascii="Arial" w:eastAsia="Calibri" w:hAnsi="Arial" w:cs="Arial"/>
          <w:iCs/>
          <w:sz w:val="20"/>
          <w:szCs w:val="20"/>
          <w:lang w:val="en-US" w:eastAsia="en-US"/>
        </w:rPr>
        <w:t xml:space="preserve">Round – </w:t>
      </w:r>
      <w:r w:rsidRPr="003F0F28">
        <w:rPr>
          <w:rFonts w:ascii="Arial" w:hAnsi="Arial" w:cs="Arial"/>
          <w:sz w:val="20"/>
          <w:szCs w:val="20"/>
          <w:lang w:val="en-US"/>
        </w:rPr>
        <w:t>mathematical rounding to the specified precision;</w:t>
      </w:r>
    </w:p>
    <w:p w:rsidR="003C28DF" w:rsidRPr="00D60C69" w:rsidRDefault="003C28DF" w:rsidP="003C28DF">
      <w:pPr>
        <w:ind w:left="1560"/>
        <w:jc w:val="both"/>
        <w:rPr>
          <w:rFonts w:ascii="Arial" w:eastAsia="Calibri" w:hAnsi="Arial" w:cs="Arial"/>
          <w:iCs/>
          <w:sz w:val="20"/>
          <w:szCs w:val="20"/>
          <w:lang w:val="en-US" w:eastAsia="en-US"/>
        </w:rPr>
      </w:pPr>
      <w:r w:rsidRPr="00D60C69">
        <w:rPr>
          <w:rFonts w:ascii="Arial" w:eastAsia="Calibri" w:hAnsi="Arial" w:cs="Arial"/>
          <w:iCs/>
          <w:sz w:val="20"/>
          <w:szCs w:val="20"/>
          <w:lang w:val="en-US" w:eastAsia="en-US"/>
        </w:rPr>
        <w:t>SP1 – current settlement price of the Contract;</w:t>
      </w:r>
    </w:p>
    <w:p w:rsidR="003C28DF" w:rsidRPr="00D60C69" w:rsidRDefault="003C28DF" w:rsidP="003C28DF">
      <w:pPr>
        <w:ind w:left="1560"/>
        <w:jc w:val="both"/>
        <w:rPr>
          <w:rFonts w:ascii="Arial" w:eastAsia="Calibri" w:hAnsi="Arial" w:cs="Arial"/>
          <w:iCs/>
          <w:sz w:val="20"/>
          <w:szCs w:val="20"/>
          <w:lang w:val="en-US" w:eastAsia="en-US"/>
        </w:rPr>
      </w:pPr>
      <w:r w:rsidRPr="00D60C69">
        <w:rPr>
          <w:rFonts w:ascii="Arial" w:eastAsia="Calibri" w:hAnsi="Arial" w:cs="Arial"/>
          <w:iCs/>
          <w:sz w:val="20"/>
          <w:szCs w:val="20"/>
          <w:lang w:val="en-US" w:eastAsia="en-US"/>
        </w:rPr>
        <w:t>SPp – settlement price of the Contract calculated during the previous trading day’s</w:t>
      </w:r>
      <w:r w:rsidRPr="00D60C69" w:rsidDel="00273124">
        <w:rPr>
          <w:rFonts w:ascii="Arial" w:eastAsia="Calibri" w:hAnsi="Arial" w:cs="Arial"/>
          <w:iCs/>
          <w:sz w:val="20"/>
          <w:szCs w:val="20"/>
          <w:lang w:val="en-US" w:eastAsia="en-US"/>
        </w:rPr>
        <w:t xml:space="preserve"> </w:t>
      </w:r>
      <w:r w:rsidRPr="00D60C69">
        <w:rPr>
          <w:rFonts w:ascii="Arial" w:eastAsia="Calibri" w:hAnsi="Arial" w:cs="Arial"/>
          <w:iCs/>
          <w:sz w:val="20"/>
          <w:szCs w:val="20"/>
          <w:lang w:val="en-US" w:eastAsia="en-US"/>
        </w:rPr>
        <w:t>evening cle</w:t>
      </w:r>
      <w:r>
        <w:rPr>
          <w:rFonts w:ascii="Arial" w:eastAsia="Calibri" w:hAnsi="Arial" w:cs="Arial"/>
          <w:iCs/>
          <w:sz w:val="20"/>
          <w:szCs w:val="20"/>
          <w:lang w:val="en-US" w:eastAsia="en-US"/>
        </w:rPr>
        <w:t>aring session;</w:t>
      </w:r>
    </w:p>
    <w:p w:rsidR="003C28DF" w:rsidRPr="00D60C69" w:rsidRDefault="003C28DF" w:rsidP="003C28DF">
      <w:pPr>
        <w:ind w:left="1560"/>
        <w:jc w:val="both"/>
        <w:rPr>
          <w:rFonts w:ascii="Arial" w:eastAsia="Calibri" w:hAnsi="Arial" w:cs="Arial"/>
          <w:iCs/>
          <w:sz w:val="20"/>
          <w:szCs w:val="20"/>
          <w:lang w:val="en-US" w:eastAsia="en-US"/>
        </w:rPr>
      </w:pPr>
      <w:r>
        <w:rPr>
          <w:rFonts w:ascii="Arial" w:eastAsia="Calibri" w:hAnsi="Arial" w:cs="Arial"/>
          <w:iCs/>
          <w:sz w:val="20"/>
          <w:szCs w:val="20"/>
          <w:lang w:val="en-US" w:eastAsia="en-US"/>
        </w:rPr>
        <w:t>W1 – tick value;</w:t>
      </w:r>
    </w:p>
    <w:p w:rsidR="003C28DF" w:rsidRPr="00D60C69" w:rsidRDefault="003C28DF" w:rsidP="003C28DF">
      <w:pPr>
        <w:ind w:left="1560"/>
        <w:jc w:val="both"/>
        <w:rPr>
          <w:rFonts w:ascii="Arial" w:hAnsi="Arial" w:cs="Arial"/>
          <w:iCs/>
          <w:sz w:val="20"/>
          <w:szCs w:val="20"/>
          <w:lang w:val="en-US"/>
        </w:rPr>
      </w:pPr>
      <w:r w:rsidRPr="00D60C69">
        <w:rPr>
          <w:rFonts w:ascii="Arial" w:eastAsia="Calibri" w:hAnsi="Arial" w:cs="Arial"/>
          <w:iCs/>
          <w:sz w:val="20"/>
          <w:szCs w:val="20"/>
          <w:lang w:val="en-US" w:eastAsia="en-US"/>
        </w:rPr>
        <w:t>R – tick size</w:t>
      </w:r>
      <w:r w:rsidRPr="00D60C69">
        <w:rPr>
          <w:rFonts w:ascii="Arial" w:hAnsi="Arial" w:cs="Arial"/>
          <w:iCs/>
          <w:sz w:val="20"/>
          <w:szCs w:val="20"/>
          <w:lang w:val="en-US"/>
        </w:rPr>
        <w:t>.</w:t>
      </w:r>
    </w:p>
    <w:p w:rsidR="003C28DF" w:rsidRDefault="003C28DF" w:rsidP="003C28DF">
      <w:pPr>
        <w:autoSpaceDE w:val="0"/>
        <w:autoSpaceDN w:val="0"/>
        <w:spacing w:before="120"/>
        <w:ind w:left="1560"/>
        <w:jc w:val="both"/>
        <w:rPr>
          <w:rFonts w:ascii="Arial" w:hAnsi="Arial" w:cs="Arial"/>
          <w:sz w:val="20"/>
          <w:szCs w:val="20"/>
          <w:lang w:val="en-US"/>
        </w:rPr>
      </w:pPr>
      <w:r w:rsidRPr="00D60C69">
        <w:rPr>
          <w:rFonts w:ascii="Arial" w:hAnsi="Arial" w:cs="Arial"/>
          <w:sz w:val="20"/>
          <w:szCs w:val="20"/>
          <w:lang w:val="en-US"/>
        </w:rPr>
        <w:t>For the purpose of the variation margin calculating during the intraday clearing session, the tick value is determined using the USD/RUB FX rate. The time of the USD/RUB FX rate fixing is set by the Exchange and published on the Exchange’s website.</w:t>
      </w:r>
    </w:p>
    <w:p w:rsidR="003C28DF" w:rsidRPr="00D47F76" w:rsidRDefault="003C28DF" w:rsidP="003C28DF">
      <w:pPr>
        <w:numPr>
          <w:ilvl w:val="3"/>
          <w:numId w:val="6"/>
        </w:numPr>
        <w:autoSpaceDE w:val="0"/>
        <w:autoSpaceDN w:val="0"/>
        <w:spacing w:before="120"/>
        <w:ind w:left="1843"/>
        <w:jc w:val="both"/>
        <w:rPr>
          <w:rFonts w:ascii="Arial" w:hAnsi="Arial" w:cs="Arial"/>
          <w:sz w:val="20"/>
          <w:szCs w:val="20"/>
          <w:lang w:val="en-US"/>
        </w:rPr>
      </w:pPr>
      <w:r w:rsidRPr="00D60C69">
        <w:rPr>
          <w:rFonts w:ascii="Arial" w:hAnsi="Arial" w:cs="Arial"/>
          <w:color w:val="000000"/>
          <w:sz w:val="20"/>
          <w:szCs w:val="20"/>
          <w:lang w:val="en-US"/>
        </w:rPr>
        <w:t>During the evening clearing session:</w:t>
      </w:r>
    </w:p>
    <w:p w:rsidR="003C28DF" w:rsidRPr="00D60C69" w:rsidRDefault="003C28DF" w:rsidP="003C28DF">
      <w:pPr>
        <w:numPr>
          <w:ilvl w:val="0"/>
          <w:numId w:val="7"/>
        </w:numPr>
        <w:tabs>
          <w:tab w:val="left" w:pos="1560"/>
        </w:tabs>
        <w:autoSpaceDE w:val="0"/>
        <w:autoSpaceDN w:val="0"/>
        <w:spacing w:before="120"/>
        <w:ind w:left="1560" w:hanging="426"/>
        <w:jc w:val="both"/>
        <w:rPr>
          <w:rFonts w:ascii="Arial" w:hAnsi="Arial" w:cs="Arial"/>
          <w:sz w:val="20"/>
          <w:szCs w:val="20"/>
          <w:lang w:val="en-US"/>
        </w:rPr>
      </w:pPr>
      <w:r w:rsidRPr="00D47F76">
        <w:rPr>
          <w:rFonts w:ascii="Arial" w:hAnsi="Arial" w:cs="Arial"/>
          <w:color w:val="000000"/>
          <w:sz w:val="20"/>
          <w:szCs w:val="20"/>
          <w:lang w:val="en-US"/>
        </w:rPr>
        <w:t xml:space="preserve">In case </w:t>
      </w:r>
      <w:r>
        <w:rPr>
          <w:rFonts w:ascii="Arial" w:hAnsi="Arial" w:cs="Arial"/>
          <w:color w:val="000000"/>
          <w:sz w:val="20"/>
          <w:szCs w:val="20"/>
          <w:lang w:val="en-US"/>
        </w:rPr>
        <w:t xml:space="preserve">the </w:t>
      </w:r>
      <w:r w:rsidRPr="00D47F76">
        <w:rPr>
          <w:rFonts w:ascii="Arial" w:hAnsi="Arial" w:cs="Arial"/>
          <w:color w:val="000000"/>
          <w:sz w:val="20"/>
          <w:szCs w:val="20"/>
          <w:lang w:val="en-US"/>
        </w:rPr>
        <w:t>variation margin for the Contract has not been calculated before</w:t>
      </w:r>
      <w:r w:rsidRPr="00D60C69">
        <w:rPr>
          <w:rFonts w:ascii="Arial" w:hAnsi="Arial" w:cs="Arial"/>
          <w:color w:val="000000"/>
          <w:sz w:val="20"/>
          <w:szCs w:val="20"/>
          <w:lang w:val="en-US"/>
        </w:rPr>
        <w:t>:</w:t>
      </w:r>
    </w:p>
    <w:p w:rsidR="003C28DF" w:rsidRPr="00D60C69" w:rsidRDefault="003C28DF" w:rsidP="003C28DF">
      <w:pPr>
        <w:spacing w:before="120"/>
        <w:ind w:left="1560"/>
        <w:jc w:val="both"/>
        <w:rPr>
          <w:rFonts w:ascii="Arial" w:hAnsi="Arial" w:cs="Arial"/>
          <w:sz w:val="20"/>
          <w:szCs w:val="20"/>
          <w:lang w:val="en-US"/>
        </w:rPr>
      </w:pPr>
      <w:r w:rsidRPr="00D60C69">
        <w:rPr>
          <w:rFonts w:ascii="Arial" w:hAnsi="Arial" w:cs="Arial"/>
          <w:b/>
          <w:sz w:val="20"/>
          <w:szCs w:val="20"/>
          <w:lang w:val="en-US"/>
        </w:rPr>
        <w:t>VМ</w:t>
      </w:r>
      <w:r w:rsidRPr="00D60C69">
        <w:rPr>
          <w:rFonts w:ascii="Arial" w:hAnsi="Arial" w:cs="Arial"/>
          <w:b/>
          <w:sz w:val="20"/>
          <w:szCs w:val="20"/>
          <w:vertAlign w:val="subscript"/>
          <w:lang w:val="en-US"/>
        </w:rPr>
        <w:t>2</w:t>
      </w:r>
      <w:r w:rsidRPr="00D60C69">
        <w:rPr>
          <w:rFonts w:ascii="Arial" w:hAnsi="Arial" w:cs="Arial"/>
          <w:b/>
          <w:sz w:val="20"/>
          <w:szCs w:val="20"/>
          <w:lang w:val="en-US"/>
        </w:rPr>
        <w:t xml:space="preserve"> = Round (SP</w:t>
      </w:r>
      <w:r w:rsidRPr="00D60C69">
        <w:rPr>
          <w:rFonts w:ascii="Arial" w:hAnsi="Arial" w:cs="Arial"/>
          <w:b/>
          <w:sz w:val="20"/>
          <w:szCs w:val="20"/>
          <w:vertAlign w:val="subscript"/>
          <w:lang w:val="en-US"/>
        </w:rPr>
        <w:t>2</w:t>
      </w:r>
      <w:r w:rsidRPr="00D60C69">
        <w:rPr>
          <w:rFonts w:ascii="Arial" w:hAnsi="Arial" w:cs="Arial"/>
          <w:b/>
          <w:sz w:val="20"/>
          <w:szCs w:val="20"/>
          <w:lang w:val="en-US"/>
        </w:rPr>
        <w:t>*Round</w:t>
      </w:r>
      <w:r>
        <w:rPr>
          <w:rFonts w:ascii="Arial" w:hAnsi="Arial" w:cs="Arial"/>
          <w:b/>
          <w:sz w:val="20"/>
          <w:szCs w:val="20"/>
          <w:lang w:val="en-US"/>
        </w:rPr>
        <w:t xml:space="preserve"> </w:t>
      </w:r>
      <w:r w:rsidRPr="00D60C69">
        <w:rPr>
          <w:rFonts w:ascii="Arial" w:hAnsi="Arial" w:cs="Arial"/>
          <w:b/>
          <w:sz w:val="20"/>
          <w:szCs w:val="20"/>
          <w:lang w:val="en-US"/>
        </w:rPr>
        <w:t>(W</w:t>
      </w:r>
      <w:r w:rsidRPr="00D60C69">
        <w:rPr>
          <w:rFonts w:ascii="Arial" w:hAnsi="Arial" w:cs="Arial"/>
          <w:b/>
          <w:sz w:val="20"/>
          <w:szCs w:val="20"/>
          <w:vertAlign w:val="subscript"/>
          <w:lang w:val="en-US"/>
        </w:rPr>
        <w:t>2</w:t>
      </w:r>
      <w:r w:rsidRPr="00D60C69">
        <w:rPr>
          <w:rFonts w:ascii="Arial" w:hAnsi="Arial" w:cs="Arial"/>
          <w:b/>
          <w:sz w:val="20"/>
          <w:szCs w:val="20"/>
          <w:lang w:val="en-US"/>
        </w:rPr>
        <w:t>/R; 5); 2) – Round (P</w:t>
      </w:r>
      <w:r w:rsidRPr="00D60C69">
        <w:rPr>
          <w:rFonts w:ascii="Arial" w:hAnsi="Arial" w:cs="Arial"/>
          <w:b/>
          <w:sz w:val="20"/>
          <w:szCs w:val="20"/>
          <w:vertAlign w:val="subscript"/>
          <w:lang w:val="en-US"/>
        </w:rPr>
        <w:t>0</w:t>
      </w:r>
      <w:r w:rsidRPr="00D60C69">
        <w:rPr>
          <w:rFonts w:ascii="Arial" w:hAnsi="Arial" w:cs="Arial"/>
          <w:b/>
          <w:sz w:val="20"/>
          <w:szCs w:val="20"/>
          <w:lang w:val="en-US"/>
        </w:rPr>
        <w:t>*Round</w:t>
      </w:r>
      <w:r>
        <w:rPr>
          <w:rFonts w:ascii="Arial" w:hAnsi="Arial" w:cs="Arial"/>
          <w:b/>
          <w:sz w:val="20"/>
          <w:szCs w:val="20"/>
          <w:lang w:val="en-US"/>
        </w:rPr>
        <w:t xml:space="preserve"> </w:t>
      </w:r>
      <w:r w:rsidRPr="00D60C69">
        <w:rPr>
          <w:rFonts w:ascii="Arial" w:hAnsi="Arial" w:cs="Arial"/>
          <w:b/>
          <w:sz w:val="20"/>
          <w:szCs w:val="20"/>
          <w:lang w:val="en-US"/>
        </w:rPr>
        <w:t>(W</w:t>
      </w:r>
      <w:r w:rsidRPr="00D60C69">
        <w:rPr>
          <w:rFonts w:ascii="Arial" w:hAnsi="Arial" w:cs="Arial"/>
          <w:b/>
          <w:sz w:val="20"/>
          <w:szCs w:val="20"/>
          <w:vertAlign w:val="subscript"/>
          <w:lang w:val="en-US"/>
        </w:rPr>
        <w:t>2</w:t>
      </w:r>
      <w:r w:rsidRPr="00D60C69">
        <w:rPr>
          <w:rFonts w:ascii="Arial" w:hAnsi="Arial" w:cs="Arial"/>
          <w:b/>
          <w:sz w:val="20"/>
          <w:szCs w:val="20"/>
          <w:lang w:val="en-US"/>
        </w:rPr>
        <w:t>/R; 5); 2)</w:t>
      </w:r>
    </w:p>
    <w:p w:rsidR="003C28DF" w:rsidRPr="00D60C69" w:rsidRDefault="003C28DF" w:rsidP="003C28DF">
      <w:pPr>
        <w:spacing w:before="120"/>
        <w:ind w:left="1560"/>
        <w:jc w:val="both"/>
        <w:rPr>
          <w:rFonts w:ascii="Arial" w:hAnsi="Arial" w:cs="Arial"/>
          <w:sz w:val="20"/>
          <w:szCs w:val="20"/>
          <w:lang w:val="en-US"/>
        </w:rPr>
      </w:pPr>
      <w:r w:rsidRPr="00D60C69">
        <w:rPr>
          <w:rFonts w:ascii="Arial" w:hAnsi="Arial" w:cs="Arial"/>
          <w:sz w:val="20"/>
          <w:szCs w:val="20"/>
          <w:lang w:val="en-US"/>
        </w:rPr>
        <w:t>where:</w:t>
      </w:r>
    </w:p>
    <w:p w:rsidR="003C28DF" w:rsidRPr="00D60C69" w:rsidRDefault="003C28DF" w:rsidP="003C28DF">
      <w:pPr>
        <w:ind w:left="1560"/>
        <w:jc w:val="both"/>
        <w:rPr>
          <w:rFonts w:ascii="Arial" w:eastAsia="Calibri" w:hAnsi="Arial" w:cs="Arial"/>
          <w:iCs/>
          <w:sz w:val="20"/>
          <w:szCs w:val="20"/>
          <w:lang w:val="en-US" w:eastAsia="en-US"/>
        </w:rPr>
      </w:pPr>
      <w:r w:rsidRPr="00D60C69">
        <w:rPr>
          <w:rFonts w:ascii="Arial" w:eastAsia="Calibri" w:hAnsi="Arial" w:cs="Arial"/>
          <w:iCs/>
          <w:sz w:val="20"/>
          <w:szCs w:val="20"/>
          <w:lang w:val="en-US" w:eastAsia="en-US"/>
        </w:rPr>
        <w:t>V</w:t>
      </w:r>
      <w:r w:rsidRPr="00D60C69">
        <w:rPr>
          <w:rFonts w:ascii="Arial" w:eastAsia="Calibri" w:hAnsi="Arial" w:cs="Arial"/>
          <w:iCs/>
          <w:sz w:val="20"/>
          <w:szCs w:val="20"/>
          <w:lang w:eastAsia="en-US"/>
        </w:rPr>
        <w:t>М</w:t>
      </w:r>
      <w:r w:rsidRPr="00D60C69">
        <w:rPr>
          <w:rFonts w:ascii="Arial" w:eastAsia="Calibri" w:hAnsi="Arial" w:cs="Arial"/>
          <w:iCs/>
          <w:sz w:val="20"/>
          <w:szCs w:val="20"/>
          <w:vertAlign w:val="subscript"/>
          <w:lang w:val="en-US" w:eastAsia="en-US"/>
        </w:rPr>
        <w:t>2</w:t>
      </w:r>
      <w:r w:rsidRPr="00D60C69">
        <w:rPr>
          <w:rFonts w:ascii="Arial" w:eastAsia="Calibri" w:hAnsi="Arial" w:cs="Arial"/>
          <w:iCs/>
          <w:sz w:val="20"/>
          <w:szCs w:val="20"/>
          <w:lang w:val="en-US" w:eastAsia="en-US"/>
        </w:rPr>
        <w:t xml:space="preserve"> – </w:t>
      </w:r>
      <w:r w:rsidRPr="003F0F28">
        <w:rPr>
          <w:rFonts w:ascii="Arial" w:hAnsi="Arial" w:cs="Arial"/>
          <w:sz w:val="20"/>
          <w:szCs w:val="20"/>
          <w:lang w:val="en-US"/>
        </w:rPr>
        <w:t>variation margin for the current trading day’s evening settlement period, calculated during the evening clearing session;</w:t>
      </w:r>
    </w:p>
    <w:p w:rsidR="003C28DF" w:rsidRPr="00D60C69" w:rsidRDefault="003C28DF" w:rsidP="003C28DF">
      <w:pPr>
        <w:ind w:left="1560"/>
        <w:jc w:val="both"/>
        <w:rPr>
          <w:rFonts w:ascii="Arial" w:eastAsia="Calibri" w:hAnsi="Arial" w:cs="Arial"/>
          <w:iCs/>
          <w:sz w:val="20"/>
          <w:szCs w:val="20"/>
          <w:lang w:val="en-US" w:eastAsia="en-US"/>
        </w:rPr>
      </w:pPr>
      <w:r w:rsidRPr="00D60C69">
        <w:rPr>
          <w:rFonts w:ascii="Arial" w:eastAsia="Calibri" w:hAnsi="Arial" w:cs="Arial"/>
          <w:iCs/>
          <w:sz w:val="20"/>
          <w:szCs w:val="20"/>
          <w:lang w:val="en-US" w:eastAsia="en-US"/>
        </w:rPr>
        <w:t xml:space="preserve">Round – </w:t>
      </w:r>
      <w:r w:rsidRPr="003F0F28">
        <w:rPr>
          <w:rFonts w:ascii="Arial" w:hAnsi="Arial" w:cs="Arial"/>
          <w:sz w:val="20"/>
          <w:szCs w:val="20"/>
          <w:lang w:val="en-US"/>
        </w:rPr>
        <w:t>mathematical rounding to the specified precision;</w:t>
      </w:r>
    </w:p>
    <w:p w:rsidR="003C28DF" w:rsidRPr="00D60C69" w:rsidRDefault="003C28DF" w:rsidP="003C28DF">
      <w:pPr>
        <w:ind w:left="1560"/>
        <w:jc w:val="both"/>
        <w:rPr>
          <w:rFonts w:ascii="Arial" w:eastAsia="Calibri" w:hAnsi="Arial" w:cs="Arial"/>
          <w:iCs/>
          <w:sz w:val="20"/>
          <w:szCs w:val="20"/>
          <w:lang w:val="en-US" w:eastAsia="en-US"/>
        </w:rPr>
      </w:pPr>
      <w:r w:rsidRPr="00D60C69">
        <w:rPr>
          <w:rFonts w:ascii="Arial" w:eastAsia="Calibri" w:hAnsi="Arial" w:cs="Arial"/>
          <w:iCs/>
          <w:sz w:val="20"/>
          <w:szCs w:val="20"/>
          <w:lang w:val="en-US" w:eastAsia="en-US"/>
        </w:rPr>
        <w:t>P</w:t>
      </w:r>
      <w:r w:rsidRPr="00D60C69">
        <w:rPr>
          <w:rFonts w:ascii="Arial" w:eastAsia="Calibri" w:hAnsi="Arial" w:cs="Arial"/>
          <w:iCs/>
          <w:sz w:val="20"/>
          <w:szCs w:val="20"/>
          <w:vertAlign w:val="subscript"/>
          <w:lang w:val="en-US" w:eastAsia="en-US"/>
        </w:rPr>
        <w:t>o</w:t>
      </w:r>
      <w:r w:rsidRPr="00D60C69">
        <w:rPr>
          <w:rFonts w:ascii="Arial" w:eastAsia="Calibri" w:hAnsi="Arial" w:cs="Arial"/>
          <w:iCs/>
          <w:sz w:val="20"/>
          <w:szCs w:val="20"/>
          <w:lang w:val="en-US" w:eastAsia="en-US"/>
        </w:rPr>
        <w:t xml:space="preserve"> – execution price of the Contract;</w:t>
      </w:r>
    </w:p>
    <w:p w:rsidR="003C28DF" w:rsidRPr="00D60C69" w:rsidRDefault="003C28DF" w:rsidP="003C28DF">
      <w:pPr>
        <w:ind w:left="1560"/>
        <w:jc w:val="both"/>
        <w:rPr>
          <w:rFonts w:ascii="Arial" w:eastAsia="Calibri" w:hAnsi="Arial" w:cs="Arial"/>
          <w:iCs/>
          <w:sz w:val="20"/>
          <w:szCs w:val="20"/>
          <w:lang w:val="en-US" w:eastAsia="en-US"/>
        </w:rPr>
      </w:pPr>
      <w:r w:rsidRPr="00D60C69">
        <w:rPr>
          <w:rFonts w:ascii="Arial" w:eastAsia="Calibri" w:hAnsi="Arial" w:cs="Arial"/>
          <w:iCs/>
          <w:sz w:val="20"/>
          <w:szCs w:val="20"/>
          <w:lang w:val="en-US" w:eastAsia="en-US"/>
        </w:rPr>
        <w:t>SP</w:t>
      </w:r>
      <w:r w:rsidRPr="00D60C69">
        <w:rPr>
          <w:rFonts w:ascii="Arial" w:eastAsia="Calibri" w:hAnsi="Arial" w:cs="Arial"/>
          <w:iCs/>
          <w:sz w:val="20"/>
          <w:szCs w:val="20"/>
          <w:vertAlign w:val="subscript"/>
          <w:lang w:val="en-US" w:eastAsia="en-US"/>
        </w:rPr>
        <w:t>2</w:t>
      </w:r>
      <w:r w:rsidRPr="00D60C69">
        <w:rPr>
          <w:rFonts w:ascii="Arial" w:eastAsia="Calibri" w:hAnsi="Arial" w:cs="Arial"/>
          <w:iCs/>
          <w:sz w:val="20"/>
          <w:szCs w:val="20"/>
          <w:lang w:val="en-US" w:eastAsia="en-US"/>
        </w:rPr>
        <w:t xml:space="preserve"> – current settlement price of the Contract;</w:t>
      </w:r>
    </w:p>
    <w:p w:rsidR="003C28DF" w:rsidRPr="00D60C69" w:rsidRDefault="003C28DF" w:rsidP="003C28DF">
      <w:pPr>
        <w:ind w:left="1560"/>
        <w:jc w:val="both"/>
        <w:rPr>
          <w:rFonts w:ascii="Arial" w:eastAsia="Calibri" w:hAnsi="Arial" w:cs="Arial"/>
          <w:iCs/>
          <w:sz w:val="20"/>
          <w:szCs w:val="20"/>
          <w:lang w:val="en-US" w:eastAsia="en-US"/>
        </w:rPr>
      </w:pPr>
      <w:r w:rsidRPr="00D60C69">
        <w:rPr>
          <w:rFonts w:ascii="Arial" w:eastAsia="Calibri" w:hAnsi="Arial" w:cs="Arial"/>
          <w:iCs/>
          <w:sz w:val="20"/>
          <w:szCs w:val="20"/>
          <w:lang w:val="en-US" w:eastAsia="en-US"/>
        </w:rPr>
        <w:t>W</w:t>
      </w:r>
      <w:r w:rsidRPr="00D60C69">
        <w:rPr>
          <w:rFonts w:ascii="Arial" w:eastAsia="Calibri" w:hAnsi="Arial" w:cs="Arial"/>
          <w:iCs/>
          <w:sz w:val="20"/>
          <w:szCs w:val="20"/>
          <w:vertAlign w:val="subscript"/>
          <w:lang w:val="en-US" w:eastAsia="en-US"/>
        </w:rPr>
        <w:t>2</w:t>
      </w:r>
      <w:r w:rsidRPr="00D60C69">
        <w:rPr>
          <w:rFonts w:ascii="Arial" w:eastAsia="Calibri" w:hAnsi="Arial" w:cs="Arial"/>
          <w:iCs/>
          <w:sz w:val="20"/>
          <w:szCs w:val="20"/>
          <w:lang w:val="en-US" w:eastAsia="en-US"/>
        </w:rPr>
        <w:t xml:space="preserve"> – tick value;</w:t>
      </w:r>
    </w:p>
    <w:p w:rsidR="003C28DF" w:rsidRPr="00D60C69" w:rsidRDefault="003C28DF" w:rsidP="003C28DF">
      <w:pPr>
        <w:ind w:left="1560"/>
        <w:jc w:val="both"/>
        <w:rPr>
          <w:rFonts w:ascii="Arial" w:hAnsi="Arial" w:cs="Arial"/>
          <w:iCs/>
          <w:sz w:val="20"/>
          <w:szCs w:val="20"/>
          <w:lang w:val="en-US"/>
        </w:rPr>
      </w:pPr>
      <w:r w:rsidRPr="00D60C69">
        <w:rPr>
          <w:rFonts w:ascii="Arial" w:eastAsia="Calibri" w:hAnsi="Arial" w:cs="Arial"/>
          <w:iCs/>
          <w:sz w:val="20"/>
          <w:szCs w:val="20"/>
          <w:lang w:val="en-US" w:eastAsia="en-US"/>
        </w:rPr>
        <w:t>R – tick size</w:t>
      </w:r>
      <w:r w:rsidRPr="00D60C69">
        <w:rPr>
          <w:rFonts w:ascii="Arial" w:hAnsi="Arial" w:cs="Arial"/>
          <w:iCs/>
          <w:sz w:val="20"/>
          <w:szCs w:val="20"/>
          <w:lang w:val="en-US"/>
        </w:rPr>
        <w:t>.</w:t>
      </w:r>
    </w:p>
    <w:p w:rsidR="003C28DF" w:rsidRPr="00D60C69" w:rsidRDefault="003C28DF" w:rsidP="003C28DF">
      <w:pPr>
        <w:numPr>
          <w:ilvl w:val="0"/>
          <w:numId w:val="7"/>
        </w:numPr>
        <w:tabs>
          <w:tab w:val="left" w:pos="1560"/>
        </w:tabs>
        <w:autoSpaceDE w:val="0"/>
        <w:autoSpaceDN w:val="0"/>
        <w:spacing w:before="120"/>
        <w:ind w:left="1560" w:hanging="426"/>
        <w:jc w:val="both"/>
        <w:rPr>
          <w:rFonts w:ascii="Arial" w:hAnsi="Arial" w:cs="Arial"/>
          <w:sz w:val="20"/>
          <w:szCs w:val="20"/>
          <w:lang w:val="en-US"/>
        </w:rPr>
      </w:pPr>
      <w:r w:rsidRPr="00D60C69">
        <w:rPr>
          <w:rFonts w:ascii="Arial" w:hAnsi="Arial" w:cs="Arial"/>
          <w:sz w:val="20"/>
          <w:szCs w:val="20"/>
          <w:lang w:val="en-US"/>
        </w:rPr>
        <w:t>If the variation margin has been calculated before:</w:t>
      </w:r>
    </w:p>
    <w:p w:rsidR="003C28DF" w:rsidRPr="00D60C69" w:rsidRDefault="003C28DF" w:rsidP="003C28DF">
      <w:pPr>
        <w:tabs>
          <w:tab w:val="left" w:pos="9000"/>
        </w:tabs>
        <w:autoSpaceDE w:val="0"/>
        <w:autoSpaceDN w:val="0"/>
        <w:spacing w:before="120"/>
        <w:ind w:left="1560" w:right="57"/>
        <w:jc w:val="both"/>
        <w:rPr>
          <w:rFonts w:ascii="Arial" w:hAnsi="Arial" w:cs="Arial"/>
          <w:b/>
          <w:sz w:val="20"/>
          <w:szCs w:val="20"/>
          <w:lang w:val="en-US"/>
        </w:rPr>
      </w:pPr>
      <w:r w:rsidRPr="00D60C69">
        <w:rPr>
          <w:rFonts w:ascii="Arial" w:hAnsi="Arial" w:cs="Arial"/>
          <w:b/>
          <w:sz w:val="20"/>
          <w:szCs w:val="20"/>
          <w:lang w:val="en-US"/>
        </w:rPr>
        <w:t>VM</w:t>
      </w:r>
      <w:r w:rsidRPr="00D60C69">
        <w:rPr>
          <w:rFonts w:ascii="Arial" w:hAnsi="Arial" w:cs="Arial"/>
          <w:b/>
          <w:sz w:val="20"/>
          <w:szCs w:val="20"/>
          <w:vertAlign w:val="subscript"/>
          <w:lang w:val="en-US"/>
        </w:rPr>
        <w:t>2</w:t>
      </w:r>
      <w:r w:rsidRPr="00D60C69">
        <w:rPr>
          <w:rFonts w:ascii="Arial" w:hAnsi="Arial" w:cs="Arial"/>
          <w:b/>
          <w:sz w:val="20"/>
          <w:szCs w:val="20"/>
          <w:lang w:val="en-US"/>
        </w:rPr>
        <w:t xml:space="preserve"> = VM – VM</w:t>
      </w:r>
      <w:r w:rsidRPr="00D60C69">
        <w:rPr>
          <w:rFonts w:ascii="Arial" w:hAnsi="Arial" w:cs="Arial"/>
          <w:b/>
          <w:sz w:val="20"/>
          <w:szCs w:val="20"/>
          <w:vertAlign w:val="subscript"/>
          <w:lang w:val="en-US"/>
        </w:rPr>
        <w:t>1</w:t>
      </w:r>
      <w:r w:rsidRPr="00D60C69">
        <w:rPr>
          <w:rFonts w:ascii="Arial" w:hAnsi="Arial" w:cs="Arial"/>
          <w:b/>
          <w:sz w:val="20"/>
          <w:szCs w:val="20"/>
          <w:lang w:val="en-US"/>
        </w:rPr>
        <w:t xml:space="preserve">,          </w:t>
      </w:r>
    </w:p>
    <w:p w:rsidR="003C28DF" w:rsidRPr="00D60C69" w:rsidRDefault="003C28DF" w:rsidP="003C28DF">
      <w:pPr>
        <w:tabs>
          <w:tab w:val="left" w:pos="9000"/>
        </w:tabs>
        <w:autoSpaceDE w:val="0"/>
        <w:autoSpaceDN w:val="0"/>
        <w:spacing w:before="120"/>
        <w:ind w:left="1560" w:right="57"/>
        <w:jc w:val="both"/>
        <w:rPr>
          <w:rFonts w:ascii="Arial" w:hAnsi="Arial" w:cs="Arial"/>
          <w:sz w:val="20"/>
          <w:szCs w:val="20"/>
          <w:lang w:val="en-US"/>
        </w:rPr>
      </w:pPr>
      <w:r w:rsidRPr="00D60C69">
        <w:rPr>
          <w:rFonts w:ascii="Arial" w:hAnsi="Arial" w:cs="Arial"/>
          <w:sz w:val="20"/>
          <w:szCs w:val="20"/>
          <w:lang w:val="en-US"/>
        </w:rPr>
        <w:t>where:</w:t>
      </w:r>
    </w:p>
    <w:p w:rsidR="003C28DF" w:rsidRPr="00D60C69" w:rsidRDefault="003C28DF" w:rsidP="003C28DF">
      <w:pPr>
        <w:tabs>
          <w:tab w:val="left" w:pos="9000"/>
        </w:tabs>
        <w:autoSpaceDE w:val="0"/>
        <w:autoSpaceDN w:val="0"/>
        <w:ind w:left="1560" w:right="57"/>
        <w:jc w:val="both"/>
        <w:rPr>
          <w:rFonts w:ascii="Arial" w:eastAsia="Calibri" w:hAnsi="Arial" w:cs="Arial"/>
          <w:sz w:val="20"/>
          <w:szCs w:val="20"/>
          <w:lang w:val="en-US" w:eastAsia="en-US"/>
        </w:rPr>
      </w:pPr>
      <w:r w:rsidRPr="00D60C69">
        <w:rPr>
          <w:rFonts w:ascii="Arial" w:eastAsia="Calibri" w:hAnsi="Arial" w:cs="Arial"/>
          <w:sz w:val="20"/>
          <w:szCs w:val="20"/>
          <w:lang w:val="en-US" w:eastAsia="en-US"/>
        </w:rPr>
        <w:t>VM</w:t>
      </w:r>
      <w:r w:rsidRPr="00D60C69">
        <w:rPr>
          <w:rFonts w:ascii="Arial" w:eastAsia="Calibri" w:hAnsi="Arial" w:cs="Arial"/>
          <w:sz w:val="20"/>
          <w:szCs w:val="20"/>
          <w:vertAlign w:val="subscript"/>
          <w:lang w:val="en-US" w:eastAsia="en-US"/>
        </w:rPr>
        <w:t>2</w:t>
      </w:r>
      <w:r w:rsidRPr="00D60C69">
        <w:rPr>
          <w:rFonts w:ascii="Arial" w:eastAsia="Calibri" w:hAnsi="Arial" w:cs="Arial"/>
          <w:sz w:val="20"/>
          <w:szCs w:val="20"/>
          <w:lang w:val="en-US" w:eastAsia="en-US"/>
        </w:rPr>
        <w:t xml:space="preserve"> – </w:t>
      </w:r>
      <w:r w:rsidRPr="003F0F28">
        <w:rPr>
          <w:rFonts w:ascii="Arial" w:hAnsi="Arial" w:cs="Arial"/>
          <w:sz w:val="20"/>
          <w:szCs w:val="20"/>
          <w:lang w:val="en-US"/>
        </w:rPr>
        <w:t>variation margin for the current trading day’s evening settlement period, calculated during the evening clearing session;</w:t>
      </w:r>
    </w:p>
    <w:p w:rsidR="003C28DF" w:rsidRPr="00D60C69" w:rsidRDefault="003C28DF" w:rsidP="003C28DF">
      <w:pPr>
        <w:tabs>
          <w:tab w:val="left" w:pos="9000"/>
        </w:tabs>
        <w:autoSpaceDE w:val="0"/>
        <w:autoSpaceDN w:val="0"/>
        <w:ind w:left="1560" w:right="57"/>
        <w:jc w:val="both"/>
        <w:rPr>
          <w:rFonts w:ascii="Arial" w:eastAsia="Calibri" w:hAnsi="Arial" w:cs="Arial"/>
          <w:sz w:val="20"/>
          <w:szCs w:val="20"/>
          <w:lang w:val="en-US" w:eastAsia="en-US"/>
        </w:rPr>
      </w:pPr>
      <w:r w:rsidRPr="00D60C69">
        <w:rPr>
          <w:rFonts w:ascii="Arial" w:eastAsia="Calibri" w:hAnsi="Arial" w:cs="Arial"/>
          <w:sz w:val="20"/>
          <w:szCs w:val="20"/>
          <w:lang w:val="en-US" w:eastAsia="en-US"/>
        </w:rPr>
        <w:t xml:space="preserve">VM – </w:t>
      </w:r>
      <w:r w:rsidRPr="003F0F28">
        <w:rPr>
          <w:rFonts w:ascii="Arial" w:hAnsi="Arial" w:cs="Arial"/>
          <w:sz w:val="20"/>
          <w:szCs w:val="20"/>
          <w:lang w:val="en-US"/>
        </w:rPr>
        <w:t>current trading day’s</w:t>
      </w:r>
      <w:r w:rsidRPr="003F0F28" w:rsidDel="005538B5">
        <w:rPr>
          <w:rFonts w:ascii="Arial" w:hAnsi="Arial" w:cs="Arial"/>
          <w:sz w:val="20"/>
          <w:szCs w:val="20"/>
          <w:lang w:val="en-US"/>
        </w:rPr>
        <w:t xml:space="preserve"> </w:t>
      </w:r>
      <w:r w:rsidRPr="003F0F28">
        <w:rPr>
          <w:rFonts w:ascii="Arial" w:hAnsi="Arial" w:cs="Arial"/>
          <w:sz w:val="20"/>
          <w:szCs w:val="20"/>
          <w:lang w:val="en-US"/>
        </w:rPr>
        <w:t>total (intraday and evening trading sessions) variation margin</w:t>
      </w:r>
      <w:r w:rsidRPr="00D60C69">
        <w:rPr>
          <w:rFonts w:ascii="Arial" w:eastAsia="Calibri" w:hAnsi="Arial" w:cs="Arial"/>
          <w:sz w:val="20"/>
          <w:szCs w:val="20"/>
          <w:lang w:val="en-US" w:eastAsia="en-US"/>
        </w:rPr>
        <w:t>;</w:t>
      </w:r>
    </w:p>
    <w:p w:rsidR="003C28DF" w:rsidRPr="00D60C69" w:rsidRDefault="003C28DF" w:rsidP="003C28DF">
      <w:pPr>
        <w:tabs>
          <w:tab w:val="left" w:pos="9000"/>
        </w:tabs>
        <w:autoSpaceDE w:val="0"/>
        <w:autoSpaceDN w:val="0"/>
        <w:ind w:left="1560" w:right="57"/>
        <w:jc w:val="both"/>
        <w:rPr>
          <w:rFonts w:ascii="Arial" w:hAnsi="Arial" w:cs="Arial"/>
          <w:sz w:val="20"/>
          <w:szCs w:val="20"/>
          <w:lang w:val="en-US"/>
        </w:rPr>
      </w:pPr>
      <w:r w:rsidRPr="00D60C69">
        <w:rPr>
          <w:rFonts w:ascii="Arial" w:eastAsia="Calibri" w:hAnsi="Arial" w:cs="Arial"/>
          <w:sz w:val="20"/>
          <w:szCs w:val="20"/>
          <w:lang w:val="en-US" w:eastAsia="en-US"/>
        </w:rPr>
        <w:t>VM</w:t>
      </w:r>
      <w:r w:rsidRPr="00D60C69">
        <w:rPr>
          <w:rFonts w:ascii="Arial" w:eastAsia="Calibri" w:hAnsi="Arial" w:cs="Arial"/>
          <w:sz w:val="20"/>
          <w:szCs w:val="20"/>
          <w:vertAlign w:val="subscript"/>
          <w:lang w:val="en-US" w:eastAsia="en-US"/>
        </w:rPr>
        <w:t>1</w:t>
      </w:r>
      <w:r w:rsidRPr="00D60C69">
        <w:rPr>
          <w:rFonts w:ascii="Arial" w:eastAsia="Calibri" w:hAnsi="Arial" w:cs="Arial"/>
          <w:sz w:val="20"/>
          <w:szCs w:val="20"/>
          <w:lang w:val="en-US" w:eastAsia="en-US"/>
        </w:rPr>
        <w:t xml:space="preserve"> – </w:t>
      </w:r>
      <w:r w:rsidRPr="00D60C69">
        <w:rPr>
          <w:rFonts w:ascii="Arial" w:hAnsi="Arial" w:cs="Arial"/>
          <w:sz w:val="20"/>
          <w:szCs w:val="20"/>
          <w:lang w:val="en-US"/>
        </w:rPr>
        <w:t xml:space="preserve">variation margin for the current trading day’s intraday settlement period, calculated during the intraday clearing session, as defined in Clause </w:t>
      </w:r>
      <w:r w:rsidRPr="00D60C69">
        <w:rPr>
          <w:rFonts w:ascii="Arial" w:eastAsia="Calibri" w:hAnsi="Arial" w:cs="Arial"/>
          <w:sz w:val="20"/>
          <w:szCs w:val="20"/>
          <w:lang w:val="en-US" w:eastAsia="en-US"/>
        </w:rPr>
        <w:t>2.3.1 of these Specifications</w:t>
      </w:r>
      <w:r w:rsidRPr="00D60C69">
        <w:rPr>
          <w:rFonts w:ascii="Arial" w:hAnsi="Arial" w:cs="Arial"/>
          <w:sz w:val="20"/>
          <w:szCs w:val="20"/>
          <w:lang w:val="en-US"/>
        </w:rPr>
        <w:t>.</w:t>
      </w:r>
    </w:p>
    <w:p w:rsidR="003C28DF" w:rsidRPr="00D60C69" w:rsidRDefault="003C28DF" w:rsidP="003C28DF">
      <w:pPr>
        <w:tabs>
          <w:tab w:val="left" w:pos="9000"/>
        </w:tabs>
        <w:autoSpaceDE w:val="0"/>
        <w:autoSpaceDN w:val="0"/>
        <w:spacing w:before="120"/>
        <w:ind w:left="1418"/>
        <w:jc w:val="both"/>
        <w:rPr>
          <w:rFonts w:ascii="Arial" w:hAnsi="Arial" w:cs="Arial"/>
          <w:sz w:val="20"/>
          <w:szCs w:val="20"/>
          <w:lang w:val="en-US"/>
        </w:rPr>
      </w:pPr>
      <w:r w:rsidRPr="00D60C69">
        <w:rPr>
          <w:rFonts w:ascii="Arial" w:hAnsi="Arial" w:cs="Arial"/>
          <w:sz w:val="20"/>
          <w:szCs w:val="20"/>
          <w:lang w:val="en-US"/>
        </w:rPr>
        <w:t>Value of VM is determined according to the following formulas:</w:t>
      </w:r>
    </w:p>
    <w:p w:rsidR="003C28DF" w:rsidRPr="00D60C69" w:rsidRDefault="003C28DF" w:rsidP="003C28DF">
      <w:pPr>
        <w:numPr>
          <w:ilvl w:val="0"/>
          <w:numId w:val="4"/>
        </w:numPr>
        <w:tabs>
          <w:tab w:val="left" w:pos="1701"/>
        </w:tabs>
        <w:autoSpaceDE w:val="0"/>
        <w:autoSpaceDN w:val="0"/>
        <w:spacing w:before="120"/>
        <w:ind w:left="1701" w:hanging="142"/>
        <w:jc w:val="both"/>
        <w:rPr>
          <w:rFonts w:ascii="Arial" w:hAnsi="Arial" w:cs="Arial"/>
          <w:sz w:val="20"/>
          <w:szCs w:val="20"/>
          <w:lang w:val="en-US"/>
        </w:rPr>
      </w:pPr>
      <w:r w:rsidRPr="00D60C69">
        <w:rPr>
          <w:rFonts w:ascii="Arial" w:hAnsi="Arial" w:cs="Arial"/>
          <w:sz w:val="20"/>
          <w:szCs w:val="20"/>
          <w:lang w:val="en-US"/>
        </w:rPr>
        <w:lastRenderedPageBreak/>
        <w:t xml:space="preserve">If the variation margin has not been calculated during the evening clearing session </w:t>
      </w:r>
      <w:r>
        <w:rPr>
          <w:rFonts w:ascii="Arial" w:hAnsi="Arial" w:cs="Arial"/>
          <w:sz w:val="20"/>
          <w:szCs w:val="20"/>
          <w:lang w:val="en-US"/>
        </w:rPr>
        <w:t xml:space="preserve">of </w:t>
      </w:r>
      <w:r w:rsidRPr="00D60C69">
        <w:rPr>
          <w:rFonts w:ascii="Arial" w:hAnsi="Arial" w:cs="Arial"/>
          <w:sz w:val="20"/>
          <w:szCs w:val="20"/>
          <w:lang w:val="en-US"/>
        </w:rPr>
        <w:t>previous trading day:</w:t>
      </w:r>
    </w:p>
    <w:p w:rsidR="003C28DF" w:rsidRPr="00D60C69" w:rsidRDefault="003C28DF" w:rsidP="003C28DF">
      <w:pPr>
        <w:tabs>
          <w:tab w:val="num" w:pos="1080"/>
        </w:tabs>
        <w:autoSpaceDE w:val="0"/>
        <w:autoSpaceDN w:val="0"/>
        <w:spacing w:before="120"/>
        <w:ind w:left="1701" w:right="57"/>
        <w:jc w:val="both"/>
        <w:rPr>
          <w:rFonts w:ascii="Arial" w:hAnsi="Arial" w:cs="Arial"/>
          <w:b/>
          <w:sz w:val="20"/>
          <w:szCs w:val="20"/>
          <w:lang w:val="en-US"/>
        </w:rPr>
      </w:pPr>
      <w:r w:rsidRPr="00D60C69">
        <w:rPr>
          <w:rFonts w:ascii="Arial" w:hAnsi="Arial" w:cs="Arial"/>
          <w:b/>
          <w:sz w:val="20"/>
          <w:szCs w:val="20"/>
          <w:lang w:val="en-US"/>
        </w:rPr>
        <w:t>VМ = Round (SP</w:t>
      </w:r>
      <w:r w:rsidRPr="00D60C69">
        <w:rPr>
          <w:rFonts w:ascii="Arial" w:hAnsi="Arial" w:cs="Arial"/>
          <w:b/>
          <w:sz w:val="20"/>
          <w:szCs w:val="20"/>
          <w:vertAlign w:val="subscript"/>
          <w:lang w:val="en-US"/>
        </w:rPr>
        <w:t>2</w:t>
      </w:r>
      <w:r w:rsidRPr="00D60C69">
        <w:rPr>
          <w:rFonts w:ascii="Arial" w:hAnsi="Arial" w:cs="Arial"/>
          <w:b/>
          <w:sz w:val="20"/>
          <w:szCs w:val="20"/>
          <w:lang w:val="en-US"/>
        </w:rPr>
        <w:t xml:space="preserve"> *Round</w:t>
      </w:r>
      <w:r>
        <w:rPr>
          <w:rFonts w:ascii="Arial" w:hAnsi="Arial" w:cs="Arial"/>
          <w:b/>
          <w:sz w:val="20"/>
          <w:szCs w:val="20"/>
          <w:lang w:val="en-US"/>
        </w:rPr>
        <w:t xml:space="preserve"> </w:t>
      </w:r>
      <w:r w:rsidRPr="00D60C69">
        <w:rPr>
          <w:rFonts w:ascii="Arial" w:hAnsi="Arial" w:cs="Arial"/>
          <w:b/>
          <w:sz w:val="20"/>
          <w:szCs w:val="20"/>
          <w:lang w:val="en-US"/>
        </w:rPr>
        <w:t>(W2/R; 5); 2) – Round (P</w:t>
      </w:r>
      <w:r w:rsidRPr="00D60C69">
        <w:rPr>
          <w:rFonts w:ascii="Arial" w:hAnsi="Arial" w:cs="Arial"/>
          <w:b/>
          <w:sz w:val="20"/>
          <w:szCs w:val="20"/>
          <w:vertAlign w:val="subscript"/>
          <w:lang w:val="en-US"/>
        </w:rPr>
        <w:t>0</w:t>
      </w:r>
      <w:r w:rsidRPr="00D60C69">
        <w:rPr>
          <w:rFonts w:ascii="Arial" w:hAnsi="Arial" w:cs="Arial"/>
          <w:b/>
          <w:sz w:val="20"/>
          <w:szCs w:val="20"/>
          <w:lang w:val="en-US"/>
        </w:rPr>
        <w:t>*Round</w:t>
      </w:r>
      <w:r>
        <w:rPr>
          <w:rFonts w:ascii="Arial" w:hAnsi="Arial" w:cs="Arial"/>
          <w:b/>
          <w:sz w:val="20"/>
          <w:szCs w:val="20"/>
          <w:lang w:val="en-US"/>
        </w:rPr>
        <w:t xml:space="preserve"> </w:t>
      </w:r>
      <w:r w:rsidRPr="00D60C69">
        <w:rPr>
          <w:rFonts w:ascii="Arial" w:hAnsi="Arial" w:cs="Arial"/>
          <w:b/>
          <w:sz w:val="20"/>
          <w:szCs w:val="20"/>
          <w:lang w:val="en-US"/>
        </w:rPr>
        <w:t>(W2 / R; 5); 2)</w:t>
      </w:r>
    </w:p>
    <w:p w:rsidR="003C28DF" w:rsidRPr="00D60C69" w:rsidRDefault="003C28DF" w:rsidP="003C28DF">
      <w:pPr>
        <w:autoSpaceDE w:val="0"/>
        <w:autoSpaceDN w:val="0"/>
        <w:spacing w:before="120"/>
        <w:ind w:left="1701" w:right="57"/>
        <w:jc w:val="both"/>
        <w:rPr>
          <w:rFonts w:ascii="Arial" w:eastAsia="Calibri" w:hAnsi="Arial" w:cs="Arial"/>
          <w:sz w:val="20"/>
          <w:szCs w:val="20"/>
          <w:lang w:val="en-US" w:eastAsia="en-US"/>
        </w:rPr>
      </w:pPr>
      <w:r w:rsidRPr="00D60C69">
        <w:rPr>
          <w:rFonts w:ascii="Arial" w:eastAsia="Calibri" w:hAnsi="Arial" w:cs="Arial"/>
          <w:sz w:val="20"/>
          <w:szCs w:val="20"/>
          <w:lang w:val="en-US" w:eastAsia="en-US"/>
        </w:rPr>
        <w:t>where:</w:t>
      </w:r>
    </w:p>
    <w:p w:rsidR="003C28DF" w:rsidRPr="00D60C69" w:rsidRDefault="003C28DF" w:rsidP="003C28DF">
      <w:pPr>
        <w:ind w:left="1701"/>
        <w:jc w:val="both"/>
        <w:rPr>
          <w:rFonts w:ascii="Arial" w:eastAsia="Calibri" w:hAnsi="Arial" w:cs="Arial"/>
          <w:iCs/>
          <w:sz w:val="20"/>
          <w:szCs w:val="20"/>
          <w:lang w:val="en-US" w:eastAsia="en-US"/>
        </w:rPr>
      </w:pPr>
      <w:r w:rsidRPr="00D60C69">
        <w:rPr>
          <w:rFonts w:ascii="Arial" w:eastAsia="Calibri" w:hAnsi="Arial" w:cs="Arial"/>
          <w:iCs/>
          <w:sz w:val="20"/>
          <w:szCs w:val="20"/>
          <w:lang w:val="en-US" w:eastAsia="en-US"/>
        </w:rPr>
        <w:t xml:space="preserve">Round – </w:t>
      </w:r>
      <w:r w:rsidRPr="0009690D">
        <w:rPr>
          <w:rFonts w:ascii="Arial" w:hAnsi="Arial" w:cs="Arial"/>
          <w:sz w:val="20"/>
          <w:szCs w:val="20"/>
          <w:lang w:val="en-US"/>
        </w:rPr>
        <w:t>mathematical rounding to the specified precision;</w:t>
      </w:r>
    </w:p>
    <w:p w:rsidR="003C28DF" w:rsidRPr="00D60C69" w:rsidRDefault="003C28DF" w:rsidP="003C28DF">
      <w:pPr>
        <w:ind w:left="1701"/>
        <w:jc w:val="both"/>
        <w:rPr>
          <w:rFonts w:ascii="Arial" w:eastAsia="Calibri" w:hAnsi="Arial" w:cs="Arial"/>
          <w:iCs/>
          <w:sz w:val="20"/>
          <w:szCs w:val="20"/>
          <w:lang w:val="en-US" w:eastAsia="en-US"/>
        </w:rPr>
      </w:pPr>
      <w:r w:rsidRPr="00D60C69">
        <w:rPr>
          <w:rFonts w:ascii="Arial" w:eastAsia="Calibri" w:hAnsi="Arial" w:cs="Arial"/>
          <w:iCs/>
          <w:sz w:val="20"/>
          <w:szCs w:val="20"/>
          <w:lang w:val="en-US" w:eastAsia="en-US"/>
        </w:rPr>
        <w:t>SP</w:t>
      </w:r>
      <w:r w:rsidRPr="00D60C69">
        <w:rPr>
          <w:rFonts w:ascii="Arial" w:eastAsia="Calibri" w:hAnsi="Arial" w:cs="Arial"/>
          <w:iCs/>
          <w:sz w:val="20"/>
          <w:szCs w:val="20"/>
          <w:vertAlign w:val="subscript"/>
          <w:lang w:val="en-US" w:eastAsia="en-US"/>
        </w:rPr>
        <w:t>2</w:t>
      </w:r>
      <w:r w:rsidRPr="00D60C69">
        <w:rPr>
          <w:rFonts w:ascii="Arial" w:eastAsia="Calibri" w:hAnsi="Arial" w:cs="Arial"/>
          <w:iCs/>
          <w:sz w:val="20"/>
          <w:szCs w:val="20"/>
          <w:lang w:val="en-US" w:eastAsia="en-US"/>
        </w:rPr>
        <w:t xml:space="preserve"> – current settlement price of the Contract;</w:t>
      </w:r>
    </w:p>
    <w:p w:rsidR="003C28DF" w:rsidRPr="00D60C69" w:rsidRDefault="003C28DF" w:rsidP="003C28DF">
      <w:pPr>
        <w:autoSpaceDE w:val="0"/>
        <w:autoSpaceDN w:val="0"/>
        <w:ind w:left="1701" w:right="57"/>
        <w:jc w:val="both"/>
        <w:rPr>
          <w:rFonts w:ascii="Arial" w:eastAsia="Calibri" w:hAnsi="Arial" w:cs="Arial"/>
          <w:sz w:val="20"/>
          <w:szCs w:val="20"/>
          <w:lang w:val="en-US" w:eastAsia="en-US"/>
        </w:rPr>
      </w:pPr>
      <w:r w:rsidRPr="00D60C69">
        <w:rPr>
          <w:rFonts w:ascii="Arial" w:eastAsia="Calibri" w:hAnsi="Arial" w:cs="Arial"/>
          <w:sz w:val="20"/>
          <w:szCs w:val="20"/>
          <w:lang w:val="en-US" w:eastAsia="en-US"/>
        </w:rPr>
        <w:t>P</w:t>
      </w:r>
      <w:r w:rsidRPr="00D60C69">
        <w:rPr>
          <w:rFonts w:ascii="Arial" w:eastAsia="Calibri" w:hAnsi="Arial" w:cs="Arial"/>
          <w:sz w:val="20"/>
          <w:szCs w:val="20"/>
          <w:vertAlign w:val="subscript"/>
          <w:lang w:val="en-US" w:eastAsia="en-US"/>
        </w:rPr>
        <w:t>0</w:t>
      </w:r>
      <w:r w:rsidRPr="00D60C69">
        <w:rPr>
          <w:rFonts w:ascii="Arial" w:eastAsia="Calibri" w:hAnsi="Arial" w:cs="Arial"/>
          <w:sz w:val="20"/>
          <w:szCs w:val="20"/>
          <w:lang w:val="en-US" w:eastAsia="en-US"/>
        </w:rPr>
        <w:t xml:space="preserve"> – execution price of the Contract;</w:t>
      </w:r>
    </w:p>
    <w:p w:rsidR="003C28DF" w:rsidRPr="00D60C69" w:rsidRDefault="003C28DF" w:rsidP="003C28DF">
      <w:pPr>
        <w:ind w:left="1701"/>
        <w:jc w:val="both"/>
        <w:rPr>
          <w:rFonts w:ascii="Arial" w:eastAsia="Calibri" w:hAnsi="Arial" w:cs="Arial"/>
          <w:iCs/>
          <w:sz w:val="20"/>
          <w:szCs w:val="20"/>
          <w:lang w:val="en-US" w:eastAsia="en-US"/>
        </w:rPr>
      </w:pPr>
      <w:r w:rsidRPr="00D60C69">
        <w:rPr>
          <w:rFonts w:ascii="Arial" w:eastAsia="Calibri" w:hAnsi="Arial" w:cs="Arial"/>
          <w:iCs/>
          <w:sz w:val="20"/>
          <w:szCs w:val="20"/>
          <w:lang w:val="en-US" w:eastAsia="en-US"/>
        </w:rPr>
        <w:t>W</w:t>
      </w:r>
      <w:r w:rsidRPr="00D60C69">
        <w:rPr>
          <w:rFonts w:ascii="Arial" w:eastAsia="Calibri" w:hAnsi="Arial" w:cs="Arial"/>
          <w:iCs/>
          <w:sz w:val="20"/>
          <w:szCs w:val="20"/>
          <w:vertAlign w:val="subscript"/>
          <w:lang w:val="en-US" w:eastAsia="en-US"/>
        </w:rPr>
        <w:t>2</w:t>
      </w:r>
      <w:r w:rsidRPr="00D60C69">
        <w:rPr>
          <w:rFonts w:ascii="Arial" w:eastAsia="Calibri" w:hAnsi="Arial" w:cs="Arial"/>
          <w:iCs/>
          <w:sz w:val="20"/>
          <w:szCs w:val="20"/>
          <w:lang w:val="en-US" w:eastAsia="en-US"/>
        </w:rPr>
        <w:t xml:space="preserve"> – tick value;</w:t>
      </w:r>
    </w:p>
    <w:p w:rsidR="003C28DF" w:rsidRPr="00D60C69" w:rsidRDefault="003C28DF" w:rsidP="003C28DF">
      <w:pPr>
        <w:autoSpaceDE w:val="0"/>
        <w:autoSpaceDN w:val="0"/>
        <w:ind w:left="1701" w:right="57"/>
        <w:jc w:val="both"/>
        <w:rPr>
          <w:rFonts w:ascii="Arial" w:eastAsia="Calibri" w:hAnsi="Arial" w:cs="Arial"/>
          <w:sz w:val="20"/>
          <w:szCs w:val="20"/>
          <w:lang w:val="en-US" w:eastAsia="en-US"/>
        </w:rPr>
      </w:pPr>
      <w:r w:rsidRPr="00D60C69">
        <w:rPr>
          <w:rFonts w:ascii="Arial" w:eastAsia="Calibri" w:hAnsi="Arial" w:cs="Arial"/>
          <w:sz w:val="20"/>
          <w:szCs w:val="20"/>
          <w:lang w:val="en-US" w:eastAsia="en-US"/>
        </w:rPr>
        <w:t>R – tick size.</w:t>
      </w:r>
    </w:p>
    <w:p w:rsidR="003C28DF" w:rsidRPr="0009690D" w:rsidRDefault="003C28DF" w:rsidP="003C28DF">
      <w:pPr>
        <w:numPr>
          <w:ilvl w:val="0"/>
          <w:numId w:val="4"/>
        </w:numPr>
        <w:tabs>
          <w:tab w:val="left" w:pos="1701"/>
        </w:tabs>
        <w:autoSpaceDE w:val="0"/>
        <w:autoSpaceDN w:val="0"/>
        <w:spacing w:before="120" w:after="200" w:line="276" w:lineRule="auto"/>
        <w:ind w:left="1701" w:hanging="142"/>
        <w:jc w:val="both"/>
        <w:rPr>
          <w:rFonts w:ascii="Arial" w:hAnsi="Arial" w:cs="Arial"/>
          <w:sz w:val="20"/>
          <w:szCs w:val="20"/>
          <w:lang w:val="en-US"/>
        </w:rPr>
      </w:pPr>
      <w:r w:rsidRPr="00D60C69">
        <w:rPr>
          <w:rFonts w:ascii="Arial" w:eastAsia="Calibri" w:hAnsi="Arial" w:cs="Arial"/>
          <w:sz w:val="20"/>
          <w:szCs w:val="20"/>
          <w:lang w:val="en-US" w:eastAsia="en-US"/>
        </w:rPr>
        <w:t xml:space="preserve">If the variation margin has been calculated during the evening clearing session </w:t>
      </w:r>
      <w:r>
        <w:rPr>
          <w:rFonts w:ascii="Arial" w:eastAsia="Calibri" w:hAnsi="Arial" w:cs="Arial"/>
          <w:sz w:val="20"/>
          <w:szCs w:val="20"/>
          <w:lang w:val="en-US" w:eastAsia="en-US"/>
        </w:rPr>
        <w:t xml:space="preserve">of </w:t>
      </w:r>
      <w:r w:rsidRPr="00D60C69">
        <w:rPr>
          <w:rFonts w:ascii="Arial" w:eastAsia="Calibri" w:hAnsi="Arial" w:cs="Arial"/>
          <w:sz w:val="20"/>
          <w:szCs w:val="20"/>
          <w:lang w:val="en-US" w:eastAsia="en-US"/>
        </w:rPr>
        <w:t>previous trading day</w:t>
      </w:r>
      <w:r w:rsidRPr="0009690D">
        <w:rPr>
          <w:rFonts w:ascii="Arial" w:hAnsi="Arial" w:cs="Arial"/>
          <w:sz w:val="20"/>
          <w:szCs w:val="20"/>
          <w:lang w:val="en-US"/>
        </w:rPr>
        <w:t>:</w:t>
      </w:r>
    </w:p>
    <w:p w:rsidR="003C28DF" w:rsidRPr="00D60C69" w:rsidRDefault="003C28DF" w:rsidP="003C28DF">
      <w:pPr>
        <w:pStyle w:val="af"/>
        <w:tabs>
          <w:tab w:val="left" w:pos="9000"/>
        </w:tabs>
        <w:autoSpaceDE w:val="0"/>
        <w:autoSpaceDN w:val="0"/>
        <w:spacing w:before="120" w:after="0" w:line="240" w:lineRule="auto"/>
        <w:ind w:left="1701" w:right="57" w:hanging="11"/>
        <w:jc w:val="both"/>
        <w:rPr>
          <w:rFonts w:ascii="Arial" w:hAnsi="Arial" w:cs="Arial"/>
          <w:sz w:val="20"/>
          <w:szCs w:val="20"/>
          <w:lang w:val="en-US"/>
        </w:rPr>
      </w:pPr>
      <w:r w:rsidRPr="00D60C69">
        <w:rPr>
          <w:rFonts w:ascii="Arial" w:hAnsi="Arial" w:cs="Arial"/>
          <w:b/>
          <w:sz w:val="20"/>
          <w:szCs w:val="20"/>
          <w:lang w:val="en-US"/>
        </w:rPr>
        <w:t>V</w:t>
      </w:r>
      <w:r w:rsidRPr="00D60C69">
        <w:rPr>
          <w:rFonts w:ascii="Arial" w:hAnsi="Arial" w:cs="Arial"/>
          <w:b/>
          <w:sz w:val="20"/>
          <w:szCs w:val="20"/>
        </w:rPr>
        <w:t>М</w:t>
      </w:r>
      <w:r w:rsidRPr="00D60C69">
        <w:rPr>
          <w:rFonts w:ascii="Arial" w:hAnsi="Arial" w:cs="Arial"/>
          <w:b/>
          <w:sz w:val="20"/>
          <w:szCs w:val="20"/>
          <w:lang w:val="en-US"/>
        </w:rPr>
        <w:t xml:space="preserve"> = Round (SP</w:t>
      </w:r>
      <w:r w:rsidRPr="00D60C69">
        <w:rPr>
          <w:rFonts w:ascii="Arial" w:hAnsi="Arial" w:cs="Arial"/>
          <w:b/>
          <w:sz w:val="20"/>
          <w:szCs w:val="20"/>
          <w:vertAlign w:val="subscript"/>
          <w:lang w:val="en-US"/>
        </w:rPr>
        <w:t>2</w:t>
      </w:r>
      <w:r w:rsidRPr="00D60C69">
        <w:rPr>
          <w:rFonts w:ascii="Arial" w:hAnsi="Arial" w:cs="Arial"/>
          <w:b/>
          <w:sz w:val="20"/>
          <w:szCs w:val="20"/>
          <w:lang w:val="en-US"/>
        </w:rPr>
        <w:t>*Round (W</w:t>
      </w:r>
      <w:r w:rsidRPr="00D60C69">
        <w:rPr>
          <w:rFonts w:ascii="Arial" w:hAnsi="Arial" w:cs="Arial"/>
          <w:b/>
          <w:sz w:val="20"/>
          <w:szCs w:val="20"/>
          <w:vertAlign w:val="subscript"/>
          <w:lang w:val="en-US"/>
        </w:rPr>
        <w:t>2</w:t>
      </w:r>
      <w:r w:rsidRPr="00D60C69">
        <w:rPr>
          <w:rFonts w:ascii="Arial" w:hAnsi="Arial" w:cs="Arial"/>
          <w:b/>
          <w:sz w:val="20"/>
          <w:szCs w:val="20"/>
          <w:lang w:val="en-US"/>
        </w:rPr>
        <w:t>/R;5); 2) – Round (SP</w:t>
      </w:r>
      <w:r w:rsidRPr="00D60C69">
        <w:rPr>
          <w:rFonts w:ascii="Arial" w:hAnsi="Arial" w:cs="Arial"/>
          <w:b/>
          <w:sz w:val="20"/>
          <w:szCs w:val="20"/>
          <w:vertAlign w:val="subscript"/>
          <w:lang w:val="en-US"/>
        </w:rPr>
        <w:t>p</w:t>
      </w:r>
      <w:r w:rsidRPr="00D60C69">
        <w:rPr>
          <w:rFonts w:ascii="Arial" w:hAnsi="Arial" w:cs="Arial"/>
          <w:b/>
          <w:sz w:val="20"/>
          <w:szCs w:val="20"/>
          <w:lang w:val="en-US"/>
        </w:rPr>
        <w:t>*Round (W</w:t>
      </w:r>
      <w:r w:rsidRPr="00D60C69">
        <w:rPr>
          <w:rFonts w:ascii="Arial" w:hAnsi="Arial" w:cs="Arial"/>
          <w:b/>
          <w:sz w:val="20"/>
          <w:szCs w:val="20"/>
          <w:vertAlign w:val="subscript"/>
          <w:lang w:val="en-US"/>
        </w:rPr>
        <w:t>2</w:t>
      </w:r>
      <w:r w:rsidRPr="00D60C69">
        <w:rPr>
          <w:rFonts w:ascii="Arial" w:hAnsi="Arial" w:cs="Arial"/>
          <w:b/>
          <w:sz w:val="20"/>
          <w:szCs w:val="20"/>
          <w:lang w:val="en-US"/>
        </w:rPr>
        <w:t>/R;5); 2)</w:t>
      </w:r>
      <w:r w:rsidRPr="00D60C69">
        <w:rPr>
          <w:rFonts w:ascii="Arial" w:hAnsi="Arial" w:cs="Arial"/>
          <w:sz w:val="20"/>
          <w:szCs w:val="20"/>
          <w:lang w:val="en-US"/>
        </w:rPr>
        <w:t>,</w:t>
      </w:r>
    </w:p>
    <w:p w:rsidR="003C28DF" w:rsidRPr="0009690D" w:rsidRDefault="003C28DF" w:rsidP="003C28DF">
      <w:pPr>
        <w:tabs>
          <w:tab w:val="left" w:pos="9000"/>
        </w:tabs>
        <w:autoSpaceDE w:val="0"/>
        <w:autoSpaceDN w:val="0"/>
        <w:spacing w:beforeLines="60" w:before="144"/>
        <w:ind w:left="1701"/>
        <w:jc w:val="both"/>
        <w:rPr>
          <w:rFonts w:ascii="Arial" w:hAnsi="Arial" w:cs="Arial"/>
          <w:sz w:val="20"/>
          <w:szCs w:val="20"/>
          <w:lang w:val="en-US"/>
        </w:rPr>
      </w:pPr>
      <w:r w:rsidRPr="00D60C69">
        <w:rPr>
          <w:rFonts w:ascii="Arial" w:eastAsia="Calibri" w:hAnsi="Arial" w:cs="Arial"/>
          <w:sz w:val="20"/>
          <w:szCs w:val="20"/>
          <w:lang w:val="en-US" w:eastAsia="en-US"/>
        </w:rPr>
        <w:t>where</w:t>
      </w:r>
      <w:r w:rsidRPr="0009690D">
        <w:rPr>
          <w:rFonts w:ascii="Arial" w:hAnsi="Arial" w:cs="Arial"/>
          <w:sz w:val="20"/>
          <w:szCs w:val="20"/>
          <w:lang w:val="en-US"/>
        </w:rPr>
        <w:t>:</w:t>
      </w:r>
    </w:p>
    <w:p w:rsidR="003C28DF" w:rsidRPr="00D60C69" w:rsidRDefault="003C28DF" w:rsidP="003C28DF">
      <w:pPr>
        <w:ind w:left="1701"/>
        <w:jc w:val="both"/>
        <w:rPr>
          <w:rFonts w:ascii="Arial" w:eastAsia="Calibri" w:hAnsi="Arial" w:cs="Arial"/>
          <w:iCs/>
          <w:sz w:val="20"/>
          <w:szCs w:val="20"/>
          <w:lang w:val="en-US" w:eastAsia="en-US"/>
        </w:rPr>
      </w:pPr>
      <w:r w:rsidRPr="00D60C69">
        <w:rPr>
          <w:rFonts w:ascii="Arial" w:eastAsia="Calibri" w:hAnsi="Arial" w:cs="Arial"/>
          <w:iCs/>
          <w:sz w:val="20"/>
          <w:szCs w:val="20"/>
          <w:lang w:val="en-US" w:eastAsia="en-US"/>
        </w:rPr>
        <w:t xml:space="preserve">Round – </w:t>
      </w:r>
      <w:r w:rsidRPr="0009690D">
        <w:rPr>
          <w:rFonts w:ascii="Arial" w:hAnsi="Arial" w:cs="Arial"/>
          <w:sz w:val="20"/>
          <w:szCs w:val="20"/>
          <w:lang w:val="en-US"/>
        </w:rPr>
        <w:t>mathematical rounding to the specified precision;</w:t>
      </w:r>
    </w:p>
    <w:p w:rsidR="003C28DF" w:rsidRPr="00D60C69" w:rsidRDefault="003C28DF" w:rsidP="003C28DF">
      <w:pPr>
        <w:tabs>
          <w:tab w:val="num" w:pos="1080"/>
        </w:tabs>
        <w:autoSpaceDE w:val="0"/>
        <w:autoSpaceDN w:val="0"/>
        <w:ind w:left="1701" w:right="57"/>
        <w:jc w:val="both"/>
        <w:rPr>
          <w:rFonts w:ascii="Arial" w:eastAsia="Calibri" w:hAnsi="Arial" w:cs="Arial"/>
          <w:sz w:val="20"/>
          <w:szCs w:val="20"/>
          <w:lang w:val="en-US" w:eastAsia="en-US"/>
        </w:rPr>
      </w:pPr>
      <w:r w:rsidRPr="00D60C69">
        <w:rPr>
          <w:rFonts w:ascii="Arial" w:eastAsia="Calibri" w:hAnsi="Arial" w:cs="Arial"/>
          <w:sz w:val="20"/>
          <w:szCs w:val="20"/>
          <w:lang w:val="en-US" w:eastAsia="en-US"/>
        </w:rPr>
        <w:t>SP</w:t>
      </w:r>
      <w:r w:rsidRPr="00D60C69">
        <w:rPr>
          <w:rFonts w:ascii="Arial" w:eastAsia="Calibri" w:hAnsi="Arial" w:cs="Arial"/>
          <w:sz w:val="20"/>
          <w:szCs w:val="20"/>
          <w:vertAlign w:val="subscript"/>
          <w:lang w:val="en-US" w:eastAsia="en-US"/>
        </w:rPr>
        <w:t>2</w:t>
      </w:r>
      <w:r w:rsidRPr="00D60C69">
        <w:rPr>
          <w:rFonts w:ascii="Arial" w:eastAsia="Calibri" w:hAnsi="Arial" w:cs="Arial"/>
          <w:sz w:val="20"/>
          <w:szCs w:val="20"/>
          <w:lang w:val="en-US" w:eastAsia="en-US"/>
        </w:rPr>
        <w:t xml:space="preserve"> – current settlement price of the Contract;</w:t>
      </w:r>
    </w:p>
    <w:p w:rsidR="003C28DF" w:rsidRPr="00D60C69" w:rsidRDefault="003C28DF" w:rsidP="003C28DF">
      <w:pPr>
        <w:tabs>
          <w:tab w:val="num" w:pos="1080"/>
        </w:tabs>
        <w:autoSpaceDE w:val="0"/>
        <w:autoSpaceDN w:val="0"/>
        <w:ind w:left="1701" w:right="57"/>
        <w:jc w:val="both"/>
        <w:rPr>
          <w:rFonts w:ascii="Arial" w:eastAsia="Calibri" w:hAnsi="Arial" w:cs="Arial"/>
          <w:sz w:val="20"/>
          <w:szCs w:val="20"/>
          <w:lang w:val="en-US" w:eastAsia="en-US"/>
        </w:rPr>
      </w:pPr>
      <w:r w:rsidRPr="00D60C69">
        <w:rPr>
          <w:rFonts w:ascii="Arial" w:eastAsia="Calibri" w:hAnsi="Arial" w:cs="Arial"/>
          <w:sz w:val="20"/>
          <w:szCs w:val="20"/>
          <w:lang w:val="en-US" w:eastAsia="en-US"/>
        </w:rPr>
        <w:t>SP</w:t>
      </w:r>
      <w:r w:rsidRPr="00D60C69">
        <w:rPr>
          <w:rFonts w:ascii="Arial" w:eastAsia="Calibri" w:hAnsi="Arial" w:cs="Arial"/>
          <w:sz w:val="20"/>
          <w:szCs w:val="20"/>
          <w:vertAlign w:val="subscript"/>
          <w:lang w:val="en-US" w:eastAsia="en-US"/>
        </w:rPr>
        <w:t>p</w:t>
      </w:r>
      <w:r w:rsidRPr="00D60C69">
        <w:rPr>
          <w:rFonts w:ascii="Arial" w:eastAsia="Calibri" w:hAnsi="Arial" w:cs="Arial"/>
          <w:sz w:val="20"/>
          <w:szCs w:val="20"/>
          <w:lang w:val="en-US" w:eastAsia="en-US"/>
        </w:rPr>
        <w:t xml:space="preserve"> – </w:t>
      </w:r>
      <w:r w:rsidRPr="00D60C69">
        <w:rPr>
          <w:rFonts w:ascii="Arial" w:eastAsia="Calibri" w:hAnsi="Arial" w:cs="Arial"/>
          <w:iCs/>
          <w:sz w:val="20"/>
          <w:szCs w:val="20"/>
          <w:lang w:val="en-US" w:eastAsia="en-US"/>
        </w:rPr>
        <w:t>settlement price of the Contract, calculated during the previous trading day’s</w:t>
      </w:r>
      <w:r w:rsidRPr="00D60C69" w:rsidDel="00273124">
        <w:rPr>
          <w:rFonts w:ascii="Arial" w:eastAsia="Calibri" w:hAnsi="Arial" w:cs="Arial"/>
          <w:iCs/>
          <w:sz w:val="20"/>
          <w:szCs w:val="20"/>
          <w:lang w:val="en-US" w:eastAsia="en-US"/>
        </w:rPr>
        <w:t xml:space="preserve"> </w:t>
      </w:r>
      <w:r w:rsidRPr="00D60C69">
        <w:rPr>
          <w:rFonts w:ascii="Arial" w:eastAsia="Calibri" w:hAnsi="Arial" w:cs="Arial"/>
          <w:iCs/>
          <w:sz w:val="20"/>
          <w:szCs w:val="20"/>
          <w:lang w:val="en-US" w:eastAsia="en-US"/>
        </w:rPr>
        <w:t>evening clearing session;</w:t>
      </w:r>
    </w:p>
    <w:p w:rsidR="003C28DF" w:rsidRPr="00D60C69" w:rsidRDefault="003C28DF" w:rsidP="003C28DF">
      <w:pPr>
        <w:ind w:left="1701"/>
        <w:jc w:val="both"/>
        <w:rPr>
          <w:rFonts w:ascii="Arial" w:eastAsia="Calibri" w:hAnsi="Arial" w:cs="Arial"/>
          <w:iCs/>
          <w:sz w:val="20"/>
          <w:szCs w:val="20"/>
          <w:lang w:val="en-US" w:eastAsia="en-US"/>
        </w:rPr>
      </w:pPr>
      <w:r w:rsidRPr="00D60C69">
        <w:rPr>
          <w:rFonts w:ascii="Arial" w:eastAsia="Calibri" w:hAnsi="Arial" w:cs="Arial"/>
          <w:iCs/>
          <w:sz w:val="20"/>
          <w:szCs w:val="20"/>
          <w:lang w:val="en-US" w:eastAsia="en-US"/>
        </w:rPr>
        <w:t>W</w:t>
      </w:r>
      <w:r w:rsidRPr="00D60C69">
        <w:rPr>
          <w:rFonts w:ascii="Arial" w:eastAsia="Calibri" w:hAnsi="Arial" w:cs="Arial"/>
          <w:iCs/>
          <w:sz w:val="20"/>
          <w:szCs w:val="20"/>
          <w:vertAlign w:val="subscript"/>
          <w:lang w:val="en-US" w:eastAsia="en-US"/>
        </w:rPr>
        <w:t>2</w:t>
      </w:r>
      <w:r w:rsidRPr="00D60C69">
        <w:rPr>
          <w:rFonts w:ascii="Arial" w:eastAsia="Calibri" w:hAnsi="Arial" w:cs="Arial"/>
          <w:iCs/>
          <w:sz w:val="20"/>
          <w:szCs w:val="20"/>
          <w:lang w:val="en-US" w:eastAsia="en-US"/>
        </w:rPr>
        <w:t xml:space="preserve"> – tick value;</w:t>
      </w:r>
    </w:p>
    <w:p w:rsidR="003C28DF" w:rsidRPr="00D60C69" w:rsidRDefault="003C28DF" w:rsidP="003C28DF">
      <w:pPr>
        <w:tabs>
          <w:tab w:val="num" w:pos="1080"/>
        </w:tabs>
        <w:autoSpaceDE w:val="0"/>
        <w:autoSpaceDN w:val="0"/>
        <w:ind w:left="1701" w:right="57"/>
        <w:jc w:val="both"/>
        <w:rPr>
          <w:rFonts w:ascii="Arial" w:eastAsia="Calibri" w:hAnsi="Arial" w:cs="Arial"/>
          <w:sz w:val="20"/>
          <w:szCs w:val="20"/>
          <w:lang w:val="en-US" w:eastAsia="en-US"/>
        </w:rPr>
      </w:pPr>
      <w:r w:rsidRPr="00D60C69">
        <w:rPr>
          <w:rFonts w:ascii="Arial" w:eastAsia="Calibri" w:hAnsi="Arial" w:cs="Arial"/>
          <w:sz w:val="20"/>
          <w:szCs w:val="20"/>
          <w:lang w:val="en-US" w:eastAsia="en-US"/>
        </w:rPr>
        <w:t>R – tick size.</w:t>
      </w:r>
    </w:p>
    <w:p w:rsidR="003C28DF" w:rsidRPr="00D60C69" w:rsidRDefault="003C28DF" w:rsidP="003C28DF">
      <w:pPr>
        <w:autoSpaceDE w:val="0"/>
        <w:autoSpaceDN w:val="0"/>
        <w:spacing w:before="120"/>
        <w:ind w:left="1276"/>
        <w:jc w:val="both"/>
        <w:rPr>
          <w:rFonts w:ascii="Arial" w:hAnsi="Arial" w:cs="Arial"/>
          <w:sz w:val="20"/>
          <w:szCs w:val="20"/>
          <w:lang w:val="en-US"/>
        </w:rPr>
      </w:pPr>
      <w:r w:rsidRPr="00D60C69">
        <w:rPr>
          <w:rFonts w:ascii="Arial" w:hAnsi="Arial" w:cs="Arial"/>
          <w:sz w:val="20"/>
          <w:szCs w:val="20"/>
          <w:lang w:val="en-US"/>
        </w:rPr>
        <w:t>For the purpose of calculating the variation margin during the intraday clearing session, the tick value is determined using the USD/RUB FX rate. The time of the USD/RUB FX rate fixing is set by the Exchange and published on the Exchange’s website.</w:t>
      </w:r>
    </w:p>
    <w:p w:rsidR="003C28DF" w:rsidRPr="00D60C69" w:rsidRDefault="003C28DF" w:rsidP="00DB558C">
      <w:pPr>
        <w:pStyle w:val="a3"/>
        <w:numPr>
          <w:ilvl w:val="2"/>
          <w:numId w:val="6"/>
        </w:numPr>
        <w:tabs>
          <w:tab w:val="left" w:pos="567"/>
        </w:tabs>
        <w:spacing w:before="120" w:beforeAutospacing="0" w:after="0" w:afterAutospacing="0"/>
        <w:ind w:left="1134" w:right="-6" w:hanging="567"/>
        <w:jc w:val="both"/>
        <w:rPr>
          <w:rFonts w:ascii="Arial" w:hAnsi="Arial" w:cs="Arial"/>
          <w:lang w:val="en-US"/>
        </w:rPr>
      </w:pPr>
      <w:r w:rsidRPr="00D60C69">
        <w:rPr>
          <w:rFonts w:ascii="Arial" w:hAnsi="Arial" w:cs="Arial"/>
          <w:lang w:val="en-US"/>
        </w:rPr>
        <w:t xml:space="preserve">The obligation to pay </w:t>
      </w:r>
      <w:r>
        <w:rPr>
          <w:rFonts w:ascii="Arial" w:hAnsi="Arial" w:cs="Arial"/>
          <w:lang w:val="en-US"/>
        </w:rPr>
        <w:t xml:space="preserve">the </w:t>
      </w:r>
      <w:r w:rsidRPr="00D60C69">
        <w:rPr>
          <w:rFonts w:ascii="Arial" w:hAnsi="Arial" w:cs="Arial"/>
          <w:lang w:val="en-US"/>
        </w:rPr>
        <w:t xml:space="preserve">variation margin </w:t>
      </w:r>
      <w:r>
        <w:rPr>
          <w:rFonts w:ascii="Arial" w:hAnsi="Arial" w:cs="Arial"/>
          <w:lang w:val="en-US"/>
        </w:rPr>
        <w:t>shall</w:t>
      </w:r>
      <w:r w:rsidRPr="00D60C69">
        <w:rPr>
          <w:rFonts w:ascii="Arial" w:hAnsi="Arial" w:cs="Arial"/>
          <w:lang w:val="en-US"/>
        </w:rPr>
        <w:t xml:space="preserve"> be fulfilled in accordance with the procedure and within the timeframe set forth in the Clearing Rules. Whereby,</w:t>
      </w:r>
    </w:p>
    <w:p w:rsidR="003C28DF" w:rsidRPr="00D60C69" w:rsidRDefault="003C28DF" w:rsidP="00DB558C">
      <w:pPr>
        <w:pStyle w:val="a3"/>
        <w:numPr>
          <w:ilvl w:val="0"/>
          <w:numId w:val="8"/>
        </w:numPr>
        <w:tabs>
          <w:tab w:val="left" w:pos="1560"/>
        </w:tabs>
        <w:spacing w:before="120" w:beforeAutospacing="0" w:after="0" w:afterAutospacing="0"/>
        <w:ind w:left="1560" w:right="-6" w:hanging="284"/>
        <w:jc w:val="both"/>
        <w:rPr>
          <w:rFonts w:ascii="Arial" w:hAnsi="Arial" w:cs="Arial"/>
          <w:lang w:val="en-US"/>
        </w:rPr>
      </w:pPr>
      <w:r w:rsidRPr="00D60C69">
        <w:rPr>
          <w:rFonts w:ascii="Arial" w:hAnsi="Arial" w:cs="Arial"/>
          <w:lang w:val="en-US"/>
        </w:rPr>
        <w:t>if the variation margin is positive, the Seller is obligated to pay the variation margin;</w:t>
      </w:r>
    </w:p>
    <w:p w:rsidR="003C28DF" w:rsidRPr="00D60C69" w:rsidRDefault="003C28DF" w:rsidP="00DB558C">
      <w:pPr>
        <w:pStyle w:val="a3"/>
        <w:numPr>
          <w:ilvl w:val="0"/>
          <w:numId w:val="8"/>
        </w:numPr>
        <w:tabs>
          <w:tab w:val="left" w:pos="1560"/>
        </w:tabs>
        <w:spacing w:before="120" w:beforeAutospacing="0" w:after="0" w:afterAutospacing="0"/>
        <w:ind w:left="1560" w:right="-6" w:hanging="284"/>
        <w:jc w:val="both"/>
        <w:rPr>
          <w:rFonts w:ascii="Arial" w:hAnsi="Arial" w:cs="Arial"/>
          <w:lang w:val="en-US"/>
        </w:rPr>
      </w:pPr>
      <w:r w:rsidRPr="00D60C69">
        <w:rPr>
          <w:rFonts w:ascii="Arial" w:hAnsi="Arial" w:cs="Arial"/>
          <w:lang w:val="en-US"/>
        </w:rPr>
        <w:t>if the variation margin is negative, the Buyer is obligated to pay the absolute value of the variation margin.</w:t>
      </w:r>
    </w:p>
    <w:p w:rsidR="003C28DF" w:rsidRPr="00D60C69" w:rsidRDefault="003C28DF" w:rsidP="00DB558C">
      <w:pPr>
        <w:pStyle w:val="a3"/>
        <w:numPr>
          <w:ilvl w:val="2"/>
          <w:numId w:val="6"/>
        </w:numPr>
        <w:tabs>
          <w:tab w:val="left" w:pos="1134"/>
        </w:tabs>
        <w:spacing w:before="120" w:beforeAutospacing="0" w:after="0" w:afterAutospacing="0"/>
        <w:ind w:left="1134" w:right="-6" w:hanging="567"/>
        <w:jc w:val="both"/>
        <w:rPr>
          <w:rFonts w:ascii="Arial" w:hAnsi="Arial" w:cs="Arial"/>
          <w:lang w:val="en-US"/>
        </w:rPr>
      </w:pPr>
      <w:r w:rsidRPr="00D60C69">
        <w:rPr>
          <w:rFonts w:ascii="Arial" w:hAnsi="Arial" w:cs="Arial"/>
          <w:lang w:val="en-US"/>
        </w:rPr>
        <w:t xml:space="preserve">The </w:t>
      </w:r>
      <w:r>
        <w:rPr>
          <w:rFonts w:ascii="Arial" w:hAnsi="Arial" w:cs="Arial"/>
          <w:lang w:val="en-US"/>
        </w:rPr>
        <w:t>Contract’s settlement price shall</w:t>
      </w:r>
      <w:r w:rsidRPr="00D60C69">
        <w:rPr>
          <w:rFonts w:ascii="Arial" w:hAnsi="Arial" w:cs="Arial"/>
          <w:lang w:val="en-US"/>
        </w:rPr>
        <w:t xml:space="preserve"> </w:t>
      </w:r>
      <w:r>
        <w:rPr>
          <w:rFonts w:ascii="Arial" w:hAnsi="Arial" w:cs="Arial"/>
          <w:lang w:val="en-US"/>
        </w:rPr>
        <w:t xml:space="preserve">be </w:t>
      </w:r>
      <w:r w:rsidRPr="00D60C69">
        <w:rPr>
          <w:rFonts w:ascii="Arial" w:hAnsi="Arial" w:cs="Arial"/>
          <w:lang w:val="en-US"/>
        </w:rPr>
        <w:t>determine</w:t>
      </w:r>
      <w:r>
        <w:rPr>
          <w:rFonts w:ascii="Arial" w:hAnsi="Arial" w:cs="Arial"/>
          <w:lang w:val="en-US"/>
        </w:rPr>
        <w:t>d</w:t>
      </w:r>
      <w:r w:rsidRPr="00D60C69">
        <w:rPr>
          <w:rFonts w:ascii="Arial" w:hAnsi="Arial" w:cs="Arial"/>
          <w:lang w:val="en-US"/>
        </w:rPr>
        <w:t xml:space="preserve"> </w:t>
      </w:r>
      <w:r>
        <w:rPr>
          <w:rFonts w:ascii="Arial" w:hAnsi="Arial" w:cs="Arial"/>
          <w:lang w:val="en-US"/>
        </w:rPr>
        <w:t>by the Exchange</w:t>
      </w:r>
      <w:r w:rsidRPr="00D60C69">
        <w:rPr>
          <w:rFonts w:ascii="Arial" w:hAnsi="Arial" w:cs="Arial"/>
          <w:lang w:val="en-US"/>
        </w:rPr>
        <w:t xml:space="preserve"> in accordance with the procedure and within the timeframe set forth in the Trading Rules and these Specifications.</w:t>
      </w:r>
    </w:p>
    <w:p w:rsidR="003C28DF" w:rsidRDefault="003C28DF" w:rsidP="003C28DF">
      <w:pPr>
        <w:pStyle w:val="a3"/>
        <w:numPr>
          <w:ilvl w:val="1"/>
          <w:numId w:val="6"/>
        </w:numPr>
        <w:tabs>
          <w:tab w:val="left" w:pos="567"/>
        </w:tabs>
        <w:spacing w:before="120" w:beforeAutospacing="0" w:after="0" w:afterAutospacing="0"/>
        <w:ind w:left="567" w:right="-6" w:hanging="567"/>
        <w:jc w:val="both"/>
        <w:rPr>
          <w:rFonts w:ascii="Arial" w:hAnsi="Arial" w:cs="Arial"/>
          <w:lang w:val="en-US"/>
        </w:rPr>
      </w:pPr>
      <w:r w:rsidRPr="00132A44">
        <w:rPr>
          <w:rFonts w:ascii="Arial" w:hAnsi="Arial" w:cs="Arial"/>
          <w:lang w:val="en-US"/>
        </w:rPr>
        <w:t>Settlement Obligations</w:t>
      </w:r>
    </w:p>
    <w:p w:rsidR="003C28DF" w:rsidRDefault="003C28DF" w:rsidP="00DB558C">
      <w:pPr>
        <w:pStyle w:val="a3"/>
        <w:tabs>
          <w:tab w:val="left" w:pos="567"/>
        </w:tabs>
        <w:spacing w:before="120" w:beforeAutospacing="0" w:after="0" w:afterAutospacing="0"/>
        <w:ind w:left="1134" w:right="-6" w:hanging="567"/>
        <w:jc w:val="both"/>
        <w:rPr>
          <w:rFonts w:ascii="Arial" w:hAnsi="Arial" w:cs="Arial"/>
          <w:lang w:val="en-US"/>
        </w:rPr>
      </w:pPr>
      <w:r>
        <w:rPr>
          <w:lang w:val="en-US"/>
        </w:rPr>
        <w:t xml:space="preserve">2.2.1. </w:t>
      </w:r>
      <w:r w:rsidRPr="00455C2D">
        <w:rPr>
          <w:lang w:val="en-US"/>
        </w:rPr>
        <w:t>Obligation to pay Variation Margin as determined during the evening clearing session on the Contract’s settlement day is the settlement obligation under such Contract.</w:t>
      </w:r>
    </w:p>
    <w:p w:rsidR="003C28DF" w:rsidRDefault="003C28DF" w:rsidP="00DB558C">
      <w:pPr>
        <w:pStyle w:val="a3"/>
        <w:spacing w:before="120" w:beforeAutospacing="0" w:after="0" w:afterAutospacing="0"/>
        <w:ind w:left="1134" w:right="-6" w:hanging="567"/>
        <w:jc w:val="both"/>
        <w:rPr>
          <w:rFonts w:ascii="Arial" w:hAnsi="Arial" w:cs="Arial"/>
          <w:lang w:val="en-US"/>
        </w:rPr>
      </w:pPr>
      <w:r>
        <w:rPr>
          <w:rFonts w:ascii="Arial" w:hAnsi="Arial" w:cs="Arial"/>
          <w:lang w:val="en-US"/>
        </w:rPr>
        <w:t xml:space="preserve">2.2.2. </w:t>
      </w:r>
      <w:r w:rsidRPr="00455C2D">
        <w:rPr>
          <w:rFonts w:ascii="Arial" w:hAnsi="Arial" w:cs="Arial"/>
          <w:lang w:val="en-US"/>
        </w:rPr>
        <w:t>The Contract’s settlement price is the average value of the RTS Index for the period from 3:00 pm to 4:00 pm MSK</w:t>
      </w:r>
      <w:r w:rsidRPr="00D60C69">
        <w:rPr>
          <w:rStyle w:val="ae"/>
          <w:rFonts w:ascii="Arial" w:hAnsi="Arial" w:cs="Arial"/>
          <w:lang w:val="en-US"/>
        </w:rPr>
        <w:footnoteReference w:id="1"/>
      </w:r>
      <w:r w:rsidRPr="00455C2D">
        <w:rPr>
          <w:rFonts w:ascii="Arial" w:hAnsi="Arial" w:cs="Arial"/>
          <w:lang w:val="en-US"/>
        </w:rPr>
        <w:t xml:space="preserve"> on the Contract’s last trading day multiplied by 100. This rule applies provided that during the entire period the Exchange has been holding trading in Shares that are on the constituents list of the RTS Index (hereinafter, “Shares”) and whose aggregate value has been accounting for at least 75% (hereinafter, “the weight in the RTS Index”) of the total value of the constituent Shares during the entire period (hereinafter “the condition for determination of the settlement price”).</w:t>
      </w:r>
    </w:p>
    <w:p w:rsidR="003C28DF" w:rsidRPr="00455C2D" w:rsidRDefault="003C28DF" w:rsidP="00DB558C">
      <w:pPr>
        <w:pStyle w:val="a3"/>
        <w:tabs>
          <w:tab w:val="left" w:pos="567"/>
        </w:tabs>
        <w:spacing w:before="120" w:beforeAutospacing="0" w:after="0" w:afterAutospacing="0"/>
        <w:ind w:left="1134" w:right="-6" w:hanging="567"/>
        <w:jc w:val="both"/>
        <w:rPr>
          <w:rFonts w:ascii="Arial" w:hAnsi="Arial" w:cs="Arial"/>
          <w:lang w:val="en-US"/>
        </w:rPr>
      </w:pPr>
      <w:r>
        <w:rPr>
          <w:rFonts w:ascii="Arial" w:hAnsi="Arial" w:cs="Arial"/>
          <w:lang w:val="en-US"/>
        </w:rPr>
        <w:t xml:space="preserve">2.2.3. </w:t>
      </w:r>
      <w:r w:rsidRPr="00455C2D">
        <w:rPr>
          <w:rFonts w:ascii="Arial" w:hAnsi="Arial" w:cs="Arial"/>
          <w:lang w:val="en-US"/>
        </w:rPr>
        <w:t>If the condition for determination of the settlement price defined in Clause 2.2.2., is not met:</w:t>
      </w:r>
    </w:p>
    <w:p w:rsidR="003C28DF" w:rsidRDefault="003C28DF" w:rsidP="00DB558C">
      <w:pPr>
        <w:pStyle w:val="a3"/>
        <w:tabs>
          <w:tab w:val="left" w:pos="567"/>
          <w:tab w:val="left" w:pos="1418"/>
        </w:tabs>
        <w:spacing w:before="120" w:beforeAutospacing="0" w:after="0" w:afterAutospacing="0"/>
        <w:ind w:left="1134" w:right="-6"/>
        <w:jc w:val="both"/>
        <w:rPr>
          <w:rFonts w:ascii="Arial" w:hAnsi="Arial" w:cs="Arial"/>
          <w:lang w:val="en-US"/>
        </w:rPr>
      </w:pPr>
      <w:r>
        <w:rPr>
          <w:rFonts w:ascii="Arial" w:hAnsi="Arial" w:cs="Arial"/>
          <w:color w:val="auto"/>
          <w:lang w:val="en-US"/>
        </w:rPr>
        <w:t xml:space="preserve">2.2.3.1. </w:t>
      </w:r>
      <w:r w:rsidRPr="000D4B54">
        <w:rPr>
          <w:rFonts w:ascii="Arial" w:hAnsi="Arial" w:cs="Arial"/>
          <w:color w:val="auto"/>
          <w:lang w:val="en-US"/>
        </w:rPr>
        <w:t>the settlement price for the evening settlement period of the Contract’s last trading day will be determined by the Exchange in accordance with the procedure set forth in the Trading Rules;</w:t>
      </w:r>
    </w:p>
    <w:p w:rsidR="003C28DF" w:rsidRDefault="003C28DF" w:rsidP="00DB558C">
      <w:pPr>
        <w:pStyle w:val="a3"/>
        <w:tabs>
          <w:tab w:val="left" w:pos="567"/>
          <w:tab w:val="left" w:pos="1418"/>
        </w:tabs>
        <w:spacing w:before="120" w:beforeAutospacing="0" w:after="0" w:afterAutospacing="0"/>
        <w:ind w:left="1134" w:right="-6"/>
        <w:jc w:val="both"/>
        <w:rPr>
          <w:rFonts w:ascii="Arial" w:hAnsi="Arial" w:cs="Arial"/>
          <w:lang w:val="en-US"/>
        </w:rPr>
      </w:pPr>
      <w:r>
        <w:rPr>
          <w:rFonts w:ascii="Arial" w:hAnsi="Arial" w:cs="Arial"/>
          <w:lang w:val="en-US"/>
        </w:rPr>
        <w:t xml:space="preserve">2.2.3.2. </w:t>
      </w:r>
      <w:r w:rsidRPr="000D4B54">
        <w:rPr>
          <w:rFonts w:ascii="Arial" w:hAnsi="Arial" w:cs="Arial"/>
          <w:lang w:val="en-US"/>
        </w:rPr>
        <w:t>the nearest trading day when from 12:00 pm to 4:00 pm MSK (hereinafter, “Settlement Time”) the total time of trading in Shares whose aggregate weight in the RTS Index is not less than 75% amounts to at least 60 (sixty) minutes shall be treated as the Contract’s last trading day. In this case Clause 2.6 herein will not apply, and for the purpose of determining settlement obligations the settlement price will be the average value of the RTS Index for the first 60 (sixty) minutes of the Settlement Time multiplied by 100 (one hundred).</w:t>
      </w:r>
    </w:p>
    <w:p w:rsidR="003C28DF" w:rsidRPr="00E55DAE" w:rsidRDefault="003C28DF" w:rsidP="00DB558C">
      <w:pPr>
        <w:pStyle w:val="a3"/>
        <w:tabs>
          <w:tab w:val="left" w:pos="567"/>
        </w:tabs>
        <w:spacing w:before="120" w:beforeAutospacing="0" w:after="0" w:afterAutospacing="0"/>
        <w:ind w:left="1134" w:right="-6" w:hanging="567"/>
        <w:jc w:val="both"/>
        <w:rPr>
          <w:rFonts w:ascii="Arial" w:hAnsi="Arial" w:cs="Arial"/>
          <w:lang w:val="en-US"/>
        </w:rPr>
      </w:pPr>
      <w:r>
        <w:rPr>
          <w:rFonts w:ascii="Arial" w:hAnsi="Arial" w:cs="Arial"/>
          <w:lang w:val="en-US"/>
        </w:rPr>
        <w:lastRenderedPageBreak/>
        <w:t xml:space="preserve">2.2.4. </w:t>
      </w:r>
      <w:r w:rsidRPr="00E55DAE">
        <w:rPr>
          <w:rFonts w:ascii="Arial" w:hAnsi="Arial" w:cs="Arial"/>
          <w:lang w:val="en-US"/>
        </w:rPr>
        <w:t xml:space="preserve">The Contract’s Settlement Price is adjusted for the Settlement Price movement tolerance if such movement tolerance has been established by the Exchange and agreed with the Clearing Centre in accordance with the Methodology </w:t>
      </w:r>
      <w:r>
        <w:rPr>
          <w:rFonts w:ascii="Arial" w:hAnsi="Arial" w:cs="Arial"/>
          <w:lang w:val="en-US"/>
        </w:rPr>
        <w:t xml:space="preserve">for Calculation of </w:t>
      </w:r>
      <w:r w:rsidRPr="00E55DAE">
        <w:rPr>
          <w:rFonts w:ascii="Arial" w:hAnsi="Arial" w:cs="Arial"/>
          <w:lang w:val="en-US"/>
        </w:rPr>
        <w:t>Derivatives Contract</w:t>
      </w:r>
      <w:r>
        <w:rPr>
          <w:rFonts w:ascii="Arial" w:hAnsi="Arial" w:cs="Arial"/>
          <w:lang w:val="en-US"/>
        </w:rPr>
        <w:t>s’</w:t>
      </w:r>
      <w:r w:rsidRPr="00E55DAE">
        <w:rPr>
          <w:rFonts w:ascii="Arial" w:hAnsi="Arial" w:cs="Arial"/>
          <w:lang w:val="en-US"/>
        </w:rPr>
        <w:t xml:space="preserve"> Settlement Price</w:t>
      </w:r>
      <w:r>
        <w:rPr>
          <w:rFonts w:ascii="Arial" w:hAnsi="Arial" w:cs="Arial"/>
          <w:lang w:val="en-US"/>
        </w:rPr>
        <w:t>s</w:t>
      </w:r>
      <w:r w:rsidRPr="00E55DAE">
        <w:rPr>
          <w:rFonts w:ascii="Arial" w:hAnsi="Arial" w:cs="Arial"/>
          <w:lang w:val="en-US"/>
        </w:rPr>
        <w:t xml:space="preserve"> constituting an appendix to the Trading Rules.</w:t>
      </w:r>
    </w:p>
    <w:p w:rsidR="003C28DF" w:rsidRPr="00D60C69" w:rsidRDefault="003C28DF" w:rsidP="00DB558C">
      <w:pPr>
        <w:pStyle w:val="a3"/>
        <w:tabs>
          <w:tab w:val="left" w:pos="567"/>
        </w:tabs>
        <w:spacing w:before="120" w:beforeAutospacing="0" w:after="0" w:afterAutospacing="0"/>
        <w:ind w:left="567" w:right="-6" w:hanging="567"/>
        <w:jc w:val="both"/>
        <w:rPr>
          <w:rFonts w:ascii="Arial" w:hAnsi="Arial" w:cs="Arial"/>
          <w:lang w:val="en-US"/>
        </w:rPr>
      </w:pPr>
      <w:r>
        <w:rPr>
          <w:rFonts w:ascii="Arial" w:hAnsi="Arial" w:cs="Arial"/>
          <w:lang w:val="en-US"/>
        </w:rPr>
        <w:t xml:space="preserve">2.3. </w:t>
      </w:r>
      <w:r w:rsidRPr="00D60C69">
        <w:rPr>
          <w:rFonts w:ascii="Arial" w:hAnsi="Arial" w:cs="Arial"/>
          <w:lang w:val="en-US"/>
        </w:rPr>
        <w:t>For the purpose of Clause 2.</w:t>
      </w:r>
      <w:r>
        <w:rPr>
          <w:rFonts w:ascii="Arial" w:hAnsi="Arial" w:cs="Arial"/>
          <w:lang w:val="en-US"/>
        </w:rPr>
        <w:t>2.2.</w:t>
      </w:r>
      <w:r w:rsidRPr="00D60C69">
        <w:rPr>
          <w:rFonts w:ascii="Arial" w:hAnsi="Arial" w:cs="Arial"/>
          <w:lang w:val="en-US"/>
        </w:rPr>
        <w:t xml:space="preserve"> and Clause 2.</w:t>
      </w:r>
      <w:r>
        <w:rPr>
          <w:rFonts w:ascii="Arial" w:hAnsi="Arial" w:cs="Arial"/>
          <w:lang w:val="en-US"/>
        </w:rPr>
        <w:t>2.3.</w:t>
      </w:r>
      <w:r w:rsidRPr="00D60C69">
        <w:rPr>
          <w:rFonts w:ascii="Arial" w:hAnsi="Arial" w:cs="Arial"/>
          <w:lang w:val="en-US"/>
        </w:rPr>
        <w:t xml:space="preserve"> herein</w:t>
      </w:r>
      <w:r>
        <w:rPr>
          <w:rFonts w:ascii="Arial" w:hAnsi="Arial" w:cs="Arial"/>
          <w:lang w:val="en-US"/>
        </w:rPr>
        <w:t>,</w:t>
      </w:r>
      <w:r w:rsidRPr="00D60C69">
        <w:rPr>
          <w:rFonts w:ascii="Arial" w:hAnsi="Arial" w:cs="Arial"/>
          <w:lang w:val="en-US"/>
        </w:rPr>
        <w:t xml:space="preserve"> for calculation of the Shares’ aggregate weight in the RTS Index the ratios of such Shares value to the total value of the Shares on the constituent list of the RTS Index will be used as per the information last published on the Exchange’s website and to be disclosed daily in accordance with the regulatory acts of the Russian Federation and the methodology for calculation of the RTS Index.</w:t>
      </w:r>
    </w:p>
    <w:p w:rsidR="003C28DF" w:rsidRPr="00D60C69" w:rsidRDefault="003C28DF" w:rsidP="00DB558C">
      <w:pPr>
        <w:pStyle w:val="a3"/>
        <w:tabs>
          <w:tab w:val="left" w:pos="567"/>
          <w:tab w:val="left" w:pos="900"/>
        </w:tabs>
        <w:spacing w:before="120" w:beforeAutospacing="0" w:after="0" w:afterAutospacing="0"/>
        <w:ind w:left="567" w:right="-6" w:hanging="567"/>
        <w:jc w:val="both"/>
        <w:rPr>
          <w:rFonts w:ascii="Arial" w:hAnsi="Arial" w:cs="Arial"/>
          <w:lang w:val="en-US"/>
        </w:rPr>
      </w:pPr>
      <w:r>
        <w:rPr>
          <w:rFonts w:ascii="Arial" w:hAnsi="Arial" w:cs="Arial"/>
          <w:lang w:val="en-US"/>
        </w:rPr>
        <w:t xml:space="preserve">2.4. </w:t>
      </w:r>
      <w:r w:rsidRPr="00D60C69">
        <w:rPr>
          <w:rFonts w:ascii="Arial" w:hAnsi="Arial" w:cs="Arial"/>
          <w:lang w:val="en-US"/>
        </w:rPr>
        <w:t>For the purpose of Clause 2.</w:t>
      </w:r>
      <w:r>
        <w:rPr>
          <w:rFonts w:ascii="Arial" w:hAnsi="Arial" w:cs="Arial"/>
          <w:lang w:val="en-US"/>
        </w:rPr>
        <w:t>2.2.</w:t>
      </w:r>
      <w:r w:rsidRPr="00D60C69">
        <w:rPr>
          <w:rFonts w:ascii="Arial" w:hAnsi="Arial" w:cs="Arial"/>
          <w:lang w:val="en-US"/>
        </w:rPr>
        <w:t xml:space="preserve"> and Clause 2.</w:t>
      </w:r>
      <w:r>
        <w:rPr>
          <w:rFonts w:ascii="Arial" w:hAnsi="Arial" w:cs="Arial"/>
          <w:lang w:val="en-US"/>
        </w:rPr>
        <w:t>2.3.</w:t>
      </w:r>
      <w:r w:rsidRPr="00D60C69">
        <w:rPr>
          <w:rFonts w:ascii="Arial" w:hAnsi="Arial" w:cs="Arial"/>
          <w:lang w:val="en-US"/>
        </w:rPr>
        <w:t xml:space="preserve"> herein the average value of the RTS Index will be calculated as the average mean of all values of the RTS Index that were calculated for the period of time for which the average value of the RTS Index is to be determined.</w:t>
      </w:r>
    </w:p>
    <w:p w:rsidR="003C28DF" w:rsidRPr="00D60C69" w:rsidRDefault="003C28DF" w:rsidP="00DB558C">
      <w:pPr>
        <w:pStyle w:val="a3"/>
        <w:tabs>
          <w:tab w:val="left" w:pos="567"/>
        </w:tabs>
        <w:spacing w:before="120" w:beforeAutospacing="0" w:after="0" w:afterAutospacing="0"/>
        <w:ind w:left="567" w:right="-6" w:hanging="567"/>
        <w:jc w:val="both"/>
        <w:rPr>
          <w:rFonts w:ascii="Arial" w:hAnsi="Arial" w:cs="Arial"/>
          <w:lang w:val="en-US"/>
        </w:rPr>
      </w:pPr>
      <w:r>
        <w:rPr>
          <w:rFonts w:ascii="Arial" w:hAnsi="Arial" w:cs="Arial"/>
          <w:lang w:val="en-US"/>
        </w:rPr>
        <w:t xml:space="preserve">2.5. </w:t>
      </w:r>
      <w:r w:rsidRPr="00D60C69">
        <w:rPr>
          <w:rFonts w:ascii="Arial" w:hAnsi="Arial" w:cs="Arial"/>
          <w:lang w:val="en-US"/>
        </w:rPr>
        <w:t>The Exchange will notify the Trading Participants of the fact that the condition for determination of the settlement price referred to in Clause 2.</w:t>
      </w:r>
      <w:r>
        <w:rPr>
          <w:rFonts w:ascii="Arial" w:hAnsi="Arial" w:cs="Arial"/>
          <w:lang w:val="en-US"/>
        </w:rPr>
        <w:t>2.2.</w:t>
      </w:r>
      <w:r w:rsidRPr="00D60C69">
        <w:rPr>
          <w:rFonts w:ascii="Arial" w:hAnsi="Arial" w:cs="Arial"/>
          <w:lang w:val="en-US"/>
        </w:rPr>
        <w:t xml:space="preserve"> herein is not met and that the settlement price is to be determined as per Clause 2.</w:t>
      </w:r>
      <w:r>
        <w:rPr>
          <w:rFonts w:ascii="Arial" w:hAnsi="Arial" w:cs="Arial"/>
          <w:lang w:val="en-US"/>
        </w:rPr>
        <w:t>2.3.</w:t>
      </w:r>
      <w:r w:rsidRPr="00D60C69">
        <w:rPr>
          <w:rFonts w:ascii="Arial" w:hAnsi="Arial" w:cs="Arial"/>
          <w:lang w:val="en-US"/>
        </w:rPr>
        <w:t xml:space="preserve"> herein, by publishing this information on the Exchange’s website.</w:t>
      </w:r>
    </w:p>
    <w:p w:rsidR="003C28DF" w:rsidRPr="00D60C69" w:rsidRDefault="003C28DF" w:rsidP="003C28DF">
      <w:pPr>
        <w:pStyle w:val="a3"/>
        <w:tabs>
          <w:tab w:val="left" w:pos="567"/>
          <w:tab w:val="left" w:pos="9180"/>
        </w:tabs>
        <w:spacing w:before="120" w:beforeAutospacing="0" w:after="0" w:afterAutospacing="0"/>
        <w:ind w:right="-5"/>
        <w:jc w:val="both"/>
        <w:rPr>
          <w:rFonts w:ascii="Arial" w:hAnsi="Arial" w:cs="Arial"/>
          <w:b/>
          <w:bCs/>
          <w:lang w:val="en-US"/>
        </w:rPr>
      </w:pPr>
      <w:r>
        <w:rPr>
          <w:rFonts w:ascii="Arial" w:hAnsi="Arial" w:cs="Arial"/>
          <w:b/>
          <w:lang w:val="en-US"/>
        </w:rPr>
        <w:t xml:space="preserve">3. </w:t>
      </w:r>
      <w:r w:rsidRPr="00D60C69">
        <w:rPr>
          <w:rFonts w:ascii="Arial" w:hAnsi="Arial" w:cs="Arial"/>
          <w:b/>
          <w:lang w:val="en-US"/>
        </w:rPr>
        <w:t xml:space="preserve">Grounds and procedures for </w:t>
      </w:r>
      <w:r>
        <w:rPr>
          <w:rFonts w:ascii="Arial" w:hAnsi="Arial" w:cs="Arial"/>
          <w:b/>
          <w:lang w:val="en-US"/>
        </w:rPr>
        <w:t xml:space="preserve">the </w:t>
      </w:r>
      <w:r w:rsidRPr="00D60C69">
        <w:rPr>
          <w:rFonts w:ascii="Arial" w:hAnsi="Arial" w:cs="Arial"/>
          <w:b/>
          <w:lang w:val="en-US"/>
        </w:rPr>
        <w:t xml:space="preserve">Contract termination </w:t>
      </w:r>
    </w:p>
    <w:p w:rsidR="003C28DF" w:rsidRDefault="003C28DF" w:rsidP="003C28DF">
      <w:pPr>
        <w:pStyle w:val="a8"/>
        <w:numPr>
          <w:ilvl w:val="1"/>
          <w:numId w:val="9"/>
        </w:numPr>
        <w:tabs>
          <w:tab w:val="clear" w:pos="9000"/>
        </w:tabs>
        <w:autoSpaceDE w:val="0"/>
        <w:autoSpaceDN w:val="0"/>
        <w:ind w:left="567" w:right="0" w:hanging="567"/>
        <w:rPr>
          <w:lang w:val="en-US"/>
        </w:rPr>
      </w:pPr>
      <w:r w:rsidRPr="003373C1">
        <w:rPr>
          <w:lang w:val="en-US"/>
        </w:rPr>
        <w:t xml:space="preserve">Obligations under the Contract are discharged in full after being properly fulfilled.  </w:t>
      </w:r>
    </w:p>
    <w:p w:rsidR="003C28DF" w:rsidRDefault="003C28DF" w:rsidP="003C28DF">
      <w:pPr>
        <w:pStyle w:val="a8"/>
        <w:numPr>
          <w:ilvl w:val="1"/>
          <w:numId w:val="9"/>
        </w:numPr>
        <w:tabs>
          <w:tab w:val="clear" w:pos="9000"/>
        </w:tabs>
        <w:autoSpaceDE w:val="0"/>
        <w:autoSpaceDN w:val="0"/>
        <w:ind w:left="567" w:right="0" w:hanging="567"/>
        <w:rPr>
          <w:lang w:val="en-US"/>
        </w:rPr>
      </w:pPr>
      <w:r w:rsidRPr="009A3382">
        <w:rPr>
          <w:lang w:val="en-US"/>
        </w:rPr>
        <w:t xml:space="preserve">The obligations of a party to the Contract are discharged in full when the party takes opposing obligations under the Contract with the same code (designation). This means that the Seller has taken the Buyer’s obligations and vice versa, in accordance with the procedure and within the time frame set forth in the Clearing Rules. </w:t>
      </w:r>
    </w:p>
    <w:p w:rsidR="003C28DF" w:rsidRPr="009A3382" w:rsidRDefault="003C28DF" w:rsidP="003C28DF">
      <w:pPr>
        <w:pStyle w:val="a8"/>
        <w:numPr>
          <w:ilvl w:val="1"/>
          <w:numId w:val="9"/>
        </w:numPr>
        <w:tabs>
          <w:tab w:val="clear" w:pos="9000"/>
        </w:tabs>
        <w:autoSpaceDE w:val="0"/>
        <w:autoSpaceDN w:val="0"/>
        <w:ind w:left="567" w:right="0" w:hanging="567"/>
        <w:rPr>
          <w:lang w:val="en-US"/>
        </w:rPr>
      </w:pPr>
      <w:r w:rsidRPr="009A3382">
        <w:rPr>
          <w:lang w:val="en-US"/>
        </w:rPr>
        <w:t>Obligations under the Contract may be discharged on other grounds provided for in the Clearing Rules and in accordance with the procedure set forth in these rules.</w:t>
      </w:r>
    </w:p>
    <w:p w:rsidR="003C28DF" w:rsidRPr="00D60C69" w:rsidRDefault="003C28DF" w:rsidP="003C28DF">
      <w:pPr>
        <w:pStyle w:val="a7"/>
        <w:numPr>
          <w:ilvl w:val="0"/>
          <w:numId w:val="9"/>
        </w:numPr>
        <w:tabs>
          <w:tab w:val="clear" w:pos="9000"/>
        </w:tabs>
        <w:autoSpaceDE w:val="0"/>
        <w:autoSpaceDN w:val="0"/>
        <w:spacing w:before="120" w:after="120"/>
        <w:ind w:right="0"/>
        <w:rPr>
          <w:b/>
          <w:color w:val="000000"/>
          <w:lang w:val="en-US"/>
        </w:rPr>
      </w:pPr>
      <w:r>
        <w:rPr>
          <w:b/>
          <w:color w:val="000000"/>
          <w:lang w:val="en-US"/>
        </w:rPr>
        <w:t>Default Responsibility</w:t>
      </w:r>
    </w:p>
    <w:p w:rsidR="003C28DF" w:rsidRPr="00D60C69" w:rsidRDefault="003C28DF" w:rsidP="003C28DF">
      <w:pPr>
        <w:pStyle w:val="Pointmark"/>
        <w:numPr>
          <w:ilvl w:val="1"/>
          <w:numId w:val="9"/>
        </w:numPr>
        <w:spacing w:before="120"/>
        <w:ind w:left="567" w:hanging="567"/>
        <w:rPr>
          <w:lang w:val="en-US"/>
        </w:rPr>
      </w:pPr>
      <w:r w:rsidRPr="00D60C69">
        <w:rPr>
          <w:lang w:val="en-US"/>
        </w:rPr>
        <w:t xml:space="preserve">Parties shall be responsible for a failure to perform obligations under the Contract or improper performance thereof, in accordance with the legislation of the Russian Federation, </w:t>
      </w:r>
      <w:r>
        <w:rPr>
          <w:lang w:val="en-US"/>
        </w:rPr>
        <w:t xml:space="preserve">the </w:t>
      </w:r>
      <w:r w:rsidRPr="00D60C69">
        <w:rPr>
          <w:lang w:val="en-US"/>
        </w:rPr>
        <w:t>Clearing Rules</w:t>
      </w:r>
      <w:r>
        <w:rPr>
          <w:lang w:val="en-US"/>
        </w:rPr>
        <w:t>,</w:t>
      </w:r>
      <w:r w:rsidRPr="00D60C69">
        <w:rPr>
          <w:lang w:val="en-US"/>
        </w:rPr>
        <w:t xml:space="preserve"> and </w:t>
      </w:r>
      <w:r>
        <w:rPr>
          <w:lang w:val="en-US"/>
        </w:rPr>
        <w:t xml:space="preserve">the </w:t>
      </w:r>
      <w:r w:rsidRPr="00D60C69">
        <w:rPr>
          <w:lang w:val="en-US"/>
        </w:rPr>
        <w:t>Trading Rules.</w:t>
      </w:r>
    </w:p>
    <w:p w:rsidR="003C28DF" w:rsidRPr="00D60C69" w:rsidRDefault="003C28DF" w:rsidP="003C28DF">
      <w:pPr>
        <w:pStyle w:val="a3"/>
        <w:numPr>
          <w:ilvl w:val="0"/>
          <w:numId w:val="9"/>
        </w:numPr>
        <w:tabs>
          <w:tab w:val="left" w:pos="567"/>
        </w:tabs>
        <w:spacing w:before="120" w:beforeAutospacing="0" w:after="0" w:afterAutospacing="0"/>
        <w:ind w:right="-6"/>
        <w:jc w:val="both"/>
        <w:rPr>
          <w:rFonts w:ascii="Arial" w:hAnsi="Arial" w:cs="Arial"/>
          <w:b/>
          <w:bCs/>
          <w:color w:val="auto"/>
          <w:lang w:val="en-US"/>
        </w:rPr>
      </w:pPr>
      <w:r w:rsidRPr="00D60C69">
        <w:rPr>
          <w:rFonts w:ascii="Arial" w:hAnsi="Arial" w:cs="Arial"/>
          <w:b/>
          <w:bCs/>
          <w:lang w:val="en-US"/>
        </w:rPr>
        <w:t>Special Provisions</w:t>
      </w:r>
    </w:p>
    <w:p w:rsidR="003C28DF" w:rsidRPr="00D60C69" w:rsidRDefault="003C28DF" w:rsidP="003C28DF">
      <w:pPr>
        <w:pStyle w:val="a8"/>
        <w:numPr>
          <w:ilvl w:val="1"/>
          <w:numId w:val="9"/>
        </w:numPr>
        <w:tabs>
          <w:tab w:val="clear" w:pos="9000"/>
        </w:tabs>
        <w:autoSpaceDE w:val="0"/>
        <w:autoSpaceDN w:val="0"/>
        <w:ind w:left="567" w:right="0" w:hanging="567"/>
        <w:rPr>
          <w:lang w:val="en-US" w:eastAsia="en-US"/>
        </w:rPr>
      </w:pPr>
      <w:bookmarkStart w:id="1" w:name="_Ref369190346"/>
      <w:r w:rsidRPr="00D60C69">
        <w:rPr>
          <w:lang w:val="en-US" w:eastAsia="en-US"/>
        </w:rPr>
        <w:t xml:space="preserve">If trading in the Contract has been suspended or terminated, or the Shares have been suspended from trading by the Exchange or annulled, </w:t>
      </w:r>
      <w:r w:rsidRPr="00D60C69">
        <w:rPr>
          <w:rFonts w:eastAsia="Calibri"/>
          <w:lang w:val="en-US" w:eastAsia="en-US"/>
        </w:rPr>
        <w:t xml:space="preserve">the Exchange, </w:t>
      </w:r>
      <w:r>
        <w:rPr>
          <w:rFonts w:eastAsia="Calibri"/>
          <w:lang w:val="en-US" w:eastAsia="en-US"/>
        </w:rPr>
        <w:t>upon</w:t>
      </w:r>
      <w:r w:rsidRPr="00D60C69">
        <w:rPr>
          <w:rFonts w:eastAsia="Calibri"/>
          <w:lang w:val="en-US" w:eastAsia="en-US"/>
        </w:rPr>
        <w:t xml:space="preserve"> agreement with the NCC, may undertake one or more of the following actions</w:t>
      </w:r>
      <w:r w:rsidRPr="00D60C69">
        <w:rPr>
          <w:lang w:val="en-US" w:eastAsia="en-US"/>
        </w:rPr>
        <w:t>:</w:t>
      </w:r>
      <w:bookmarkEnd w:id="1"/>
    </w:p>
    <w:p w:rsidR="003C28DF" w:rsidRDefault="003C28DF" w:rsidP="003C28DF">
      <w:pPr>
        <w:pStyle w:val="Pointmark"/>
        <w:numPr>
          <w:ilvl w:val="2"/>
          <w:numId w:val="9"/>
        </w:numPr>
        <w:tabs>
          <w:tab w:val="left" w:pos="993"/>
        </w:tabs>
        <w:spacing w:before="120"/>
        <w:ind w:left="1276"/>
        <w:rPr>
          <w:rFonts w:eastAsia="Calibri"/>
          <w:lang w:val="en-US"/>
        </w:rPr>
      </w:pPr>
      <w:bookmarkStart w:id="2" w:name="_Ref389229004"/>
      <w:r w:rsidRPr="00D60C69">
        <w:rPr>
          <w:rFonts w:eastAsia="Calibri"/>
          <w:lang w:val="en-US"/>
        </w:rPr>
        <w:t>change the Contract’s last trading day;</w:t>
      </w:r>
    </w:p>
    <w:p w:rsidR="003C28DF" w:rsidRDefault="003C28DF" w:rsidP="003C28DF">
      <w:pPr>
        <w:pStyle w:val="Pointmark"/>
        <w:numPr>
          <w:ilvl w:val="2"/>
          <w:numId w:val="9"/>
        </w:numPr>
        <w:tabs>
          <w:tab w:val="left" w:pos="993"/>
        </w:tabs>
        <w:spacing w:before="0"/>
        <w:ind w:left="1276"/>
        <w:rPr>
          <w:rFonts w:eastAsia="Calibri"/>
          <w:lang w:val="en-US"/>
        </w:rPr>
      </w:pPr>
      <w:r w:rsidRPr="003373C1">
        <w:rPr>
          <w:rFonts w:eastAsia="Calibri"/>
          <w:lang w:val="en-US"/>
        </w:rPr>
        <w:t>change the Contract’s final settlement date;</w:t>
      </w:r>
    </w:p>
    <w:p w:rsidR="003C28DF" w:rsidRDefault="003C28DF" w:rsidP="003C28DF">
      <w:pPr>
        <w:pStyle w:val="Pointmark"/>
        <w:numPr>
          <w:ilvl w:val="2"/>
          <w:numId w:val="9"/>
        </w:numPr>
        <w:tabs>
          <w:tab w:val="left" w:pos="993"/>
        </w:tabs>
        <w:spacing w:before="0"/>
        <w:ind w:left="1276"/>
        <w:rPr>
          <w:rFonts w:eastAsia="Calibri"/>
          <w:lang w:val="en-US"/>
        </w:rPr>
      </w:pPr>
      <w:r w:rsidRPr="003373C1">
        <w:rPr>
          <w:rFonts w:eastAsia="Calibri"/>
          <w:lang w:val="en-US"/>
        </w:rPr>
        <w:t>change the current</w:t>
      </w:r>
      <w:r>
        <w:rPr>
          <w:rFonts w:eastAsia="Calibri"/>
          <w:lang w:val="en-US"/>
        </w:rPr>
        <w:t xml:space="preserve"> (final)</w:t>
      </w:r>
      <w:r w:rsidRPr="003373C1">
        <w:rPr>
          <w:rFonts w:eastAsia="Calibri"/>
          <w:lang w:val="en-US"/>
        </w:rPr>
        <w:t xml:space="preserve"> settlement price,</w:t>
      </w:r>
      <w:r>
        <w:rPr>
          <w:rFonts w:eastAsia="Calibri"/>
          <w:lang w:val="en-US"/>
        </w:rPr>
        <w:t xml:space="preserve"> and/</w:t>
      </w:r>
      <w:r w:rsidRPr="003373C1">
        <w:rPr>
          <w:rFonts w:eastAsia="Calibri"/>
          <w:lang w:val="en-US"/>
        </w:rPr>
        <w:t xml:space="preserve">or amend the calculation method for the variation margin </w:t>
      </w:r>
      <w:r>
        <w:rPr>
          <w:rFonts w:eastAsia="Calibri"/>
          <w:lang w:val="en-US"/>
        </w:rPr>
        <w:t>and</w:t>
      </w:r>
      <w:r w:rsidRPr="003373C1">
        <w:rPr>
          <w:rFonts w:eastAsia="Calibri"/>
          <w:lang w:val="en-US"/>
        </w:rPr>
        <w:t xml:space="preserve"> rules pertaining to its transfer;</w:t>
      </w:r>
    </w:p>
    <w:p w:rsidR="003C28DF" w:rsidRPr="003373C1" w:rsidRDefault="003C28DF" w:rsidP="003C28DF">
      <w:pPr>
        <w:pStyle w:val="Pointmark"/>
        <w:numPr>
          <w:ilvl w:val="2"/>
          <w:numId w:val="9"/>
        </w:numPr>
        <w:tabs>
          <w:tab w:val="left" w:pos="993"/>
        </w:tabs>
        <w:spacing w:before="0"/>
        <w:ind w:left="1276"/>
        <w:rPr>
          <w:rFonts w:eastAsia="Calibri"/>
          <w:lang w:val="en-US"/>
        </w:rPr>
      </w:pPr>
      <w:r w:rsidRPr="003373C1">
        <w:rPr>
          <w:rFonts w:eastAsia="Calibri"/>
          <w:lang w:val="en-US"/>
        </w:rPr>
        <w:t>undertake other actions provided for in the Trading Rules.</w:t>
      </w:r>
    </w:p>
    <w:bookmarkEnd w:id="2"/>
    <w:p w:rsidR="003C28DF" w:rsidRPr="00B62D01" w:rsidRDefault="003C28DF" w:rsidP="003C28DF">
      <w:pPr>
        <w:numPr>
          <w:ilvl w:val="1"/>
          <w:numId w:val="9"/>
        </w:numPr>
        <w:spacing w:before="120"/>
        <w:ind w:left="567" w:hanging="567"/>
        <w:jc w:val="both"/>
        <w:rPr>
          <w:rFonts w:ascii="Arial" w:eastAsia="Calibri" w:hAnsi="Arial" w:cs="Arial"/>
          <w:sz w:val="20"/>
          <w:szCs w:val="20"/>
          <w:lang w:val="en-US" w:eastAsia="en-US"/>
        </w:rPr>
      </w:pPr>
      <w:r w:rsidRPr="00B62D01">
        <w:rPr>
          <w:rFonts w:ascii="Arial" w:eastAsia="Calibri" w:hAnsi="Arial" w:cs="Arial"/>
          <w:sz w:val="20"/>
          <w:szCs w:val="20"/>
          <w:lang w:val="en-US" w:eastAsia="en-US"/>
        </w:rPr>
        <w:t>The Exchange, upon agreement with the NCC, may alter the Contract’s last trading day and/or the Contract’s final settlement date if the Contract’s last trading day is declared a public holiday by order of the appropriate Russian state authorities.</w:t>
      </w:r>
    </w:p>
    <w:p w:rsidR="003C28DF" w:rsidRPr="00B62D01" w:rsidRDefault="003C28DF" w:rsidP="003C28DF">
      <w:pPr>
        <w:pStyle w:val="a8"/>
        <w:numPr>
          <w:ilvl w:val="1"/>
          <w:numId w:val="9"/>
        </w:numPr>
        <w:tabs>
          <w:tab w:val="clear" w:pos="9000"/>
        </w:tabs>
        <w:autoSpaceDE w:val="0"/>
        <w:autoSpaceDN w:val="0"/>
        <w:ind w:left="567" w:right="0" w:hanging="567"/>
        <w:rPr>
          <w:lang w:val="en-US"/>
        </w:rPr>
      </w:pPr>
      <w:r w:rsidRPr="00B62D01">
        <w:rPr>
          <w:lang w:val="en-US"/>
        </w:rPr>
        <w:t xml:space="preserve">Trading members shall be notified of the decision(s) of the Exchange made in accordance with Clauses </w:t>
      </w:r>
      <w:r>
        <w:rPr>
          <w:lang w:val="en-US"/>
        </w:rPr>
        <w:t>5.1.</w:t>
      </w:r>
      <w:r w:rsidRPr="00B62D01">
        <w:rPr>
          <w:lang w:val="en-US"/>
        </w:rPr>
        <w:t xml:space="preserve"> and </w:t>
      </w:r>
      <w:r>
        <w:rPr>
          <w:lang w:val="en-US"/>
        </w:rPr>
        <w:t>5.2.</w:t>
      </w:r>
      <w:r w:rsidRPr="00B62D01">
        <w:rPr>
          <w:lang w:val="en-US"/>
        </w:rPr>
        <w:t xml:space="preserve"> hereof by publishing them on the Exchange’s website no less than 3 (three) trading days before they come into force. If the grounds for taking such resolutions provided for in the Clause </w:t>
      </w:r>
      <w:r>
        <w:rPr>
          <w:lang w:val="en-US"/>
        </w:rPr>
        <w:t>5.1.</w:t>
      </w:r>
      <w:r w:rsidRPr="00B62D01">
        <w:rPr>
          <w:lang w:val="en-US"/>
        </w:rPr>
        <w:t xml:space="preserve"> hereof appear less than 3 (three) trading days before the Contract’s last trading day, Trading members shall be notified of this resolution(s) by way of the resolution being published on the Exchange’s website no later than the date of this resolution(s) coming into force. </w:t>
      </w:r>
    </w:p>
    <w:p w:rsidR="003C28DF" w:rsidRPr="00B62D01" w:rsidRDefault="003C28DF" w:rsidP="003C28DF">
      <w:pPr>
        <w:pStyle w:val="a8"/>
        <w:numPr>
          <w:ilvl w:val="1"/>
          <w:numId w:val="9"/>
        </w:numPr>
        <w:tabs>
          <w:tab w:val="clear" w:pos="9000"/>
        </w:tabs>
        <w:autoSpaceDE w:val="0"/>
        <w:autoSpaceDN w:val="0"/>
        <w:ind w:left="567" w:right="0" w:hanging="567"/>
        <w:rPr>
          <w:lang w:val="en-US"/>
        </w:rPr>
      </w:pPr>
      <w:r w:rsidRPr="00B62D01">
        <w:rPr>
          <w:lang w:val="en-US"/>
        </w:rPr>
        <w:t xml:space="preserve">As soon as the decision(s) made by the Exchange in accordance with Clauses </w:t>
      </w:r>
      <w:r>
        <w:rPr>
          <w:lang w:val="en-US"/>
        </w:rPr>
        <w:t>5.1.</w:t>
      </w:r>
      <w:r w:rsidRPr="00B62D01">
        <w:rPr>
          <w:lang w:val="en-US"/>
        </w:rPr>
        <w:t xml:space="preserve"> and </w:t>
      </w:r>
      <w:r>
        <w:rPr>
          <w:lang w:val="en-US"/>
        </w:rPr>
        <w:t>5.2.</w:t>
      </w:r>
      <w:r w:rsidRPr="00B62D01">
        <w:rPr>
          <w:lang w:val="en-US"/>
        </w:rPr>
        <w:t xml:space="preserve"> hereof come(s) into effect, the terms of the existing obligations under the Contracts that were made previously shall be deemed changed with regard to the above-mentioned resolution(s).</w:t>
      </w:r>
    </w:p>
    <w:p w:rsidR="003C28DF" w:rsidRPr="00B62D01" w:rsidRDefault="003C28DF" w:rsidP="003C28DF">
      <w:pPr>
        <w:pStyle w:val="a3"/>
        <w:numPr>
          <w:ilvl w:val="0"/>
          <w:numId w:val="9"/>
        </w:numPr>
        <w:tabs>
          <w:tab w:val="left" w:pos="567"/>
        </w:tabs>
        <w:autoSpaceDE w:val="0"/>
        <w:autoSpaceDN w:val="0"/>
        <w:spacing w:before="120" w:beforeAutospacing="0" w:after="0" w:afterAutospacing="0"/>
        <w:ind w:left="567" w:right="-5" w:hanging="567"/>
        <w:jc w:val="both"/>
        <w:rPr>
          <w:rFonts w:ascii="Arial" w:hAnsi="Arial" w:cs="Arial"/>
          <w:b/>
          <w:bCs/>
          <w:lang w:val="en-US"/>
        </w:rPr>
      </w:pPr>
      <w:r w:rsidRPr="00B62D01">
        <w:rPr>
          <w:rFonts w:ascii="Arial" w:hAnsi="Arial" w:cs="Arial"/>
          <w:b/>
          <w:bCs/>
          <w:lang w:val="en-US"/>
        </w:rPr>
        <w:t>Amendments and Supplements to the Specifications</w:t>
      </w:r>
    </w:p>
    <w:p w:rsidR="003C28DF" w:rsidRPr="00B62D01" w:rsidRDefault="003C28DF" w:rsidP="003C28DF">
      <w:pPr>
        <w:pStyle w:val="a8"/>
        <w:numPr>
          <w:ilvl w:val="1"/>
          <w:numId w:val="9"/>
        </w:numPr>
        <w:shd w:val="clear" w:color="auto" w:fill="FFFFFF"/>
        <w:tabs>
          <w:tab w:val="clear" w:pos="9000"/>
        </w:tabs>
        <w:autoSpaceDE w:val="0"/>
        <w:autoSpaceDN w:val="0"/>
        <w:ind w:left="567" w:right="0" w:hanging="567"/>
        <w:rPr>
          <w:lang w:val="en-US"/>
        </w:rPr>
      </w:pPr>
      <w:r w:rsidRPr="00B62D01">
        <w:rPr>
          <w:lang w:val="en-US"/>
        </w:rPr>
        <w:t>The Exchange shall be entitled to introduce amendments and supplements hereto as agreed with the Clearing Center.</w:t>
      </w:r>
    </w:p>
    <w:p w:rsidR="003C28DF" w:rsidRPr="00B62D01" w:rsidRDefault="003C28DF" w:rsidP="003C28DF">
      <w:pPr>
        <w:pStyle w:val="a8"/>
        <w:numPr>
          <w:ilvl w:val="1"/>
          <w:numId w:val="9"/>
        </w:numPr>
        <w:shd w:val="clear" w:color="auto" w:fill="FFFFFF"/>
        <w:tabs>
          <w:tab w:val="clear" w:pos="9000"/>
        </w:tabs>
        <w:autoSpaceDE w:val="0"/>
        <w:autoSpaceDN w:val="0"/>
        <w:ind w:left="567" w:right="0" w:hanging="567"/>
        <w:rPr>
          <w:lang w:val="en-US"/>
        </w:rPr>
      </w:pPr>
      <w:r w:rsidRPr="00B62D01">
        <w:rPr>
          <w:lang w:val="en-US"/>
        </w:rPr>
        <w:lastRenderedPageBreak/>
        <w:t xml:space="preserve">The amendments and supplements hereto shall come into effect at the moment the Exchange enforces the Specifications containing such amendments and supplements upon registration thereof in accordance with the procedure established by the </w:t>
      </w:r>
      <w:r>
        <w:rPr>
          <w:lang w:val="en-US"/>
        </w:rPr>
        <w:t>Bank of Russia</w:t>
      </w:r>
      <w:r w:rsidRPr="00B62D01">
        <w:rPr>
          <w:lang w:val="en-US"/>
        </w:rPr>
        <w:t>.</w:t>
      </w:r>
    </w:p>
    <w:p w:rsidR="003C28DF" w:rsidRPr="00B62D01" w:rsidRDefault="003C28DF" w:rsidP="003C28DF">
      <w:pPr>
        <w:pStyle w:val="a8"/>
        <w:numPr>
          <w:ilvl w:val="1"/>
          <w:numId w:val="9"/>
        </w:numPr>
        <w:shd w:val="clear" w:color="auto" w:fill="FFFFFF"/>
        <w:tabs>
          <w:tab w:val="clear" w:pos="9000"/>
        </w:tabs>
        <w:autoSpaceDE w:val="0"/>
        <w:autoSpaceDN w:val="0"/>
        <w:ind w:left="567" w:right="0" w:hanging="567"/>
        <w:rPr>
          <w:lang w:val="en-US"/>
        </w:rPr>
      </w:pPr>
      <w:r w:rsidRPr="00B62D01">
        <w:rPr>
          <w:lang w:val="en-US"/>
        </w:rPr>
        <w:t>The Exchange shall notify Trading Members of Specifications containing any amendments and supplements to take effect by publishing the corresponding information on the Exchange’s website at least three (3) trading days prior to the day when the given Specifications come into effect.</w:t>
      </w:r>
    </w:p>
    <w:p w:rsidR="003C28DF" w:rsidRPr="00B62D01" w:rsidRDefault="003C28DF" w:rsidP="003C28DF">
      <w:pPr>
        <w:pStyle w:val="a8"/>
        <w:numPr>
          <w:ilvl w:val="1"/>
          <w:numId w:val="9"/>
        </w:numPr>
        <w:shd w:val="clear" w:color="auto" w:fill="FFFFFF"/>
        <w:tabs>
          <w:tab w:val="clear" w:pos="9000"/>
        </w:tabs>
        <w:autoSpaceDE w:val="0"/>
        <w:autoSpaceDN w:val="0"/>
        <w:ind w:left="567" w:right="0" w:hanging="567"/>
        <w:rPr>
          <w:lang w:val="en-US"/>
        </w:rPr>
      </w:pPr>
      <w:r w:rsidRPr="00B62D01">
        <w:rPr>
          <w:lang w:val="en-US"/>
        </w:rPr>
        <w:t>When amendments and supplements come into effect, obligations under previously concluded Contracts shall be considered to have been altered to include such amendments and supplements.</w:t>
      </w:r>
    </w:p>
    <w:p w:rsidR="003C28DF" w:rsidRPr="00D60C69" w:rsidRDefault="003C28DF" w:rsidP="003C28DF">
      <w:pPr>
        <w:tabs>
          <w:tab w:val="left" w:pos="851"/>
        </w:tabs>
        <w:spacing w:before="120"/>
        <w:ind w:left="567" w:hanging="567"/>
        <w:jc w:val="both"/>
        <w:rPr>
          <w:rFonts w:ascii="Arial" w:hAnsi="Arial" w:cs="Arial"/>
          <w:lang w:val="en-US"/>
        </w:rPr>
      </w:pPr>
    </w:p>
    <w:p w:rsidR="008E374D" w:rsidRPr="003C28DF" w:rsidRDefault="00C720D3">
      <w:pPr>
        <w:rPr>
          <w:lang w:val="en-US"/>
        </w:rPr>
      </w:pPr>
    </w:p>
    <w:sectPr w:rsidR="008E374D" w:rsidRPr="003C28DF">
      <w:headerReference w:type="default"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20D3" w:rsidRDefault="00C720D3" w:rsidP="003C28DF">
      <w:r>
        <w:separator/>
      </w:r>
    </w:p>
  </w:endnote>
  <w:endnote w:type="continuationSeparator" w:id="0">
    <w:p w:rsidR="00C720D3" w:rsidRDefault="00C720D3" w:rsidP="003C2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6D0" w:rsidRPr="005156D0" w:rsidRDefault="00687B37">
    <w:pPr>
      <w:pStyle w:val="a5"/>
      <w:jc w:val="right"/>
      <w:rPr>
        <w:rFonts w:ascii="Arial" w:hAnsi="Arial" w:cs="Arial"/>
        <w:sz w:val="20"/>
        <w:szCs w:val="20"/>
      </w:rPr>
    </w:pPr>
    <w:r w:rsidRPr="005156D0">
      <w:rPr>
        <w:rFonts w:ascii="Arial" w:hAnsi="Arial" w:cs="Arial"/>
        <w:sz w:val="20"/>
        <w:szCs w:val="20"/>
      </w:rPr>
      <w:fldChar w:fldCharType="begin"/>
    </w:r>
    <w:r w:rsidRPr="005156D0">
      <w:rPr>
        <w:rFonts w:ascii="Arial" w:hAnsi="Arial" w:cs="Arial"/>
        <w:sz w:val="20"/>
        <w:szCs w:val="20"/>
      </w:rPr>
      <w:instrText>PAGE   \* MERGEFORMAT</w:instrText>
    </w:r>
    <w:r w:rsidRPr="005156D0">
      <w:rPr>
        <w:rFonts w:ascii="Arial" w:hAnsi="Arial" w:cs="Arial"/>
        <w:sz w:val="20"/>
        <w:szCs w:val="20"/>
      </w:rPr>
      <w:fldChar w:fldCharType="separate"/>
    </w:r>
    <w:r w:rsidR="00A66514">
      <w:rPr>
        <w:rFonts w:ascii="Arial" w:hAnsi="Arial" w:cs="Arial"/>
        <w:noProof/>
        <w:sz w:val="20"/>
        <w:szCs w:val="20"/>
      </w:rPr>
      <w:t>5</w:t>
    </w:r>
    <w:r w:rsidRPr="005156D0">
      <w:rPr>
        <w:rFonts w:ascii="Arial" w:hAnsi="Arial" w:cs="Arial"/>
        <w:sz w:val="20"/>
        <w:szCs w:val="20"/>
      </w:rPr>
      <w:fldChar w:fldCharType="end"/>
    </w:r>
  </w:p>
  <w:p w:rsidR="007E3961" w:rsidRPr="005156D0" w:rsidRDefault="00C720D3" w:rsidP="005156D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20D3" w:rsidRDefault="00C720D3" w:rsidP="003C28DF">
      <w:r>
        <w:separator/>
      </w:r>
    </w:p>
  </w:footnote>
  <w:footnote w:type="continuationSeparator" w:id="0">
    <w:p w:rsidR="00C720D3" w:rsidRDefault="00C720D3" w:rsidP="003C28DF">
      <w:r>
        <w:continuationSeparator/>
      </w:r>
    </w:p>
  </w:footnote>
  <w:footnote w:id="1">
    <w:p w:rsidR="003C28DF" w:rsidRPr="00A5005B" w:rsidRDefault="003C28DF" w:rsidP="003C28DF">
      <w:pPr>
        <w:pStyle w:val="a3"/>
        <w:tabs>
          <w:tab w:val="left" w:pos="1620"/>
        </w:tabs>
        <w:spacing w:before="0" w:beforeAutospacing="0" w:after="120" w:afterAutospacing="0"/>
        <w:ind w:left="357" w:right="-6"/>
        <w:jc w:val="both"/>
        <w:rPr>
          <w:rFonts w:ascii="Arial" w:hAnsi="Arial" w:cs="Arial"/>
          <w:sz w:val="16"/>
          <w:lang w:val="en-US"/>
        </w:rPr>
      </w:pPr>
      <w:r w:rsidRPr="00A5005B">
        <w:rPr>
          <w:rStyle w:val="ae"/>
          <w:rFonts w:ascii="Arial" w:hAnsi="Arial" w:cs="Arial"/>
          <w:sz w:val="16"/>
        </w:rPr>
        <w:footnoteRef/>
      </w:r>
      <w:r w:rsidRPr="00A5005B">
        <w:rPr>
          <w:rFonts w:ascii="Arial" w:hAnsi="Arial" w:cs="Arial"/>
          <w:sz w:val="16"/>
          <w:lang w:val="en-US"/>
        </w:rPr>
        <w:t xml:space="preserve"> Excluding the value of the RTS Index at 3:00 pm and including its value at 4:00 pm.</w:t>
      </w:r>
    </w:p>
    <w:p w:rsidR="003C28DF" w:rsidRPr="000549DD" w:rsidRDefault="003C28DF" w:rsidP="003C28DF">
      <w:pPr>
        <w:pStyle w:val="ac"/>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6D0" w:rsidRPr="005156D0" w:rsidRDefault="00687B37" w:rsidP="001D0CC3">
    <w:pPr>
      <w:pBdr>
        <w:bottom w:val="single" w:sz="12" w:space="1" w:color="auto"/>
      </w:pBdr>
      <w:autoSpaceDE w:val="0"/>
      <w:autoSpaceDN w:val="0"/>
      <w:adjustRightInd w:val="0"/>
      <w:snapToGrid w:val="0"/>
      <w:rPr>
        <w:rFonts w:ascii="Arial" w:hAnsi="Arial" w:cs="Arial"/>
        <w:b/>
        <w:bCs/>
        <w:sz w:val="16"/>
        <w:szCs w:val="20"/>
        <w:lang w:val="en-US"/>
      </w:rPr>
    </w:pPr>
    <w:r>
      <w:rPr>
        <w:rFonts w:ascii="Arial" w:hAnsi="Arial" w:cs="Arial"/>
        <w:b/>
        <w:bCs/>
        <w:sz w:val="20"/>
        <w:lang w:val="en-US"/>
      </w:rPr>
      <w:t>RTS Index Futures Contract Specification</w:t>
    </w:r>
  </w:p>
  <w:p w:rsidR="005156D0" w:rsidRPr="005156D0" w:rsidRDefault="00C720D3">
    <w:pPr>
      <w:pStyle w:val="aa"/>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B13EE"/>
    <w:multiLevelType w:val="hybridMultilevel"/>
    <w:tmpl w:val="CEBA6A96"/>
    <w:lvl w:ilvl="0" w:tplc="0419001B">
      <w:start w:val="1"/>
      <w:numFmt w:val="lowerRoman"/>
      <w:lvlText w:val="%1."/>
      <w:lvlJc w:val="righ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DCB5CE0"/>
    <w:multiLevelType w:val="hybridMultilevel"/>
    <w:tmpl w:val="99386598"/>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236C126C"/>
    <w:multiLevelType w:val="multilevel"/>
    <w:tmpl w:val="F692FE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7AF26FF"/>
    <w:multiLevelType w:val="singleLevel"/>
    <w:tmpl w:val="5672A898"/>
    <w:lvl w:ilvl="0">
      <w:start w:val="1"/>
      <w:numFmt w:val="bullet"/>
      <w:pStyle w:val="Pointmark"/>
      <w:lvlText w:val=""/>
      <w:lvlJc w:val="left"/>
      <w:pPr>
        <w:tabs>
          <w:tab w:val="num" w:pos="360"/>
        </w:tabs>
        <w:ind w:left="360" w:hanging="360"/>
      </w:pPr>
      <w:rPr>
        <w:rFonts w:ascii="Symbol" w:hAnsi="Symbol" w:hint="default"/>
      </w:rPr>
    </w:lvl>
  </w:abstractNum>
  <w:abstractNum w:abstractNumId="4" w15:restartNumberingAfterBreak="0">
    <w:nsid w:val="2B7B3618"/>
    <w:multiLevelType w:val="multilevel"/>
    <w:tmpl w:val="FA787704"/>
    <w:lvl w:ilvl="0">
      <w:start w:val="2"/>
      <w:numFmt w:val="decimal"/>
      <w:lvlText w:val="%1."/>
      <w:lvlJc w:val="left"/>
      <w:pPr>
        <w:ind w:left="660" w:hanging="660"/>
      </w:pPr>
      <w:rPr>
        <w:rFonts w:hint="default"/>
        <w:color w:val="000000"/>
      </w:rPr>
    </w:lvl>
    <w:lvl w:ilvl="1">
      <w:start w:val="1"/>
      <w:numFmt w:val="decimal"/>
      <w:lvlText w:val="%1.%2."/>
      <w:lvlJc w:val="left"/>
      <w:pPr>
        <w:ind w:left="900" w:hanging="660"/>
      </w:pPr>
      <w:rPr>
        <w:rFonts w:hint="default"/>
        <w:color w:val="000000"/>
      </w:rPr>
    </w:lvl>
    <w:lvl w:ilvl="2">
      <w:start w:val="3"/>
      <w:numFmt w:val="decimal"/>
      <w:lvlText w:val="%1.%2.%3."/>
      <w:lvlJc w:val="left"/>
      <w:pPr>
        <w:ind w:left="1200" w:hanging="720"/>
      </w:pPr>
      <w:rPr>
        <w:rFonts w:hint="default"/>
        <w:color w:val="000000"/>
      </w:rPr>
    </w:lvl>
    <w:lvl w:ilvl="3">
      <w:start w:val="2"/>
      <w:numFmt w:val="decimal"/>
      <w:lvlText w:val="%1.%2.%3.%4."/>
      <w:lvlJc w:val="left"/>
      <w:pPr>
        <w:ind w:left="1440" w:hanging="720"/>
      </w:pPr>
      <w:rPr>
        <w:rFonts w:hint="default"/>
        <w:color w:val="000000"/>
      </w:rPr>
    </w:lvl>
    <w:lvl w:ilvl="4">
      <w:start w:val="1"/>
      <w:numFmt w:val="decimal"/>
      <w:lvlText w:val="%1.%2.%3.%4.%5."/>
      <w:lvlJc w:val="left"/>
      <w:pPr>
        <w:ind w:left="2040" w:hanging="1080"/>
      </w:pPr>
      <w:rPr>
        <w:rFonts w:hint="default"/>
        <w:color w:val="000000"/>
      </w:rPr>
    </w:lvl>
    <w:lvl w:ilvl="5">
      <w:start w:val="1"/>
      <w:numFmt w:val="decimal"/>
      <w:lvlText w:val="%1.%2.%3.%4.%5.%6."/>
      <w:lvlJc w:val="left"/>
      <w:pPr>
        <w:ind w:left="2280" w:hanging="1080"/>
      </w:pPr>
      <w:rPr>
        <w:rFonts w:hint="default"/>
        <w:color w:val="000000"/>
      </w:rPr>
    </w:lvl>
    <w:lvl w:ilvl="6">
      <w:start w:val="1"/>
      <w:numFmt w:val="decimal"/>
      <w:lvlText w:val="%1.%2.%3.%4.%5.%6.%7."/>
      <w:lvlJc w:val="left"/>
      <w:pPr>
        <w:ind w:left="2880" w:hanging="1440"/>
      </w:pPr>
      <w:rPr>
        <w:rFonts w:hint="default"/>
        <w:color w:val="000000"/>
      </w:rPr>
    </w:lvl>
    <w:lvl w:ilvl="7">
      <w:start w:val="1"/>
      <w:numFmt w:val="decimal"/>
      <w:lvlText w:val="%1.%2.%3.%4.%5.%6.%7.%8."/>
      <w:lvlJc w:val="left"/>
      <w:pPr>
        <w:ind w:left="3120" w:hanging="1440"/>
      </w:pPr>
      <w:rPr>
        <w:rFonts w:hint="default"/>
        <w:color w:val="000000"/>
      </w:rPr>
    </w:lvl>
    <w:lvl w:ilvl="8">
      <w:start w:val="1"/>
      <w:numFmt w:val="decimal"/>
      <w:lvlText w:val="%1.%2.%3.%4.%5.%6.%7.%8.%9."/>
      <w:lvlJc w:val="left"/>
      <w:pPr>
        <w:ind w:left="3720" w:hanging="1800"/>
      </w:pPr>
      <w:rPr>
        <w:rFonts w:hint="default"/>
        <w:color w:val="000000"/>
      </w:rPr>
    </w:lvl>
  </w:abstractNum>
  <w:abstractNum w:abstractNumId="5" w15:restartNumberingAfterBreak="0">
    <w:nsid w:val="39175FB9"/>
    <w:multiLevelType w:val="multilevel"/>
    <w:tmpl w:val="3C341B82"/>
    <w:lvl w:ilvl="0">
      <w:start w:val="1"/>
      <w:numFmt w:val="decimal"/>
      <w:lvlText w:val="%1."/>
      <w:lvlJc w:val="left"/>
      <w:pPr>
        <w:tabs>
          <w:tab w:val="num" w:pos="720"/>
        </w:tabs>
        <w:ind w:left="720" w:hanging="360"/>
      </w:pPr>
      <w:rPr>
        <w:b/>
      </w:rPr>
    </w:lvl>
    <w:lvl w:ilvl="1">
      <w:start w:val="1"/>
      <w:numFmt w:val="decimal"/>
      <w:isLgl/>
      <w:lvlText w:val="%1.%2."/>
      <w:lvlJc w:val="left"/>
      <w:pPr>
        <w:tabs>
          <w:tab w:val="num" w:pos="750"/>
        </w:tabs>
        <w:ind w:left="750" w:hanging="390"/>
      </w:pPr>
      <w:rPr>
        <w:rFonts w:hint="default"/>
        <w:b w:val="0"/>
      </w:rPr>
    </w:lvl>
    <w:lvl w:ilvl="2">
      <w:start w:val="1"/>
      <w:numFmt w:val="decimal"/>
      <w:isLgl/>
      <w:lvlText w:val="%1.%2.%3."/>
      <w:lvlJc w:val="left"/>
      <w:pPr>
        <w:tabs>
          <w:tab w:val="num" w:pos="1080"/>
        </w:tabs>
        <w:ind w:left="1080" w:hanging="720"/>
      </w:pPr>
      <w:rPr>
        <w:rFonts w:hint="default"/>
        <w:sz w:val="20"/>
        <w:szCs w:val="2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4E4A3A1F"/>
    <w:multiLevelType w:val="hybridMultilevel"/>
    <w:tmpl w:val="49A81314"/>
    <w:lvl w:ilvl="0" w:tplc="04190017">
      <w:start w:val="1"/>
      <w:numFmt w:val="lowerLetter"/>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15:restartNumberingAfterBreak="0">
    <w:nsid w:val="52BE0DB1"/>
    <w:multiLevelType w:val="multilevel"/>
    <w:tmpl w:val="E6C82494"/>
    <w:lvl w:ilvl="0">
      <w:start w:val="1"/>
      <w:numFmt w:val="decimal"/>
      <w:lvlText w:val="%1."/>
      <w:lvlJc w:val="left"/>
      <w:pPr>
        <w:tabs>
          <w:tab w:val="num" w:pos="720"/>
        </w:tabs>
        <w:ind w:left="720" w:hanging="360"/>
      </w:pPr>
    </w:lvl>
    <w:lvl w:ilvl="1">
      <w:start w:val="1"/>
      <w:numFmt w:val="bullet"/>
      <w:lvlText w:val=""/>
      <w:lvlJc w:val="left"/>
      <w:pPr>
        <w:tabs>
          <w:tab w:val="num" w:pos="750"/>
        </w:tabs>
        <w:ind w:left="750" w:hanging="390"/>
      </w:pPr>
      <w:rPr>
        <w:rFonts w:ascii="Symbol" w:hAnsi="Symbol"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5B9E1187"/>
    <w:multiLevelType w:val="hybridMultilevel"/>
    <w:tmpl w:val="ADD8C31C"/>
    <w:lvl w:ilvl="0" w:tplc="7312D512">
      <w:start w:val="1"/>
      <w:numFmt w:val="lowerLetter"/>
      <w:lvlText w:val="%1)"/>
      <w:lvlJc w:val="left"/>
      <w:pPr>
        <w:ind w:left="1020" w:hanging="360"/>
      </w:pPr>
      <w:rPr>
        <w:rFonts w:hint="default"/>
        <w:color w:val="000000"/>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num w:numId="1">
    <w:abstractNumId w:val="3"/>
  </w:num>
  <w:num w:numId="2">
    <w:abstractNumId w:val="5"/>
  </w:num>
  <w:num w:numId="3">
    <w:abstractNumId w:val="6"/>
  </w:num>
  <w:num w:numId="4">
    <w:abstractNumId w:val="0"/>
  </w:num>
  <w:num w:numId="5">
    <w:abstractNumId w:val="7"/>
  </w:num>
  <w:num w:numId="6">
    <w:abstractNumId w:val="4"/>
  </w:num>
  <w:num w:numId="7">
    <w:abstractNumId w:val="8"/>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8DF"/>
    <w:rsid w:val="00193C96"/>
    <w:rsid w:val="001D0CC3"/>
    <w:rsid w:val="003C28DF"/>
    <w:rsid w:val="00421E9C"/>
    <w:rsid w:val="00632EBA"/>
    <w:rsid w:val="00687B37"/>
    <w:rsid w:val="00A53F2C"/>
    <w:rsid w:val="00A66514"/>
    <w:rsid w:val="00B75A4A"/>
    <w:rsid w:val="00C720D3"/>
    <w:rsid w:val="00DB55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3C9E12-770C-4275-BC71-6D88CB811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28D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rsid w:val="003C28DF"/>
    <w:pPr>
      <w:spacing w:before="100" w:beforeAutospacing="1" w:after="100" w:afterAutospacing="1"/>
    </w:pPr>
    <w:rPr>
      <w:rFonts w:ascii="Arial CYR" w:hAnsi="Arial CYR"/>
      <w:color w:val="000000"/>
      <w:sz w:val="20"/>
      <w:szCs w:val="20"/>
      <w:lang w:val="x-none" w:eastAsia="x-none"/>
    </w:rPr>
  </w:style>
  <w:style w:type="paragraph" w:styleId="a5">
    <w:name w:val="footer"/>
    <w:basedOn w:val="a"/>
    <w:link w:val="a6"/>
    <w:uiPriority w:val="99"/>
    <w:rsid w:val="003C28DF"/>
    <w:pPr>
      <w:tabs>
        <w:tab w:val="center" w:pos="4153"/>
        <w:tab w:val="right" w:pos="8306"/>
      </w:tabs>
    </w:pPr>
  </w:style>
  <w:style w:type="character" w:customStyle="1" w:styleId="a6">
    <w:name w:val="Нижний колонтитул Знак"/>
    <w:basedOn w:val="a0"/>
    <w:link w:val="a5"/>
    <w:uiPriority w:val="99"/>
    <w:rsid w:val="003C28DF"/>
    <w:rPr>
      <w:rFonts w:ascii="Times New Roman" w:eastAsia="Times New Roman" w:hAnsi="Times New Roman" w:cs="Times New Roman"/>
      <w:sz w:val="24"/>
      <w:szCs w:val="24"/>
      <w:lang w:eastAsia="ru-RU"/>
    </w:rPr>
  </w:style>
  <w:style w:type="paragraph" w:customStyle="1" w:styleId="a7">
    <w:name w:val="Пункт спецификации"/>
    <w:basedOn w:val="a"/>
    <w:rsid w:val="003C28DF"/>
    <w:pPr>
      <w:tabs>
        <w:tab w:val="num" w:pos="720"/>
        <w:tab w:val="left" w:pos="9000"/>
      </w:tabs>
      <w:spacing w:before="240"/>
      <w:ind w:left="720" w:right="58" w:hanging="720"/>
      <w:jc w:val="both"/>
    </w:pPr>
    <w:rPr>
      <w:rFonts w:ascii="Arial" w:hAnsi="Arial" w:cs="Arial"/>
      <w:sz w:val="20"/>
      <w:szCs w:val="20"/>
    </w:rPr>
  </w:style>
  <w:style w:type="paragraph" w:customStyle="1" w:styleId="a8">
    <w:name w:val="Подпункт спецификации"/>
    <w:basedOn w:val="a9"/>
    <w:rsid w:val="003C28DF"/>
    <w:pPr>
      <w:tabs>
        <w:tab w:val="num" w:pos="720"/>
        <w:tab w:val="left" w:pos="9000"/>
      </w:tabs>
      <w:spacing w:before="120" w:after="0"/>
      <w:ind w:left="720" w:right="58" w:hanging="720"/>
      <w:jc w:val="both"/>
    </w:pPr>
    <w:rPr>
      <w:rFonts w:ascii="Arial" w:hAnsi="Arial" w:cs="Arial"/>
      <w:sz w:val="20"/>
      <w:szCs w:val="20"/>
    </w:rPr>
  </w:style>
  <w:style w:type="paragraph" w:styleId="aa">
    <w:name w:val="header"/>
    <w:basedOn w:val="a"/>
    <w:link w:val="ab"/>
    <w:rsid w:val="003C28DF"/>
    <w:pPr>
      <w:tabs>
        <w:tab w:val="center" w:pos="4677"/>
        <w:tab w:val="right" w:pos="9355"/>
      </w:tabs>
    </w:pPr>
  </w:style>
  <w:style w:type="character" w:customStyle="1" w:styleId="ab">
    <w:name w:val="Верхний колонтитул Знак"/>
    <w:basedOn w:val="a0"/>
    <w:link w:val="aa"/>
    <w:rsid w:val="003C28DF"/>
    <w:rPr>
      <w:rFonts w:ascii="Times New Roman" w:eastAsia="Times New Roman" w:hAnsi="Times New Roman" w:cs="Times New Roman"/>
      <w:sz w:val="24"/>
      <w:szCs w:val="24"/>
      <w:lang w:eastAsia="ru-RU"/>
    </w:rPr>
  </w:style>
  <w:style w:type="paragraph" w:customStyle="1" w:styleId="Pointmark">
    <w:name w:val="Point (mark)"/>
    <w:rsid w:val="003C28DF"/>
    <w:pPr>
      <w:numPr>
        <w:numId w:val="1"/>
      </w:numPr>
      <w:spacing w:before="60" w:after="0" w:line="240" w:lineRule="auto"/>
      <w:jc w:val="both"/>
    </w:pPr>
    <w:rPr>
      <w:rFonts w:ascii="Arial" w:eastAsia="Times New Roman" w:hAnsi="Arial" w:cs="Arial"/>
      <w:sz w:val="20"/>
      <w:szCs w:val="20"/>
    </w:rPr>
  </w:style>
  <w:style w:type="paragraph" w:styleId="ac">
    <w:name w:val="footnote text"/>
    <w:basedOn w:val="a"/>
    <w:link w:val="ad"/>
    <w:semiHidden/>
    <w:rsid w:val="003C28DF"/>
    <w:rPr>
      <w:sz w:val="20"/>
      <w:szCs w:val="20"/>
    </w:rPr>
  </w:style>
  <w:style w:type="character" w:customStyle="1" w:styleId="ad">
    <w:name w:val="Текст сноски Знак"/>
    <w:basedOn w:val="a0"/>
    <w:link w:val="ac"/>
    <w:semiHidden/>
    <w:rsid w:val="003C28DF"/>
    <w:rPr>
      <w:rFonts w:ascii="Times New Roman" w:eastAsia="Times New Roman" w:hAnsi="Times New Roman" w:cs="Times New Roman"/>
      <w:sz w:val="20"/>
      <w:szCs w:val="20"/>
      <w:lang w:eastAsia="ru-RU"/>
    </w:rPr>
  </w:style>
  <w:style w:type="character" w:styleId="ae">
    <w:name w:val="footnote reference"/>
    <w:semiHidden/>
    <w:rsid w:val="003C28DF"/>
    <w:rPr>
      <w:vertAlign w:val="superscript"/>
    </w:rPr>
  </w:style>
  <w:style w:type="character" w:customStyle="1" w:styleId="a4">
    <w:name w:val="Обычный (веб) Знак"/>
    <w:link w:val="a3"/>
    <w:rsid w:val="003C28DF"/>
    <w:rPr>
      <w:rFonts w:ascii="Arial CYR" w:eastAsia="Times New Roman" w:hAnsi="Arial CYR" w:cs="Times New Roman"/>
      <w:color w:val="000000"/>
      <w:sz w:val="20"/>
      <w:szCs w:val="20"/>
      <w:lang w:val="x-none" w:eastAsia="x-none"/>
    </w:rPr>
  </w:style>
  <w:style w:type="paragraph" w:styleId="af">
    <w:name w:val="List Paragraph"/>
    <w:basedOn w:val="a"/>
    <w:uiPriority w:val="34"/>
    <w:qFormat/>
    <w:rsid w:val="003C28DF"/>
    <w:pPr>
      <w:spacing w:after="200" w:line="276" w:lineRule="auto"/>
      <w:ind w:left="720"/>
      <w:contextualSpacing/>
    </w:pPr>
    <w:rPr>
      <w:rFonts w:ascii="Calibri" w:eastAsia="Calibri" w:hAnsi="Calibri"/>
      <w:sz w:val="22"/>
      <w:szCs w:val="22"/>
      <w:lang w:eastAsia="en-US"/>
    </w:rPr>
  </w:style>
  <w:style w:type="paragraph" w:styleId="a9">
    <w:name w:val="Body Text Indent"/>
    <w:basedOn w:val="a"/>
    <w:link w:val="af0"/>
    <w:uiPriority w:val="99"/>
    <w:semiHidden/>
    <w:unhideWhenUsed/>
    <w:rsid w:val="003C28DF"/>
    <w:pPr>
      <w:spacing w:after="120"/>
      <w:ind w:left="283"/>
    </w:pPr>
  </w:style>
  <w:style w:type="character" w:customStyle="1" w:styleId="af0">
    <w:name w:val="Основной текст с отступом Знак"/>
    <w:basedOn w:val="a0"/>
    <w:link w:val="a9"/>
    <w:uiPriority w:val="99"/>
    <w:semiHidden/>
    <w:rsid w:val="003C28D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2141</Words>
  <Characters>12210</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Евстратова Ульяна Александровна</dc:creator>
  <cp:keywords/>
  <dc:description/>
  <cp:lastModifiedBy>Евстратова Ульяна Александровна</cp:lastModifiedBy>
  <cp:revision>4</cp:revision>
  <dcterms:created xsi:type="dcterms:W3CDTF">2015-12-14T09:04:00Z</dcterms:created>
  <dcterms:modified xsi:type="dcterms:W3CDTF">2015-12-14T09:05:00Z</dcterms:modified>
</cp:coreProperties>
</file>