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C9C5" w14:textId="77777777" w:rsidR="00B471DD" w:rsidRPr="005D0D3D" w:rsidRDefault="00B471DD" w:rsidP="00592DC5">
      <w:pPr>
        <w:tabs>
          <w:tab w:val="left" w:pos="4962"/>
        </w:tabs>
        <w:ind w:right="-81"/>
        <w:rPr>
          <w:rFonts w:ascii="Tahoma" w:hAnsi="Tahoma" w:cs="Tahoma"/>
          <w:sz w:val="20"/>
          <w:szCs w:val="20"/>
        </w:rPr>
      </w:pPr>
    </w:p>
    <w:p w14:paraId="2DE81C89" w14:textId="77777777" w:rsidR="005F37AD" w:rsidRPr="00ED1D8A" w:rsidRDefault="005F37AD" w:rsidP="005F37AD">
      <w:pPr>
        <w:ind w:left="5670" w:right="-79"/>
        <w:rPr>
          <w:rFonts w:ascii="Tahoma" w:hAnsi="Tahoma" w:cs="Tahoma"/>
          <w:b/>
          <w:sz w:val="20"/>
          <w:szCs w:val="20"/>
          <w:lang w:val="x-none" w:eastAsia="x-none"/>
        </w:rPr>
      </w:pPr>
      <w:r w:rsidRPr="00ED1D8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C9B8092" w14:textId="77777777" w:rsidR="005F37AD" w:rsidRPr="00ED1D8A" w:rsidRDefault="005F37AD" w:rsidP="005F37AD">
      <w:pPr>
        <w:pStyle w:val="a9"/>
        <w:tabs>
          <w:tab w:val="left" w:pos="5387"/>
          <w:tab w:val="left" w:pos="5812"/>
        </w:tabs>
        <w:spacing w:after="0"/>
        <w:ind w:left="5670" w:right="-79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4A041D9" w14:textId="2360A7FB" w:rsidR="005F37AD" w:rsidRPr="00ED1D8A" w:rsidRDefault="005F37AD" w:rsidP="005F37AD">
      <w:pPr>
        <w:pStyle w:val="a9"/>
        <w:tabs>
          <w:tab w:val="left" w:pos="4962"/>
          <w:tab w:val="left" w:pos="5812"/>
        </w:tabs>
        <w:spacing w:after="0"/>
        <w:ind w:left="5670" w:right="28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(Приказ № МБ-П-2025-</w:t>
      </w:r>
      <w:r w:rsidR="004853C5">
        <w:rPr>
          <w:rFonts w:ascii="Tahoma" w:hAnsi="Tahoma" w:cs="Tahoma"/>
          <w:sz w:val="20"/>
          <w:szCs w:val="20"/>
        </w:rPr>
        <w:t>1949</w:t>
      </w:r>
      <w:bookmarkStart w:id="0" w:name="_GoBack"/>
      <w:bookmarkEnd w:id="0"/>
      <w:r w:rsidRPr="00ED1D8A">
        <w:rPr>
          <w:rFonts w:ascii="Tahoma" w:hAnsi="Tahoma" w:cs="Tahoma"/>
          <w:sz w:val="20"/>
          <w:szCs w:val="20"/>
        </w:rPr>
        <w:t xml:space="preserve"> от</w:t>
      </w:r>
      <w:r>
        <w:rPr>
          <w:rFonts w:ascii="Tahoma" w:hAnsi="Tahoma" w:cs="Tahoma"/>
          <w:sz w:val="20"/>
          <w:szCs w:val="20"/>
        </w:rPr>
        <w:t xml:space="preserve"> 29 мая </w:t>
      </w:r>
      <w:r w:rsidRPr="00ED1D8A">
        <w:rPr>
          <w:rFonts w:ascii="Tahoma" w:hAnsi="Tahoma" w:cs="Tahoma"/>
          <w:sz w:val="20"/>
          <w:szCs w:val="20"/>
        </w:rPr>
        <w:t>2025г.)</w:t>
      </w:r>
    </w:p>
    <w:p w14:paraId="7B864934" w14:textId="030AEF63" w:rsidR="00F4784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58E5C5D" w14:textId="517A4CDB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BE33BB5" w14:textId="377679E7" w:rsidR="005F37A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572F6304" w14:textId="77777777" w:rsidR="005F37AD" w:rsidRPr="005D0D3D" w:rsidRDefault="005F37A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1E3A044C" w14:textId="4E2C9C86" w:rsidR="005B1E6C" w:rsidRPr="00592DC5" w:rsidRDefault="00F11C0C" w:rsidP="00592DC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592DC5">
        <w:rPr>
          <w:rFonts w:ascii="Tahoma" w:eastAsia="Arial Unicode MS" w:hAnsi="Tahoma" w:cs="Tahoma"/>
          <w:b/>
        </w:rPr>
        <w:t xml:space="preserve">ФЬЮЧЕРСНОГО КОНТРАКТА </w:t>
      </w:r>
      <w:r w:rsidR="00C56AEE">
        <w:rPr>
          <w:rFonts w:ascii="Tahoma" w:eastAsia="Arial Unicode MS" w:hAnsi="Tahoma" w:cs="Tahoma"/>
          <w:b/>
        </w:rPr>
        <w:br/>
      </w:r>
      <w:r w:rsidR="00592DC5">
        <w:rPr>
          <w:rFonts w:ascii="Tahoma" w:eastAsia="Arial Unicode MS" w:hAnsi="Tahoma" w:cs="Tahoma"/>
          <w:b/>
        </w:rPr>
        <w:t xml:space="preserve">на </w:t>
      </w:r>
      <w:r w:rsidR="00C56AEE" w:rsidRPr="00C56AEE">
        <w:rPr>
          <w:rFonts w:ascii="Tahoma" w:eastAsia="Arial Unicode MS" w:hAnsi="Tahoma" w:cs="Tahoma"/>
          <w:b/>
        </w:rPr>
        <w:t xml:space="preserve">акции инвестиционного фонда </w:t>
      </w:r>
      <w:r w:rsidR="00C56AEE" w:rsidRPr="00C56AEE">
        <w:rPr>
          <w:rFonts w:ascii="Tahoma" w:eastAsia="Arial Unicode MS" w:hAnsi="Tahoma" w:cs="Tahoma"/>
          <w:b/>
          <w:lang w:val="en-US"/>
        </w:rPr>
        <w:t>iShares</w:t>
      </w:r>
      <w:r w:rsidR="00C56AEE" w:rsidRPr="00C56AEE">
        <w:rPr>
          <w:rFonts w:ascii="Tahoma" w:eastAsia="Arial Unicode MS" w:hAnsi="Tahoma" w:cs="Tahoma"/>
          <w:b/>
        </w:rPr>
        <w:t xml:space="preserve"> </w:t>
      </w:r>
      <w:r w:rsidR="00C56AEE" w:rsidRPr="00C56AEE">
        <w:rPr>
          <w:rFonts w:ascii="Tahoma" w:eastAsia="Arial Unicode MS" w:hAnsi="Tahoma" w:cs="Tahoma"/>
          <w:b/>
          <w:lang w:val="en-US"/>
        </w:rPr>
        <w:t>Bitcoin</w:t>
      </w:r>
      <w:r w:rsidR="00C56AEE" w:rsidRPr="00C56AEE">
        <w:rPr>
          <w:rFonts w:ascii="Tahoma" w:eastAsia="Arial Unicode MS" w:hAnsi="Tahoma" w:cs="Tahoma"/>
          <w:b/>
        </w:rPr>
        <w:t xml:space="preserve"> </w:t>
      </w:r>
      <w:r w:rsidR="00C56AEE" w:rsidRPr="00C56AEE">
        <w:rPr>
          <w:rFonts w:ascii="Tahoma" w:eastAsia="Arial Unicode MS" w:hAnsi="Tahoma" w:cs="Tahoma"/>
          <w:b/>
          <w:lang w:val="en-US"/>
        </w:rPr>
        <w:t>Trust</w:t>
      </w:r>
      <w:r w:rsidR="00C56AEE" w:rsidRPr="00C56AEE">
        <w:rPr>
          <w:rFonts w:ascii="Tahoma" w:eastAsia="Arial Unicode MS" w:hAnsi="Tahoma" w:cs="Tahoma"/>
          <w:b/>
        </w:rPr>
        <w:t xml:space="preserve"> </w:t>
      </w:r>
      <w:r w:rsidR="00C56AEE" w:rsidRPr="00C56AEE">
        <w:rPr>
          <w:rFonts w:ascii="Tahoma" w:eastAsia="Arial Unicode MS" w:hAnsi="Tahoma" w:cs="Tahoma"/>
          <w:b/>
          <w:lang w:val="en-US"/>
        </w:rPr>
        <w:t>ETF</w:t>
      </w:r>
    </w:p>
    <w:p w14:paraId="6D4431B5" w14:textId="071216A1" w:rsidR="00C56AEE" w:rsidRPr="00992166" w:rsidRDefault="00C56AEE" w:rsidP="00C56AEE">
      <w:pPr>
        <w:pStyle w:val="ad"/>
        <w:spacing w:before="24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</w:t>
      </w:r>
      <w:r w:rsidRPr="00C56AEE">
        <w:rPr>
          <w:rFonts w:ascii="Tahoma" w:hAnsi="Tahoma" w:cs="Tahoma"/>
          <w:lang w:val="ru-RU"/>
        </w:rPr>
        <w:t xml:space="preserve">на акции инвестиционного фонда </w:t>
      </w:r>
      <w:proofErr w:type="spellStart"/>
      <w:r w:rsidRPr="00C56AEE">
        <w:rPr>
          <w:rFonts w:ascii="Tahoma" w:hAnsi="Tahoma" w:cs="Tahoma"/>
          <w:lang w:val="ru-RU"/>
        </w:rPr>
        <w:t>iShares</w:t>
      </w:r>
      <w:proofErr w:type="spellEnd"/>
      <w:r w:rsidRPr="00C56AEE">
        <w:rPr>
          <w:rFonts w:ascii="Tahoma" w:hAnsi="Tahoma" w:cs="Tahoma"/>
          <w:lang w:val="ru-RU"/>
        </w:rPr>
        <w:t xml:space="preserve"> </w:t>
      </w:r>
      <w:proofErr w:type="spellStart"/>
      <w:r w:rsidRPr="00C56AEE">
        <w:rPr>
          <w:rFonts w:ascii="Tahoma" w:hAnsi="Tahoma" w:cs="Tahoma"/>
          <w:lang w:val="ru-RU"/>
        </w:rPr>
        <w:t>Bitcoin</w:t>
      </w:r>
      <w:proofErr w:type="spellEnd"/>
      <w:r w:rsidRPr="00C56AEE">
        <w:rPr>
          <w:rFonts w:ascii="Tahoma" w:hAnsi="Tahoma" w:cs="Tahoma"/>
          <w:lang w:val="ru-RU"/>
        </w:rPr>
        <w:t xml:space="preserve"> </w:t>
      </w:r>
      <w:proofErr w:type="spellStart"/>
      <w:r w:rsidRPr="00C56AEE">
        <w:rPr>
          <w:rFonts w:ascii="Tahoma" w:hAnsi="Tahoma" w:cs="Tahoma"/>
          <w:lang w:val="ru-RU"/>
        </w:rPr>
        <w:t>Trust</w:t>
      </w:r>
      <w:proofErr w:type="spellEnd"/>
      <w:r w:rsidRPr="00C56AEE">
        <w:rPr>
          <w:rFonts w:ascii="Tahoma" w:hAnsi="Tahoma" w:cs="Tahoma"/>
          <w:lang w:val="ru-RU"/>
        </w:rPr>
        <w:t xml:space="preserve"> ETF</w:t>
      </w:r>
      <w:r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>
        <w:rPr>
          <w:rFonts w:ascii="Tahoma" w:hAnsi="Tahoma" w:cs="Tahoma"/>
          <w:lang w:val="ru-RU"/>
        </w:rPr>
        <w:t xml:space="preserve"> </w:t>
      </w:r>
    </w:p>
    <w:p w14:paraId="6B7EBA73" w14:textId="10F8F80E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</w:t>
      </w:r>
      <w:r w:rsidR="00C56AEE">
        <w:rPr>
          <w:rFonts w:ascii="Tahoma" w:hAnsi="Tahoma" w:cs="Tahoma"/>
          <w:lang w:val="ru-RU"/>
        </w:rPr>
        <w:t xml:space="preserve">по </w:t>
      </w:r>
      <w:r w:rsidR="00C56AEE" w:rsidRPr="00C56AEE">
        <w:rPr>
          <w:rFonts w:ascii="Tahoma" w:hAnsi="Tahoma" w:cs="Tahoma"/>
          <w:lang w:val="ru-RU"/>
        </w:rPr>
        <w:t>расчетно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фьючерсно</w:t>
      </w:r>
      <w:r w:rsidR="00C56AEE">
        <w:rPr>
          <w:rFonts w:ascii="Tahoma" w:hAnsi="Tahoma" w:cs="Tahoma"/>
          <w:lang w:val="ru-RU"/>
        </w:rPr>
        <w:t>му</w:t>
      </w:r>
      <w:r w:rsidR="00C56AEE" w:rsidRPr="00C56AEE">
        <w:rPr>
          <w:rFonts w:ascii="Tahoma" w:hAnsi="Tahoma" w:cs="Tahoma"/>
          <w:lang w:val="ru-RU"/>
        </w:rPr>
        <w:t xml:space="preserve"> контракт</w:t>
      </w:r>
      <w:r w:rsidR="00C56AEE">
        <w:rPr>
          <w:rFonts w:ascii="Tahoma" w:hAnsi="Tahoma" w:cs="Tahoma"/>
          <w:lang w:val="ru-RU"/>
        </w:rPr>
        <w:t>у</w:t>
      </w:r>
      <w:r w:rsidR="00C56AEE" w:rsidRPr="00C56AEE">
        <w:rPr>
          <w:rFonts w:ascii="Tahoma" w:hAnsi="Tahoma" w:cs="Tahoma"/>
          <w:lang w:val="ru-RU"/>
        </w:rPr>
        <w:t xml:space="preserve"> на акции инвестиционного фонда </w:t>
      </w:r>
      <w:proofErr w:type="spellStart"/>
      <w:r w:rsidR="00C56AEE" w:rsidRPr="00C56AEE">
        <w:rPr>
          <w:rFonts w:ascii="Tahoma" w:hAnsi="Tahoma" w:cs="Tahoma"/>
          <w:lang w:val="ru-RU"/>
        </w:rPr>
        <w:t>iShares</w:t>
      </w:r>
      <w:proofErr w:type="spellEnd"/>
      <w:r w:rsidR="00C56AEE" w:rsidRPr="00C56AEE">
        <w:rPr>
          <w:rFonts w:ascii="Tahoma" w:hAnsi="Tahoma" w:cs="Tahoma"/>
          <w:lang w:val="ru-RU"/>
        </w:rPr>
        <w:t xml:space="preserve"> </w:t>
      </w:r>
      <w:proofErr w:type="spellStart"/>
      <w:r w:rsidR="00C56AEE" w:rsidRPr="00C56AEE">
        <w:rPr>
          <w:rFonts w:ascii="Tahoma" w:hAnsi="Tahoma" w:cs="Tahoma"/>
          <w:lang w:val="ru-RU"/>
        </w:rPr>
        <w:t>Bitcoin</w:t>
      </w:r>
      <w:proofErr w:type="spellEnd"/>
      <w:r w:rsidR="00C56AEE" w:rsidRPr="00C56AEE">
        <w:rPr>
          <w:rFonts w:ascii="Tahoma" w:hAnsi="Tahoma" w:cs="Tahoma"/>
          <w:lang w:val="ru-RU"/>
        </w:rPr>
        <w:t xml:space="preserve"> </w:t>
      </w:r>
      <w:proofErr w:type="spellStart"/>
      <w:r w:rsidR="00C56AEE" w:rsidRPr="00C56AEE">
        <w:rPr>
          <w:rFonts w:ascii="Tahoma" w:hAnsi="Tahoma" w:cs="Tahoma"/>
          <w:lang w:val="ru-RU"/>
        </w:rPr>
        <w:t>Trust</w:t>
      </w:r>
      <w:proofErr w:type="spellEnd"/>
      <w:r w:rsidR="00C56AEE" w:rsidRPr="00C56AEE">
        <w:rPr>
          <w:rFonts w:ascii="Tahoma" w:hAnsi="Tahoma" w:cs="Tahoma"/>
          <w:lang w:val="ru-RU"/>
        </w:rPr>
        <w:t xml:space="preserve"> ETF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457F06AE" w14:textId="2FF350CC" w:rsidR="00C56AEE" w:rsidRPr="00A83789" w:rsidRDefault="00C56AEE" w:rsidP="00C56AEE">
      <w:pPr>
        <w:pStyle w:val="ad"/>
        <w:spacing w:before="12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 xml:space="preserve">Базисным </w:t>
      </w:r>
      <w:r w:rsidRPr="00A83789">
        <w:rPr>
          <w:rFonts w:ascii="Tahoma" w:hAnsi="Tahoma" w:cs="Tahoma"/>
          <w:lang w:val="ru-RU"/>
        </w:rPr>
        <w:t>активом Контракта явля</w:t>
      </w:r>
      <w:r w:rsidR="00EE1DF1">
        <w:rPr>
          <w:rFonts w:ascii="Tahoma" w:hAnsi="Tahoma" w:cs="Tahoma"/>
          <w:lang w:val="ru-RU"/>
        </w:rPr>
        <w:t>ю</w:t>
      </w:r>
      <w:r w:rsidRPr="00A83789">
        <w:rPr>
          <w:rFonts w:ascii="Tahoma" w:hAnsi="Tahoma" w:cs="Tahoma"/>
          <w:lang w:val="ru-RU"/>
        </w:rPr>
        <w:t xml:space="preserve">тся </w:t>
      </w:r>
      <w:r w:rsidR="00EE1DF1">
        <w:rPr>
          <w:rFonts w:ascii="Tahoma" w:hAnsi="Tahoma" w:cs="Tahoma"/>
          <w:lang w:val="ru-RU"/>
        </w:rPr>
        <w:t>а</w:t>
      </w:r>
      <w:r w:rsidR="00EE1DF1" w:rsidRPr="00EE1DF1">
        <w:rPr>
          <w:rFonts w:ascii="Tahoma" w:hAnsi="Tahoma" w:cs="Tahoma"/>
          <w:lang w:val="ru-RU"/>
        </w:rPr>
        <w:t xml:space="preserve">кции инвестиционного фонда </w:t>
      </w:r>
      <w:proofErr w:type="spellStart"/>
      <w:r w:rsidR="00EE1DF1" w:rsidRPr="00EE1DF1">
        <w:rPr>
          <w:rFonts w:ascii="Tahoma" w:hAnsi="Tahoma" w:cs="Tahoma"/>
          <w:lang w:val="ru-RU"/>
        </w:rPr>
        <w:t>iShares</w:t>
      </w:r>
      <w:proofErr w:type="spellEnd"/>
      <w:r w:rsidR="00EE1DF1" w:rsidRPr="00EE1DF1">
        <w:rPr>
          <w:rFonts w:ascii="Tahoma" w:hAnsi="Tahoma" w:cs="Tahoma"/>
          <w:lang w:val="ru-RU"/>
        </w:rPr>
        <w:t xml:space="preserve"> </w:t>
      </w:r>
      <w:proofErr w:type="spellStart"/>
      <w:r w:rsidR="00EE1DF1" w:rsidRPr="00EE1DF1">
        <w:rPr>
          <w:rFonts w:ascii="Tahoma" w:hAnsi="Tahoma" w:cs="Tahoma"/>
          <w:lang w:val="ru-RU"/>
        </w:rPr>
        <w:t>Bitcoin</w:t>
      </w:r>
      <w:proofErr w:type="spellEnd"/>
      <w:r w:rsidR="00EE1DF1" w:rsidRPr="00EE1DF1">
        <w:rPr>
          <w:rFonts w:ascii="Tahoma" w:hAnsi="Tahoma" w:cs="Tahoma"/>
          <w:lang w:val="ru-RU"/>
        </w:rPr>
        <w:t xml:space="preserve"> </w:t>
      </w:r>
      <w:proofErr w:type="spellStart"/>
      <w:r w:rsidR="00EE1DF1" w:rsidRPr="00EE1DF1">
        <w:rPr>
          <w:rFonts w:ascii="Tahoma" w:hAnsi="Tahoma" w:cs="Tahoma"/>
          <w:lang w:val="ru-RU"/>
        </w:rPr>
        <w:t>Trust</w:t>
      </w:r>
      <w:proofErr w:type="spellEnd"/>
      <w:r w:rsidR="00EE1DF1" w:rsidRPr="00EE1DF1">
        <w:rPr>
          <w:rFonts w:ascii="Tahoma" w:hAnsi="Tahoma" w:cs="Tahoma"/>
          <w:lang w:val="ru-RU"/>
        </w:rPr>
        <w:t xml:space="preserve"> ETF (ISIN: US46438F1012, CFI: CIOIMS)</w:t>
      </w:r>
      <w:r w:rsidR="0063548F" w:rsidRPr="00190937">
        <w:rPr>
          <w:rFonts w:ascii="Tahoma" w:hAnsi="Tahoma" w:cs="Tahoma"/>
          <w:lang w:val="ru-RU"/>
        </w:rPr>
        <w:t xml:space="preserve"> (</w:t>
      </w:r>
      <w:r w:rsidR="0063548F">
        <w:rPr>
          <w:rFonts w:ascii="Tahoma" w:hAnsi="Tahoma" w:cs="Tahoma"/>
          <w:lang w:val="ru-RU"/>
        </w:rPr>
        <w:t>далее – Акция)</w:t>
      </w:r>
      <w:r w:rsidRPr="00A83789">
        <w:rPr>
          <w:rFonts w:ascii="Tahoma" w:hAnsi="Tahoma" w:cs="Tahoma"/>
          <w:lang w:val="ru-RU"/>
        </w:rPr>
        <w:t xml:space="preserve">.  </w:t>
      </w:r>
    </w:p>
    <w:p w14:paraId="35301056" w14:textId="42BB3E27" w:rsidR="00C56AEE" w:rsidRDefault="00C56AE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244C2C2C" w14:textId="32996259" w:rsidR="00603B60" w:rsidRPr="00992166" w:rsidRDefault="00642F8E" w:rsidP="00C56AEE">
      <w:pPr>
        <w:pStyle w:val="ad"/>
        <w:tabs>
          <w:tab w:val="clear" w:pos="9000"/>
          <w:tab w:val="left" w:pos="0"/>
        </w:tabs>
        <w:spacing w:before="120"/>
        <w:rPr>
          <w:rFonts w:ascii="Tahoma" w:hAnsi="Tahoma" w:cs="Tahoma"/>
          <w:lang w:val="ru-RU"/>
        </w:rPr>
      </w:pPr>
      <w:r w:rsidRPr="00642F8E">
        <w:rPr>
          <w:rFonts w:ascii="Tahoma" w:hAnsi="Tahoma" w:cs="Tahoma"/>
          <w:lang w:val="ru-RU"/>
        </w:rPr>
        <w:t>Контракт может быть заключен только участниками торгов, являющимися квалифицированными инвесторами, либо участниками торгов за счет и (или) в интересах клиентов участников торгов, являющихся квалифицированными инвесторами или признанных квалифицированными инвесторами в соответствии с законодательством РФ</w:t>
      </w:r>
      <w:r w:rsidR="00603B60" w:rsidRPr="00603B60">
        <w:rPr>
          <w:rFonts w:ascii="Tahoma" w:hAnsi="Tahoma" w:cs="Tahoma"/>
          <w:lang w:val="ru-RU"/>
        </w:rPr>
        <w:t>.</w:t>
      </w:r>
    </w:p>
    <w:p w14:paraId="0FEF85E4" w14:textId="77777777" w:rsidR="00C56AEE" w:rsidRPr="00992166" w:rsidRDefault="00C56AEE" w:rsidP="00C56AEE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2F03CB7" w14:textId="77777777" w:rsidR="00C56AEE" w:rsidRPr="00992166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>
        <w:rPr>
          <w:rFonts w:ascii="Tahoma" w:hAnsi="Tahoma" w:cs="Tahoma"/>
        </w:rPr>
        <w:t xml:space="preserve">ПАО Московская Биржа (Далее – </w:t>
      </w:r>
      <w:r w:rsidRPr="00992166">
        <w:rPr>
          <w:rFonts w:ascii="Tahoma" w:hAnsi="Tahoma" w:cs="Tahoma"/>
        </w:rPr>
        <w:t>Бирж</w:t>
      </w:r>
      <w:r>
        <w:rPr>
          <w:rFonts w:ascii="Tahoma" w:hAnsi="Tahoma" w:cs="Tahoma"/>
        </w:rPr>
        <w:t>а)</w:t>
      </w:r>
      <w:r w:rsidRPr="00992166">
        <w:rPr>
          <w:rFonts w:ascii="Tahoma" w:hAnsi="Tahoma" w:cs="Tahoma"/>
        </w:rPr>
        <w:t>, которое должно содержать:</w:t>
      </w:r>
      <w:bookmarkEnd w:id="1"/>
    </w:p>
    <w:p w14:paraId="05561DDD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53C4519E" w14:textId="77777777" w:rsidR="00C56AEE" w:rsidRPr="00A83789" w:rsidRDefault="00C56AEE" w:rsidP="00C56AEE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D7C0C4A" w14:textId="77777777" w:rsidR="00C56AEE" w:rsidRPr="00A83789" w:rsidRDefault="00C56AEE" w:rsidP="00C56AEE">
      <w:pPr>
        <w:pStyle w:val="Pointmark"/>
        <w:tabs>
          <w:tab w:val="clear" w:pos="360"/>
          <w:tab w:val="num" w:pos="1134"/>
        </w:tabs>
        <w:autoSpaceDN/>
        <w:spacing w:before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404620AC" w14:textId="77777777" w:rsidR="00C56AEE" w:rsidRPr="00A83789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spacing w:after="60"/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5D6039E1" w14:textId="5114AB79" w:rsidR="00C56AEE" w:rsidRPr="00A83789" w:rsidRDefault="0057175A" w:rsidP="00C56AEE">
      <w:pPr>
        <w:pStyle w:val="ac"/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IBIT</w:t>
      </w:r>
      <w:r w:rsidR="00C56AEE" w:rsidRPr="00A83789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4F994CF2" w14:textId="77777777" w:rsidR="00C56AEE" w:rsidRPr="00A83789" w:rsidRDefault="00C56AEE" w:rsidP="00C56AEE">
      <w:pPr>
        <w:pStyle w:val="ac"/>
        <w:spacing w:before="120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4729C272" w14:textId="77777777" w:rsidR="00C56AEE" w:rsidRPr="00A83789" w:rsidRDefault="00C56AEE" w:rsidP="00C56AEE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281563C9" w14:textId="41F36FAF" w:rsidR="00C56AEE" w:rsidRPr="00A83789" w:rsidRDefault="00C56AEE" w:rsidP="00C56AEE">
      <w:pPr>
        <w:pStyle w:val="10"/>
        <w:numPr>
          <w:ilvl w:val="2"/>
          <w:numId w:val="1"/>
        </w:numPr>
        <w:tabs>
          <w:tab w:val="clear" w:pos="2564"/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</w:t>
      </w:r>
      <w:r w:rsidR="009B05AE">
        <w:rPr>
          <w:rFonts w:ascii="Tahoma" w:hAnsi="Tahoma" w:cs="Tahoma"/>
        </w:rPr>
        <w:t>долларах США</w:t>
      </w:r>
      <w:r w:rsidRPr="00A83789">
        <w:rPr>
          <w:rFonts w:ascii="Tahoma" w:hAnsi="Tahoma" w:cs="Tahoma"/>
        </w:rPr>
        <w:t xml:space="preserve"> за </w:t>
      </w:r>
      <w:r w:rsidR="009B05AE">
        <w:rPr>
          <w:rFonts w:ascii="Tahoma" w:hAnsi="Tahoma" w:cs="Tahoma"/>
        </w:rPr>
        <w:t>Лот.</w:t>
      </w:r>
    </w:p>
    <w:p w14:paraId="57A1DDBA" w14:textId="09BE2E7E" w:rsidR="00C56AEE" w:rsidRPr="00A83789" w:rsidRDefault="00C56AEE" w:rsidP="00C56AEE">
      <w:pPr>
        <w:pStyle w:val="10"/>
        <w:numPr>
          <w:ilvl w:val="2"/>
          <w:numId w:val="1"/>
        </w:numPr>
        <w:tabs>
          <w:tab w:val="clear" w:pos="2564"/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9B05AE">
        <w:rPr>
          <w:rFonts w:ascii="Tahoma" w:hAnsi="Tahoma" w:cs="Tahoma"/>
        </w:rPr>
        <w:t>0.01</w:t>
      </w:r>
      <w:r w:rsidRPr="00A83789">
        <w:rPr>
          <w:rFonts w:ascii="Tahoma" w:hAnsi="Tahoma" w:cs="Tahoma"/>
        </w:rPr>
        <w:t xml:space="preserve"> </w:t>
      </w:r>
      <w:r w:rsidR="009B05AE">
        <w:rPr>
          <w:rFonts w:ascii="Tahoma" w:hAnsi="Tahoma" w:cs="Tahoma"/>
        </w:rPr>
        <w:t>долларов США</w:t>
      </w:r>
      <w:r w:rsidRPr="00A83789">
        <w:rPr>
          <w:rFonts w:ascii="Tahoma" w:hAnsi="Tahoma" w:cs="Tahoma"/>
        </w:rPr>
        <w:t xml:space="preserve">. </w:t>
      </w:r>
    </w:p>
    <w:p w14:paraId="77C3FBE3" w14:textId="2A20F4B2" w:rsidR="00C56AEE" w:rsidRPr="00A83789" w:rsidRDefault="00C56AEE" w:rsidP="00C56AEE">
      <w:pPr>
        <w:pStyle w:val="10"/>
        <w:numPr>
          <w:ilvl w:val="2"/>
          <w:numId w:val="1"/>
        </w:numPr>
        <w:tabs>
          <w:tab w:val="clear" w:pos="2564"/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Стоимость минимального шага цены составляет </w:t>
      </w:r>
      <w:r w:rsidR="009B05AE">
        <w:rPr>
          <w:rFonts w:ascii="Tahoma" w:hAnsi="Tahoma" w:cs="Tahoma"/>
        </w:rPr>
        <w:t>0.01</w:t>
      </w:r>
      <w:r w:rsidR="009B05AE" w:rsidRPr="00A83789">
        <w:rPr>
          <w:rFonts w:ascii="Tahoma" w:hAnsi="Tahoma" w:cs="Tahoma"/>
        </w:rPr>
        <w:t xml:space="preserve"> </w:t>
      </w:r>
      <w:r w:rsidR="009B05AE">
        <w:rPr>
          <w:rFonts w:ascii="Tahoma" w:hAnsi="Tahoma" w:cs="Tahoma"/>
        </w:rPr>
        <w:t>долларов США</w:t>
      </w:r>
      <w:r w:rsidRPr="00A83789">
        <w:rPr>
          <w:rFonts w:ascii="Tahoma" w:hAnsi="Tahoma" w:cs="Tahoma"/>
        </w:rPr>
        <w:t>.</w:t>
      </w:r>
    </w:p>
    <w:p w14:paraId="34A33312" w14:textId="18026A2E" w:rsidR="00C56AEE" w:rsidRPr="00A83789" w:rsidRDefault="00C56AEE" w:rsidP="00C56AEE">
      <w:pPr>
        <w:pStyle w:val="10"/>
        <w:numPr>
          <w:ilvl w:val="0"/>
          <w:numId w:val="0"/>
        </w:numPr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>1.4.  Лот Контракта равен 1</w:t>
      </w:r>
      <w:r w:rsidR="0063548F">
        <w:rPr>
          <w:rFonts w:ascii="Tahoma" w:hAnsi="Tahoma" w:cs="Tahoma"/>
        </w:rPr>
        <w:t xml:space="preserve"> (одной)</w:t>
      </w:r>
      <w:r w:rsidRPr="00A83789">
        <w:rPr>
          <w:rFonts w:ascii="Tahoma" w:hAnsi="Tahoma" w:cs="Tahoma"/>
        </w:rPr>
        <w:t xml:space="preserve"> </w:t>
      </w:r>
      <w:r w:rsidR="0063548F">
        <w:rPr>
          <w:rFonts w:ascii="Tahoma" w:hAnsi="Tahoma" w:cs="Tahoma"/>
        </w:rPr>
        <w:t>А</w:t>
      </w:r>
      <w:r w:rsidR="009B05AE">
        <w:rPr>
          <w:rFonts w:ascii="Tahoma" w:hAnsi="Tahoma" w:cs="Tahoma"/>
        </w:rPr>
        <w:t>кции</w:t>
      </w:r>
      <w:r w:rsidRPr="00A83789">
        <w:rPr>
          <w:rFonts w:ascii="Tahoma" w:hAnsi="Tahoma" w:cs="Tahoma"/>
        </w:rPr>
        <w:t xml:space="preserve">. </w:t>
      </w:r>
    </w:p>
    <w:p w14:paraId="73EAF9E6" w14:textId="43FD17C3" w:rsidR="00C56AEE" w:rsidRPr="00A83789" w:rsidRDefault="00C56AEE" w:rsidP="00C56AEE">
      <w:pPr>
        <w:pStyle w:val="a1"/>
        <w:numPr>
          <w:ilvl w:val="0"/>
          <w:numId w:val="0"/>
        </w:numPr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 xml:space="preserve">1.5. Последним днем заключения Контракта является </w:t>
      </w:r>
      <w:r w:rsidR="00D8663A" w:rsidRPr="00D8663A">
        <w:rPr>
          <w:rFonts w:ascii="Tahoma" w:hAnsi="Tahoma" w:cs="Tahoma"/>
        </w:rPr>
        <w:t>3 (третья) пятница месяца и года исполнения Контракта</w:t>
      </w:r>
      <w:r w:rsidRPr="00A83789">
        <w:rPr>
          <w:rFonts w:ascii="Tahoma" w:hAnsi="Tahoma" w:cs="Tahoma"/>
        </w:rPr>
        <w:t xml:space="preserve">, а в случае, если последний торговый день месяца и года исполнения Контракта не является торговым днем – торговый день предшествующий последнему торговому дню месяца и года исполнения Контракта. </w:t>
      </w:r>
    </w:p>
    <w:p w14:paraId="1881EDE2" w14:textId="77777777" w:rsidR="00C56AEE" w:rsidRPr="00A83789" w:rsidRDefault="00C56AEE" w:rsidP="00C56AEE">
      <w:pPr>
        <w:pStyle w:val="a1"/>
        <w:numPr>
          <w:ilvl w:val="0"/>
          <w:numId w:val="0"/>
        </w:numPr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B8FBE5C" w14:textId="12E0A9FE" w:rsidR="00C56AEE" w:rsidRPr="00A83789" w:rsidRDefault="00C56AEE" w:rsidP="00C56AEE">
      <w:pPr>
        <w:pStyle w:val="a1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1.6. Днем исполнения Контракта считается последний день заключения Контракта, за исключением</w:t>
      </w:r>
      <w:r w:rsidR="00D8663A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 xml:space="preserve">случаев, предусмотренных пунктами </w:t>
      </w:r>
      <w:r w:rsidR="0063548F" w:rsidRPr="00190937">
        <w:rPr>
          <w:rFonts w:ascii="Tahoma" w:hAnsi="Tahoma" w:cs="Tahoma"/>
        </w:rPr>
        <w:t>6</w:t>
      </w:r>
      <w:r w:rsidRPr="00190937">
        <w:rPr>
          <w:rFonts w:ascii="Tahoma" w:hAnsi="Tahoma" w:cs="Tahoma"/>
        </w:rPr>
        <w:t>.1-</w:t>
      </w:r>
      <w:r w:rsidR="0063548F" w:rsidRPr="00190937">
        <w:rPr>
          <w:rFonts w:ascii="Tahoma" w:hAnsi="Tahoma" w:cs="Tahoma"/>
        </w:rPr>
        <w:t>6</w:t>
      </w:r>
      <w:r w:rsidRPr="00190937">
        <w:rPr>
          <w:rFonts w:ascii="Tahoma" w:hAnsi="Tahoma" w:cs="Tahoma"/>
        </w:rPr>
        <w:t>.2 Спецификации</w:t>
      </w:r>
      <w:r w:rsidRPr="00592EFC">
        <w:rPr>
          <w:rFonts w:ascii="Tahoma" w:hAnsi="Tahoma" w:cs="Tahoma"/>
        </w:rPr>
        <w:t>.</w:t>
      </w:r>
    </w:p>
    <w:p w14:paraId="64869F4B" w14:textId="77777777" w:rsidR="00C56AEE" w:rsidRPr="00A83789" w:rsidRDefault="00C56AEE" w:rsidP="00C56AEE">
      <w:pPr>
        <w:pStyle w:val="a1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2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2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7AAFDA2B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61575F">
        <w:rPr>
          <w:rFonts w:ascii="Tahoma" w:hAnsi="Tahoma" w:cs="Tahoma"/>
          <w:sz w:val="20"/>
          <w:szCs w:val="20"/>
        </w:rPr>
        <w:t>доллара США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AD03E9E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61575F">
        <w:rPr>
          <w:rFonts w:ascii="Tahoma" w:hAnsi="Tahoma" w:cs="Tahoma"/>
          <w:sz w:val="20"/>
          <w:szCs w:val="20"/>
        </w:rPr>
        <w:t>доллара США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41DCBA18" w14:textId="200C9507" w:rsidR="006A0DD9" w:rsidRPr="00501EAC" w:rsidRDefault="00DB5C60" w:rsidP="00501EAC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lastRenderedPageBreak/>
        <w:t>Расчетная цена Контракта определяется Биржей в порядке и сроки, установленные Правилами торгов и Спецификацией.</w:t>
      </w: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3A8CB7A7" w14:textId="0BD890D8" w:rsidR="00B721BC" w:rsidRPr="00501EAC" w:rsidRDefault="00217B6B" w:rsidP="004217F8">
      <w:pPr>
        <w:pStyle w:val="a1"/>
        <w:numPr>
          <w:ilvl w:val="1"/>
          <w:numId w:val="1"/>
        </w:numPr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01EAC">
        <w:rPr>
          <w:rFonts w:ascii="Tahoma" w:hAnsi="Tahoma" w:cs="Tahoma"/>
        </w:rPr>
        <w:t>В целях определения Обязательства по расчетам</w:t>
      </w:r>
      <w:r w:rsidR="00903B9B" w:rsidRPr="00501EAC">
        <w:rPr>
          <w:rFonts w:ascii="Tahoma" w:hAnsi="Tahoma" w:cs="Tahoma"/>
        </w:rPr>
        <w:t xml:space="preserve"> текущая </w:t>
      </w:r>
      <w:r w:rsidR="00501EAC" w:rsidRPr="00501EAC">
        <w:rPr>
          <w:rFonts w:ascii="Tahoma" w:hAnsi="Tahoma" w:cs="Tahoma"/>
        </w:rPr>
        <w:t xml:space="preserve">Расчетная цена Контракта (цена исполнения Контракта) считается равной значению чистой стоимости (NAV) </w:t>
      </w:r>
      <w:r w:rsidR="0063548F">
        <w:rPr>
          <w:rFonts w:ascii="Tahoma" w:hAnsi="Tahoma" w:cs="Tahoma"/>
        </w:rPr>
        <w:t>Акции</w:t>
      </w:r>
      <w:r w:rsidR="00501EAC" w:rsidRPr="00501EAC">
        <w:rPr>
          <w:rFonts w:ascii="Tahoma" w:hAnsi="Tahoma" w:cs="Tahoma"/>
        </w:rPr>
        <w:t xml:space="preserve">, которое публикуется информационным агентством </w:t>
      </w:r>
      <w:proofErr w:type="spellStart"/>
      <w:r w:rsidR="00501EAC" w:rsidRPr="00501EAC">
        <w:rPr>
          <w:rFonts w:ascii="Tahoma" w:hAnsi="Tahoma" w:cs="Tahoma"/>
        </w:rPr>
        <w:t>Cbonds</w:t>
      </w:r>
      <w:proofErr w:type="spellEnd"/>
      <w:r w:rsidR="00501EAC" w:rsidRPr="00501EAC">
        <w:rPr>
          <w:rFonts w:ascii="Tahoma" w:hAnsi="Tahoma" w:cs="Tahoma"/>
        </w:rPr>
        <w:t xml:space="preserve"> за предшествующий дню исполнения день, округленному с точностью до двух знаков после запятой. </w:t>
      </w:r>
      <w:r w:rsidR="00B721BC" w:rsidRPr="00501EAC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01EAC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01EAC">
        <w:rPr>
          <w:rFonts w:ascii="Tahoma" w:hAnsi="Tahoma" w:cs="Tahoma"/>
        </w:rPr>
        <w:t>определения</w:t>
      </w:r>
      <w:r w:rsidR="00454FAC" w:rsidRPr="00501EAC">
        <w:rPr>
          <w:rFonts w:ascii="Tahoma" w:hAnsi="Tahoma" w:cs="Tahoma"/>
        </w:rPr>
        <w:t xml:space="preserve"> Расчетной цены</w:t>
      </w:r>
      <w:r w:rsidR="002C7A8E" w:rsidRPr="00501EAC">
        <w:rPr>
          <w:rFonts w:ascii="Tahoma" w:hAnsi="Tahoma" w:cs="Tahoma"/>
        </w:rPr>
        <w:t xml:space="preserve"> (цены исполнения)</w:t>
      </w:r>
      <w:r w:rsidR="00454FAC" w:rsidRPr="00501EAC">
        <w:rPr>
          <w:rFonts w:ascii="Tahoma" w:hAnsi="Tahoma" w:cs="Tahoma"/>
        </w:rPr>
        <w:t xml:space="preserve"> </w:t>
      </w:r>
      <w:r w:rsidR="002C7A8E" w:rsidRPr="00501EAC">
        <w:rPr>
          <w:rFonts w:ascii="Tahoma" w:hAnsi="Tahoma" w:cs="Tahoma"/>
        </w:rPr>
        <w:t>К</w:t>
      </w:r>
      <w:r w:rsidR="00454FAC" w:rsidRPr="00501EAC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01EAC">
        <w:rPr>
          <w:rFonts w:ascii="Tahoma" w:hAnsi="Tahoma" w:cs="Tahoma"/>
        </w:rPr>
        <w:t>т</w:t>
      </w:r>
      <w:r w:rsidR="00454FAC" w:rsidRPr="00501EAC">
        <w:rPr>
          <w:rFonts w:ascii="Tahoma" w:hAnsi="Tahoma" w:cs="Tahoma"/>
        </w:rPr>
        <w:t xml:space="preserve">ством, </w:t>
      </w:r>
      <w:r w:rsidR="000149CF" w:rsidRPr="00501EAC">
        <w:rPr>
          <w:rFonts w:ascii="Tahoma" w:hAnsi="Tahoma" w:cs="Tahoma"/>
        </w:rPr>
        <w:t xml:space="preserve">для </w:t>
      </w:r>
      <w:r w:rsidR="001B65E6" w:rsidRPr="00501EAC">
        <w:rPr>
          <w:rFonts w:ascii="Tahoma" w:hAnsi="Tahoma" w:cs="Tahoma"/>
        </w:rPr>
        <w:t>определения Расчетной цены</w:t>
      </w:r>
      <w:r w:rsidR="000149CF" w:rsidRPr="00501EAC">
        <w:rPr>
          <w:rFonts w:ascii="Tahoma" w:hAnsi="Tahoma" w:cs="Tahoma"/>
        </w:rPr>
        <w:t xml:space="preserve"> </w:t>
      </w:r>
      <w:r w:rsidR="001B65E6" w:rsidRPr="00501EAC">
        <w:rPr>
          <w:rFonts w:ascii="Tahoma" w:hAnsi="Tahoma" w:cs="Tahoma"/>
        </w:rPr>
        <w:t>(ц</w:t>
      </w:r>
      <w:r w:rsidR="000149CF" w:rsidRPr="00501EAC">
        <w:rPr>
          <w:rFonts w:ascii="Tahoma" w:hAnsi="Tahoma" w:cs="Tahoma"/>
        </w:rPr>
        <w:t>ены исполнения</w:t>
      </w:r>
      <w:r w:rsidR="001B65E6" w:rsidRPr="00501EAC">
        <w:rPr>
          <w:rFonts w:ascii="Tahoma" w:hAnsi="Tahoma" w:cs="Tahoma"/>
        </w:rPr>
        <w:t>)</w:t>
      </w:r>
      <w:r w:rsidR="000149CF" w:rsidRPr="00501EAC">
        <w:rPr>
          <w:rFonts w:ascii="Tahoma" w:hAnsi="Tahoma" w:cs="Tahoma"/>
        </w:rPr>
        <w:t xml:space="preserve"> Контракта </w:t>
      </w:r>
      <w:r w:rsidR="005057DC" w:rsidRPr="00501EAC">
        <w:rPr>
          <w:rFonts w:ascii="Tahoma" w:hAnsi="Tahoma" w:cs="Tahoma"/>
        </w:rPr>
        <w:t xml:space="preserve">используются </w:t>
      </w:r>
      <w:r w:rsidR="00EE757F" w:rsidRPr="00501EAC">
        <w:rPr>
          <w:rFonts w:ascii="Tahoma" w:hAnsi="Tahoma" w:cs="Tahoma"/>
        </w:rPr>
        <w:t xml:space="preserve">последние </w:t>
      </w:r>
      <w:r w:rsidR="00F87C74" w:rsidRPr="00501EAC">
        <w:rPr>
          <w:rFonts w:ascii="Tahoma" w:hAnsi="Tahoma" w:cs="Tahoma"/>
        </w:rPr>
        <w:t>опубликованные соответствующим</w:t>
      </w:r>
      <w:r w:rsidR="000149CF" w:rsidRPr="00501EAC">
        <w:rPr>
          <w:rFonts w:ascii="Tahoma" w:hAnsi="Tahoma" w:cs="Tahoma"/>
        </w:rPr>
        <w:t xml:space="preserve"> информационным агентством</w:t>
      </w:r>
      <w:r w:rsidR="002C7A8E" w:rsidRPr="00501EAC">
        <w:rPr>
          <w:rFonts w:ascii="Tahoma" w:hAnsi="Tahoma" w:cs="Tahoma"/>
        </w:rPr>
        <w:t xml:space="preserve"> значения</w:t>
      </w:r>
      <w:r w:rsidR="000F5E09" w:rsidRPr="00501EAC">
        <w:rPr>
          <w:rFonts w:ascii="Tahoma" w:hAnsi="Tahoma" w:cs="Tahoma"/>
        </w:rPr>
        <w:t>,</w:t>
      </w:r>
      <w:r w:rsidR="008272EF" w:rsidRPr="00501EAC">
        <w:rPr>
          <w:rFonts w:ascii="Tahoma" w:hAnsi="Tahoma" w:cs="Tahoma"/>
        </w:rPr>
        <w:t xml:space="preserve"> если иное решение не принято Биржей в соответствии с пунктами </w:t>
      </w:r>
      <w:r w:rsidR="008272EF" w:rsidRPr="00190937">
        <w:rPr>
          <w:rFonts w:ascii="Tahoma" w:hAnsi="Tahoma" w:cs="Tahoma"/>
        </w:rPr>
        <w:t>6.1 – 6.2 Спецификации</w:t>
      </w:r>
      <w:r w:rsidR="008272EF" w:rsidRPr="00501EAC">
        <w:rPr>
          <w:rFonts w:ascii="Tahoma" w:hAnsi="Tahoma" w:cs="Tahoma"/>
        </w:rPr>
        <w:t>.</w:t>
      </w:r>
    </w:p>
    <w:p w14:paraId="0D7CB8E9" w14:textId="55482D78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501EAC">
        <w:rPr>
          <w:rFonts w:ascii="Tahoma" w:hAnsi="Tahoma" w:cs="Tahoma"/>
        </w:rPr>
        <w:t>доллара США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10FDAD4E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3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63548F">
        <w:rPr>
          <w:rFonts w:ascii="Tahoma" w:hAnsi="Tahoma" w:cs="Tahoma"/>
        </w:rPr>
        <w:t xml:space="preserve">Акциями </w:t>
      </w:r>
      <w:r w:rsidR="00382321" w:rsidRPr="00EE238C">
        <w:rPr>
          <w:rFonts w:ascii="Tahoma" w:hAnsi="Tahoma" w:cs="Tahoma"/>
        </w:rPr>
        <w:t xml:space="preserve"> или изъятия </w:t>
      </w:r>
      <w:r w:rsidR="0063548F">
        <w:rPr>
          <w:rFonts w:ascii="Tahoma" w:hAnsi="Tahoma" w:cs="Tahoma"/>
        </w:rPr>
        <w:t xml:space="preserve">их </w:t>
      </w:r>
      <w:r w:rsidR="00382321" w:rsidRPr="00EE238C">
        <w:rPr>
          <w:rFonts w:ascii="Tahoma" w:hAnsi="Tahoma" w:cs="Tahoma"/>
        </w:rPr>
        <w:t xml:space="preserve">из обращения (аннулирования) </w:t>
      </w:r>
      <w:r w:rsidR="00382321">
        <w:rPr>
          <w:rFonts w:ascii="Tahoma" w:hAnsi="Tahoma" w:cs="Tahoma"/>
        </w:rPr>
        <w:t>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</w:t>
      </w:r>
      <w:r w:rsidR="0063548F">
        <w:rPr>
          <w:rFonts w:ascii="Tahoma" w:hAnsi="Tahoma" w:cs="Tahoma"/>
        </w:rPr>
        <w:t xml:space="preserve">Акций </w:t>
      </w:r>
      <w:r w:rsidR="00382321">
        <w:rPr>
          <w:rFonts w:ascii="Tahoma" w:hAnsi="Tahoma" w:cs="Tahoma"/>
        </w:rPr>
        <w:t>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>иных корпоративных действий с</w:t>
      </w:r>
      <w:r w:rsidR="0063548F">
        <w:rPr>
          <w:rFonts w:ascii="Tahoma" w:hAnsi="Tahoma" w:cs="Tahoma"/>
        </w:rPr>
        <w:t xml:space="preserve"> Акциями</w:t>
      </w:r>
      <w:r w:rsidR="00382321">
        <w:rPr>
          <w:rFonts w:ascii="Tahoma" w:hAnsi="Tahoma" w:cs="Tahoma"/>
        </w:rPr>
        <w:t xml:space="preserve">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3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4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5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4"/>
      <w:bookmarkEnd w:id="5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306E5ABA" w14:textId="76AD4FA7" w:rsidR="00190937" w:rsidRDefault="00216A8E" w:rsidP="00FD077A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</w:t>
      </w:r>
      <w:r w:rsidR="00190937">
        <w:rPr>
          <w:rFonts w:ascii="Tahoma" w:hAnsi="Tahoma" w:cs="Tahoma"/>
        </w:rPr>
        <w:t>.</w:t>
      </w:r>
    </w:p>
    <w:p w14:paraId="29211EF4" w14:textId="77777777" w:rsidR="00190937" w:rsidRDefault="00190937" w:rsidP="00190937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426"/>
        <w:rPr>
          <w:rFonts w:ascii="Tahoma" w:hAnsi="Tahoma" w:cs="Tahoma"/>
        </w:rPr>
      </w:pPr>
    </w:p>
    <w:sectPr w:rsidR="00190937" w:rsidSect="001A0F9E">
      <w:headerReference w:type="default" r:id="rId11"/>
      <w:head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4F33" w14:textId="77777777" w:rsidR="00DD2761" w:rsidRDefault="00DD2761" w:rsidP="002F7E61">
      <w:r>
        <w:separator/>
      </w:r>
    </w:p>
  </w:endnote>
  <w:endnote w:type="continuationSeparator" w:id="0">
    <w:p w14:paraId="257541D0" w14:textId="77777777" w:rsidR="00DD2761" w:rsidRDefault="00DD2761" w:rsidP="002F7E61">
      <w:r>
        <w:continuationSeparator/>
      </w:r>
    </w:p>
  </w:endnote>
  <w:endnote w:type="continuationNotice" w:id="1">
    <w:p w14:paraId="7747B03D" w14:textId="77777777" w:rsidR="00DD2761" w:rsidRDefault="00DD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ABD1" w14:textId="77777777" w:rsidR="00DD2761" w:rsidRDefault="00DD2761" w:rsidP="002F7E61">
      <w:r>
        <w:separator/>
      </w:r>
    </w:p>
  </w:footnote>
  <w:footnote w:type="continuationSeparator" w:id="0">
    <w:p w14:paraId="2BC1BF26" w14:textId="77777777" w:rsidR="00DD2761" w:rsidRDefault="00DD2761" w:rsidP="002F7E61">
      <w:r>
        <w:continuationSeparator/>
      </w:r>
    </w:p>
  </w:footnote>
  <w:footnote w:type="continuationNotice" w:id="1">
    <w:p w14:paraId="151F3EB7" w14:textId="77777777" w:rsidR="00DD2761" w:rsidRDefault="00DD2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0E22" w14:textId="2DCFFDF3" w:rsidR="00A97736" w:rsidRPr="004853C5" w:rsidRDefault="00A97736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СПЕЦИФИКАЦИЯ ФЬЮЧЕРСНОГО КОНТРАКТА </w:t>
    </w:r>
    <w:r w:rsidRPr="00A97736">
      <w:rPr>
        <w:rFonts w:ascii="Tahoma" w:eastAsia="Arial Unicode MS" w:hAnsi="Tahoma" w:cs="Tahoma"/>
        <w:b/>
        <w:color w:val="808080" w:themeColor="background1" w:themeShade="80"/>
      </w:rPr>
      <w:br/>
      <w:t xml:space="preserve">на акции инвестиционного фонда </w:t>
    </w:r>
    <w:r w:rsidRPr="00A97736">
      <w:rPr>
        <w:rFonts w:ascii="Tahoma" w:eastAsia="Arial Unicode MS" w:hAnsi="Tahoma" w:cs="Tahoma"/>
        <w:b/>
        <w:color w:val="808080" w:themeColor="background1" w:themeShade="80"/>
        <w:lang w:val="en-US"/>
      </w:rPr>
      <w:t>iShares</w:t>
    </w: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r w:rsidRPr="00A97736">
      <w:rPr>
        <w:rFonts w:ascii="Tahoma" w:eastAsia="Arial Unicode MS" w:hAnsi="Tahoma" w:cs="Tahoma"/>
        <w:b/>
        <w:color w:val="808080" w:themeColor="background1" w:themeShade="80"/>
        <w:lang w:val="en-US"/>
      </w:rPr>
      <w:t>Bitcoin</w:t>
    </w: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r w:rsidRPr="00A97736">
      <w:rPr>
        <w:rFonts w:ascii="Tahoma" w:eastAsia="Arial Unicode MS" w:hAnsi="Tahoma" w:cs="Tahoma"/>
        <w:b/>
        <w:color w:val="808080" w:themeColor="background1" w:themeShade="80"/>
        <w:lang w:val="en-US"/>
      </w:rPr>
      <w:t>Trust</w:t>
    </w:r>
    <w:r w:rsidRPr="00A97736">
      <w:rPr>
        <w:rFonts w:ascii="Tahoma" w:eastAsia="Arial Unicode MS" w:hAnsi="Tahoma" w:cs="Tahoma"/>
        <w:b/>
        <w:color w:val="808080" w:themeColor="background1" w:themeShade="80"/>
      </w:rPr>
      <w:t xml:space="preserve"> </w:t>
    </w:r>
    <w:r w:rsidRPr="00A97736">
      <w:rPr>
        <w:rFonts w:ascii="Tahoma" w:eastAsia="Arial Unicode MS" w:hAnsi="Tahoma" w:cs="Tahoma"/>
        <w:b/>
        <w:color w:val="808080" w:themeColor="background1" w:themeShade="80"/>
        <w:lang w:val="en-US"/>
      </w:rPr>
      <w:t>ETF</w:t>
    </w:r>
  </w:p>
  <w:p w14:paraId="1F4E3164" w14:textId="2D2A641A" w:rsidR="006D0C06" w:rsidRPr="00A97736" w:rsidRDefault="006D0C06" w:rsidP="00A97736">
    <w:pPr>
      <w:pStyle w:val="a8"/>
      <w:spacing w:before="0" w:after="0"/>
      <w:ind w:right="-6"/>
      <w:jc w:val="right"/>
      <w:rPr>
        <w:rFonts w:ascii="Tahoma" w:eastAsia="Arial Unicode MS" w:hAnsi="Tahoma" w:cs="Tahoma"/>
        <w:b/>
        <w:color w:val="808080" w:themeColor="background1" w:themeShade="80"/>
      </w:rPr>
    </w:pPr>
    <w:r>
      <w:rPr>
        <w:rFonts w:ascii="Tahoma" w:eastAsia="Arial Unicode MS" w:hAnsi="Tahoma" w:cs="Tahoma"/>
        <w:b/>
        <w:color w:val="808080" w:themeColor="background1" w:themeShade="80"/>
      </w:rPr>
      <w:t>_______________________________________________________________________________</w:t>
    </w:r>
  </w:p>
  <w:p w14:paraId="7A4A9683" w14:textId="77777777" w:rsidR="00A97736" w:rsidRDefault="00A977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0"/>
  </w:num>
  <w:num w:numId="17">
    <w:abstractNumId w:val="21"/>
  </w:num>
  <w:num w:numId="18">
    <w:abstractNumId w:val="23"/>
  </w:num>
  <w:num w:numId="19">
    <w:abstractNumId w:val="19"/>
  </w:num>
  <w:num w:numId="20">
    <w:abstractNumId w:val="15"/>
  </w:num>
  <w:num w:numId="21">
    <w:abstractNumId w:val="18"/>
  </w:num>
  <w:num w:numId="22">
    <w:abstractNumId w:val="6"/>
  </w:num>
  <w:num w:numId="23">
    <w:abstractNumId w:val="2"/>
  </w:num>
  <w:num w:numId="24">
    <w:abstractNumId w:val="11"/>
    <w:lvlOverride w:ilvl="0">
      <w:startOverride w:val="2"/>
    </w:lvlOverride>
    <w:lvlOverride w:ilvl="1">
      <w:startOverride w:val="2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6"/>
  </w:num>
  <w:num w:numId="29">
    <w:abstractNumId w:val="20"/>
  </w:num>
  <w:num w:numId="30">
    <w:abstractNumId w:val="13"/>
  </w:num>
  <w:num w:numId="31">
    <w:abstractNumId w:val="17"/>
  </w:num>
  <w:num w:numId="3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2A5D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937"/>
    <w:rsid w:val="00190D7C"/>
    <w:rsid w:val="00194758"/>
    <w:rsid w:val="001A0F9E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3C5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1EAC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175A"/>
    <w:rsid w:val="00573547"/>
    <w:rsid w:val="00580773"/>
    <w:rsid w:val="00582610"/>
    <w:rsid w:val="00582968"/>
    <w:rsid w:val="0058638E"/>
    <w:rsid w:val="005905C4"/>
    <w:rsid w:val="00592DC5"/>
    <w:rsid w:val="00592EFC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37AD"/>
    <w:rsid w:val="005F40F5"/>
    <w:rsid w:val="005F5736"/>
    <w:rsid w:val="00600519"/>
    <w:rsid w:val="00600617"/>
    <w:rsid w:val="0060081A"/>
    <w:rsid w:val="00601A7B"/>
    <w:rsid w:val="006022B8"/>
    <w:rsid w:val="00603B60"/>
    <w:rsid w:val="00607117"/>
    <w:rsid w:val="00611E08"/>
    <w:rsid w:val="0061575F"/>
    <w:rsid w:val="00622038"/>
    <w:rsid w:val="006316B8"/>
    <w:rsid w:val="00634593"/>
    <w:rsid w:val="006352B9"/>
    <w:rsid w:val="0063548F"/>
    <w:rsid w:val="006361EB"/>
    <w:rsid w:val="0064149C"/>
    <w:rsid w:val="00642093"/>
    <w:rsid w:val="00642F8E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06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C96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649"/>
    <w:rsid w:val="009248D2"/>
    <w:rsid w:val="00925AE9"/>
    <w:rsid w:val="009266C7"/>
    <w:rsid w:val="009313FD"/>
    <w:rsid w:val="009346F5"/>
    <w:rsid w:val="00936105"/>
    <w:rsid w:val="009406AD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5AE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97736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55F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6AEE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565F"/>
    <w:rsid w:val="00D8663A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2761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5CE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1DF1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077A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purl.org/dc/terms/"/>
    <ds:schemaRef ds:uri="http://schemas.microsoft.com/office/2006/documentManagement/types"/>
    <ds:schemaRef ds:uri="3d16ac60-ca44-4310-891e-6ee324d946e9"/>
    <ds:schemaRef ds:uri="http://purl.org/dc/elements/1.1/"/>
    <ds:schemaRef ds:uri="http://schemas.microsoft.com/office/2006/metadata/properties"/>
    <ds:schemaRef ds:uri="http://schemas.microsoft.com/office/infopath/2007/PartnerControls"/>
    <ds:schemaRef ds:uri="8c8bead1-c00a-4acf-9384-c08cb59451b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D87197-3D6B-456C-A66A-9B7C334D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2017</Words>
  <Characters>11502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13493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2025-05-29T09:44:00Z</dcterms:created>
  <dcterms:modified xsi:type="dcterms:W3CDTF">2025-05-29T12:59:00Z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