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5A5A" w14:textId="77777777" w:rsidR="005104AD" w:rsidRPr="0016178B"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151EFD99" w14:textId="31E9497F" w:rsidR="005104AD" w:rsidRPr="0016178B"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60F39452" w14:textId="034D9D47" w:rsidR="005104AD" w:rsidRPr="0016178B"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w:t>
      </w:r>
      <w:r w:rsidR="00B257D3" w:rsidRPr="000E7CEC">
        <w:rPr>
          <w:rFonts w:ascii="Tahoma" w:hAnsi="Tahoma"/>
          <w:sz w:val="20"/>
          <w:lang w:val="en-US"/>
        </w:rPr>
        <w:t>2023-</w:t>
      </w:r>
      <w:r w:rsidR="00FF052A">
        <w:rPr>
          <w:rFonts w:ascii="Tahoma" w:hAnsi="Tahoma"/>
          <w:sz w:val="20"/>
          <w:lang w:val="en-US"/>
        </w:rPr>
        <w:t>2666</w:t>
      </w:r>
      <w:r w:rsidR="00B257D3" w:rsidRPr="000E7CEC">
        <w:rPr>
          <w:rFonts w:ascii="Tahoma" w:hAnsi="Tahoma"/>
          <w:sz w:val="20"/>
          <w:lang w:val="en-US"/>
        </w:rPr>
        <w:t xml:space="preserve"> </w:t>
      </w:r>
      <w:r>
        <w:rPr>
          <w:rFonts w:ascii="Tahoma" w:hAnsi="Tahoma"/>
          <w:sz w:val="20"/>
        </w:rPr>
        <w:t xml:space="preserve">of </w:t>
      </w:r>
      <w:r w:rsidR="00B257D3" w:rsidRPr="000E7CEC">
        <w:rPr>
          <w:rFonts w:ascii="Tahoma" w:hAnsi="Tahoma"/>
          <w:sz w:val="20"/>
          <w:lang w:val="en-US"/>
        </w:rPr>
        <w:t>2</w:t>
      </w:r>
      <w:r w:rsidR="000E7CEC">
        <w:rPr>
          <w:rFonts w:ascii="Tahoma" w:hAnsi="Tahoma"/>
          <w:sz w:val="20"/>
          <w:lang w:val="ru-RU"/>
        </w:rPr>
        <w:t>6</w:t>
      </w:r>
      <w:r w:rsidR="00B257D3" w:rsidRPr="000E7CEC">
        <w:rPr>
          <w:rFonts w:ascii="Tahoma" w:hAnsi="Tahoma"/>
          <w:sz w:val="20"/>
          <w:lang w:val="en-US"/>
        </w:rPr>
        <w:t>.0</w:t>
      </w:r>
      <w:r w:rsidR="000E7CEC">
        <w:rPr>
          <w:rFonts w:ascii="Tahoma" w:hAnsi="Tahoma"/>
          <w:sz w:val="20"/>
          <w:lang w:val="ru-RU"/>
        </w:rPr>
        <w:t>9</w:t>
      </w:r>
      <w:r w:rsidR="00B257D3" w:rsidRPr="000E7CEC">
        <w:rPr>
          <w:rFonts w:ascii="Tahoma" w:hAnsi="Tahoma"/>
          <w:sz w:val="20"/>
          <w:lang w:val="en-US"/>
        </w:rPr>
        <w:t>.2023</w:t>
      </w:r>
      <w:r>
        <w:rPr>
          <w:rFonts w:ascii="Tahoma" w:hAnsi="Tahoma"/>
          <w:sz w:val="20"/>
        </w:rPr>
        <w:t>)</w:t>
      </w:r>
    </w:p>
    <w:bookmarkEnd w:id="0"/>
    <w:p w14:paraId="7B8E0166" w14:textId="77777777" w:rsidR="005104AD" w:rsidRPr="0016178B" w:rsidRDefault="005104AD" w:rsidP="005104AD">
      <w:pPr>
        <w:rPr>
          <w:rFonts w:ascii="Tahoma" w:hAnsi="Tahoma" w:cs="Tahoma"/>
          <w:sz w:val="20"/>
          <w:szCs w:val="20"/>
          <w:lang w:val="x-none"/>
        </w:rPr>
      </w:pPr>
    </w:p>
    <w:p w14:paraId="11D8B0AD" w14:textId="5DC31887" w:rsidR="005104AD" w:rsidRPr="0016178B" w:rsidRDefault="005104AD" w:rsidP="005104AD">
      <w:pPr>
        <w:jc w:val="center"/>
        <w:rPr>
          <w:rFonts w:ascii="Tahoma" w:hAnsi="Tahoma" w:cs="Tahoma"/>
          <w:b/>
          <w:bCs/>
          <w:sz w:val="20"/>
          <w:szCs w:val="20"/>
        </w:rPr>
      </w:pPr>
      <w:r>
        <w:rPr>
          <w:rFonts w:ascii="Tahoma" w:hAnsi="Tahoma"/>
          <w:b/>
          <w:sz w:val="20"/>
        </w:rPr>
        <w:t xml:space="preserve">Specification of premium options on foreign currency exchange rates to the Russian rouble </w:t>
      </w:r>
    </w:p>
    <w:p w14:paraId="40FE91D2" w14:textId="070CAE90"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 Options on Foreign Currency Exchange Rates to the Russian Rouble (the "Specification") defines the standard terms and conditions of European-style premium cash-settled options with foreign currency exchange rates to the Russian Rouble as the underlying asset. </w:t>
      </w:r>
    </w:p>
    <w:p w14:paraId="012D0F3E" w14:textId="685FDF43"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 options on foreign currency exchange rates to the Russian roubles (the "Contract", "Contracts") as well as the procedure for such obligations to arise, be changed or terminated.</w:t>
      </w:r>
    </w:p>
    <w:p w14:paraId="38AE6ADB" w14:textId="007B0D93"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 Options on Foreign Currency Exchange Rates to the Russian Rouble as set out in Appendix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(Lot_Coeff);</w:t>
      </w:r>
    </w:p>
    <w:p w14:paraId="0F39EB4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number of foreign currency units being the underlying asset of one contract (the "Lot").</w:t>
      </w:r>
    </w:p>
    <w:p w14:paraId="3C037B87" w14:textId="62A42DBF"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determined in this Specification and in the List of Parameters shall be foreign currency exchange rates to the Russian Rouble (the "Exchange Rates").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Entering into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AB27F48" w14:textId="59B21372" w:rsidR="005429F1" w:rsidRPr="005429F1"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r w:rsidR="005429F1">
        <w:rPr>
          <w:rFonts w:ascii="Tahoma" w:hAnsi="Tahoma"/>
          <w:sz w:val="20"/>
        </w:rPr>
        <w:t>code</w:t>
      </w:r>
    </w:p>
    <w:p w14:paraId="4DE0BC17" w14:textId="2CC9EDBC" w:rsidR="005104AD" w:rsidRPr="0016178B" w:rsidRDefault="005429F1"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(hereinafter the First Trading Day);</w:t>
      </w:r>
    </w:p>
    <w:p w14:paraId="419CAFB9" w14:textId="7AE04F68" w:rsidR="005104AD" w:rsidRPr="0016178B" w:rsidRDefault="005429F1"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w:t>
      </w:r>
      <w:r w:rsidR="005104AD">
        <w:rPr>
          <w:rFonts w:ascii="Tahoma" w:hAnsi="Tahoma"/>
          <w:sz w:val="20"/>
        </w:rPr>
        <w:t>he time from which the Contract may be executed (hereinafter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22F0D763"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150923 - 21 September 2023);</w:t>
      </w:r>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313435A1" w14:textId="392391B6" w:rsidR="005104AD" w:rsidRPr="0016178B" w:rsidRDefault="005429F1"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c</w:t>
      </w:r>
      <w:r w:rsidR="005104AD">
        <w:rPr>
          <w:rFonts w:ascii="Tahoma" w:hAnsi="Tahoma"/>
          <w:sz w:val="20"/>
        </w:rPr>
        <w:t xml:space="preserve">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2C8DED23"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7F31225D" w14:textId="7777777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during which the Contract can be executed (hereinafter referred to as the last trading day for the Contract) is determined in accordance with the List of dates </w:t>
      </w:r>
      <w:r>
        <w:rPr>
          <w:rFonts w:ascii="Tahoma" w:hAnsi="Tahoma"/>
          <w:sz w:val="20"/>
        </w:rPr>
        <w:lastRenderedPageBreak/>
        <w:t xml:space="preserve">which are the last trading days for options, as one Thursday of the month and year of expiration of the Contract.  </w:t>
      </w:r>
    </w:p>
    <w:p w14:paraId="1B005947" w14:textId="5518768A" w:rsidR="005104AD" w:rsidRPr="0016178B" w:rsidRDefault="005104AD" w:rsidP="005104AD">
      <w:pPr>
        <w:tabs>
          <w:tab w:val="num" w:pos="851"/>
        </w:tabs>
        <w:ind w:left="851"/>
        <w:jc w:val="both"/>
        <w:rPr>
          <w:rFonts w:ascii="Tahoma" w:hAnsi="Tahoma" w:cs="Tahoma"/>
          <w:sz w:val="20"/>
          <w:szCs w:val="20"/>
        </w:rPr>
      </w:pPr>
      <w:r>
        <w:rPr>
          <w:rFonts w:ascii="Tahoma" w:hAnsi="Tahoma"/>
          <w:sz w:val="20"/>
        </w:rPr>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77777777" w:rsidR="005104AD" w:rsidRPr="007C59F9"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380E6A92"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5429F1">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Premium = Round(Contract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58E4D8F9"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335FBC9D"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25AF3C79" w14:textId="77777777" w:rsidR="005104AD" w:rsidRPr="0016178B" w:rsidRDefault="005104AD" w:rsidP="007739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4EAFAB9F" w14:textId="452A2FFA" w:rsidR="005104AD" w:rsidRPr="0016178B" w:rsidRDefault="0016178B"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MAX(Exchange Rate* Lot_Coeff – Strike Price; 0) for Call options</w:t>
      </w:r>
    </w:p>
    <w:p w14:paraId="4457DF68" w14:textId="264A50B8"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MAX(Strike Price – Exchange Rate* Lot_Coeff; 0) for put options,</w:t>
      </w:r>
    </w:p>
    <w:p w14:paraId="7A228127" w14:textId="3A201ABB"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 the Exchange Rate of the currency being the underlying asset of the Contract is equal to the fixing determined on the Contract exercise day in accordance with the Moscow Exchange Fixing Methodology (the "Methodology") approved by the Exchange and published on the Exchange's website (the "fixing");</w:t>
      </w:r>
    </w:p>
    <w:p w14:paraId="18C1B659" w14:textId="77777777" w:rsidR="007B2754" w:rsidRPr="0016178B" w:rsidRDefault="007B2754" w:rsidP="007739AD">
      <w:pPr>
        <w:pStyle w:val="ae"/>
        <w:tabs>
          <w:tab w:val="num" w:pos="1560"/>
        </w:tabs>
        <w:ind w:left="1560"/>
        <w:jc w:val="both"/>
        <w:rPr>
          <w:rFonts w:ascii="Tahoma" w:hAnsi="Tahoma" w:cs="Tahoma"/>
          <w:sz w:val="20"/>
          <w:szCs w:val="20"/>
        </w:rPr>
      </w:pPr>
      <w:bookmarkStart w:id="2" w:name="_Hlk108017987"/>
      <w:r>
        <w:rPr>
          <w:rFonts w:ascii="Tahoma" w:hAnsi="Tahoma"/>
          <w:sz w:val="20"/>
        </w:rPr>
        <w:t>If on the Contract exercise day, the currency being the underlying asset of the Contract was not traded on the Exchange or was suspended from trading during the fixing period specified in the Methodology, the fixing value shall be set equal to the value of the relevant currency exchange rate set by the Central Bank of the Russian Federation on the Contract exercise day.</w:t>
      </w:r>
    </w:p>
    <w:bookmarkEnd w:id="2"/>
    <w:p w14:paraId="5A7D2D80" w14:textId="77777777" w:rsidR="007B2754" w:rsidRPr="0016178B" w:rsidRDefault="007B2754" w:rsidP="005104AD">
      <w:pPr>
        <w:pStyle w:val="ae"/>
        <w:tabs>
          <w:tab w:val="num" w:pos="1560"/>
        </w:tabs>
        <w:ind w:left="1560"/>
        <w:jc w:val="both"/>
        <w:rPr>
          <w:rFonts w:ascii="Tahoma" w:hAnsi="Tahoma" w:cs="Tahoma"/>
          <w:sz w:val="20"/>
          <w:szCs w:val="20"/>
        </w:rPr>
      </w:pPr>
    </w:p>
    <w:p w14:paraId="0F47780C" w14:textId="77777777" w:rsidR="005104AD" w:rsidRPr="0016178B" w:rsidRDefault="00A34DCC" w:rsidP="007F6EA9">
      <w:pPr>
        <w:pStyle w:val="ae"/>
        <w:ind w:left="1560"/>
        <w:jc w:val="both"/>
        <w:rPr>
          <w:rFonts w:ascii="Tahoma" w:hAnsi="Tahoma" w:cs="Tahoma"/>
          <w:sz w:val="20"/>
          <w:szCs w:val="20"/>
        </w:rPr>
      </w:pPr>
      <w:r>
        <w:rPr>
          <w:rFonts w:ascii="Tahoma" w:hAnsi="Tahoma"/>
          <w:sz w:val="20"/>
        </w:rPr>
        <w:t>Lot_Coeff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lastRenderedPageBreak/>
        <w:t>Option Intrinsic Value = Round (Option Intrinsic Value * Round(W/R;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Specification;</w:t>
      </w:r>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7A4360E1" w14:textId="31E83E6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arise automatically in the end-of-day clearing session of the day of exercise for "in-the-money" Options, i.e. for contracts whose Intrinsic Value is positive.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Rules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Contract trading on the Exchange, suspension of trading on the Moscow Exchange FX Market and/or suspension/termination of fixing calculation, the Exchange shall be entitled, upon agreement with the Clearing Centre, to take one or more of the following decisions:</w:t>
      </w:r>
    </w:p>
    <w:p w14:paraId="6D31C38D" w14:textId="24C3D8C2"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r w:rsidR="000E7CEC" w:rsidRPr="000E7CEC">
        <w:rPr>
          <w:rFonts w:ascii="Tahoma" w:hAnsi="Tahoma"/>
          <w:lang w:val="en-US"/>
        </w:rPr>
        <w:t>;</w:t>
      </w:r>
    </w:p>
    <w:p w14:paraId="2927FC2C" w14:textId="4B2E706A"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r w:rsidR="000E7CEC" w:rsidRPr="000E7CEC">
        <w:rPr>
          <w:rFonts w:ascii="Tahoma" w:hAnsi="Tahoma"/>
          <w:lang w:val="en-US"/>
        </w:rPr>
        <w:t>;</w:t>
      </w:r>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69A7A584" w14:textId="2A89B6A9"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lastRenderedPageBreak/>
        <w:t>If the Exchange Rate of the currency being the underlying asset of the Contract ceases to meet the requirements set by the legislation for the underlying asset of contracts which are derivative financial instruments, the terms and conditions of the obligations under the previously concluded Contracts shall not be changed.</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Center.</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4F9B5EB6" w:rsidR="005104AD" w:rsidRPr="000E7CEC"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168D3B8B" w14:textId="43320BA7" w:rsidR="000E7CEC" w:rsidRDefault="000E7CEC" w:rsidP="000E7CEC">
      <w:pPr>
        <w:pStyle w:val="1"/>
        <w:numPr>
          <w:ilvl w:val="0"/>
          <w:numId w:val="0"/>
        </w:numPr>
        <w:tabs>
          <w:tab w:val="clear" w:pos="900"/>
        </w:tabs>
        <w:ind w:left="896" w:hanging="539"/>
        <w:rPr>
          <w:rFonts w:ascii="Tahoma" w:hAnsi="Tahoma"/>
        </w:rPr>
      </w:pPr>
    </w:p>
    <w:p w14:paraId="71F5DC6F" w14:textId="00167534" w:rsidR="000E7CEC" w:rsidRDefault="000E7CEC" w:rsidP="000E7CEC">
      <w:pPr>
        <w:pStyle w:val="1"/>
        <w:numPr>
          <w:ilvl w:val="0"/>
          <w:numId w:val="0"/>
        </w:numPr>
        <w:tabs>
          <w:tab w:val="clear" w:pos="900"/>
        </w:tabs>
        <w:ind w:left="896" w:hanging="539"/>
        <w:rPr>
          <w:rFonts w:ascii="Tahoma" w:hAnsi="Tahoma"/>
        </w:rPr>
      </w:pPr>
    </w:p>
    <w:p w14:paraId="789B0E80" w14:textId="6F8830B2" w:rsidR="000E7CEC" w:rsidRDefault="000E7CEC" w:rsidP="000E7CEC">
      <w:pPr>
        <w:pStyle w:val="1"/>
        <w:numPr>
          <w:ilvl w:val="0"/>
          <w:numId w:val="0"/>
        </w:numPr>
        <w:tabs>
          <w:tab w:val="clear" w:pos="900"/>
        </w:tabs>
        <w:ind w:left="896" w:hanging="539"/>
        <w:rPr>
          <w:rFonts w:ascii="Tahoma" w:hAnsi="Tahoma"/>
        </w:rPr>
      </w:pPr>
    </w:p>
    <w:p w14:paraId="56C10F61" w14:textId="10BC71DF" w:rsidR="000E7CEC" w:rsidRDefault="000E7CEC" w:rsidP="000E7CEC">
      <w:pPr>
        <w:pStyle w:val="1"/>
        <w:numPr>
          <w:ilvl w:val="0"/>
          <w:numId w:val="0"/>
        </w:numPr>
        <w:tabs>
          <w:tab w:val="clear" w:pos="900"/>
        </w:tabs>
        <w:ind w:left="896" w:hanging="539"/>
        <w:rPr>
          <w:rFonts w:ascii="Tahoma" w:hAnsi="Tahoma"/>
        </w:rPr>
      </w:pPr>
    </w:p>
    <w:p w14:paraId="28694351" w14:textId="694842F4" w:rsidR="000E7CEC" w:rsidRDefault="000E7CEC" w:rsidP="000E7CEC">
      <w:pPr>
        <w:pStyle w:val="1"/>
        <w:numPr>
          <w:ilvl w:val="0"/>
          <w:numId w:val="0"/>
        </w:numPr>
        <w:tabs>
          <w:tab w:val="clear" w:pos="900"/>
        </w:tabs>
        <w:ind w:left="896" w:hanging="539"/>
        <w:rPr>
          <w:rFonts w:ascii="Tahoma" w:hAnsi="Tahoma"/>
        </w:rPr>
      </w:pPr>
    </w:p>
    <w:p w14:paraId="143D8441" w14:textId="17075D86" w:rsidR="000E7CEC" w:rsidRDefault="000E7CEC" w:rsidP="000E7CEC">
      <w:pPr>
        <w:pStyle w:val="1"/>
        <w:numPr>
          <w:ilvl w:val="0"/>
          <w:numId w:val="0"/>
        </w:numPr>
        <w:tabs>
          <w:tab w:val="clear" w:pos="900"/>
        </w:tabs>
        <w:ind w:left="896" w:hanging="539"/>
        <w:rPr>
          <w:rFonts w:ascii="Tahoma" w:hAnsi="Tahoma"/>
        </w:rPr>
      </w:pPr>
    </w:p>
    <w:p w14:paraId="109BA218" w14:textId="3DA61FFA" w:rsidR="000E7CEC" w:rsidRDefault="000E7CEC" w:rsidP="000E7CEC">
      <w:pPr>
        <w:pStyle w:val="1"/>
        <w:numPr>
          <w:ilvl w:val="0"/>
          <w:numId w:val="0"/>
        </w:numPr>
        <w:tabs>
          <w:tab w:val="clear" w:pos="900"/>
        </w:tabs>
        <w:ind w:left="896" w:hanging="539"/>
        <w:rPr>
          <w:rFonts w:ascii="Tahoma" w:hAnsi="Tahoma"/>
        </w:rPr>
      </w:pPr>
    </w:p>
    <w:p w14:paraId="29258892" w14:textId="1FF51F35" w:rsidR="000E7CEC" w:rsidRDefault="000E7CEC" w:rsidP="000E7CEC">
      <w:pPr>
        <w:pStyle w:val="1"/>
        <w:numPr>
          <w:ilvl w:val="0"/>
          <w:numId w:val="0"/>
        </w:numPr>
        <w:tabs>
          <w:tab w:val="clear" w:pos="900"/>
        </w:tabs>
        <w:ind w:left="896" w:hanging="539"/>
        <w:rPr>
          <w:rFonts w:ascii="Tahoma" w:hAnsi="Tahoma"/>
        </w:rPr>
      </w:pPr>
    </w:p>
    <w:p w14:paraId="19BB09C0" w14:textId="3771C7E4" w:rsidR="000E7CEC" w:rsidRDefault="000E7CEC" w:rsidP="000E7CEC">
      <w:pPr>
        <w:pStyle w:val="1"/>
        <w:numPr>
          <w:ilvl w:val="0"/>
          <w:numId w:val="0"/>
        </w:numPr>
        <w:tabs>
          <w:tab w:val="clear" w:pos="900"/>
        </w:tabs>
        <w:ind w:left="896" w:hanging="539"/>
        <w:rPr>
          <w:rFonts w:ascii="Tahoma" w:hAnsi="Tahoma"/>
        </w:rPr>
      </w:pPr>
    </w:p>
    <w:p w14:paraId="230E5810" w14:textId="7855164E" w:rsidR="000E7CEC" w:rsidRDefault="000E7CEC" w:rsidP="000E7CEC">
      <w:pPr>
        <w:pStyle w:val="1"/>
        <w:numPr>
          <w:ilvl w:val="0"/>
          <w:numId w:val="0"/>
        </w:numPr>
        <w:tabs>
          <w:tab w:val="clear" w:pos="900"/>
        </w:tabs>
        <w:ind w:left="896" w:hanging="539"/>
        <w:rPr>
          <w:rFonts w:ascii="Tahoma" w:hAnsi="Tahoma"/>
        </w:rPr>
      </w:pPr>
    </w:p>
    <w:p w14:paraId="7345ACE3" w14:textId="530678B9" w:rsidR="000E7CEC" w:rsidRDefault="000E7CEC" w:rsidP="000E7CEC">
      <w:pPr>
        <w:pStyle w:val="1"/>
        <w:numPr>
          <w:ilvl w:val="0"/>
          <w:numId w:val="0"/>
        </w:numPr>
        <w:tabs>
          <w:tab w:val="clear" w:pos="900"/>
        </w:tabs>
        <w:ind w:left="896" w:hanging="539"/>
        <w:rPr>
          <w:rFonts w:ascii="Tahoma" w:hAnsi="Tahoma"/>
        </w:rPr>
      </w:pPr>
    </w:p>
    <w:p w14:paraId="3A523F94" w14:textId="005DD99A" w:rsidR="000E7CEC" w:rsidRDefault="000E7CEC" w:rsidP="000E7CEC">
      <w:pPr>
        <w:pStyle w:val="1"/>
        <w:numPr>
          <w:ilvl w:val="0"/>
          <w:numId w:val="0"/>
        </w:numPr>
        <w:tabs>
          <w:tab w:val="clear" w:pos="900"/>
        </w:tabs>
        <w:ind w:left="896" w:hanging="539"/>
        <w:rPr>
          <w:rFonts w:ascii="Tahoma" w:hAnsi="Tahoma"/>
        </w:rPr>
      </w:pPr>
    </w:p>
    <w:p w14:paraId="2B718B57" w14:textId="3DFB4A65" w:rsidR="000E7CEC" w:rsidRDefault="000E7CEC" w:rsidP="000E7CEC">
      <w:pPr>
        <w:pStyle w:val="1"/>
        <w:numPr>
          <w:ilvl w:val="0"/>
          <w:numId w:val="0"/>
        </w:numPr>
        <w:tabs>
          <w:tab w:val="clear" w:pos="900"/>
        </w:tabs>
        <w:ind w:left="896" w:hanging="539"/>
        <w:rPr>
          <w:rFonts w:ascii="Tahoma" w:hAnsi="Tahoma"/>
        </w:rPr>
      </w:pPr>
    </w:p>
    <w:p w14:paraId="6C61D8FC" w14:textId="00CE22A7" w:rsidR="000E7CEC" w:rsidRDefault="000E7CEC" w:rsidP="000E7CEC">
      <w:pPr>
        <w:pStyle w:val="1"/>
        <w:numPr>
          <w:ilvl w:val="0"/>
          <w:numId w:val="0"/>
        </w:numPr>
        <w:tabs>
          <w:tab w:val="clear" w:pos="900"/>
        </w:tabs>
        <w:ind w:left="896" w:hanging="539"/>
        <w:rPr>
          <w:rFonts w:ascii="Tahoma" w:hAnsi="Tahoma"/>
        </w:rPr>
      </w:pPr>
    </w:p>
    <w:p w14:paraId="7F1411BE" w14:textId="3FF9A541" w:rsidR="000E7CEC" w:rsidRDefault="000E7CEC" w:rsidP="000E7CEC">
      <w:pPr>
        <w:pStyle w:val="1"/>
        <w:numPr>
          <w:ilvl w:val="0"/>
          <w:numId w:val="0"/>
        </w:numPr>
        <w:tabs>
          <w:tab w:val="clear" w:pos="900"/>
        </w:tabs>
        <w:ind w:left="896" w:hanging="539"/>
        <w:rPr>
          <w:rFonts w:ascii="Tahoma" w:hAnsi="Tahoma"/>
        </w:rPr>
      </w:pPr>
    </w:p>
    <w:p w14:paraId="67457DF6" w14:textId="6FFE2DEA" w:rsidR="000E7CEC" w:rsidRDefault="000E7CEC" w:rsidP="000E7CEC">
      <w:pPr>
        <w:pStyle w:val="1"/>
        <w:numPr>
          <w:ilvl w:val="0"/>
          <w:numId w:val="0"/>
        </w:numPr>
        <w:tabs>
          <w:tab w:val="clear" w:pos="900"/>
        </w:tabs>
        <w:ind w:left="896" w:hanging="539"/>
        <w:rPr>
          <w:rFonts w:ascii="Tahoma" w:hAnsi="Tahoma"/>
        </w:rPr>
      </w:pPr>
    </w:p>
    <w:p w14:paraId="05346B43" w14:textId="4703A98E" w:rsidR="000E7CEC" w:rsidRDefault="000E7CEC" w:rsidP="000E7CEC">
      <w:pPr>
        <w:pStyle w:val="1"/>
        <w:numPr>
          <w:ilvl w:val="0"/>
          <w:numId w:val="0"/>
        </w:numPr>
        <w:tabs>
          <w:tab w:val="clear" w:pos="900"/>
        </w:tabs>
        <w:ind w:left="896" w:hanging="539"/>
        <w:rPr>
          <w:rFonts w:ascii="Tahoma" w:hAnsi="Tahoma"/>
        </w:rPr>
      </w:pPr>
    </w:p>
    <w:p w14:paraId="728C799C" w14:textId="12224B63" w:rsidR="000E7CEC" w:rsidRDefault="000E7CEC" w:rsidP="000E7CEC">
      <w:pPr>
        <w:pStyle w:val="1"/>
        <w:numPr>
          <w:ilvl w:val="0"/>
          <w:numId w:val="0"/>
        </w:numPr>
        <w:tabs>
          <w:tab w:val="clear" w:pos="900"/>
        </w:tabs>
        <w:ind w:left="896" w:hanging="539"/>
        <w:rPr>
          <w:rFonts w:ascii="Tahoma" w:hAnsi="Tahoma"/>
        </w:rPr>
      </w:pPr>
    </w:p>
    <w:p w14:paraId="48B2D63A" w14:textId="0FD150EE" w:rsidR="000E7CEC" w:rsidRDefault="000E7CEC" w:rsidP="000E7CEC">
      <w:pPr>
        <w:pStyle w:val="1"/>
        <w:numPr>
          <w:ilvl w:val="0"/>
          <w:numId w:val="0"/>
        </w:numPr>
        <w:tabs>
          <w:tab w:val="clear" w:pos="900"/>
        </w:tabs>
        <w:ind w:left="896" w:hanging="539"/>
        <w:rPr>
          <w:rFonts w:ascii="Tahoma" w:hAnsi="Tahoma"/>
        </w:rPr>
      </w:pPr>
    </w:p>
    <w:p w14:paraId="6C1A767A" w14:textId="4E40131E" w:rsidR="000E7CEC" w:rsidRDefault="000E7CEC" w:rsidP="000E7CEC">
      <w:pPr>
        <w:pStyle w:val="1"/>
        <w:numPr>
          <w:ilvl w:val="0"/>
          <w:numId w:val="0"/>
        </w:numPr>
        <w:tabs>
          <w:tab w:val="clear" w:pos="900"/>
        </w:tabs>
        <w:ind w:left="896" w:hanging="539"/>
        <w:rPr>
          <w:rFonts w:ascii="Tahoma" w:hAnsi="Tahoma"/>
        </w:rPr>
      </w:pPr>
    </w:p>
    <w:p w14:paraId="0B2A35DA" w14:textId="6D609867" w:rsidR="000E7CEC" w:rsidRDefault="000E7CEC" w:rsidP="000E7CEC">
      <w:pPr>
        <w:pStyle w:val="1"/>
        <w:numPr>
          <w:ilvl w:val="0"/>
          <w:numId w:val="0"/>
        </w:numPr>
        <w:tabs>
          <w:tab w:val="clear" w:pos="900"/>
        </w:tabs>
        <w:ind w:left="896" w:hanging="539"/>
        <w:rPr>
          <w:rFonts w:ascii="Tahoma" w:hAnsi="Tahoma"/>
        </w:rPr>
      </w:pPr>
    </w:p>
    <w:p w14:paraId="2DC387B4" w14:textId="4139C79A" w:rsidR="000E7CEC" w:rsidRDefault="000E7CEC" w:rsidP="000E7CEC">
      <w:pPr>
        <w:pStyle w:val="1"/>
        <w:numPr>
          <w:ilvl w:val="0"/>
          <w:numId w:val="0"/>
        </w:numPr>
        <w:tabs>
          <w:tab w:val="clear" w:pos="900"/>
        </w:tabs>
        <w:ind w:left="896" w:hanging="539"/>
        <w:rPr>
          <w:rFonts w:ascii="Tahoma" w:hAnsi="Tahoma"/>
        </w:rPr>
      </w:pPr>
    </w:p>
    <w:p w14:paraId="60AB3629" w14:textId="2349AD38" w:rsidR="000E7CEC" w:rsidRDefault="000E7CEC" w:rsidP="000E7CEC">
      <w:pPr>
        <w:pStyle w:val="1"/>
        <w:numPr>
          <w:ilvl w:val="0"/>
          <w:numId w:val="0"/>
        </w:numPr>
        <w:tabs>
          <w:tab w:val="clear" w:pos="900"/>
        </w:tabs>
        <w:ind w:left="896" w:hanging="539"/>
        <w:rPr>
          <w:rFonts w:ascii="Tahoma" w:hAnsi="Tahoma"/>
        </w:rPr>
      </w:pPr>
    </w:p>
    <w:p w14:paraId="5C870D84" w14:textId="441E686E" w:rsidR="000E7CEC" w:rsidRDefault="000E7CEC" w:rsidP="000E7CEC">
      <w:pPr>
        <w:pStyle w:val="1"/>
        <w:numPr>
          <w:ilvl w:val="0"/>
          <w:numId w:val="0"/>
        </w:numPr>
        <w:tabs>
          <w:tab w:val="clear" w:pos="900"/>
        </w:tabs>
        <w:ind w:left="896" w:hanging="539"/>
        <w:rPr>
          <w:rFonts w:ascii="Tahoma" w:hAnsi="Tahoma"/>
        </w:rPr>
      </w:pPr>
    </w:p>
    <w:p w14:paraId="5D9917E1" w14:textId="5535FD5C" w:rsidR="000E7CEC" w:rsidRDefault="000E7CEC" w:rsidP="000E7CEC">
      <w:pPr>
        <w:pStyle w:val="1"/>
        <w:numPr>
          <w:ilvl w:val="0"/>
          <w:numId w:val="0"/>
        </w:numPr>
        <w:tabs>
          <w:tab w:val="clear" w:pos="900"/>
        </w:tabs>
        <w:ind w:left="896" w:hanging="539"/>
        <w:rPr>
          <w:rFonts w:ascii="Tahoma" w:hAnsi="Tahoma"/>
        </w:rPr>
      </w:pPr>
    </w:p>
    <w:p w14:paraId="13459E79" w14:textId="70DD3895" w:rsidR="000E7CEC" w:rsidRDefault="000E7CEC" w:rsidP="000E7CEC">
      <w:pPr>
        <w:pStyle w:val="1"/>
        <w:numPr>
          <w:ilvl w:val="0"/>
          <w:numId w:val="0"/>
        </w:numPr>
        <w:tabs>
          <w:tab w:val="clear" w:pos="900"/>
        </w:tabs>
        <w:ind w:left="896" w:hanging="539"/>
        <w:rPr>
          <w:rFonts w:ascii="Tahoma" w:hAnsi="Tahoma"/>
        </w:rPr>
      </w:pPr>
    </w:p>
    <w:p w14:paraId="71D0A7E8" w14:textId="6CC6722E" w:rsidR="000E7CEC" w:rsidRDefault="000E7CEC" w:rsidP="000E7CEC">
      <w:pPr>
        <w:pStyle w:val="1"/>
        <w:numPr>
          <w:ilvl w:val="0"/>
          <w:numId w:val="0"/>
        </w:numPr>
        <w:tabs>
          <w:tab w:val="clear" w:pos="900"/>
        </w:tabs>
        <w:ind w:left="896" w:hanging="539"/>
        <w:rPr>
          <w:rFonts w:ascii="Tahoma" w:hAnsi="Tahoma"/>
        </w:rPr>
      </w:pPr>
    </w:p>
    <w:p w14:paraId="14173524" w14:textId="595E653E" w:rsidR="000E7CEC" w:rsidRDefault="000E7CEC" w:rsidP="000E7CEC">
      <w:pPr>
        <w:pStyle w:val="1"/>
        <w:numPr>
          <w:ilvl w:val="0"/>
          <w:numId w:val="0"/>
        </w:numPr>
        <w:tabs>
          <w:tab w:val="clear" w:pos="900"/>
        </w:tabs>
        <w:ind w:left="896" w:hanging="539"/>
        <w:rPr>
          <w:rFonts w:ascii="Tahoma" w:hAnsi="Tahoma"/>
        </w:rPr>
      </w:pPr>
    </w:p>
    <w:p w14:paraId="0D3E7CDF" w14:textId="77777777" w:rsidR="000E7CEC" w:rsidRDefault="000E7CEC" w:rsidP="000E7CEC">
      <w:pPr>
        <w:pStyle w:val="1"/>
        <w:numPr>
          <w:ilvl w:val="0"/>
          <w:numId w:val="0"/>
        </w:numPr>
        <w:tabs>
          <w:tab w:val="clear" w:pos="900"/>
        </w:tabs>
        <w:ind w:left="896" w:hanging="539"/>
        <w:rPr>
          <w:rFonts w:ascii="Tahoma" w:hAnsi="Tahoma"/>
        </w:rPr>
        <w:sectPr w:rsidR="000E7CEC">
          <w:headerReference w:type="default" r:id="rId7"/>
          <w:pgSz w:w="11906" w:h="16838"/>
          <w:pgMar w:top="1134" w:right="850" w:bottom="1134" w:left="1701" w:header="708" w:footer="708" w:gutter="0"/>
          <w:cols w:space="708"/>
          <w:docGrid w:linePitch="360"/>
        </w:sectPr>
      </w:pPr>
    </w:p>
    <w:p w14:paraId="75851092" w14:textId="05841835" w:rsidR="000E7CEC" w:rsidRDefault="000E7CEC" w:rsidP="000E7CEC">
      <w:pPr>
        <w:pStyle w:val="a9"/>
        <w:tabs>
          <w:tab w:val="left" w:pos="4962"/>
        </w:tabs>
        <w:spacing w:after="0"/>
        <w:ind w:left="5387" w:right="27"/>
        <w:rPr>
          <w:rFonts w:ascii="Tahoma" w:hAnsi="Tahoma" w:cs="Tahoma"/>
          <w:sz w:val="22"/>
          <w:szCs w:val="20"/>
        </w:rPr>
      </w:pPr>
      <w:r>
        <w:rPr>
          <w:rFonts w:ascii="Tahoma" w:hAnsi="Tahoma"/>
          <w:sz w:val="22"/>
        </w:rPr>
        <w:lastRenderedPageBreak/>
        <w:tab/>
      </w:r>
      <w:r>
        <w:rPr>
          <w:rFonts w:ascii="Tahoma" w:hAnsi="Tahoma"/>
          <w:sz w:val="22"/>
        </w:rPr>
        <w:tab/>
        <w:t xml:space="preserve">      </w:t>
      </w:r>
    </w:p>
    <w:p w14:paraId="0CD99C7D" w14:textId="77777777" w:rsidR="000E7CEC" w:rsidRDefault="000E7CEC" w:rsidP="000E7CEC">
      <w:pPr>
        <w:pStyle w:val="ac"/>
        <w:keepNext/>
        <w:widowControl w:val="0"/>
        <w:spacing w:after="0"/>
        <w:ind w:right="11"/>
        <w:jc w:val="center"/>
        <w:rPr>
          <w:rFonts w:ascii="Tahoma" w:hAnsi="Tahoma" w:cs="Tahoma"/>
          <w:b/>
          <w:bCs/>
          <w:sz w:val="22"/>
          <w:szCs w:val="22"/>
        </w:rPr>
      </w:pPr>
    </w:p>
    <w:p w14:paraId="13552D2C" w14:textId="77777777" w:rsidR="000E7CEC"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FOR PREMIUM OPTIONS ON </w:t>
      </w:r>
    </w:p>
    <w:p w14:paraId="45B2A895" w14:textId="77777777" w:rsidR="000E7CEC" w:rsidRPr="002A6513" w:rsidRDefault="000E7CEC" w:rsidP="000E7CEC">
      <w:pPr>
        <w:pStyle w:val="ac"/>
        <w:keepNext/>
        <w:widowControl w:val="0"/>
        <w:spacing w:after="0"/>
        <w:ind w:right="11"/>
        <w:jc w:val="center"/>
        <w:rPr>
          <w:rFonts w:ascii="Tahoma" w:hAnsi="Tahoma" w:cs="Tahoma"/>
          <w:b/>
          <w:bCs/>
          <w:sz w:val="22"/>
          <w:szCs w:val="22"/>
        </w:rPr>
      </w:pPr>
      <w:r>
        <w:rPr>
          <w:rFonts w:ascii="Tahoma" w:hAnsi="Tahoma"/>
          <w:b/>
          <w:sz w:val="22"/>
        </w:rPr>
        <w:t xml:space="preserve">EXCHANGE RATES OF CURRENCIES TO THE RUSSIAN ROUBLE </w:t>
      </w:r>
    </w:p>
    <w:p w14:paraId="71FA2D6C" w14:textId="77777777" w:rsidR="000E7CEC" w:rsidRPr="00125F2A" w:rsidRDefault="000E7CEC" w:rsidP="000E7CEC">
      <w:pPr>
        <w:pStyle w:val="ac"/>
        <w:keepNext/>
        <w:widowControl w:val="0"/>
        <w:spacing w:after="0"/>
        <w:ind w:right="11"/>
        <w:jc w:val="center"/>
        <w:rPr>
          <w:rFonts w:ascii="Tahoma" w:hAnsi="Tahoma" w:cs="Tahoma"/>
          <w:b/>
          <w:bCs/>
          <w:sz w:val="22"/>
          <w:szCs w:val="22"/>
        </w:rPr>
      </w:pPr>
    </w:p>
    <w:p w14:paraId="25AD8B83" w14:textId="77777777" w:rsidR="000E7CEC" w:rsidRPr="00DE3878" w:rsidRDefault="000E7CEC" w:rsidP="000E7CEC">
      <w:pPr>
        <w:jc w:val="both"/>
        <w:rPr>
          <w:rFonts w:ascii="Tahoma" w:hAnsi="Tahoma" w:cs="Tahom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276"/>
        <w:gridCol w:w="1418"/>
        <w:gridCol w:w="1842"/>
        <w:gridCol w:w="1276"/>
        <w:gridCol w:w="1559"/>
        <w:gridCol w:w="1701"/>
        <w:gridCol w:w="2694"/>
        <w:gridCol w:w="1842"/>
      </w:tblGrid>
      <w:tr w:rsidR="000E7CEC" w:rsidRPr="00F75E32" w14:paraId="143DCDFC" w14:textId="77777777" w:rsidTr="00296730">
        <w:trPr>
          <w:trHeight w:val="1191"/>
        </w:trPr>
        <w:tc>
          <w:tcPr>
            <w:tcW w:w="425" w:type="dxa"/>
            <w:shd w:val="clear" w:color="auto" w:fill="auto"/>
            <w:vAlign w:val="center"/>
          </w:tcPr>
          <w:p w14:paraId="0DCDDD0F" w14:textId="77777777" w:rsidR="000E7CEC" w:rsidRPr="009C43DA" w:rsidRDefault="000E7CEC" w:rsidP="00296730">
            <w:pPr>
              <w:jc w:val="center"/>
              <w:rPr>
                <w:rFonts w:ascii="Tahoma" w:hAnsi="Tahoma" w:cs="Tahoma"/>
                <w:bCs/>
                <w:sz w:val="20"/>
                <w:szCs w:val="16"/>
              </w:rPr>
            </w:pPr>
            <w:r>
              <w:rPr>
                <w:rFonts w:ascii="Tahoma" w:hAnsi="Tahoma"/>
                <w:sz w:val="20"/>
              </w:rPr>
              <w:t>No.</w:t>
            </w:r>
          </w:p>
        </w:tc>
        <w:tc>
          <w:tcPr>
            <w:tcW w:w="1843" w:type="dxa"/>
            <w:shd w:val="clear" w:color="auto" w:fill="auto"/>
            <w:vAlign w:val="center"/>
          </w:tcPr>
          <w:p w14:paraId="2DA65254" w14:textId="77777777" w:rsidR="000E7CEC" w:rsidRPr="008E180F" w:rsidRDefault="000E7CEC" w:rsidP="00296730">
            <w:pPr>
              <w:jc w:val="center"/>
              <w:rPr>
                <w:rFonts w:ascii="Tahoma" w:hAnsi="Tahoma" w:cs="Tahoma"/>
                <w:bCs/>
                <w:sz w:val="20"/>
                <w:szCs w:val="16"/>
              </w:rPr>
            </w:pPr>
            <w:r>
              <w:rPr>
                <w:rFonts w:ascii="Tahoma" w:hAnsi="Tahoma"/>
                <w:sz w:val="20"/>
              </w:rPr>
              <w:t xml:space="preserve">Contract name </w:t>
            </w:r>
          </w:p>
          <w:p w14:paraId="60B13E19" w14:textId="77777777" w:rsidR="000E7CEC" w:rsidRPr="00BA6A1C" w:rsidRDefault="000E7CEC" w:rsidP="00296730">
            <w:pPr>
              <w:jc w:val="center"/>
              <w:rPr>
                <w:rFonts w:ascii="Tahoma" w:hAnsi="Tahoma" w:cs="Tahoma"/>
                <w:bCs/>
                <w:sz w:val="20"/>
                <w:szCs w:val="16"/>
              </w:rPr>
            </w:pPr>
            <w:r>
              <w:rPr>
                <w:rFonts w:ascii="Tahoma" w:hAnsi="Tahoma"/>
                <w:sz w:val="20"/>
              </w:rPr>
              <w:t xml:space="preserve"> </w:t>
            </w:r>
          </w:p>
        </w:tc>
        <w:tc>
          <w:tcPr>
            <w:tcW w:w="1276" w:type="dxa"/>
            <w:shd w:val="clear" w:color="auto" w:fill="auto"/>
            <w:vAlign w:val="center"/>
          </w:tcPr>
          <w:p w14:paraId="0AA84045" w14:textId="77777777" w:rsidR="000E7CEC" w:rsidRPr="00F31852" w:rsidRDefault="000E7CEC" w:rsidP="00296730">
            <w:pPr>
              <w:jc w:val="center"/>
              <w:rPr>
                <w:rFonts w:ascii="Tahoma" w:hAnsi="Tahoma" w:cs="Tahoma"/>
                <w:bCs/>
                <w:sz w:val="20"/>
                <w:szCs w:val="16"/>
              </w:rPr>
            </w:pPr>
            <w:r>
              <w:rPr>
                <w:rFonts w:ascii="Tahoma" w:hAnsi="Tahoma"/>
                <w:sz w:val="20"/>
              </w:rPr>
              <w:t>Code of the underlying asset</w:t>
            </w:r>
          </w:p>
        </w:tc>
        <w:tc>
          <w:tcPr>
            <w:tcW w:w="1418" w:type="dxa"/>
            <w:shd w:val="clear" w:color="auto" w:fill="auto"/>
            <w:vAlign w:val="center"/>
          </w:tcPr>
          <w:p w14:paraId="73B63BDA" w14:textId="77777777" w:rsidR="000E7CEC" w:rsidRPr="00D745D4" w:rsidRDefault="000E7CEC" w:rsidP="00296730">
            <w:pPr>
              <w:jc w:val="center"/>
              <w:rPr>
                <w:rFonts w:ascii="Tahoma" w:hAnsi="Tahoma" w:cs="Tahoma"/>
                <w:bCs/>
                <w:sz w:val="20"/>
                <w:szCs w:val="16"/>
              </w:rPr>
            </w:pPr>
            <w:r>
              <w:rPr>
                <w:rFonts w:ascii="Tahoma" w:hAnsi="Tahoma"/>
                <w:sz w:val="20"/>
              </w:rPr>
              <w:t xml:space="preserve">Underling </w:t>
            </w:r>
          </w:p>
          <w:p w14:paraId="31232184" w14:textId="77777777" w:rsidR="000E7CEC" w:rsidRPr="00E2610F" w:rsidRDefault="000E7CEC" w:rsidP="00296730">
            <w:pPr>
              <w:jc w:val="center"/>
              <w:rPr>
                <w:rFonts w:ascii="Tahoma" w:hAnsi="Tahoma" w:cs="Tahoma"/>
                <w:bCs/>
                <w:sz w:val="20"/>
                <w:szCs w:val="16"/>
              </w:rPr>
            </w:pPr>
            <w:r>
              <w:rPr>
                <w:rFonts w:ascii="Tahoma" w:hAnsi="Tahoma"/>
                <w:sz w:val="20"/>
              </w:rPr>
              <w:t>asset</w:t>
            </w:r>
          </w:p>
        </w:tc>
        <w:tc>
          <w:tcPr>
            <w:tcW w:w="1842" w:type="dxa"/>
            <w:shd w:val="clear" w:color="auto" w:fill="auto"/>
            <w:vAlign w:val="center"/>
          </w:tcPr>
          <w:p w14:paraId="2BC9A098" w14:textId="77777777" w:rsidR="000E7CEC" w:rsidRPr="00E2610F" w:rsidRDefault="000E7CEC" w:rsidP="00296730">
            <w:pPr>
              <w:jc w:val="center"/>
              <w:rPr>
                <w:rFonts w:ascii="Tahoma" w:hAnsi="Tahoma" w:cs="Tahoma"/>
                <w:bCs/>
                <w:sz w:val="20"/>
                <w:szCs w:val="16"/>
              </w:rPr>
            </w:pPr>
            <w:r>
              <w:rPr>
                <w:rFonts w:ascii="Tahoma" w:hAnsi="Tahoma"/>
                <w:sz w:val="20"/>
              </w:rPr>
              <w:t>Lot_Coeff</w:t>
            </w:r>
          </w:p>
        </w:tc>
        <w:tc>
          <w:tcPr>
            <w:tcW w:w="1276" w:type="dxa"/>
            <w:shd w:val="clear" w:color="auto" w:fill="auto"/>
            <w:vAlign w:val="center"/>
          </w:tcPr>
          <w:p w14:paraId="7122A050" w14:textId="77777777" w:rsidR="000E7CEC" w:rsidRPr="00E2610F" w:rsidRDefault="000E7CEC" w:rsidP="00296730">
            <w:pPr>
              <w:jc w:val="center"/>
              <w:rPr>
                <w:rFonts w:ascii="Tahoma" w:hAnsi="Tahoma" w:cs="Tahoma"/>
                <w:bCs/>
                <w:sz w:val="20"/>
                <w:szCs w:val="16"/>
              </w:rPr>
            </w:pPr>
            <w:r>
              <w:rPr>
                <w:rFonts w:ascii="Tahoma" w:hAnsi="Tahoma"/>
                <w:sz w:val="20"/>
              </w:rPr>
              <w:t>Lot</w:t>
            </w:r>
          </w:p>
        </w:tc>
        <w:tc>
          <w:tcPr>
            <w:tcW w:w="1559" w:type="dxa"/>
            <w:shd w:val="clear" w:color="auto" w:fill="auto"/>
            <w:vAlign w:val="center"/>
          </w:tcPr>
          <w:p w14:paraId="586D06A3" w14:textId="77777777" w:rsidR="000E7CEC" w:rsidRPr="0095205F" w:rsidRDefault="000E7CEC" w:rsidP="00296730">
            <w:pPr>
              <w:jc w:val="center"/>
              <w:rPr>
                <w:rFonts w:ascii="Tahoma" w:hAnsi="Tahoma" w:cs="Tahoma"/>
                <w:bCs/>
                <w:sz w:val="20"/>
                <w:szCs w:val="16"/>
              </w:rPr>
            </w:pPr>
            <w:r>
              <w:rPr>
                <w:rFonts w:ascii="Tahoma" w:hAnsi="Tahoma"/>
                <w:sz w:val="20"/>
              </w:rPr>
              <w:t>Tick</w:t>
            </w:r>
          </w:p>
        </w:tc>
        <w:tc>
          <w:tcPr>
            <w:tcW w:w="1701" w:type="dxa"/>
            <w:shd w:val="clear" w:color="auto" w:fill="auto"/>
            <w:vAlign w:val="center"/>
          </w:tcPr>
          <w:p w14:paraId="69A47281" w14:textId="77777777" w:rsidR="000E7CEC" w:rsidRPr="00AC7F1F" w:rsidRDefault="000E7CEC" w:rsidP="00296730">
            <w:pPr>
              <w:jc w:val="center"/>
              <w:rPr>
                <w:rFonts w:ascii="Tahoma" w:hAnsi="Tahoma" w:cs="Tahoma"/>
                <w:bCs/>
                <w:sz w:val="20"/>
                <w:szCs w:val="16"/>
              </w:rPr>
            </w:pPr>
            <w:r>
              <w:rPr>
                <w:rFonts w:ascii="Tahoma" w:hAnsi="Tahoma"/>
                <w:sz w:val="20"/>
              </w:rPr>
              <w:t>Tick value</w:t>
            </w:r>
          </w:p>
        </w:tc>
        <w:tc>
          <w:tcPr>
            <w:tcW w:w="2694" w:type="dxa"/>
            <w:shd w:val="clear" w:color="auto" w:fill="auto"/>
            <w:vAlign w:val="center"/>
          </w:tcPr>
          <w:p w14:paraId="64C9B027" w14:textId="37A159CF" w:rsidR="000E7CEC" w:rsidRPr="009C43DA" w:rsidRDefault="000E7CEC" w:rsidP="00296730">
            <w:pPr>
              <w:jc w:val="center"/>
              <w:rPr>
                <w:rFonts w:ascii="Tahoma" w:hAnsi="Tahoma" w:cs="Tahoma"/>
                <w:bCs/>
                <w:sz w:val="20"/>
                <w:szCs w:val="16"/>
              </w:rPr>
            </w:pPr>
            <w:r>
              <w:rPr>
                <w:rFonts w:ascii="Tahoma" w:hAnsi="Tahoma"/>
                <w:sz w:val="20"/>
              </w:rPr>
              <w:t>Exercise price</w:t>
            </w:r>
          </w:p>
        </w:tc>
        <w:tc>
          <w:tcPr>
            <w:tcW w:w="1842" w:type="dxa"/>
            <w:vAlign w:val="center"/>
          </w:tcPr>
          <w:p w14:paraId="2877BA96" w14:textId="77777777" w:rsidR="000E7CEC" w:rsidRPr="00F75E32" w:rsidRDefault="000E7CEC" w:rsidP="00296730">
            <w:pPr>
              <w:jc w:val="center"/>
              <w:rPr>
                <w:rFonts w:ascii="Tahoma" w:hAnsi="Tahoma" w:cs="Tahoma"/>
                <w:bCs/>
                <w:sz w:val="20"/>
                <w:szCs w:val="16"/>
              </w:rPr>
            </w:pPr>
            <w:r>
              <w:rPr>
                <w:rFonts w:ascii="Tahoma" w:hAnsi="Tahoma"/>
                <w:sz w:val="20"/>
              </w:rPr>
              <w:t>Exercise time</w:t>
            </w:r>
          </w:p>
        </w:tc>
      </w:tr>
      <w:tr w:rsidR="000E7CEC" w:rsidRPr="00F75E32" w14:paraId="11004D73" w14:textId="77777777" w:rsidTr="00296730">
        <w:trPr>
          <w:trHeight w:val="1191"/>
        </w:trPr>
        <w:tc>
          <w:tcPr>
            <w:tcW w:w="425" w:type="dxa"/>
            <w:shd w:val="clear" w:color="auto" w:fill="auto"/>
            <w:vAlign w:val="center"/>
          </w:tcPr>
          <w:p w14:paraId="2213E695" w14:textId="77777777" w:rsidR="000E7CEC" w:rsidRPr="00F75E32" w:rsidRDefault="000E7CEC" w:rsidP="00296730">
            <w:pPr>
              <w:jc w:val="center"/>
              <w:rPr>
                <w:rFonts w:ascii="Tahoma" w:hAnsi="Tahoma" w:cs="Tahoma"/>
                <w:sz w:val="20"/>
                <w:szCs w:val="16"/>
              </w:rPr>
            </w:pPr>
            <w:r>
              <w:rPr>
                <w:rFonts w:ascii="Tahoma" w:hAnsi="Tahoma"/>
                <w:sz w:val="20"/>
              </w:rPr>
              <w:t>1</w:t>
            </w:r>
          </w:p>
        </w:tc>
        <w:tc>
          <w:tcPr>
            <w:tcW w:w="1843" w:type="dxa"/>
            <w:shd w:val="clear" w:color="auto" w:fill="auto"/>
            <w:vAlign w:val="center"/>
          </w:tcPr>
          <w:p w14:paraId="7081B825" w14:textId="77777777" w:rsidR="000E7CEC" w:rsidRPr="00F75E32" w:rsidRDefault="000E7CEC" w:rsidP="00296730">
            <w:pPr>
              <w:rPr>
                <w:rFonts w:ascii="Tahoma" w:hAnsi="Tahoma" w:cs="Tahoma"/>
                <w:sz w:val="20"/>
                <w:szCs w:val="16"/>
              </w:rPr>
            </w:pPr>
            <w:r>
              <w:rPr>
                <w:rFonts w:ascii="Tahoma" w:hAnsi="Tahoma"/>
                <w:sz w:val="20"/>
              </w:rPr>
              <w:t>USD/RUB option</w:t>
            </w:r>
          </w:p>
        </w:tc>
        <w:tc>
          <w:tcPr>
            <w:tcW w:w="1276" w:type="dxa"/>
            <w:shd w:val="clear" w:color="auto" w:fill="auto"/>
            <w:vAlign w:val="center"/>
          </w:tcPr>
          <w:p w14:paraId="3B82515D" w14:textId="77777777" w:rsidR="000E7CEC" w:rsidRPr="00F75E32" w:rsidRDefault="000E7CEC" w:rsidP="00296730">
            <w:pPr>
              <w:jc w:val="center"/>
              <w:rPr>
                <w:rFonts w:ascii="Tahoma" w:hAnsi="Tahoma" w:cs="Tahoma"/>
                <w:sz w:val="20"/>
                <w:szCs w:val="16"/>
              </w:rPr>
            </w:pPr>
            <w:r>
              <w:rPr>
                <w:rFonts w:ascii="Tahoma" w:hAnsi="Tahoma"/>
                <w:sz w:val="20"/>
              </w:rPr>
              <w:t>Si</w:t>
            </w:r>
          </w:p>
        </w:tc>
        <w:tc>
          <w:tcPr>
            <w:tcW w:w="1418" w:type="dxa"/>
            <w:shd w:val="clear" w:color="auto" w:fill="auto"/>
            <w:vAlign w:val="center"/>
          </w:tcPr>
          <w:p w14:paraId="1178223F" w14:textId="77777777" w:rsidR="000E7CEC" w:rsidRPr="00F75E32" w:rsidRDefault="000E7CEC" w:rsidP="00296730">
            <w:pPr>
              <w:tabs>
                <w:tab w:val="num" w:pos="1260"/>
              </w:tabs>
              <w:rPr>
                <w:rFonts w:ascii="Tahoma" w:hAnsi="Tahoma" w:cs="Tahoma"/>
                <w:sz w:val="20"/>
                <w:szCs w:val="16"/>
              </w:rPr>
            </w:pPr>
            <w:r>
              <w:rPr>
                <w:rFonts w:ascii="Tahoma" w:hAnsi="Tahoma"/>
                <w:color w:val="000000"/>
                <w:sz w:val="20"/>
              </w:rPr>
              <w:t>USD to RUB exchange rate</w:t>
            </w:r>
          </w:p>
        </w:tc>
        <w:tc>
          <w:tcPr>
            <w:tcW w:w="1842" w:type="dxa"/>
            <w:shd w:val="clear" w:color="auto" w:fill="auto"/>
            <w:vAlign w:val="center"/>
          </w:tcPr>
          <w:p w14:paraId="48C68CF9" w14:textId="77777777" w:rsidR="000E7CEC" w:rsidRPr="002B69DB" w:rsidRDefault="000E7CEC" w:rsidP="00296730">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041B0E3E" w14:textId="77777777" w:rsidR="000E7CEC" w:rsidRPr="00F75E32" w:rsidRDefault="000E7CEC" w:rsidP="00296730">
            <w:pPr>
              <w:tabs>
                <w:tab w:val="num" w:pos="1260"/>
              </w:tabs>
              <w:jc w:val="center"/>
              <w:rPr>
                <w:rFonts w:ascii="Tahoma" w:hAnsi="Tahoma" w:cs="Tahoma"/>
                <w:sz w:val="20"/>
                <w:szCs w:val="16"/>
              </w:rPr>
            </w:pPr>
            <w:r>
              <w:rPr>
                <w:rFonts w:ascii="Tahoma" w:hAnsi="Tahoma"/>
                <w:sz w:val="20"/>
              </w:rPr>
              <w:t>USD 100</w:t>
            </w:r>
          </w:p>
        </w:tc>
        <w:tc>
          <w:tcPr>
            <w:tcW w:w="1559" w:type="dxa"/>
            <w:shd w:val="clear" w:color="auto" w:fill="auto"/>
            <w:vAlign w:val="center"/>
          </w:tcPr>
          <w:p w14:paraId="1CFE1593"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5A8E72F4" w14:textId="77777777" w:rsidR="000E7CEC" w:rsidRPr="008D1141" w:rsidRDefault="000E7CEC" w:rsidP="00296730">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25DCF094" w14:textId="77777777" w:rsidR="000E7CEC" w:rsidRPr="00F75E32" w:rsidRDefault="000E7CEC" w:rsidP="00296730">
            <w:pPr>
              <w:tabs>
                <w:tab w:val="num" w:pos="1260"/>
              </w:tabs>
              <w:spacing w:before="60"/>
              <w:jc w:val="center"/>
              <w:rPr>
                <w:rFonts w:ascii="Tahoma" w:hAnsi="Tahoma" w:cs="Tahoma"/>
                <w:sz w:val="20"/>
                <w:szCs w:val="16"/>
              </w:rPr>
            </w:pPr>
            <w:r>
              <w:rPr>
                <w:rFonts w:ascii="Tahoma" w:hAnsi="Tahoma"/>
                <w:sz w:val="20"/>
              </w:rPr>
              <w:t>USDFIXME Fixing</w:t>
            </w:r>
          </w:p>
        </w:tc>
        <w:tc>
          <w:tcPr>
            <w:tcW w:w="1842" w:type="dxa"/>
            <w:vAlign w:val="center"/>
          </w:tcPr>
          <w:p w14:paraId="280633DC" w14:textId="62378077" w:rsidR="000E7CEC" w:rsidRPr="00F75E32" w:rsidRDefault="00893A0D" w:rsidP="00296730">
            <w:pPr>
              <w:tabs>
                <w:tab w:val="num" w:pos="1260"/>
              </w:tabs>
              <w:spacing w:before="60"/>
              <w:jc w:val="center"/>
              <w:rPr>
                <w:rFonts w:ascii="Tahoma" w:hAnsi="Tahoma" w:cs="Tahoma"/>
                <w:sz w:val="20"/>
                <w:szCs w:val="16"/>
              </w:rPr>
            </w:pPr>
            <w:r>
              <w:rPr>
                <w:rFonts w:ascii="Tahoma" w:hAnsi="Tahoma"/>
                <w:sz w:val="20"/>
                <w:lang w:val="en-US"/>
              </w:rPr>
              <w:t>D</w:t>
            </w:r>
            <w:r w:rsidR="000E7CEC">
              <w:rPr>
                <w:rFonts w:ascii="Tahoma" w:hAnsi="Tahoma"/>
                <w:sz w:val="20"/>
              </w:rPr>
              <w:t xml:space="preserve">ay clearing session </w:t>
            </w:r>
          </w:p>
        </w:tc>
      </w:tr>
      <w:tr w:rsidR="00893A0D" w:rsidRPr="00F75E32" w14:paraId="6D740E1F" w14:textId="77777777" w:rsidTr="00893A0D">
        <w:trPr>
          <w:trHeight w:val="1191"/>
        </w:trPr>
        <w:tc>
          <w:tcPr>
            <w:tcW w:w="425" w:type="dxa"/>
            <w:shd w:val="clear" w:color="auto" w:fill="auto"/>
            <w:vAlign w:val="center"/>
          </w:tcPr>
          <w:p w14:paraId="53A7F60A" w14:textId="77777777" w:rsidR="00893A0D" w:rsidRPr="00F75E32" w:rsidRDefault="00893A0D" w:rsidP="00893A0D">
            <w:pPr>
              <w:jc w:val="center"/>
              <w:rPr>
                <w:rFonts w:ascii="Tahoma" w:hAnsi="Tahoma" w:cs="Tahoma"/>
                <w:sz w:val="20"/>
                <w:szCs w:val="16"/>
              </w:rPr>
            </w:pPr>
            <w:r>
              <w:rPr>
                <w:rFonts w:ascii="Tahoma" w:hAnsi="Tahoma"/>
                <w:sz w:val="20"/>
              </w:rPr>
              <w:t>2</w:t>
            </w:r>
          </w:p>
        </w:tc>
        <w:tc>
          <w:tcPr>
            <w:tcW w:w="1843" w:type="dxa"/>
            <w:shd w:val="clear" w:color="auto" w:fill="auto"/>
            <w:vAlign w:val="center"/>
          </w:tcPr>
          <w:p w14:paraId="6D96BF7D" w14:textId="77777777" w:rsidR="00893A0D" w:rsidRPr="00F75E32" w:rsidRDefault="00893A0D" w:rsidP="00893A0D">
            <w:pPr>
              <w:rPr>
                <w:rFonts w:ascii="Tahoma" w:hAnsi="Tahoma" w:cs="Tahoma"/>
                <w:sz w:val="20"/>
                <w:szCs w:val="16"/>
              </w:rPr>
            </w:pPr>
            <w:r>
              <w:rPr>
                <w:rFonts w:ascii="Tahoma" w:hAnsi="Tahoma"/>
                <w:sz w:val="20"/>
              </w:rPr>
              <w:t>CNY/RUB option</w:t>
            </w:r>
          </w:p>
        </w:tc>
        <w:tc>
          <w:tcPr>
            <w:tcW w:w="1276" w:type="dxa"/>
            <w:shd w:val="clear" w:color="auto" w:fill="auto"/>
            <w:vAlign w:val="center"/>
          </w:tcPr>
          <w:p w14:paraId="4B3D00CA" w14:textId="77777777" w:rsidR="00893A0D" w:rsidRPr="00F75E32" w:rsidRDefault="00893A0D" w:rsidP="00893A0D">
            <w:pPr>
              <w:jc w:val="center"/>
              <w:rPr>
                <w:rFonts w:ascii="Tahoma" w:hAnsi="Tahoma" w:cs="Tahoma"/>
                <w:sz w:val="20"/>
                <w:szCs w:val="16"/>
              </w:rPr>
            </w:pPr>
            <w:r>
              <w:rPr>
                <w:rFonts w:ascii="Tahoma" w:hAnsi="Tahoma"/>
                <w:sz w:val="20"/>
              </w:rPr>
              <w:t>Eu</w:t>
            </w:r>
          </w:p>
        </w:tc>
        <w:tc>
          <w:tcPr>
            <w:tcW w:w="1418" w:type="dxa"/>
            <w:shd w:val="clear" w:color="auto" w:fill="auto"/>
            <w:vAlign w:val="center"/>
          </w:tcPr>
          <w:p w14:paraId="7E543240"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EUR to RUB exchange rate</w:t>
            </w:r>
          </w:p>
        </w:tc>
        <w:tc>
          <w:tcPr>
            <w:tcW w:w="1842" w:type="dxa"/>
            <w:shd w:val="clear" w:color="auto" w:fill="auto"/>
            <w:vAlign w:val="center"/>
          </w:tcPr>
          <w:p w14:paraId="7F18BE87"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735235DA"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EUR 100</w:t>
            </w:r>
          </w:p>
        </w:tc>
        <w:tc>
          <w:tcPr>
            <w:tcW w:w="1559" w:type="dxa"/>
            <w:shd w:val="clear" w:color="auto" w:fill="auto"/>
            <w:vAlign w:val="center"/>
          </w:tcPr>
          <w:p w14:paraId="33E8F34B"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0ACA4AE8" w14:textId="77777777" w:rsidR="00893A0D" w:rsidRPr="008D1141" w:rsidRDefault="00893A0D" w:rsidP="00893A0D">
            <w:pPr>
              <w:tabs>
                <w:tab w:val="num" w:pos="1260"/>
              </w:tabs>
              <w:spacing w:before="60"/>
              <w:jc w:val="center"/>
              <w:rPr>
                <w:rFonts w:ascii="Tahoma" w:hAnsi="Tahoma" w:cs="Tahoma"/>
                <w:sz w:val="20"/>
                <w:szCs w:val="16"/>
              </w:rPr>
            </w:pPr>
            <w:r>
              <w:rPr>
                <w:rFonts w:ascii="Tahoma" w:hAnsi="Tahoma"/>
                <w:sz w:val="20"/>
              </w:rPr>
              <w:t xml:space="preserve">RUB </w:t>
            </w:r>
            <w:r>
              <w:rPr>
                <w:rFonts w:ascii="Tahoma" w:hAnsi="Tahoma"/>
                <w:sz w:val="20"/>
                <w:lang w:val="ru-RU"/>
              </w:rPr>
              <w:t>0,</w:t>
            </w:r>
            <w:r>
              <w:rPr>
                <w:rFonts w:ascii="Tahoma" w:hAnsi="Tahoma"/>
                <w:sz w:val="20"/>
              </w:rPr>
              <w:t>1</w:t>
            </w:r>
          </w:p>
        </w:tc>
        <w:tc>
          <w:tcPr>
            <w:tcW w:w="2694" w:type="dxa"/>
            <w:shd w:val="clear" w:color="auto" w:fill="auto"/>
            <w:vAlign w:val="center"/>
          </w:tcPr>
          <w:p w14:paraId="0DA864C6" w14:textId="77777777" w:rsidR="00893A0D" w:rsidRPr="00F75E32" w:rsidRDefault="00893A0D" w:rsidP="00893A0D">
            <w:pPr>
              <w:tabs>
                <w:tab w:val="num" w:pos="1260"/>
              </w:tabs>
              <w:spacing w:before="60"/>
              <w:jc w:val="center"/>
              <w:rPr>
                <w:rFonts w:ascii="Tahoma" w:hAnsi="Tahoma" w:cs="Tahoma"/>
                <w:sz w:val="20"/>
                <w:szCs w:val="16"/>
              </w:rPr>
            </w:pPr>
            <w:r>
              <w:rPr>
                <w:rFonts w:ascii="Tahoma" w:hAnsi="Tahoma"/>
                <w:sz w:val="20"/>
              </w:rPr>
              <w:t>EURFIXME Fixing</w:t>
            </w:r>
          </w:p>
        </w:tc>
        <w:tc>
          <w:tcPr>
            <w:tcW w:w="1842" w:type="dxa"/>
            <w:vAlign w:val="center"/>
          </w:tcPr>
          <w:p w14:paraId="102EC624" w14:textId="4890B936" w:rsidR="00893A0D" w:rsidRPr="00F75E32" w:rsidRDefault="00893A0D" w:rsidP="00893A0D">
            <w:pPr>
              <w:tabs>
                <w:tab w:val="num" w:pos="1260"/>
              </w:tabs>
              <w:spacing w:before="60"/>
              <w:jc w:val="center"/>
              <w:rPr>
                <w:rFonts w:ascii="Tahoma" w:hAnsi="Tahoma" w:cs="Tahoma"/>
                <w:sz w:val="20"/>
                <w:szCs w:val="16"/>
              </w:rPr>
            </w:pPr>
            <w:r w:rsidRPr="001F6DFE">
              <w:rPr>
                <w:rFonts w:ascii="Tahoma" w:hAnsi="Tahoma"/>
                <w:sz w:val="20"/>
                <w:lang w:val="en-US"/>
              </w:rPr>
              <w:t>D</w:t>
            </w:r>
            <w:r w:rsidRPr="001F6DFE">
              <w:rPr>
                <w:rFonts w:ascii="Tahoma" w:hAnsi="Tahoma"/>
                <w:sz w:val="20"/>
              </w:rPr>
              <w:t xml:space="preserve">ay clearing session </w:t>
            </w:r>
          </w:p>
        </w:tc>
      </w:tr>
      <w:tr w:rsidR="00893A0D" w:rsidRPr="00F75E32" w14:paraId="6EF72554" w14:textId="77777777" w:rsidTr="00893A0D">
        <w:trPr>
          <w:trHeight w:val="1191"/>
        </w:trPr>
        <w:tc>
          <w:tcPr>
            <w:tcW w:w="425" w:type="dxa"/>
            <w:shd w:val="clear" w:color="auto" w:fill="auto"/>
            <w:vAlign w:val="center"/>
          </w:tcPr>
          <w:p w14:paraId="184E9A33" w14:textId="77777777" w:rsidR="00893A0D" w:rsidRPr="00F75E32" w:rsidRDefault="00893A0D" w:rsidP="00893A0D">
            <w:pPr>
              <w:jc w:val="center"/>
              <w:rPr>
                <w:rFonts w:ascii="Tahoma" w:hAnsi="Tahoma" w:cs="Tahoma"/>
                <w:sz w:val="20"/>
                <w:szCs w:val="16"/>
              </w:rPr>
            </w:pPr>
            <w:r>
              <w:rPr>
                <w:rFonts w:ascii="Tahoma" w:hAnsi="Tahoma"/>
                <w:sz w:val="20"/>
              </w:rPr>
              <w:t>3</w:t>
            </w:r>
          </w:p>
        </w:tc>
        <w:tc>
          <w:tcPr>
            <w:tcW w:w="1843" w:type="dxa"/>
            <w:shd w:val="clear" w:color="auto" w:fill="auto"/>
            <w:vAlign w:val="center"/>
          </w:tcPr>
          <w:p w14:paraId="1A7E4F67" w14:textId="77777777" w:rsidR="00893A0D" w:rsidRPr="00F75E32" w:rsidRDefault="00893A0D" w:rsidP="00893A0D">
            <w:pPr>
              <w:rPr>
                <w:rFonts w:ascii="Tahoma" w:hAnsi="Tahoma" w:cs="Tahoma"/>
                <w:sz w:val="20"/>
                <w:szCs w:val="16"/>
              </w:rPr>
            </w:pPr>
            <w:r>
              <w:rPr>
                <w:rFonts w:ascii="Tahoma" w:hAnsi="Tahoma"/>
                <w:sz w:val="20"/>
              </w:rPr>
              <w:t>EUR/RUB option</w:t>
            </w:r>
          </w:p>
        </w:tc>
        <w:tc>
          <w:tcPr>
            <w:tcW w:w="1276" w:type="dxa"/>
            <w:shd w:val="clear" w:color="auto" w:fill="auto"/>
            <w:vAlign w:val="center"/>
          </w:tcPr>
          <w:p w14:paraId="7AB8D0B8" w14:textId="77777777" w:rsidR="00893A0D" w:rsidRPr="00F75E32" w:rsidRDefault="00893A0D" w:rsidP="00893A0D">
            <w:pPr>
              <w:jc w:val="center"/>
              <w:rPr>
                <w:rFonts w:ascii="Tahoma" w:hAnsi="Tahoma" w:cs="Tahoma"/>
                <w:sz w:val="20"/>
                <w:szCs w:val="16"/>
              </w:rPr>
            </w:pPr>
            <w:r>
              <w:rPr>
                <w:rFonts w:ascii="Tahoma" w:hAnsi="Tahoma"/>
                <w:sz w:val="20"/>
              </w:rPr>
              <w:t>CNY</w:t>
            </w:r>
          </w:p>
        </w:tc>
        <w:tc>
          <w:tcPr>
            <w:tcW w:w="1418" w:type="dxa"/>
            <w:shd w:val="clear" w:color="auto" w:fill="auto"/>
            <w:vAlign w:val="center"/>
          </w:tcPr>
          <w:p w14:paraId="1F2C2CCA" w14:textId="77777777" w:rsidR="00893A0D" w:rsidRPr="00F75E32" w:rsidRDefault="00893A0D" w:rsidP="00893A0D">
            <w:pPr>
              <w:tabs>
                <w:tab w:val="num" w:pos="1260"/>
              </w:tabs>
              <w:rPr>
                <w:rFonts w:ascii="Tahoma" w:hAnsi="Tahoma" w:cs="Tahoma"/>
                <w:color w:val="000000"/>
                <w:sz w:val="20"/>
                <w:szCs w:val="16"/>
              </w:rPr>
            </w:pPr>
            <w:r>
              <w:rPr>
                <w:rFonts w:ascii="Tahoma" w:hAnsi="Tahoma"/>
                <w:color w:val="000000"/>
                <w:sz w:val="20"/>
              </w:rPr>
              <w:t>CNY to RUB exchange rate</w:t>
            </w:r>
          </w:p>
        </w:tc>
        <w:tc>
          <w:tcPr>
            <w:tcW w:w="1842" w:type="dxa"/>
            <w:shd w:val="clear" w:color="auto" w:fill="auto"/>
            <w:vAlign w:val="center"/>
          </w:tcPr>
          <w:p w14:paraId="7CBF044A" w14:textId="77777777" w:rsidR="00893A0D" w:rsidRPr="00B75521" w:rsidRDefault="00893A0D" w:rsidP="00893A0D">
            <w:pPr>
              <w:tabs>
                <w:tab w:val="num" w:pos="1260"/>
              </w:tabs>
              <w:jc w:val="center"/>
              <w:rPr>
                <w:rFonts w:ascii="Tahoma" w:hAnsi="Tahoma" w:cs="Tahoma"/>
                <w:sz w:val="20"/>
                <w:szCs w:val="16"/>
              </w:rPr>
            </w:pPr>
            <w:r>
              <w:rPr>
                <w:rFonts w:ascii="Tahoma" w:hAnsi="Tahoma"/>
                <w:sz w:val="20"/>
              </w:rPr>
              <w:t>1</w:t>
            </w:r>
          </w:p>
        </w:tc>
        <w:tc>
          <w:tcPr>
            <w:tcW w:w="1276" w:type="dxa"/>
            <w:shd w:val="clear" w:color="auto" w:fill="auto"/>
            <w:vAlign w:val="center"/>
          </w:tcPr>
          <w:p w14:paraId="471492F4" w14:textId="77777777" w:rsidR="00893A0D" w:rsidRPr="00F75E32" w:rsidRDefault="00893A0D" w:rsidP="00893A0D">
            <w:pPr>
              <w:tabs>
                <w:tab w:val="num" w:pos="1260"/>
              </w:tabs>
              <w:jc w:val="center"/>
              <w:rPr>
                <w:rFonts w:ascii="Tahoma" w:hAnsi="Tahoma" w:cs="Tahoma"/>
                <w:sz w:val="20"/>
                <w:szCs w:val="16"/>
              </w:rPr>
            </w:pPr>
            <w:r>
              <w:rPr>
                <w:rFonts w:ascii="Tahoma" w:hAnsi="Tahoma"/>
                <w:sz w:val="20"/>
              </w:rPr>
              <w:t>CNY 100</w:t>
            </w:r>
          </w:p>
        </w:tc>
        <w:tc>
          <w:tcPr>
            <w:tcW w:w="1559" w:type="dxa"/>
            <w:shd w:val="clear" w:color="auto" w:fill="auto"/>
            <w:vAlign w:val="center"/>
          </w:tcPr>
          <w:p w14:paraId="7B566F15"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 0.001</w:t>
            </w:r>
          </w:p>
        </w:tc>
        <w:tc>
          <w:tcPr>
            <w:tcW w:w="1701" w:type="dxa"/>
            <w:shd w:val="clear" w:color="auto" w:fill="auto"/>
            <w:vAlign w:val="center"/>
          </w:tcPr>
          <w:p w14:paraId="3DF06DAB" w14:textId="77777777" w:rsidR="00893A0D" w:rsidRPr="008D1141" w:rsidRDefault="00893A0D" w:rsidP="00893A0D">
            <w:pPr>
              <w:tabs>
                <w:tab w:val="num" w:pos="1260"/>
              </w:tabs>
              <w:jc w:val="center"/>
              <w:rPr>
                <w:rFonts w:ascii="Tahoma" w:hAnsi="Tahoma" w:cs="Tahoma"/>
                <w:sz w:val="20"/>
                <w:szCs w:val="16"/>
              </w:rPr>
            </w:pPr>
            <w:r>
              <w:rPr>
                <w:rFonts w:ascii="Tahoma" w:hAnsi="Tahoma"/>
                <w:sz w:val="20"/>
              </w:rPr>
              <w:t>RUB</w:t>
            </w:r>
            <w:r>
              <w:rPr>
                <w:rFonts w:ascii="Tahoma" w:hAnsi="Tahoma"/>
                <w:sz w:val="20"/>
                <w:lang w:val="ru-RU"/>
              </w:rPr>
              <w:t xml:space="preserve"> 0,</w:t>
            </w:r>
            <w:r>
              <w:rPr>
                <w:rFonts w:ascii="Tahoma" w:hAnsi="Tahoma"/>
                <w:sz w:val="20"/>
              </w:rPr>
              <w:t>1</w:t>
            </w:r>
          </w:p>
        </w:tc>
        <w:tc>
          <w:tcPr>
            <w:tcW w:w="2694" w:type="dxa"/>
            <w:shd w:val="clear" w:color="auto" w:fill="auto"/>
            <w:vAlign w:val="center"/>
          </w:tcPr>
          <w:p w14:paraId="4BAC0878" w14:textId="77777777" w:rsidR="00893A0D" w:rsidRPr="009C43DA" w:rsidRDefault="00893A0D" w:rsidP="00893A0D">
            <w:pPr>
              <w:tabs>
                <w:tab w:val="num" w:pos="1260"/>
              </w:tabs>
              <w:jc w:val="center"/>
              <w:rPr>
                <w:rFonts w:ascii="Tahoma" w:hAnsi="Tahoma" w:cs="Tahoma"/>
                <w:sz w:val="20"/>
                <w:szCs w:val="16"/>
              </w:rPr>
            </w:pPr>
            <w:r>
              <w:rPr>
                <w:rFonts w:ascii="Tahoma" w:hAnsi="Tahoma"/>
                <w:sz w:val="20"/>
              </w:rPr>
              <w:t>CNYFIXME Fixing</w:t>
            </w:r>
          </w:p>
        </w:tc>
        <w:tc>
          <w:tcPr>
            <w:tcW w:w="1842" w:type="dxa"/>
            <w:vAlign w:val="center"/>
          </w:tcPr>
          <w:p w14:paraId="21CDCB26" w14:textId="681A9823" w:rsidR="00893A0D" w:rsidRPr="00F75E32" w:rsidRDefault="00893A0D" w:rsidP="00893A0D">
            <w:pPr>
              <w:tabs>
                <w:tab w:val="num" w:pos="1260"/>
              </w:tabs>
              <w:jc w:val="center"/>
              <w:rPr>
                <w:rFonts w:ascii="Tahoma" w:hAnsi="Tahoma" w:cs="Tahoma"/>
                <w:sz w:val="20"/>
                <w:szCs w:val="16"/>
              </w:rPr>
            </w:pPr>
            <w:r w:rsidRPr="001F6DFE">
              <w:rPr>
                <w:rFonts w:ascii="Tahoma" w:hAnsi="Tahoma"/>
                <w:sz w:val="20"/>
                <w:lang w:val="en-US"/>
              </w:rPr>
              <w:t>D</w:t>
            </w:r>
            <w:r w:rsidRPr="001F6DFE">
              <w:rPr>
                <w:rFonts w:ascii="Tahoma" w:hAnsi="Tahoma"/>
                <w:sz w:val="20"/>
              </w:rPr>
              <w:t xml:space="preserve">ay clearing session </w:t>
            </w:r>
          </w:p>
        </w:tc>
      </w:tr>
    </w:tbl>
    <w:p w14:paraId="1A5FEE05" w14:textId="77777777" w:rsidR="000E7CEC" w:rsidRDefault="000E7CEC" w:rsidP="000E7CEC">
      <w:pPr>
        <w:jc w:val="both"/>
        <w:rPr>
          <w:rFonts w:ascii="Tahoma" w:hAnsi="Tahoma" w:cs="Tahoma"/>
        </w:rPr>
      </w:pPr>
    </w:p>
    <w:p w14:paraId="4586CB01" w14:textId="77777777" w:rsidR="000E7CEC" w:rsidRPr="0016178B" w:rsidRDefault="000E7CEC" w:rsidP="000E7CEC">
      <w:pPr>
        <w:pStyle w:val="1"/>
        <w:numPr>
          <w:ilvl w:val="0"/>
          <w:numId w:val="0"/>
        </w:numPr>
        <w:tabs>
          <w:tab w:val="clear" w:pos="900"/>
        </w:tabs>
        <w:ind w:left="896" w:hanging="539"/>
        <w:rPr>
          <w:rFonts w:ascii="Tahoma" w:hAnsi="Tahoma" w:cs="Tahoma"/>
        </w:rPr>
      </w:pPr>
    </w:p>
    <w:sectPr w:rsidR="000E7CEC" w:rsidRPr="0016178B" w:rsidSect="000E7CE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8134" w14:textId="77777777" w:rsidR="00F52592" w:rsidRDefault="00F52592">
      <w:pPr>
        <w:spacing w:after="0" w:line="240" w:lineRule="auto"/>
      </w:pPr>
      <w:r>
        <w:separator/>
      </w:r>
    </w:p>
  </w:endnote>
  <w:endnote w:type="continuationSeparator" w:id="0">
    <w:p w14:paraId="5CBBE126" w14:textId="77777777" w:rsidR="00F52592" w:rsidRDefault="00F5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0DA5" w14:textId="77777777" w:rsidR="00F52592" w:rsidRDefault="00F52592">
      <w:pPr>
        <w:spacing w:after="0" w:line="240" w:lineRule="auto"/>
      </w:pPr>
      <w:r>
        <w:separator/>
      </w:r>
    </w:p>
  </w:footnote>
  <w:footnote w:type="continuationSeparator" w:id="0">
    <w:p w14:paraId="7D49F87D" w14:textId="77777777" w:rsidR="00F52592" w:rsidRDefault="00F5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896" w14:textId="329F96AD" w:rsidR="0035076F" w:rsidRPr="0035076F" w:rsidRDefault="001C04D6" w:rsidP="005429F1">
    <w:pPr>
      <w:pStyle w:val="a7"/>
      <w:pBdr>
        <w:bottom w:val="single" w:sz="4" w:space="10" w:color="auto"/>
      </w:pBdr>
      <w:rPr>
        <w:b/>
        <w:bCs/>
        <w:color w:val="000000" w:themeColor="text1"/>
      </w:rPr>
    </w:pPr>
    <w:r>
      <w:rPr>
        <w:b/>
        <w:color w:val="000000" w:themeColor="text1"/>
      </w:rPr>
      <w:t xml:space="preserve">Specification of premium options on foreign currency exchange rates to the Russian rouble </w:t>
    </w:r>
  </w:p>
  <w:p w14:paraId="4387DA93" w14:textId="77777777" w:rsidR="0035076F" w:rsidRDefault="00FF05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0D290C"/>
    <w:rsid w:val="000E7CEC"/>
    <w:rsid w:val="00106E5F"/>
    <w:rsid w:val="00160BDA"/>
    <w:rsid w:val="0016178B"/>
    <w:rsid w:val="001B19E3"/>
    <w:rsid w:val="001C04D6"/>
    <w:rsid w:val="001F54E5"/>
    <w:rsid w:val="002113CC"/>
    <w:rsid w:val="0024398A"/>
    <w:rsid w:val="002A0FA5"/>
    <w:rsid w:val="002D5F24"/>
    <w:rsid w:val="003255E1"/>
    <w:rsid w:val="00347B6A"/>
    <w:rsid w:val="003955BC"/>
    <w:rsid w:val="003A5C03"/>
    <w:rsid w:val="003E1DA4"/>
    <w:rsid w:val="003F3236"/>
    <w:rsid w:val="0041621A"/>
    <w:rsid w:val="00462A7E"/>
    <w:rsid w:val="004637B4"/>
    <w:rsid w:val="00481913"/>
    <w:rsid w:val="0049158E"/>
    <w:rsid w:val="005104AD"/>
    <w:rsid w:val="005223B6"/>
    <w:rsid w:val="005424D3"/>
    <w:rsid w:val="005429F1"/>
    <w:rsid w:val="00592EF8"/>
    <w:rsid w:val="005C74F7"/>
    <w:rsid w:val="00656580"/>
    <w:rsid w:val="00657E93"/>
    <w:rsid w:val="00660755"/>
    <w:rsid w:val="00677C3B"/>
    <w:rsid w:val="00677C3F"/>
    <w:rsid w:val="006E0FF8"/>
    <w:rsid w:val="00715457"/>
    <w:rsid w:val="007257E6"/>
    <w:rsid w:val="00734899"/>
    <w:rsid w:val="00750B65"/>
    <w:rsid w:val="00764978"/>
    <w:rsid w:val="007739AD"/>
    <w:rsid w:val="00776B60"/>
    <w:rsid w:val="007A4DEF"/>
    <w:rsid w:val="007B2754"/>
    <w:rsid w:val="007C59F9"/>
    <w:rsid w:val="007F6EA9"/>
    <w:rsid w:val="00806828"/>
    <w:rsid w:val="00811EFB"/>
    <w:rsid w:val="0086789D"/>
    <w:rsid w:val="00893A0D"/>
    <w:rsid w:val="00913E17"/>
    <w:rsid w:val="0094551D"/>
    <w:rsid w:val="009D3488"/>
    <w:rsid w:val="00A11F94"/>
    <w:rsid w:val="00A34B6A"/>
    <w:rsid w:val="00A34DCC"/>
    <w:rsid w:val="00AA6C20"/>
    <w:rsid w:val="00AC62DF"/>
    <w:rsid w:val="00B257D3"/>
    <w:rsid w:val="00BA25C8"/>
    <w:rsid w:val="00BC5F00"/>
    <w:rsid w:val="00BF1E82"/>
    <w:rsid w:val="00C267C6"/>
    <w:rsid w:val="00C61AA4"/>
    <w:rsid w:val="00C775AB"/>
    <w:rsid w:val="00C97014"/>
    <w:rsid w:val="00CC300C"/>
    <w:rsid w:val="00CF1AC2"/>
    <w:rsid w:val="00D71A11"/>
    <w:rsid w:val="00D91E9C"/>
    <w:rsid w:val="00D931D0"/>
    <w:rsid w:val="00DC299E"/>
    <w:rsid w:val="00DE5778"/>
    <w:rsid w:val="00E1130C"/>
    <w:rsid w:val="00E24E90"/>
    <w:rsid w:val="00E414B5"/>
    <w:rsid w:val="00E528AD"/>
    <w:rsid w:val="00E53BBE"/>
    <w:rsid w:val="00F0680D"/>
    <w:rsid w:val="00F30A3B"/>
    <w:rsid w:val="00F52592"/>
    <w:rsid w:val="00F535F7"/>
    <w:rsid w:val="00F55926"/>
    <w:rsid w:val="00FD27C8"/>
    <w:rsid w:val="00FF0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 w:type="paragraph" w:styleId="af8">
    <w:name w:val="endnote text"/>
    <w:basedOn w:val="a3"/>
    <w:link w:val="af9"/>
    <w:uiPriority w:val="99"/>
    <w:semiHidden/>
    <w:unhideWhenUsed/>
    <w:rsid w:val="000E7CE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4"/>
    <w:link w:val="af8"/>
    <w:uiPriority w:val="99"/>
    <w:semiHidden/>
    <w:rsid w:val="000E7CEC"/>
    <w:rPr>
      <w:rFonts w:ascii="Times New Roman" w:eastAsia="Times New Roman" w:hAnsi="Times New Roman" w:cs="Times New Roman"/>
      <w:sz w:val="20"/>
      <w:szCs w:val="20"/>
      <w:lang w:eastAsia="ru-RU"/>
    </w:rPr>
  </w:style>
  <w:style w:type="character" w:styleId="afa">
    <w:name w:val="endnote reference"/>
    <w:basedOn w:val="a4"/>
    <w:uiPriority w:val="99"/>
    <w:semiHidden/>
    <w:unhideWhenUsed/>
    <w:rsid w:val="000E7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1697</Words>
  <Characters>9674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3</cp:revision>
  <dcterms:created xsi:type="dcterms:W3CDTF">2023-09-26T08:22:00Z</dcterms:created>
  <dcterms:modified xsi:type="dcterms:W3CDTF">2023-09-26T08:23:00Z</dcterms:modified>
</cp:coreProperties>
</file>