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FE93" w14:textId="77777777" w:rsidR="00486389" w:rsidRPr="00117BFE" w:rsidRDefault="00486389" w:rsidP="00486389">
      <w:pPr>
        <w:rPr>
          <w:rFonts w:cs="Tahoma"/>
          <w:sz w:val="22"/>
          <w:szCs w:val="22"/>
        </w:rPr>
      </w:pPr>
    </w:p>
    <w:p w14:paraId="31DA577F" w14:textId="77777777" w:rsidR="00486389" w:rsidRPr="00117BFE" w:rsidRDefault="00486389" w:rsidP="00486389">
      <w:pPr>
        <w:autoSpaceDE w:val="0"/>
        <w:autoSpaceDN w:val="0"/>
        <w:adjustRightInd w:val="0"/>
        <w:spacing w:after="120"/>
        <w:ind w:left="5245"/>
        <w:rPr>
          <w:rFonts w:cs="Tahoma"/>
          <w:color w:val="000000"/>
          <w:sz w:val="22"/>
          <w:szCs w:val="22"/>
        </w:rPr>
      </w:pPr>
      <w:r>
        <w:rPr>
          <w:b/>
          <w:color w:val="000000"/>
          <w:sz w:val="22"/>
        </w:rPr>
        <w:t xml:space="preserve">APPROVED </w:t>
      </w:r>
    </w:p>
    <w:p w14:paraId="205B73FD" w14:textId="77777777" w:rsidR="00486389" w:rsidRPr="00117BFE" w:rsidRDefault="00486389" w:rsidP="00486389">
      <w:pPr>
        <w:autoSpaceDE w:val="0"/>
        <w:autoSpaceDN w:val="0"/>
        <w:adjustRightInd w:val="0"/>
        <w:ind w:left="5245"/>
        <w:rPr>
          <w:rFonts w:cs="Tahoma"/>
          <w:color w:val="000000"/>
          <w:sz w:val="22"/>
          <w:szCs w:val="22"/>
        </w:rPr>
      </w:pPr>
      <w:r>
        <w:rPr>
          <w:color w:val="000000"/>
          <w:sz w:val="22"/>
        </w:rPr>
        <w:t xml:space="preserve">By the Moscow Exchange Executive Board </w:t>
      </w:r>
    </w:p>
    <w:p w14:paraId="6F7D6402" w14:textId="3DFC7A41" w:rsidR="00486389" w:rsidRPr="00FE3B3E" w:rsidRDefault="00A9084D" w:rsidP="00486389">
      <w:pPr>
        <w:autoSpaceDE w:val="0"/>
        <w:autoSpaceDN w:val="0"/>
        <w:adjustRightInd w:val="0"/>
        <w:spacing w:after="120"/>
        <w:ind w:left="5245"/>
        <w:rPr>
          <w:color w:val="000000"/>
          <w:sz w:val="22"/>
        </w:rPr>
      </w:pPr>
      <w:r w:rsidRPr="00FE3B3E">
        <w:rPr>
          <w:color w:val="000000"/>
          <w:sz w:val="22"/>
        </w:rPr>
        <w:t>8</w:t>
      </w:r>
      <w:r w:rsidR="00B92153" w:rsidRPr="00FE3B3E">
        <w:rPr>
          <w:color w:val="000000"/>
          <w:sz w:val="22"/>
        </w:rPr>
        <w:t xml:space="preserve"> </w:t>
      </w:r>
      <w:r w:rsidRPr="00FE3B3E">
        <w:rPr>
          <w:color w:val="000000"/>
          <w:sz w:val="22"/>
        </w:rPr>
        <w:t xml:space="preserve">August </w:t>
      </w:r>
      <w:r w:rsidR="00B92153" w:rsidRPr="00FE3B3E">
        <w:rPr>
          <w:color w:val="000000"/>
          <w:sz w:val="22"/>
        </w:rPr>
        <w:t>202</w:t>
      </w:r>
      <w:r w:rsidRPr="00FE3B3E">
        <w:rPr>
          <w:color w:val="000000"/>
          <w:sz w:val="22"/>
        </w:rPr>
        <w:t>5</w:t>
      </w:r>
      <w:r w:rsidR="00B92153" w:rsidRPr="00FE3B3E">
        <w:rPr>
          <w:color w:val="000000"/>
          <w:sz w:val="22"/>
        </w:rPr>
        <w:t xml:space="preserve">, Minutes No. </w:t>
      </w:r>
      <w:r w:rsidRPr="00FE3B3E">
        <w:rPr>
          <w:color w:val="000000"/>
          <w:sz w:val="22"/>
        </w:rPr>
        <w:t>61</w:t>
      </w:r>
      <w:r w:rsidR="00B92153" w:rsidRPr="00FE3B3E">
        <w:rPr>
          <w:color w:val="000000"/>
          <w:sz w:val="22"/>
        </w:rPr>
        <w:t xml:space="preserve">  </w:t>
      </w:r>
    </w:p>
    <w:p w14:paraId="21C19A54" w14:textId="77777777" w:rsidR="00486389" w:rsidRPr="00117BFE" w:rsidRDefault="00486389" w:rsidP="00486389">
      <w:pPr>
        <w:rPr>
          <w:rFonts w:cs="Tahoma"/>
          <w:sz w:val="22"/>
          <w:szCs w:val="22"/>
        </w:rPr>
      </w:pPr>
    </w:p>
    <w:p w14:paraId="4C9495EB" w14:textId="5A8CB542" w:rsidR="00E212F7" w:rsidRDefault="00E212F7" w:rsidP="00902485">
      <w:pPr>
        <w:rPr>
          <w:rFonts w:cs="Tahoma"/>
          <w:szCs w:val="20"/>
        </w:rPr>
      </w:pP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bookmarkStart w:id="0" w:name="_GoBack"/>
      <w:bookmarkEnd w:id="0"/>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5419A2CB" w:rsidR="00E212F7" w:rsidRPr="00E67248" w:rsidRDefault="00E212F7" w:rsidP="00E212F7">
      <w:pPr>
        <w:jc w:val="center"/>
        <w:rPr>
          <w:rFonts w:cs="Tahoma"/>
          <w:b/>
          <w:sz w:val="28"/>
          <w:szCs w:val="28"/>
        </w:rPr>
      </w:pPr>
      <w:r>
        <w:rPr>
          <w:b/>
          <w:sz w:val="28"/>
        </w:rPr>
        <w:t>Calculation Methodology for Shariah Investment Indices</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535812E2" w14:textId="2D57256E" w:rsidR="00596498" w:rsidRPr="00A9084D" w:rsidRDefault="00902485" w:rsidP="008E3002">
      <w:pPr>
        <w:jc w:val="center"/>
        <w:rPr>
          <w:rFonts w:ascii="Times New Roman" w:hAnsi="Times New Roman"/>
          <w:b/>
          <w:sz w:val="24"/>
          <w:lang w:val="ru-RU"/>
        </w:rPr>
        <w:sectPr w:rsidR="00596498" w:rsidRPr="00A9084D" w:rsidSect="00466FC1">
          <w:footerReference w:type="even" r:id="rId8"/>
          <w:footerReference w:type="default" r:id="rId9"/>
          <w:pgSz w:w="11906" w:h="16838"/>
          <w:pgMar w:top="1077" w:right="1134" w:bottom="1077" w:left="1418" w:header="709" w:footer="709" w:gutter="0"/>
          <w:cols w:space="708"/>
          <w:titlePg/>
          <w:docGrid w:linePitch="360"/>
        </w:sectPr>
      </w:pPr>
      <w:r>
        <w:rPr>
          <w:b/>
          <w:sz w:val="24"/>
        </w:rPr>
        <w:t>Moscow 202</w:t>
      </w:r>
      <w:r w:rsidR="00A9084D">
        <w:rPr>
          <w:b/>
          <w:sz w:val="24"/>
          <w:lang w:val="ru-RU"/>
        </w:rPr>
        <w:t>5</w:t>
      </w:r>
    </w:p>
    <w:p w14:paraId="74D93EA4" w14:textId="77777777" w:rsidR="00DF65DB" w:rsidRPr="00047157" w:rsidRDefault="00047157" w:rsidP="00047157">
      <w:pPr>
        <w:spacing w:after="240"/>
        <w:jc w:val="center"/>
        <w:rPr>
          <w:b/>
        </w:rPr>
      </w:pPr>
      <w:r>
        <w:rPr>
          <w:b/>
        </w:rPr>
        <w:lastRenderedPageBreak/>
        <w:t>CONTENTS</w:t>
      </w:r>
    </w:p>
    <w:p w14:paraId="5D8AE2D0" w14:textId="09ACD4F2" w:rsidR="00296EBF"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75850100" w:history="1">
        <w:r w:rsidR="00296EBF" w:rsidRPr="007E79A6">
          <w:rPr>
            <w:rStyle w:val="a8"/>
            <w:rFonts w:cs="Tahoma"/>
            <w:noProof/>
          </w:rPr>
          <w:t>1.</w:t>
        </w:r>
        <w:r w:rsidR="00296EBF">
          <w:rPr>
            <w:rFonts w:asciiTheme="minorHAnsi" w:eastAsiaTheme="minorEastAsia" w:hAnsiTheme="minorHAnsi" w:cstheme="minorBidi"/>
            <w:b w:val="0"/>
            <w:bCs w:val="0"/>
            <w:caps w:val="0"/>
            <w:noProof/>
            <w:sz w:val="22"/>
            <w:szCs w:val="22"/>
            <w:lang w:val="ru-RU"/>
          </w:rPr>
          <w:tab/>
        </w:r>
        <w:r w:rsidR="00296EBF" w:rsidRPr="007E79A6">
          <w:rPr>
            <w:rStyle w:val="a8"/>
            <w:noProof/>
          </w:rPr>
          <w:t>Introduction</w:t>
        </w:r>
        <w:r w:rsidR="00296EBF">
          <w:rPr>
            <w:noProof/>
            <w:webHidden/>
          </w:rPr>
          <w:tab/>
        </w:r>
        <w:r w:rsidR="00296EBF">
          <w:rPr>
            <w:noProof/>
            <w:webHidden/>
          </w:rPr>
          <w:fldChar w:fldCharType="begin"/>
        </w:r>
        <w:r w:rsidR="00296EBF">
          <w:rPr>
            <w:noProof/>
            <w:webHidden/>
          </w:rPr>
          <w:instrText xml:space="preserve"> PAGEREF _Toc175850100 \h </w:instrText>
        </w:r>
        <w:r w:rsidR="00296EBF">
          <w:rPr>
            <w:noProof/>
            <w:webHidden/>
          </w:rPr>
        </w:r>
        <w:r w:rsidR="00296EBF">
          <w:rPr>
            <w:noProof/>
            <w:webHidden/>
          </w:rPr>
          <w:fldChar w:fldCharType="separate"/>
        </w:r>
        <w:r w:rsidR="00296EBF">
          <w:rPr>
            <w:noProof/>
            <w:webHidden/>
          </w:rPr>
          <w:t>3</w:t>
        </w:r>
        <w:r w:rsidR="00296EBF">
          <w:rPr>
            <w:noProof/>
            <w:webHidden/>
          </w:rPr>
          <w:fldChar w:fldCharType="end"/>
        </w:r>
      </w:hyperlink>
    </w:p>
    <w:p w14:paraId="342C3DF9" w14:textId="03563C82" w:rsidR="00296EBF" w:rsidRDefault="00FE3B3E">
      <w:pPr>
        <w:pStyle w:val="23"/>
        <w:rPr>
          <w:rFonts w:asciiTheme="minorHAnsi" w:eastAsiaTheme="minorEastAsia" w:hAnsiTheme="minorHAnsi" w:cstheme="minorBidi"/>
          <w:noProof/>
          <w:sz w:val="22"/>
          <w:szCs w:val="22"/>
          <w:lang w:val="ru-RU"/>
        </w:rPr>
      </w:pPr>
      <w:hyperlink w:anchor="_Toc175850101" w:history="1">
        <w:r w:rsidR="00296EBF" w:rsidRPr="007E79A6">
          <w:rPr>
            <w:rStyle w:val="a8"/>
            <w:noProof/>
          </w:rPr>
          <w:t>1.1.</w:t>
        </w:r>
        <w:r w:rsidR="00296EBF">
          <w:rPr>
            <w:rFonts w:asciiTheme="minorHAnsi" w:eastAsiaTheme="minorEastAsia" w:hAnsiTheme="minorHAnsi" w:cstheme="minorBidi"/>
            <w:noProof/>
            <w:sz w:val="22"/>
            <w:szCs w:val="22"/>
            <w:lang w:val="ru-RU"/>
          </w:rPr>
          <w:tab/>
        </w:r>
        <w:r w:rsidR="00296EBF" w:rsidRPr="007E79A6">
          <w:rPr>
            <w:rStyle w:val="a8"/>
            <w:noProof/>
          </w:rPr>
          <w:t>Terms and definitions</w:t>
        </w:r>
        <w:r w:rsidR="00296EBF">
          <w:rPr>
            <w:noProof/>
            <w:webHidden/>
          </w:rPr>
          <w:tab/>
        </w:r>
        <w:r w:rsidR="00296EBF">
          <w:rPr>
            <w:noProof/>
            <w:webHidden/>
          </w:rPr>
          <w:fldChar w:fldCharType="begin"/>
        </w:r>
        <w:r w:rsidR="00296EBF">
          <w:rPr>
            <w:noProof/>
            <w:webHidden/>
          </w:rPr>
          <w:instrText xml:space="preserve"> PAGEREF _Toc175850101 \h </w:instrText>
        </w:r>
        <w:r w:rsidR="00296EBF">
          <w:rPr>
            <w:noProof/>
            <w:webHidden/>
          </w:rPr>
        </w:r>
        <w:r w:rsidR="00296EBF">
          <w:rPr>
            <w:noProof/>
            <w:webHidden/>
          </w:rPr>
          <w:fldChar w:fldCharType="separate"/>
        </w:r>
        <w:r w:rsidR="00296EBF">
          <w:rPr>
            <w:noProof/>
            <w:webHidden/>
          </w:rPr>
          <w:t>3</w:t>
        </w:r>
        <w:r w:rsidR="00296EBF">
          <w:rPr>
            <w:noProof/>
            <w:webHidden/>
          </w:rPr>
          <w:fldChar w:fldCharType="end"/>
        </w:r>
      </w:hyperlink>
    </w:p>
    <w:p w14:paraId="20524F54" w14:textId="2F0DF4FF" w:rsidR="00296EBF" w:rsidRDefault="00FE3B3E">
      <w:pPr>
        <w:pStyle w:val="23"/>
        <w:rPr>
          <w:rFonts w:asciiTheme="minorHAnsi" w:eastAsiaTheme="minorEastAsia" w:hAnsiTheme="minorHAnsi" w:cstheme="minorBidi"/>
          <w:noProof/>
          <w:sz w:val="22"/>
          <w:szCs w:val="22"/>
          <w:lang w:val="ru-RU"/>
        </w:rPr>
      </w:pPr>
      <w:hyperlink w:anchor="_Toc175850102" w:history="1">
        <w:r w:rsidR="00296EBF" w:rsidRPr="007E79A6">
          <w:rPr>
            <w:rStyle w:val="a8"/>
            <w:rFonts w:cs="Tahoma"/>
            <w:noProof/>
          </w:rPr>
          <w:t>1.2.</w:t>
        </w:r>
        <w:r w:rsidR="00296EBF">
          <w:rPr>
            <w:rFonts w:asciiTheme="minorHAnsi" w:eastAsiaTheme="minorEastAsia" w:hAnsiTheme="minorHAnsi" w:cstheme="minorBidi"/>
            <w:noProof/>
            <w:sz w:val="22"/>
            <w:szCs w:val="22"/>
            <w:lang w:val="ru-RU"/>
          </w:rPr>
          <w:tab/>
        </w:r>
        <w:r w:rsidR="00296EBF" w:rsidRPr="007E79A6">
          <w:rPr>
            <w:rStyle w:val="a8"/>
            <w:noProof/>
          </w:rPr>
          <w:t>Overview</w:t>
        </w:r>
        <w:r w:rsidR="00296EBF">
          <w:rPr>
            <w:noProof/>
            <w:webHidden/>
          </w:rPr>
          <w:tab/>
        </w:r>
        <w:r w:rsidR="00296EBF">
          <w:rPr>
            <w:noProof/>
            <w:webHidden/>
          </w:rPr>
          <w:fldChar w:fldCharType="begin"/>
        </w:r>
        <w:r w:rsidR="00296EBF">
          <w:rPr>
            <w:noProof/>
            <w:webHidden/>
          </w:rPr>
          <w:instrText xml:space="preserve"> PAGEREF _Toc175850102 \h </w:instrText>
        </w:r>
        <w:r w:rsidR="00296EBF">
          <w:rPr>
            <w:noProof/>
            <w:webHidden/>
          </w:rPr>
        </w:r>
        <w:r w:rsidR="00296EBF">
          <w:rPr>
            <w:noProof/>
            <w:webHidden/>
          </w:rPr>
          <w:fldChar w:fldCharType="separate"/>
        </w:r>
        <w:r w:rsidR="00296EBF">
          <w:rPr>
            <w:noProof/>
            <w:webHidden/>
          </w:rPr>
          <w:t>3</w:t>
        </w:r>
        <w:r w:rsidR="00296EBF">
          <w:rPr>
            <w:noProof/>
            <w:webHidden/>
          </w:rPr>
          <w:fldChar w:fldCharType="end"/>
        </w:r>
      </w:hyperlink>
    </w:p>
    <w:p w14:paraId="10BA0324" w14:textId="24EC8B72" w:rsidR="00296EBF" w:rsidRDefault="00FE3B3E">
      <w:pPr>
        <w:pStyle w:val="14"/>
        <w:rPr>
          <w:rFonts w:asciiTheme="minorHAnsi" w:eastAsiaTheme="minorEastAsia" w:hAnsiTheme="minorHAnsi" w:cstheme="minorBidi"/>
          <w:b w:val="0"/>
          <w:bCs w:val="0"/>
          <w:caps w:val="0"/>
          <w:noProof/>
          <w:sz w:val="22"/>
          <w:szCs w:val="22"/>
          <w:lang w:val="ru-RU"/>
        </w:rPr>
      </w:pPr>
      <w:hyperlink w:anchor="_Toc175850103" w:history="1">
        <w:r w:rsidR="00296EBF" w:rsidRPr="007E79A6">
          <w:rPr>
            <w:rStyle w:val="a8"/>
            <w:rFonts w:cs="Tahoma"/>
            <w:noProof/>
          </w:rPr>
          <w:t>2.</w:t>
        </w:r>
        <w:r w:rsidR="00296EBF">
          <w:rPr>
            <w:rFonts w:asciiTheme="minorHAnsi" w:eastAsiaTheme="minorEastAsia" w:hAnsiTheme="minorHAnsi" w:cstheme="minorBidi"/>
            <w:b w:val="0"/>
            <w:bCs w:val="0"/>
            <w:caps w:val="0"/>
            <w:noProof/>
            <w:sz w:val="22"/>
            <w:szCs w:val="22"/>
            <w:lang w:val="ru-RU"/>
          </w:rPr>
          <w:tab/>
        </w:r>
        <w:r w:rsidR="00296EBF" w:rsidRPr="007E79A6">
          <w:rPr>
            <w:rStyle w:val="a8"/>
            <w:noProof/>
          </w:rPr>
          <w:t>Principles of Issuer Due Diligence</w:t>
        </w:r>
        <w:r w:rsidR="00296EBF">
          <w:rPr>
            <w:noProof/>
            <w:webHidden/>
          </w:rPr>
          <w:tab/>
        </w:r>
        <w:r w:rsidR="00296EBF">
          <w:rPr>
            <w:noProof/>
            <w:webHidden/>
          </w:rPr>
          <w:fldChar w:fldCharType="begin"/>
        </w:r>
        <w:r w:rsidR="00296EBF">
          <w:rPr>
            <w:noProof/>
            <w:webHidden/>
          </w:rPr>
          <w:instrText xml:space="preserve"> PAGEREF _Toc175850103 \h </w:instrText>
        </w:r>
        <w:r w:rsidR="00296EBF">
          <w:rPr>
            <w:noProof/>
            <w:webHidden/>
          </w:rPr>
        </w:r>
        <w:r w:rsidR="00296EBF">
          <w:rPr>
            <w:noProof/>
            <w:webHidden/>
          </w:rPr>
          <w:fldChar w:fldCharType="separate"/>
        </w:r>
        <w:r w:rsidR="00296EBF">
          <w:rPr>
            <w:noProof/>
            <w:webHidden/>
          </w:rPr>
          <w:t>3</w:t>
        </w:r>
        <w:r w:rsidR="00296EBF">
          <w:rPr>
            <w:noProof/>
            <w:webHidden/>
          </w:rPr>
          <w:fldChar w:fldCharType="end"/>
        </w:r>
      </w:hyperlink>
    </w:p>
    <w:p w14:paraId="4B172357" w14:textId="114DB8D7" w:rsidR="00296EBF" w:rsidRDefault="00FE3B3E">
      <w:pPr>
        <w:pStyle w:val="14"/>
        <w:rPr>
          <w:rFonts w:asciiTheme="minorHAnsi" w:eastAsiaTheme="minorEastAsia" w:hAnsiTheme="minorHAnsi" w:cstheme="minorBidi"/>
          <w:b w:val="0"/>
          <w:bCs w:val="0"/>
          <w:caps w:val="0"/>
          <w:noProof/>
          <w:sz w:val="22"/>
          <w:szCs w:val="22"/>
          <w:lang w:val="ru-RU"/>
        </w:rPr>
      </w:pPr>
      <w:hyperlink w:anchor="_Toc175850104" w:history="1">
        <w:r w:rsidR="00296EBF" w:rsidRPr="007E79A6">
          <w:rPr>
            <w:rStyle w:val="a8"/>
            <w:rFonts w:cs="Tahoma"/>
            <w:noProof/>
          </w:rPr>
          <w:t>3.</w:t>
        </w:r>
        <w:r w:rsidR="00296EBF">
          <w:rPr>
            <w:rFonts w:asciiTheme="minorHAnsi" w:eastAsiaTheme="minorEastAsia" w:hAnsiTheme="minorHAnsi" w:cstheme="minorBidi"/>
            <w:b w:val="0"/>
            <w:bCs w:val="0"/>
            <w:caps w:val="0"/>
            <w:noProof/>
            <w:sz w:val="22"/>
            <w:szCs w:val="22"/>
            <w:lang w:val="ru-RU"/>
          </w:rPr>
          <w:tab/>
        </w:r>
        <w:r w:rsidR="00296EBF" w:rsidRPr="007E79A6">
          <w:rPr>
            <w:rStyle w:val="a8"/>
            <w:noProof/>
          </w:rPr>
          <w:t>Calculation of the Index</w:t>
        </w:r>
        <w:r w:rsidR="00296EBF">
          <w:rPr>
            <w:noProof/>
            <w:webHidden/>
          </w:rPr>
          <w:tab/>
        </w:r>
        <w:r w:rsidR="00296EBF">
          <w:rPr>
            <w:noProof/>
            <w:webHidden/>
          </w:rPr>
          <w:fldChar w:fldCharType="begin"/>
        </w:r>
        <w:r w:rsidR="00296EBF">
          <w:rPr>
            <w:noProof/>
            <w:webHidden/>
          </w:rPr>
          <w:instrText xml:space="preserve"> PAGEREF _Toc175850104 \h </w:instrText>
        </w:r>
        <w:r w:rsidR="00296EBF">
          <w:rPr>
            <w:noProof/>
            <w:webHidden/>
          </w:rPr>
        </w:r>
        <w:r w:rsidR="00296EBF">
          <w:rPr>
            <w:noProof/>
            <w:webHidden/>
          </w:rPr>
          <w:fldChar w:fldCharType="separate"/>
        </w:r>
        <w:r w:rsidR="00296EBF">
          <w:rPr>
            <w:noProof/>
            <w:webHidden/>
          </w:rPr>
          <w:t>4</w:t>
        </w:r>
        <w:r w:rsidR="00296EBF">
          <w:rPr>
            <w:noProof/>
            <w:webHidden/>
          </w:rPr>
          <w:fldChar w:fldCharType="end"/>
        </w:r>
      </w:hyperlink>
    </w:p>
    <w:p w14:paraId="51B3A156" w14:textId="566043D7" w:rsidR="00296EBF" w:rsidRDefault="00FE3B3E">
      <w:pPr>
        <w:pStyle w:val="23"/>
        <w:rPr>
          <w:rFonts w:asciiTheme="minorHAnsi" w:eastAsiaTheme="minorEastAsia" w:hAnsiTheme="minorHAnsi" w:cstheme="minorBidi"/>
          <w:noProof/>
          <w:sz w:val="22"/>
          <w:szCs w:val="22"/>
          <w:lang w:val="ru-RU"/>
        </w:rPr>
      </w:pPr>
      <w:hyperlink w:anchor="_Toc175850105" w:history="1">
        <w:r w:rsidR="00296EBF" w:rsidRPr="007E79A6">
          <w:rPr>
            <w:rStyle w:val="a8"/>
            <w:noProof/>
          </w:rPr>
          <w:t>3.1.</w:t>
        </w:r>
        <w:r w:rsidR="00296EBF">
          <w:rPr>
            <w:rFonts w:asciiTheme="minorHAnsi" w:eastAsiaTheme="minorEastAsia" w:hAnsiTheme="minorHAnsi" w:cstheme="minorBidi"/>
            <w:noProof/>
            <w:sz w:val="22"/>
            <w:szCs w:val="22"/>
            <w:lang w:val="ru-RU"/>
          </w:rPr>
          <w:tab/>
        </w:r>
        <w:r w:rsidR="00296EBF" w:rsidRPr="007E79A6">
          <w:rPr>
            <w:rStyle w:val="a8"/>
            <w:noProof/>
          </w:rPr>
          <w:t>Price index calculation</w:t>
        </w:r>
        <w:r w:rsidR="00296EBF">
          <w:rPr>
            <w:noProof/>
            <w:webHidden/>
          </w:rPr>
          <w:tab/>
        </w:r>
        <w:r w:rsidR="00296EBF">
          <w:rPr>
            <w:noProof/>
            <w:webHidden/>
          </w:rPr>
          <w:fldChar w:fldCharType="begin"/>
        </w:r>
        <w:r w:rsidR="00296EBF">
          <w:rPr>
            <w:noProof/>
            <w:webHidden/>
          </w:rPr>
          <w:instrText xml:space="preserve"> PAGEREF _Toc175850105 \h </w:instrText>
        </w:r>
        <w:r w:rsidR="00296EBF">
          <w:rPr>
            <w:noProof/>
            <w:webHidden/>
          </w:rPr>
        </w:r>
        <w:r w:rsidR="00296EBF">
          <w:rPr>
            <w:noProof/>
            <w:webHidden/>
          </w:rPr>
          <w:fldChar w:fldCharType="separate"/>
        </w:r>
        <w:r w:rsidR="00296EBF">
          <w:rPr>
            <w:noProof/>
            <w:webHidden/>
          </w:rPr>
          <w:t>4</w:t>
        </w:r>
        <w:r w:rsidR="00296EBF">
          <w:rPr>
            <w:noProof/>
            <w:webHidden/>
          </w:rPr>
          <w:fldChar w:fldCharType="end"/>
        </w:r>
      </w:hyperlink>
    </w:p>
    <w:p w14:paraId="73414D2F" w14:textId="1BACD866" w:rsidR="00296EBF" w:rsidRDefault="00FE3B3E">
      <w:pPr>
        <w:pStyle w:val="23"/>
        <w:rPr>
          <w:rFonts w:asciiTheme="minorHAnsi" w:eastAsiaTheme="minorEastAsia" w:hAnsiTheme="minorHAnsi" w:cstheme="minorBidi"/>
          <w:noProof/>
          <w:sz w:val="22"/>
          <w:szCs w:val="22"/>
          <w:lang w:val="ru-RU"/>
        </w:rPr>
      </w:pPr>
      <w:hyperlink w:anchor="_Toc175850106" w:history="1">
        <w:r w:rsidR="00296EBF" w:rsidRPr="007E79A6">
          <w:rPr>
            <w:rStyle w:val="a8"/>
            <w:noProof/>
          </w:rPr>
          <w:t>3.2.</w:t>
        </w:r>
        <w:r w:rsidR="00296EBF">
          <w:rPr>
            <w:rFonts w:asciiTheme="minorHAnsi" w:eastAsiaTheme="minorEastAsia" w:hAnsiTheme="minorHAnsi" w:cstheme="minorBidi"/>
            <w:noProof/>
            <w:sz w:val="22"/>
            <w:szCs w:val="22"/>
            <w:lang w:val="ru-RU"/>
          </w:rPr>
          <w:tab/>
        </w:r>
        <w:r w:rsidR="00296EBF" w:rsidRPr="007E79A6">
          <w:rPr>
            <w:rStyle w:val="a8"/>
            <w:noProof/>
          </w:rPr>
          <w:t>Calculating Weighting Factors</w:t>
        </w:r>
        <w:r w:rsidR="00296EBF">
          <w:rPr>
            <w:noProof/>
            <w:webHidden/>
          </w:rPr>
          <w:tab/>
        </w:r>
        <w:r w:rsidR="00296EBF">
          <w:rPr>
            <w:noProof/>
            <w:webHidden/>
          </w:rPr>
          <w:fldChar w:fldCharType="begin"/>
        </w:r>
        <w:r w:rsidR="00296EBF">
          <w:rPr>
            <w:noProof/>
            <w:webHidden/>
          </w:rPr>
          <w:instrText xml:space="preserve"> PAGEREF _Toc175850106 \h </w:instrText>
        </w:r>
        <w:r w:rsidR="00296EBF">
          <w:rPr>
            <w:noProof/>
            <w:webHidden/>
          </w:rPr>
        </w:r>
        <w:r w:rsidR="00296EBF">
          <w:rPr>
            <w:noProof/>
            <w:webHidden/>
          </w:rPr>
          <w:fldChar w:fldCharType="separate"/>
        </w:r>
        <w:r w:rsidR="00296EBF">
          <w:rPr>
            <w:noProof/>
            <w:webHidden/>
          </w:rPr>
          <w:t>5</w:t>
        </w:r>
        <w:r w:rsidR="00296EBF">
          <w:rPr>
            <w:noProof/>
            <w:webHidden/>
          </w:rPr>
          <w:fldChar w:fldCharType="end"/>
        </w:r>
      </w:hyperlink>
    </w:p>
    <w:p w14:paraId="2B3B0853" w14:textId="25F60255" w:rsidR="00296EBF" w:rsidRDefault="00FE3B3E">
      <w:pPr>
        <w:pStyle w:val="23"/>
        <w:rPr>
          <w:rFonts w:asciiTheme="minorHAnsi" w:eastAsiaTheme="minorEastAsia" w:hAnsiTheme="minorHAnsi" w:cstheme="minorBidi"/>
          <w:noProof/>
          <w:sz w:val="22"/>
          <w:szCs w:val="22"/>
          <w:lang w:val="ru-RU"/>
        </w:rPr>
      </w:pPr>
      <w:hyperlink w:anchor="_Toc175850107" w:history="1">
        <w:r w:rsidR="00296EBF" w:rsidRPr="007E79A6">
          <w:rPr>
            <w:rStyle w:val="a8"/>
            <w:noProof/>
          </w:rPr>
          <w:t>3.3.</w:t>
        </w:r>
        <w:r w:rsidR="00296EBF">
          <w:rPr>
            <w:rFonts w:asciiTheme="minorHAnsi" w:eastAsiaTheme="minorEastAsia" w:hAnsiTheme="minorHAnsi" w:cstheme="minorBidi"/>
            <w:noProof/>
            <w:sz w:val="22"/>
            <w:szCs w:val="22"/>
            <w:lang w:val="ru-RU"/>
          </w:rPr>
          <w:tab/>
        </w:r>
        <w:r w:rsidR="00296EBF" w:rsidRPr="007E79A6">
          <w:rPr>
            <w:rStyle w:val="a8"/>
            <w:noProof/>
          </w:rPr>
          <w:t>Share price</w:t>
        </w:r>
        <w:r w:rsidR="00296EBF">
          <w:rPr>
            <w:noProof/>
            <w:webHidden/>
          </w:rPr>
          <w:tab/>
        </w:r>
        <w:r w:rsidR="00296EBF">
          <w:rPr>
            <w:noProof/>
            <w:webHidden/>
          </w:rPr>
          <w:fldChar w:fldCharType="begin"/>
        </w:r>
        <w:r w:rsidR="00296EBF">
          <w:rPr>
            <w:noProof/>
            <w:webHidden/>
          </w:rPr>
          <w:instrText xml:space="preserve"> PAGEREF _Toc175850107 \h </w:instrText>
        </w:r>
        <w:r w:rsidR="00296EBF">
          <w:rPr>
            <w:noProof/>
            <w:webHidden/>
          </w:rPr>
        </w:r>
        <w:r w:rsidR="00296EBF">
          <w:rPr>
            <w:noProof/>
            <w:webHidden/>
          </w:rPr>
          <w:fldChar w:fldCharType="separate"/>
        </w:r>
        <w:r w:rsidR="00296EBF">
          <w:rPr>
            <w:noProof/>
            <w:webHidden/>
          </w:rPr>
          <w:t>5</w:t>
        </w:r>
        <w:r w:rsidR="00296EBF">
          <w:rPr>
            <w:noProof/>
            <w:webHidden/>
          </w:rPr>
          <w:fldChar w:fldCharType="end"/>
        </w:r>
      </w:hyperlink>
    </w:p>
    <w:p w14:paraId="12BB228F" w14:textId="056F38AF" w:rsidR="00296EBF" w:rsidRDefault="00FE3B3E">
      <w:pPr>
        <w:pStyle w:val="23"/>
        <w:rPr>
          <w:rFonts w:asciiTheme="minorHAnsi" w:eastAsiaTheme="minorEastAsia" w:hAnsiTheme="minorHAnsi" w:cstheme="minorBidi"/>
          <w:noProof/>
          <w:sz w:val="22"/>
          <w:szCs w:val="22"/>
          <w:lang w:val="ru-RU"/>
        </w:rPr>
      </w:pPr>
      <w:hyperlink w:anchor="_Toc175850108" w:history="1">
        <w:r w:rsidR="00296EBF" w:rsidRPr="007E79A6">
          <w:rPr>
            <w:rStyle w:val="a8"/>
            <w:noProof/>
          </w:rPr>
          <w:t>3.4.</w:t>
        </w:r>
        <w:r w:rsidR="00296EBF">
          <w:rPr>
            <w:rFonts w:asciiTheme="minorHAnsi" w:eastAsiaTheme="minorEastAsia" w:hAnsiTheme="minorHAnsi" w:cstheme="minorBidi"/>
            <w:noProof/>
            <w:sz w:val="22"/>
            <w:szCs w:val="22"/>
            <w:lang w:val="ru-RU"/>
          </w:rPr>
          <w:tab/>
        </w:r>
        <w:r w:rsidR="00296EBF" w:rsidRPr="007E79A6">
          <w:rPr>
            <w:rStyle w:val="a8"/>
            <w:noProof/>
          </w:rPr>
          <w:t>Calculation of the Divisor</w:t>
        </w:r>
        <w:r w:rsidR="00296EBF">
          <w:rPr>
            <w:noProof/>
            <w:webHidden/>
          </w:rPr>
          <w:tab/>
        </w:r>
        <w:r w:rsidR="00296EBF">
          <w:rPr>
            <w:noProof/>
            <w:webHidden/>
          </w:rPr>
          <w:fldChar w:fldCharType="begin"/>
        </w:r>
        <w:r w:rsidR="00296EBF">
          <w:rPr>
            <w:noProof/>
            <w:webHidden/>
          </w:rPr>
          <w:instrText xml:space="preserve"> PAGEREF _Toc175850108 \h </w:instrText>
        </w:r>
        <w:r w:rsidR="00296EBF">
          <w:rPr>
            <w:noProof/>
            <w:webHidden/>
          </w:rPr>
        </w:r>
        <w:r w:rsidR="00296EBF">
          <w:rPr>
            <w:noProof/>
            <w:webHidden/>
          </w:rPr>
          <w:fldChar w:fldCharType="separate"/>
        </w:r>
        <w:r w:rsidR="00296EBF">
          <w:rPr>
            <w:noProof/>
            <w:webHidden/>
          </w:rPr>
          <w:t>6</w:t>
        </w:r>
        <w:r w:rsidR="00296EBF">
          <w:rPr>
            <w:noProof/>
            <w:webHidden/>
          </w:rPr>
          <w:fldChar w:fldCharType="end"/>
        </w:r>
      </w:hyperlink>
    </w:p>
    <w:p w14:paraId="30298996" w14:textId="3307D99A" w:rsidR="00296EBF" w:rsidRDefault="00FE3B3E">
      <w:pPr>
        <w:pStyle w:val="23"/>
        <w:rPr>
          <w:rFonts w:asciiTheme="minorHAnsi" w:eastAsiaTheme="minorEastAsia" w:hAnsiTheme="minorHAnsi" w:cstheme="minorBidi"/>
          <w:noProof/>
          <w:sz w:val="22"/>
          <w:szCs w:val="22"/>
          <w:lang w:val="ru-RU"/>
        </w:rPr>
      </w:pPr>
      <w:hyperlink w:anchor="_Toc175850109" w:history="1">
        <w:r w:rsidR="00296EBF" w:rsidRPr="007E79A6">
          <w:rPr>
            <w:rStyle w:val="a8"/>
            <w:noProof/>
          </w:rPr>
          <w:t>3.5.</w:t>
        </w:r>
        <w:r w:rsidR="00296EBF">
          <w:rPr>
            <w:rFonts w:asciiTheme="minorHAnsi" w:eastAsiaTheme="minorEastAsia" w:hAnsiTheme="minorHAnsi" w:cstheme="minorBidi"/>
            <w:noProof/>
            <w:sz w:val="22"/>
            <w:szCs w:val="22"/>
            <w:lang w:val="ru-RU"/>
          </w:rPr>
          <w:tab/>
        </w:r>
        <w:r w:rsidR="00296EBF" w:rsidRPr="007E79A6">
          <w:rPr>
            <w:rStyle w:val="a8"/>
            <w:noProof/>
          </w:rPr>
          <w:t>Calculating the Total Return Index</w:t>
        </w:r>
        <w:r w:rsidR="00296EBF">
          <w:rPr>
            <w:noProof/>
            <w:webHidden/>
          </w:rPr>
          <w:tab/>
        </w:r>
        <w:r w:rsidR="00296EBF">
          <w:rPr>
            <w:noProof/>
            <w:webHidden/>
          </w:rPr>
          <w:fldChar w:fldCharType="begin"/>
        </w:r>
        <w:r w:rsidR="00296EBF">
          <w:rPr>
            <w:noProof/>
            <w:webHidden/>
          </w:rPr>
          <w:instrText xml:space="preserve"> PAGEREF _Toc175850109 \h </w:instrText>
        </w:r>
        <w:r w:rsidR="00296EBF">
          <w:rPr>
            <w:noProof/>
            <w:webHidden/>
          </w:rPr>
        </w:r>
        <w:r w:rsidR="00296EBF">
          <w:rPr>
            <w:noProof/>
            <w:webHidden/>
          </w:rPr>
          <w:fldChar w:fldCharType="separate"/>
        </w:r>
        <w:r w:rsidR="00296EBF">
          <w:rPr>
            <w:noProof/>
            <w:webHidden/>
          </w:rPr>
          <w:t>6</w:t>
        </w:r>
        <w:r w:rsidR="00296EBF">
          <w:rPr>
            <w:noProof/>
            <w:webHidden/>
          </w:rPr>
          <w:fldChar w:fldCharType="end"/>
        </w:r>
      </w:hyperlink>
    </w:p>
    <w:p w14:paraId="44901DD4" w14:textId="704CCA1A" w:rsidR="00296EBF" w:rsidRDefault="00FE3B3E">
      <w:pPr>
        <w:pStyle w:val="14"/>
        <w:rPr>
          <w:rFonts w:asciiTheme="minorHAnsi" w:eastAsiaTheme="minorEastAsia" w:hAnsiTheme="minorHAnsi" w:cstheme="minorBidi"/>
          <w:b w:val="0"/>
          <w:bCs w:val="0"/>
          <w:caps w:val="0"/>
          <w:noProof/>
          <w:sz w:val="22"/>
          <w:szCs w:val="22"/>
          <w:lang w:val="ru-RU"/>
        </w:rPr>
      </w:pPr>
      <w:hyperlink w:anchor="_Toc175850110" w:history="1">
        <w:r w:rsidR="00296EBF" w:rsidRPr="007E79A6">
          <w:rPr>
            <w:rStyle w:val="a8"/>
            <w:rFonts w:cs="Tahoma"/>
            <w:noProof/>
          </w:rPr>
          <w:t>4.</w:t>
        </w:r>
        <w:r w:rsidR="00296EBF">
          <w:rPr>
            <w:rFonts w:asciiTheme="minorHAnsi" w:eastAsiaTheme="minorEastAsia" w:hAnsiTheme="minorHAnsi" w:cstheme="minorBidi"/>
            <w:b w:val="0"/>
            <w:bCs w:val="0"/>
            <w:caps w:val="0"/>
            <w:noProof/>
            <w:sz w:val="22"/>
            <w:szCs w:val="22"/>
            <w:lang w:val="ru-RU"/>
          </w:rPr>
          <w:tab/>
        </w:r>
        <w:r w:rsidR="00296EBF" w:rsidRPr="007E79A6">
          <w:rPr>
            <w:rStyle w:val="a8"/>
            <w:noProof/>
          </w:rPr>
          <w:t>Index Construction and Review</w:t>
        </w:r>
        <w:r w:rsidR="00296EBF">
          <w:rPr>
            <w:noProof/>
            <w:webHidden/>
          </w:rPr>
          <w:tab/>
        </w:r>
        <w:r w:rsidR="00296EBF">
          <w:rPr>
            <w:noProof/>
            <w:webHidden/>
          </w:rPr>
          <w:fldChar w:fldCharType="begin"/>
        </w:r>
        <w:r w:rsidR="00296EBF">
          <w:rPr>
            <w:noProof/>
            <w:webHidden/>
          </w:rPr>
          <w:instrText xml:space="preserve"> PAGEREF _Toc175850110 \h </w:instrText>
        </w:r>
        <w:r w:rsidR="00296EBF">
          <w:rPr>
            <w:noProof/>
            <w:webHidden/>
          </w:rPr>
        </w:r>
        <w:r w:rsidR="00296EBF">
          <w:rPr>
            <w:noProof/>
            <w:webHidden/>
          </w:rPr>
          <w:fldChar w:fldCharType="separate"/>
        </w:r>
        <w:r w:rsidR="00296EBF">
          <w:rPr>
            <w:noProof/>
            <w:webHidden/>
          </w:rPr>
          <w:t>7</w:t>
        </w:r>
        <w:r w:rsidR="00296EBF">
          <w:rPr>
            <w:noProof/>
            <w:webHidden/>
          </w:rPr>
          <w:fldChar w:fldCharType="end"/>
        </w:r>
      </w:hyperlink>
    </w:p>
    <w:p w14:paraId="67D51BCA" w14:textId="65D8CC24" w:rsidR="00296EBF" w:rsidRDefault="00FE3B3E">
      <w:pPr>
        <w:pStyle w:val="23"/>
        <w:rPr>
          <w:rFonts w:asciiTheme="minorHAnsi" w:eastAsiaTheme="minorEastAsia" w:hAnsiTheme="minorHAnsi" w:cstheme="minorBidi"/>
          <w:noProof/>
          <w:sz w:val="22"/>
          <w:szCs w:val="22"/>
          <w:lang w:val="ru-RU"/>
        </w:rPr>
      </w:pPr>
      <w:hyperlink w:anchor="_Toc175850111" w:history="1">
        <w:r w:rsidR="00296EBF" w:rsidRPr="007E79A6">
          <w:rPr>
            <w:rStyle w:val="a8"/>
            <w:noProof/>
          </w:rPr>
          <w:t>4.1.</w:t>
        </w:r>
        <w:r w:rsidR="00296EBF">
          <w:rPr>
            <w:rFonts w:asciiTheme="minorHAnsi" w:eastAsiaTheme="minorEastAsia" w:hAnsiTheme="minorHAnsi" w:cstheme="minorBidi"/>
            <w:noProof/>
            <w:sz w:val="22"/>
            <w:szCs w:val="22"/>
            <w:lang w:val="ru-RU"/>
          </w:rPr>
          <w:tab/>
        </w:r>
        <w:r w:rsidR="00296EBF" w:rsidRPr="007E79A6">
          <w:rPr>
            <w:rStyle w:val="a8"/>
            <w:noProof/>
          </w:rPr>
          <w:t>Index Construction Principles</w:t>
        </w:r>
        <w:r w:rsidR="00296EBF">
          <w:rPr>
            <w:noProof/>
            <w:webHidden/>
          </w:rPr>
          <w:tab/>
        </w:r>
        <w:r w:rsidR="00296EBF">
          <w:rPr>
            <w:noProof/>
            <w:webHidden/>
          </w:rPr>
          <w:fldChar w:fldCharType="begin"/>
        </w:r>
        <w:r w:rsidR="00296EBF">
          <w:rPr>
            <w:noProof/>
            <w:webHidden/>
          </w:rPr>
          <w:instrText xml:space="preserve"> PAGEREF _Toc175850111 \h </w:instrText>
        </w:r>
        <w:r w:rsidR="00296EBF">
          <w:rPr>
            <w:noProof/>
            <w:webHidden/>
          </w:rPr>
        </w:r>
        <w:r w:rsidR="00296EBF">
          <w:rPr>
            <w:noProof/>
            <w:webHidden/>
          </w:rPr>
          <w:fldChar w:fldCharType="separate"/>
        </w:r>
        <w:r w:rsidR="00296EBF">
          <w:rPr>
            <w:noProof/>
            <w:webHidden/>
          </w:rPr>
          <w:t>7</w:t>
        </w:r>
        <w:r w:rsidR="00296EBF">
          <w:rPr>
            <w:noProof/>
            <w:webHidden/>
          </w:rPr>
          <w:fldChar w:fldCharType="end"/>
        </w:r>
      </w:hyperlink>
    </w:p>
    <w:p w14:paraId="7598030D" w14:textId="5D492203" w:rsidR="00296EBF" w:rsidRDefault="00FE3B3E">
      <w:pPr>
        <w:pStyle w:val="23"/>
        <w:rPr>
          <w:rFonts w:asciiTheme="minorHAnsi" w:eastAsiaTheme="minorEastAsia" w:hAnsiTheme="minorHAnsi" w:cstheme="minorBidi"/>
          <w:noProof/>
          <w:sz w:val="22"/>
          <w:szCs w:val="22"/>
          <w:lang w:val="ru-RU"/>
        </w:rPr>
      </w:pPr>
      <w:hyperlink w:anchor="_Toc175850112" w:history="1">
        <w:r w:rsidR="00296EBF" w:rsidRPr="007E79A6">
          <w:rPr>
            <w:rStyle w:val="a8"/>
            <w:noProof/>
          </w:rPr>
          <w:t>4.2.</w:t>
        </w:r>
        <w:r w:rsidR="00296EBF">
          <w:rPr>
            <w:rFonts w:asciiTheme="minorHAnsi" w:eastAsiaTheme="minorEastAsia" w:hAnsiTheme="minorHAnsi" w:cstheme="minorBidi"/>
            <w:noProof/>
            <w:sz w:val="22"/>
            <w:szCs w:val="22"/>
            <w:lang w:val="ru-RU"/>
          </w:rPr>
          <w:tab/>
        </w:r>
        <w:r w:rsidR="00296EBF" w:rsidRPr="007E79A6">
          <w:rPr>
            <w:rStyle w:val="a8"/>
            <w:noProof/>
          </w:rPr>
          <w:t>Index Review</w:t>
        </w:r>
        <w:r w:rsidR="00296EBF">
          <w:rPr>
            <w:noProof/>
            <w:webHidden/>
          </w:rPr>
          <w:tab/>
        </w:r>
        <w:r w:rsidR="00296EBF">
          <w:rPr>
            <w:noProof/>
            <w:webHidden/>
          </w:rPr>
          <w:fldChar w:fldCharType="begin"/>
        </w:r>
        <w:r w:rsidR="00296EBF">
          <w:rPr>
            <w:noProof/>
            <w:webHidden/>
          </w:rPr>
          <w:instrText xml:space="preserve"> PAGEREF _Toc175850112 \h </w:instrText>
        </w:r>
        <w:r w:rsidR="00296EBF">
          <w:rPr>
            <w:noProof/>
            <w:webHidden/>
          </w:rPr>
        </w:r>
        <w:r w:rsidR="00296EBF">
          <w:rPr>
            <w:noProof/>
            <w:webHidden/>
          </w:rPr>
          <w:fldChar w:fldCharType="separate"/>
        </w:r>
        <w:r w:rsidR="00296EBF">
          <w:rPr>
            <w:noProof/>
            <w:webHidden/>
          </w:rPr>
          <w:t>7</w:t>
        </w:r>
        <w:r w:rsidR="00296EBF">
          <w:rPr>
            <w:noProof/>
            <w:webHidden/>
          </w:rPr>
          <w:fldChar w:fldCharType="end"/>
        </w:r>
      </w:hyperlink>
    </w:p>
    <w:p w14:paraId="63B9EE6D" w14:textId="4C895E3A" w:rsidR="00296EBF" w:rsidRDefault="00FE3B3E">
      <w:pPr>
        <w:pStyle w:val="23"/>
        <w:rPr>
          <w:rFonts w:asciiTheme="minorHAnsi" w:eastAsiaTheme="minorEastAsia" w:hAnsiTheme="minorHAnsi" w:cstheme="minorBidi"/>
          <w:noProof/>
          <w:sz w:val="22"/>
          <w:szCs w:val="22"/>
          <w:lang w:val="ru-RU"/>
        </w:rPr>
      </w:pPr>
      <w:hyperlink w:anchor="_Toc175850113" w:history="1">
        <w:r w:rsidR="00296EBF" w:rsidRPr="007E79A6">
          <w:rPr>
            <w:rStyle w:val="a8"/>
            <w:noProof/>
          </w:rPr>
          <w:t>4.3.</w:t>
        </w:r>
        <w:r w:rsidR="00296EBF">
          <w:rPr>
            <w:rFonts w:asciiTheme="minorHAnsi" w:eastAsiaTheme="minorEastAsia" w:hAnsiTheme="minorHAnsi" w:cstheme="minorBidi"/>
            <w:noProof/>
            <w:sz w:val="22"/>
            <w:szCs w:val="22"/>
            <w:lang w:val="ru-RU"/>
          </w:rPr>
          <w:tab/>
        </w:r>
        <w:r w:rsidR="00296EBF" w:rsidRPr="007E79A6">
          <w:rPr>
            <w:rStyle w:val="a8"/>
            <w:noProof/>
          </w:rPr>
          <w:t>Treatment of corporate events</w:t>
        </w:r>
        <w:r w:rsidR="00296EBF">
          <w:rPr>
            <w:noProof/>
            <w:webHidden/>
          </w:rPr>
          <w:tab/>
        </w:r>
        <w:r w:rsidR="00296EBF">
          <w:rPr>
            <w:noProof/>
            <w:webHidden/>
          </w:rPr>
          <w:fldChar w:fldCharType="begin"/>
        </w:r>
        <w:r w:rsidR="00296EBF">
          <w:rPr>
            <w:noProof/>
            <w:webHidden/>
          </w:rPr>
          <w:instrText xml:space="preserve"> PAGEREF _Toc175850113 \h </w:instrText>
        </w:r>
        <w:r w:rsidR="00296EBF">
          <w:rPr>
            <w:noProof/>
            <w:webHidden/>
          </w:rPr>
        </w:r>
        <w:r w:rsidR="00296EBF">
          <w:rPr>
            <w:noProof/>
            <w:webHidden/>
          </w:rPr>
          <w:fldChar w:fldCharType="separate"/>
        </w:r>
        <w:r w:rsidR="00296EBF">
          <w:rPr>
            <w:noProof/>
            <w:webHidden/>
          </w:rPr>
          <w:t>8</w:t>
        </w:r>
        <w:r w:rsidR="00296EBF">
          <w:rPr>
            <w:noProof/>
            <w:webHidden/>
          </w:rPr>
          <w:fldChar w:fldCharType="end"/>
        </w:r>
      </w:hyperlink>
    </w:p>
    <w:p w14:paraId="6EFCAA3B" w14:textId="230E6AFB" w:rsidR="00296EBF" w:rsidRDefault="00FE3B3E">
      <w:pPr>
        <w:pStyle w:val="14"/>
        <w:rPr>
          <w:rFonts w:asciiTheme="minorHAnsi" w:eastAsiaTheme="minorEastAsia" w:hAnsiTheme="minorHAnsi" w:cstheme="minorBidi"/>
          <w:b w:val="0"/>
          <w:bCs w:val="0"/>
          <w:caps w:val="0"/>
          <w:noProof/>
          <w:sz w:val="22"/>
          <w:szCs w:val="22"/>
          <w:lang w:val="ru-RU"/>
        </w:rPr>
      </w:pPr>
      <w:hyperlink w:anchor="_Toc175850114" w:history="1">
        <w:r w:rsidR="00296EBF" w:rsidRPr="007E79A6">
          <w:rPr>
            <w:rStyle w:val="a8"/>
            <w:rFonts w:cs="Tahoma"/>
            <w:noProof/>
          </w:rPr>
          <w:t>5.</w:t>
        </w:r>
        <w:r w:rsidR="00296EBF">
          <w:rPr>
            <w:rFonts w:asciiTheme="minorHAnsi" w:eastAsiaTheme="minorEastAsia" w:hAnsiTheme="minorHAnsi" w:cstheme="minorBidi"/>
            <w:b w:val="0"/>
            <w:bCs w:val="0"/>
            <w:caps w:val="0"/>
            <w:noProof/>
            <w:sz w:val="22"/>
            <w:szCs w:val="22"/>
            <w:lang w:val="ru-RU"/>
          </w:rPr>
          <w:tab/>
        </w:r>
        <w:r w:rsidR="00296EBF" w:rsidRPr="007E79A6">
          <w:rPr>
            <w:rStyle w:val="a8"/>
            <w:noProof/>
          </w:rPr>
          <w:t>Calculation timing and disclosure of the Indices</w:t>
        </w:r>
        <w:r w:rsidR="00296EBF">
          <w:rPr>
            <w:noProof/>
            <w:webHidden/>
          </w:rPr>
          <w:tab/>
        </w:r>
        <w:r w:rsidR="00296EBF">
          <w:rPr>
            <w:noProof/>
            <w:webHidden/>
          </w:rPr>
          <w:fldChar w:fldCharType="begin"/>
        </w:r>
        <w:r w:rsidR="00296EBF">
          <w:rPr>
            <w:noProof/>
            <w:webHidden/>
          </w:rPr>
          <w:instrText xml:space="preserve"> PAGEREF _Toc175850114 \h </w:instrText>
        </w:r>
        <w:r w:rsidR="00296EBF">
          <w:rPr>
            <w:noProof/>
            <w:webHidden/>
          </w:rPr>
        </w:r>
        <w:r w:rsidR="00296EBF">
          <w:rPr>
            <w:noProof/>
            <w:webHidden/>
          </w:rPr>
          <w:fldChar w:fldCharType="separate"/>
        </w:r>
        <w:r w:rsidR="00296EBF">
          <w:rPr>
            <w:noProof/>
            <w:webHidden/>
          </w:rPr>
          <w:t>8</w:t>
        </w:r>
        <w:r w:rsidR="00296EBF">
          <w:rPr>
            <w:noProof/>
            <w:webHidden/>
          </w:rPr>
          <w:fldChar w:fldCharType="end"/>
        </w:r>
      </w:hyperlink>
    </w:p>
    <w:p w14:paraId="6E1B8314" w14:textId="199BE4AB" w:rsidR="00296EBF" w:rsidRDefault="00FE3B3E">
      <w:pPr>
        <w:pStyle w:val="23"/>
        <w:rPr>
          <w:rFonts w:asciiTheme="minorHAnsi" w:eastAsiaTheme="minorEastAsia" w:hAnsiTheme="minorHAnsi" w:cstheme="minorBidi"/>
          <w:noProof/>
          <w:sz w:val="22"/>
          <w:szCs w:val="22"/>
          <w:lang w:val="ru-RU"/>
        </w:rPr>
      </w:pPr>
      <w:hyperlink w:anchor="_Toc175850115" w:history="1">
        <w:r w:rsidR="00296EBF" w:rsidRPr="007E79A6">
          <w:rPr>
            <w:rStyle w:val="a8"/>
            <w:noProof/>
          </w:rPr>
          <w:t>5.1.</w:t>
        </w:r>
        <w:r w:rsidR="00296EBF">
          <w:rPr>
            <w:rFonts w:asciiTheme="minorHAnsi" w:eastAsiaTheme="minorEastAsia" w:hAnsiTheme="minorHAnsi" w:cstheme="minorBidi"/>
            <w:noProof/>
            <w:sz w:val="22"/>
            <w:szCs w:val="22"/>
            <w:lang w:val="ru-RU"/>
          </w:rPr>
          <w:tab/>
        </w:r>
        <w:r w:rsidR="00296EBF" w:rsidRPr="007E79A6">
          <w:rPr>
            <w:rStyle w:val="a8"/>
            <w:noProof/>
          </w:rPr>
          <w:t>Schedule of index calculation</w:t>
        </w:r>
        <w:r w:rsidR="00296EBF">
          <w:rPr>
            <w:noProof/>
            <w:webHidden/>
          </w:rPr>
          <w:tab/>
        </w:r>
        <w:r w:rsidR="00296EBF">
          <w:rPr>
            <w:noProof/>
            <w:webHidden/>
          </w:rPr>
          <w:fldChar w:fldCharType="begin"/>
        </w:r>
        <w:r w:rsidR="00296EBF">
          <w:rPr>
            <w:noProof/>
            <w:webHidden/>
          </w:rPr>
          <w:instrText xml:space="preserve"> PAGEREF _Toc175850115 \h </w:instrText>
        </w:r>
        <w:r w:rsidR="00296EBF">
          <w:rPr>
            <w:noProof/>
            <w:webHidden/>
          </w:rPr>
        </w:r>
        <w:r w:rsidR="00296EBF">
          <w:rPr>
            <w:noProof/>
            <w:webHidden/>
          </w:rPr>
          <w:fldChar w:fldCharType="separate"/>
        </w:r>
        <w:r w:rsidR="00296EBF">
          <w:rPr>
            <w:noProof/>
            <w:webHidden/>
          </w:rPr>
          <w:t>8</w:t>
        </w:r>
        <w:r w:rsidR="00296EBF">
          <w:rPr>
            <w:noProof/>
            <w:webHidden/>
          </w:rPr>
          <w:fldChar w:fldCharType="end"/>
        </w:r>
      </w:hyperlink>
    </w:p>
    <w:p w14:paraId="30809AF7" w14:textId="66E0B37A" w:rsidR="00296EBF" w:rsidRDefault="00FE3B3E">
      <w:pPr>
        <w:pStyle w:val="23"/>
        <w:rPr>
          <w:rFonts w:asciiTheme="minorHAnsi" w:eastAsiaTheme="minorEastAsia" w:hAnsiTheme="minorHAnsi" w:cstheme="minorBidi"/>
          <w:noProof/>
          <w:sz w:val="22"/>
          <w:szCs w:val="22"/>
          <w:lang w:val="ru-RU"/>
        </w:rPr>
      </w:pPr>
      <w:hyperlink w:anchor="_Toc175850116" w:history="1">
        <w:r w:rsidR="00296EBF" w:rsidRPr="007E79A6">
          <w:rPr>
            <w:rStyle w:val="a8"/>
            <w:noProof/>
          </w:rPr>
          <w:t>5.2.</w:t>
        </w:r>
        <w:r w:rsidR="00296EBF">
          <w:rPr>
            <w:rFonts w:asciiTheme="minorHAnsi" w:eastAsiaTheme="minorEastAsia" w:hAnsiTheme="minorHAnsi" w:cstheme="minorBidi"/>
            <w:noProof/>
            <w:sz w:val="22"/>
            <w:szCs w:val="22"/>
            <w:lang w:val="ru-RU"/>
          </w:rPr>
          <w:tab/>
        </w:r>
        <w:r w:rsidR="00296EBF" w:rsidRPr="007E79A6">
          <w:rPr>
            <w:rStyle w:val="a8"/>
            <w:noProof/>
          </w:rPr>
          <w:t>Control over the index calculation</w:t>
        </w:r>
        <w:r w:rsidR="00296EBF">
          <w:rPr>
            <w:noProof/>
            <w:webHidden/>
          </w:rPr>
          <w:tab/>
        </w:r>
        <w:r w:rsidR="00296EBF">
          <w:rPr>
            <w:noProof/>
            <w:webHidden/>
          </w:rPr>
          <w:fldChar w:fldCharType="begin"/>
        </w:r>
        <w:r w:rsidR="00296EBF">
          <w:rPr>
            <w:noProof/>
            <w:webHidden/>
          </w:rPr>
          <w:instrText xml:space="preserve"> PAGEREF _Toc175850116 \h </w:instrText>
        </w:r>
        <w:r w:rsidR="00296EBF">
          <w:rPr>
            <w:noProof/>
            <w:webHidden/>
          </w:rPr>
        </w:r>
        <w:r w:rsidR="00296EBF">
          <w:rPr>
            <w:noProof/>
            <w:webHidden/>
          </w:rPr>
          <w:fldChar w:fldCharType="separate"/>
        </w:r>
        <w:r w:rsidR="00296EBF">
          <w:rPr>
            <w:noProof/>
            <w:webHidden/>
          </w:rPr>
          <w:t>8</w:t>
        </w:r>
        <w:r w:rsidR="00296EBF">
          <w:rPr>
            <w:noProof/>
            <w:webHidden/>
          </w:rPr>
          <w:fldChar w:fldCharType="end"/>
        </w:r>
      </w:hyperlink>
    </w:p>
    <w:p w14:paraId="50C5C395" w14:textId="363571A1" w:rsidR="00296EBF" w:rsidRDefault="00FE3B3E">
      <w:pPr>
        <w:pStyle w:val="23"/>
        <w:rPr>
          <w:rFonts w:asciiTheme="minorHAnsi" w:eastAsiaTheme="minorEastAsia" w:hAnsiTheme="minorHAnsi" w:cstheme="minorBidi"/>
          <w:noProof/>
          <w:sz w:val="22"/>
          <w:szCs w:val="22"/>
          <w:lang w:val="ru-RU"/>
        </w:rPr>
      </w:pPr>
      <w:hyperlink w:anchor="_Toc175850117" w:history="1">
        <w:r w:rsidR="00296EBF" w:rsidRPr="007E79A6">
          <w:rPr>
            <w:rStyle w:val="a8"/>
            <w:noProof/>
          </w:rPr>
          <w:t>5.3.</w:t>
        </w:r>
        <w:r w:rsidR="00296EBF">
          <w:rPr>
            <w:rFonts w:asciiTheme="minorHAnsi" w:eastAsiaTheme="minorEastAsia" w:hAnsiTheme="minorHAnsi" w:cstheme="minorBidi"/>
            <w:noProof/>
            <w:sz w:val="22"/>
            <w:szCs w:val="22"/>
            <w:lang w:val="ru-RU"/>
          </w:rPr>
          <w:tab/>
        </w:r>
        <w:r w:rsidR="00296EBF" w:rsidRPr="007E79A6">
          <w:rPr>
            <w:rStyle w:val="a8"/>
            <w:noProof/>
          </w:rPr>
          <w:t>Publication</w:t>
        </w:r>
        <w:r w:rsidR="00296EBF">
          <w:rPr>
            <w:noProof/>
            <w:webHidden/>
          </w:rPr>
          <w:tab/>
        </w:r>
        <w:r w:rsidR="00296EBF">
          <w:rPr>
            <w:noProof/>
            <w:webHidden/>
          </w:rPr>
          <w:fldChar w:fldCharType="begin"/>
        </w:r>
        <w:r w:rsidR="00296EBF">
          <w:rPr>
            <w:noProof/>
            <w:webHidden/>
          </w:rPr>
          <w:instrText xml:space="preserve"> PAGEREF _Toc175850117 \h </w:instrText>
        </w:r>
        <w:r w:rsidR="00296EBF">
          <w:rPr>
            <w:noProof/>
            <w:webHidden/>
          </w:rPr>
        </w:r>
        <w:r w:rsidR="00296EBF">
          <w:rPr>
            <w:noProof/>
            <w:webHidden/>
          </w:rPr>
          <w:fldChar w:fldCharType="separate"/>
        </w:r>
        <w:r w:rsidR="00296EBF">
          <w:rPr>
            <w:noProof/>
            <w:webHidden/>
          </w:rPr>
          <w:t>8</w:t>
        </w:r>
        <w:r w:rsidR="00296EBF">
          <w:rPr>
            <w:noProof/>
            <w:webHidden/>
          </w:rPr>
          <w:fldChar w:fldCharType="end"/>
        </w:r>
      </w:hyperlink>
    </w:p>
    <w:p w14:paraId="4DECFA67" w14:textId="0ABC2EB5" w:rsidR="00296EBF" w:rsidRDefault="00FE3B3E">
      <w:pPr>
        <w:pStyle w:val="14"/>
        <w:rPr>
          <w:rFonts w:asciiTheme="minorHAnsi" w:eastAsiaTheme="minorEastAsia" w:hAnsiTheme="minorHAnsi" w:cstheme="minorBidi"/>
          <w:b w:val="0"/>
          <w:bCs w:val="0"/>
          <w:caps w:val="0"/>
          <w:noProof/>
          <w:sz w:val="22"/>
          <w:szCs w:val="22"/>
          <w:lang w:val="ru-RU"/>
        </w:rPr>
      </w:pPr>
      <w:hyperlink w:anchor="_Toc175850118" w:history="1">
        <w:r w:rsidR="00296EBF" w:rsidRPr="007E79A6">
          <w:rPr>
            <w:rStyle w:val="a8"/>
            <w:noProof/>
          </w:rPr>
          <w:t>Appendix I</w:t>
        </w:r>
        <w:r w:rsidR="00296EBF">
          <w:rPr>
            <w:noProof/>
            <w:webHidden/>
          </w:rPr>
          <w:tab/>
        </w:r>
        <w:r w:rsidR="00296EBF">
          <w:rPr>
            <w:noProof/>
            <w:webHidden/>
          </w:rPr>
          <w:fldChar w:fldCharType="begin"/>
        </w:r>
        <w:r w:rsidR="00296EBF">
          <w:rPr>
            <w:noProof/>
            <w:webHidden/>
          </w:rPr>
          <w:instrText xml:space="preserve"> PAGEREF _Toc175850118 \h </w:instrText>
        </w:r>
        <w:r w:rsidR="00296EBF">
          <w:rPr>
            <w:noProof/>
            <w:webHidden/>
          </w:rPr>
        </w:r>
        <w:r w:rsidR="00296EBF">
          <w:rPr>
            <w:noProof/>
            <w:webHidden/>
          </w:rPr>
          <w:fldChar w:fldCharType="separate"/>
        </w:r>
        <w:r w:rsidR="00296EBF">
          <w:rPr>
            <w:noProof/>
            <w:webHidden/>
          </w:rPr>
          <w:t>9</w:t>
        </w:r>
        <w:r w:rsidR="00296EBF">
          <w:rPr>
            <w:noProof/>
            <w:webHidden/>
          </w:rPr>
          <w:fldChar w:fldCharType="end"/>
        </w:r>
      </w:hyperlink>
    </w:p>
    <w:p w14:paraId="3DEF2CE1" w14:textId="6BA32E0C"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296EBF">
      <w:pPr>
        <w:pStyle w:val="10"/>
        <w:spacing w:after="120"/>
        <w:rPr>
          <w:rFonts w:cs="Tahoma"/>
        </w:rPr>
      </w:pPr>
      <w:r>
        <w:br w:type="page"/>
      </w:r>
      <w:bookmarkStart w:id="1" w:name="_Toc175850100"/>
      <w:r>
        <w:lastRenderedPageBreak/>
        <w:t>Introduction</w:t>
      </w:r>
      <w:bookmarkEnd w:id="1"/>
    </w:p>
    <w:p w14:paraId="7C1298F4" w14:textId="77777777" w:rsidR="00AF15EE" w:rsidRPr="00636E22" w:rsidRDefault="00CB6ACD" w:rsidP="00296EBF">
      <w:pPr>
        <w:pStyle w:val="a"/>
        <w:spacing w:after="120"/>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175850101"/>
      <w:r>
        <w:t>Terms and definitions</w:t>
      </w:r>
      <w:bookmarkEnd w:id="2"/>
      <w:bookmarkEnd w:id="3"/>
      <w:bookmarkEnd w:id="4"/>
      <w:bookmarkEnd w:id="5"/>
      <w:bookmarkEnd w:id="6"/>
      <w:bookmarkEnd w:id="7"/>
      <w:bookmarkEnd w:id="8"/>
      <w:bookmarkEnd w:id="9"/>
    </w:p>
    <w:p w14:paraId="7082B270" w14:textId="353954FE" w:rsidR="007C42B0" w:rsidRPr="00833329" w:rsidRDefault="001D1A32" w:rsidP="00296EBF">
      <w:pPr>
        <w:pStyle w:val="30"/>
        <w:spacing w:after="120"/>
        <w:rPr>
          <w:rStyle w:val="af7"/>
          <w:rFonts w:ascii="Tahoma" w:hAnsi="Tahoma" w:cs="Tahoma"/>
        </w:rPr>
      </w:pPr>
      <w:bookmarkStart w:id="10" w:name="_Ref424309154"/>
      <w:r>
        <w:rPr>
          <w:rStyle w:val="af7"/>
          <w:rFonts w:ascii="Tahoma" w:hAnsi="Tahoma"/>
        </w:rPr>
        <w:t>For the purposes of this Calculation methodology for Shariah Investment Indices (the "Methodology"), the following terms and definitions shall apply:</w:t>
      </w:r>
      <w:bookmarkEnd w:id="10"/>
    </w:p>
    <w:p w14:paraId="3CB7C27B" w14:textId="77777777" w:rsidR="003E0ABD" w:rsidRPr="00833329" w:rsidRDefault="003E0ABD" w:rsidP="00296EBF">
      <w:pPr>
        <w:pStyle w:val="11"/>
        <w:spacing w:after="120"/>
      </w:pPr>
      <w:r>
        <w:rPr>
          <w:rStyle w:val="af7"/>
          <w:rFonts w:ascii="Tahoma" w:hAnsi="Tahoma"/>
          <w:u w:val="single"/>
        </w:rPr>
        <w:t>Stocks</w:t>
      </w:r>
      <w:r>
        <w:rPr>
          <w:rStyle w:val="af7"/>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145F96AE" w:rsidR="00D16E10" w:rsidRPr="004D453E" w:rsidRDefault="00A8347F" w:rsidP="00296EBF">
      <w:pPr>
        <w:pStyle w:val="11"/>
        <w:spacing w:after="120"/>
        <w:rPr>
          <w:rStyle w:val="af7"/>
          <w:rFonts w:ascii="Tahoma" w:hAnsi="Tahoma" w:cs="Tahoma"/>
        </w:rPr>
      </w:pPr>
      <w:r>
        <w:rPr>
          <w:rStyle w:val="af7"/>
          <w:rFonts w:ascii="Tahoma" w:hAnsi="Tahoma"/>
          <w:u w:val="single"/>
        </w:rPr>
        <w:t>Constituent Stocks</w:t>
      </w:r>
      <w:r>
        <w:rPr>
          <w:rStyle w:val="af7"/>
          <w:rFonts w:ascii="Tahoma" w:hAnsi="Tahoma"/>
        </w:rPr>
        <w:t xml:space="preserve"> are all securities in the Index.</w:t>
      </w:r>
    </w:p>
    <w:p w14:paraId="058D1B11" w14:textId="70C41536" w:rsidR="001D1A32" w:rsidRPr="004D453E" w:rsidRDefault="001D1A32" w:rsidP="00296EBF">
      <w:pPr>
        <w:pStyle w:val="11"/>
        <w:spacing w:after="120"/>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w:t>
      </w:r>
    </w:p>
    <w:p w14:paraId="21A9F6AD" w14:textId="77777777" w:rsidR="003E0ABD" w:rsidRPr="00C41E27" w:rsidRDefault="003E0ABD" w:rsidP="00296EBF">
      <w:pPr>
        <w:pStyle w:val="11"/>
        <w:spacing w:after="120"/>
        <w:rPr>
          <w:rStyle w:val="af7"/>
          <w:rFonts w:ascii="Tahoma" w:hAnsi="Tahoma" w:cs="Tahoma"/>
        </w:rPr>
      </w:pPr>
      <w:r>
        <w:rPr>
          <w:rStyle w:val="af7"/>
          <w:rFonts w:ascii="Tahoma" w:hAnsi="Tahoma"/>
          <w:u w:val="single"/>
        </w:rPr>
        <w:t>Index, price Index</w:t>
      </w:r>
      <w:r>
        <w:t xml:space="preserve"> is a benchmark calculated by the Exchange on the basis of trades executed on the Exchange measuring the aggregate price performance in RUB for a selection of securities.</w:t>
      </w:r>
    </w:p>
    <w:p w14:paraId="16A2AAF6" w14:textId="77777777" w:rsidR="003E0ABD" w:rsidRPr="00BC6404" w:rsidRDefault="003E0ABD" w:rsidP="00296EBF">
      <w:pPr>
        <w:pStyle w:val="11"/>
        <w:spacing w:after="120"/>
        <w:rPr>
          <w:rStyle w:val="af7"/>
          <w:rFonts w:cs="Tahoma"/>
        </w:rPr>
      </w:pPr>
      <w:r>
        <w:rPr>
          <w:rStyle w:val="af7"/>
          <w:u w:val="single"/>
        </w:rPr>
        <w:t>Total Return Index</w:t>
      </w:r>
      <w:r>
        <w:t xml:space="preserve"> is a benchmark measuring the price performance of the Index Constituents along with the income from reinvestment of constituent dividend payments.</w:t>
      </w:r>
    </w:p>
    <w:p w14:paraId="798555E9" w14:textId="26160727" w:rsidR="003E0ABD" w:rsidRPr="00C41E27" w:rsidRDefault="003E0ABD" w:rsidP="00296EBF">
      <w:pPr>
        <w:pStyle w:val="11"/>
        <w:spacing w:after="120"/>
        <w:rPr>
          <w:rStyle w:val="af7"/>
          <w:rFonts w:ascii="Tahoma" w:hAnsi="Tahoma" w:cs="Tahoma"/>
        </w:rPr>
      </w:pPr>
      <w:r>
        <w:rPr>
          <w:rStyle w:val="af7"/>
          <w:rFonts w:ascii="Tahoma" w:hAnsi="Tahoma"/>
          <w:u w:val="single"/>
        </w:rPr>
        <w:t>Free Float Factor</w:t>
      </w:r>
      <w:r>
        <w:rPr>
          <w:rStyle w:val="af7"/>
          <w:rFonts w:ascii="Tahoma" w:hAnsi="Tahoma"/>
        </w:rPr>
        <w:t xml:space="preserve"> means an adjusting coefficient measuring the number (percentage) of stocks or represented stocks floating on the market. Free float is calculated by the Exchange in accordance with its Free Float Methodology.</w:t>
      </w:r>
    </w:p>
    <w:p w14:paraId="5CAEC338" w14:textId="77FB5E3B" w:rsidR="00D50004" w:rsidRDefault="002560A8" w:rsidP="00296EBF">
      <w:pPr>
        <w:pStyle w:val="11"/>
        <w:spacing w:after="120"/>
        <w:rPr>
          <w:rStyle w:val="af7"/>
          <w:rFonts w:ascii="Tahoma" w:hAnsi="Tahoma" w:cs="Tahoma"/>
        </w:rPr>
      </w:pPr>
      <w:r>
        <w:rPr>
          <w:rStyle w:val="af7"/>
          <w:rFonts w:ascii="Tahoma" w:hAnsi="Tahoma"/>
          <w:u w:val="single"/>
        </w:rPr>
        <w:t>Principles of Islamic economy</w:t>
      </w:r>
      <w:r>
        <w:rPr>
          <w:rStyle w:val="af7"/>
          <w:rFonts w:ascii="Tahoma" w:hAnsi="Tahoma"/>
        </w:rPr>
        <w:t xml:space="preserve"> - principles of financial and other economic activities which is compliant with the Sharia, a set of prescriptions and rules mandatory for Muslims.</w:t>
      </w:r>
    </w:p>
    <w:p w14:paraId="0C0071CC" w14:textId="1185F129" w:rsidR="00422073" w:rsidRPr="00F4787E" w:rsidRDefault="00422073" w:rsidP="00296EBF">
      <w:pPr>
        <w:pStyle w:val="11"/>
        <w:spacing w:after="120"/>
        <w:rPr>
          <w:rStyle w:val="af7"/>
          <w:rFonts w:ascii="Tahoma" w:hAnsi="Tahoma" w:cs="Tahoma"/>
        </w:rPr>
      </w:pPr>
      <w:r>
        <w:rPr>
          <w:u w:val="single"/>
        </w:rPr>
        <w:t>Islamic Auditor</w:t>
      </w:r>
      <w:r>
        <w:t xml:space="preserve"> - the Shariah Supervisory Board established by </w:t>
      </w:r>
      <w:proofErr w:type="spellStart"/>
      <w:r>
        <w:t>Payzakat</w:t>
      </w:r>
      <w:proofErr w:type="spellEnd"/>
      <w:r>
        <w:t xml:space="preserve"> LLC, which performs compliance audits.   The Head of the Shariah Supervisory Board is certified by Global Islamic Financial Services Firm.</w:t>
      </w:r>
    </w:p>
    <w:p w14:paraId="04DE8505" w14:textId="0C362465" w:rsidR="00C97E18" w:rsidRDefault="00C97E18" w:rsidP="00296EBF">
      <w:pPr>
        <w:pStyle w:val="11"/>
        <w:spacing w:after="120"/>
        <w:rPr>
          <w:rStyle w:val="af7"/>
          <w:rFonts w:ascii="Tahoma" w:hAnsi="Tahoma" w:cs="Tahoma"/>
        </w:rPr>
      </w:pPr>
      <w:r>
        <w:rPr>
          <w:rStyle w:val="af7"/>
          <w:rFonts w:ascii="Tahoma" w:hAnsi="Tahoma"/>
          <w:u w:val="single"/>
        </w:rPr>
        <w:t>Compliance</w:t>
      </w:r>
      <w:r>
        <w:rPr>
          <w:rStyle w:val="af7"/>
          <w:rFonts w:ascii="Tahoma" w:hAnsi="Tahoma"/>
        </w:rPr>
        <w:t xml:space="preserve"> is the entirety of measures aimed at the verification of securities issuers for compliance with the Principles of Islamic Economy.</w:t>
      </w:r>
    </w:p>
    <w:p w14:paraId="7B88865B" w14:textId="1ABFF33B" w:rsidR="00422073" w:rsidRPr="004D453E" w:rsidRDefault="00422073" w:rsidP="00296EBF">
      <w:pPr>
        <w:pStyle w:val="11"/>
        <w:spacing w:after="120"/>
        <w:rPr>
          <w:rStyle w:val="af7"/>
          <w:rFonts w:ascii="Tahoma" w:hAnsi="Tahoma" w:cs="Tahoma"/>
        </w:rPr>
      </w:pPr>
      <w:r>
        <w:rPr>
          <w:rStyle w:val="af7"/>
          <w:rFonts w:ascii="Tahoma" w:hAnsi="Tahoma"/>
          <w:u w:val="single"/>
        </w:rPr>
        <w:t>Screening</w:t>
      </w:r>
      <w:r>
        <w:rPr>
          <w:rStyle w:val="af7"/>
          <w:rFonts w:ascii="Tahoma" w:hAnsi="Tahoma"/>
        </w:rPr>
        <w:t xml:space="preserve"> is a quarterly assessment of the financial performance of issuers that have been verified as Compliant.</w:t>
      </w:r>
    </w:p>
    <w:p w14:paraId="2BFC0E84" w14:textId="751F8DD2" w:rsidR="008A7ABC" w:rsidRPr="004D453E" w:rsidRDefault="008A7ABC" w:rsidP="00296EBF">
      <w:pPr>
        <w:pStyle w:val="11"/>
        <w:spacing w:after="120"/>
        <w:rPr>
          <w:rFonts w:cs="Tahoma"/>
        </w:rPr>
      </w:pPr>
      <w:r>
        <w:rPr>
          <w:u w:val="single"/>
        </w:rPr>
        <w:t>Weight</w:t>
      </w:r>
      <w:r>
        <w:t xml:space="preserve"> is the percentage of the value of securities of one issuer in the total value of all Index Constituents.</w:t>
      </w:r>
    </w:p>
    <w:p w14:paraId="4867C3C7" w14:textId="77777777" w:rsidR="00657BF4" w:rsidRPr="00636E22" w:rsidRDefault="00657BF4" w:rsidP="00296EBF">
      <w:pPr>
        <w:spacing w:after="120"/>
        <w:rPr>
          <w:rFonts w:cs="Tahoma"/>
        </w:rPr>
      </w:pPr>
    </w:p>
    <w:p w14:paraId="4FCE7B44" w14:textId="1A58CD56" w:rsidR="00DF7C2D" w:rsidRPr="00E8227F" w:rsidRDefault="005271C8" w:rsidP="00296EBF">
      <w:pPr>
        <w:pStyle w:val="a"/>
        <w:spacing w:after="120"/>
        <w:rPr>
          <w:rStyle w:val="af7"/>
          <w:rFonts w:ascii="Tahoma" w:hAnsi="Tahoma" w:cs="Tahoma"/>
        </w:rPr>
      </w:pPr>
      <w:bookmarkStart w:id="11" w:name="_Toc175850102"/>
      <w:r>
        <w:t>Overview</w:t>
      </w:r>
      <w:bookmarkEnd w:id="11"/>
    </w:p>
    <w:p w14:paraId="4B20B1F8" w14:textId="77777777" w:rsidR="0088162F" w:rsidRDefault="009D31E3" w:rsidP="00296EBF">
      <w:pPr>
        <w:pStyle w:val="30"/>
        <w:spacing w:after="120"/>
      </w:pPr>
      <w:r>
        <w:t>Under this Methodology, the Exchange calculates:</w:t>
      </w:r>
    </w:p>
    <w:p w14:paraId="184B6088" w14:textId="411EB823" w:rsidR="009D31E3" w:rsidRPr="00FE668E" w:rsidRDefault="009D31E3" w:rsidP="00296EBF">
      <w:pPr>
        <w:pStyle w:val="4"/>
        <w:spacing w:after="120"/>
      </w:pPr>
      <w:r>
        <w:t xml:space="preserve">The composite price Index. The Index name in Russian is </w:t>
      </w:r>
      <w:proofErr w:type="spellStart"/>
      <w:r>
        <w:t>Индекс</w:t>
      </w:r>
      <w:proofErr w:type="spellEnd"/>
      <w:r>
        <w:t xml:space="preserve"> </w:t>
      </w:r>
      <w:proofErr w:type="spellStart"/>
      <w:r>
        <w:t>МосБиржи</w:t>
      </w:r>
      <w:proofErr w:type="spellEnd"/>
      <w:r>
        <w:t xml:space="preserve"> </w:t>
      </w:r>
      <w:proofErr w:type="spellStart"/>
      <w:r>
        <w:t>Исламских</w:t>
      </w:r>
      <w:proofErr w:type="spellEnd"/>
      <w:r>
        <w:t xml:space="preserve"> </w:t>
      </w:r>
      <w:proofErr w:type="spellStart"/>
      <w:r>
        <w:t>инвестиций</w:t>
      </w:r>
      <w:proofErr w:type="spellEnd"/>
      <w:r>
        <w:t>. The Index name in English is MOEX SHARIAH INDEX</w:t>
      </w:r>
      <w:r w:rsidR="00296EBF">
        <w:t>.</w:t>
      </w:r>
      <w:r>
        <w:t xml:space="preserve"> The Index code is MXSHAR.</w:t>
      </w:r>
    </w:p>
    <w:p w14:paraId="345FB079" w14:textId="359C57DF" w:rsidR="0088162F" w:rsidRPr="00FE668E" w:rsidRDefault="0088162F" w:rsidP="00296EBF">
      <w:pPr>
        <w:pStyle w:val="4"/>
        <w:spacing w:after="120"/>
      </w:pPr>
      <w:r>
        <w:t xml:space="preserve">The Total Return Index. The Index name in Russian is </w:t>
      </w:r>
      <w:proofErr w:type="spellStart"/>
      <w:r>
        <w:t>Индекс</w:t>
      </w:r>
      <w:proofErr w:type="spellEnd"/>
      <w:r>
        <w:t xml:space="preserve"> </w:t>
      </w:r>
      <w:proofErr w:type="spellStart"/>
      <w:r>
        <w:t>МосБиржи</w:t>
      </w:r>
      <w:proofErr w:type="spellEnd"/>
      <w:r>
        <w:t xml:space="preserve"> </w:t>
      </w:r>
      <w:proofErr w:type="spellStart"/>
      <w:r>
        <w:t>Исламских</w:t>
      </w:r>
      <w:proofErr w:type="spellEnd"/>
      <w:r>
        <w:t xml:space="preserve"> </w:t>
      </w:r>
      <w:proofErr w:type="spellStart"/>
      <w:r>
        <w:t>инвестиций</w:t>
      </w:r>
      <w:proofErr w:type="spellEnd"/>
      <w:r>
        <w:t xml:space="preserve"> </w:t>
      </w:r>
      <w:proofErr w:type="spellStart"/>
      <w:r>
        <w:t>полной</w:t>
      </w:r>
      <w:proofErr w:type="spellEnd"/>
      <w:r>
        <w:t xml:space="preserve"> </w:t>
      </w:r>
      <w:proofErr w:type="spellStart"/>
      <w:r>
        <w:t>доходности</w:t>
      </w:r>
      <w:proofErr w:type="spellEnd"/>
      <w:r>
        <w:t>. The Index name in English is MOEX SHARIAH TOTAL RETURN INDEX. The Index code is MXSHARTR.</w:t>
      </w:r>
    </w:p>
    <w:p w14:paraId="4E75FE94" w14:textId="1FB44298" w:rsidR="0088162F" w:rsidRDefault="0088162F" w:rsidP="00296EBF">
      <w:pPr>
        <w:pStyle w:val="30"/>
        <w:spacing w:after="120"/>
        <w:rPr>
          <w:rFonts w:cs="Tahoma"/>
        </w:rPr>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69CB6598" w14:textId="610E171C" w:rsidR="00202804" w:rsidRDefault="0088162F" w:rsidP="00296EBF">
      <w:pPr>
        <w:pStyle w:val="30"/>
        <w:spacing w:after="120"/>
        <w:rPr>
          <w:rFonts w:cs="Tahoma"/>
        </w:rPr>
      </w:pPr>
      <w:r>
        <w:t>This Methodology as amended from time to time is subject to approval by the Exchange and come into effect on the date determined by the Exchange.</w:t>
      </w:r>
    </w:p>
    <w:p w14:paraId="749986B4" w14:textId="40D1990F" w:rsidR="0088162F" w:rsidRDefault="0088162F" w:rsidP="00296EBF">
      <w:pPr>
        <w:pStyle w:val="30"/>
        <w:spacing w:after="120"/>
        <w:rPr>
          <w:rFonts w:cs="Tahoma"/>
        </w:rPr>
      </w:pPr>
      <w:r>
        <w:lastRenderedPageBreak/>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59EA8045" w14:textId="77777777" w:rsidR="00747A59" w:rsidRPr="000E2543" w:rsidRDefault="00747A59" w:rsidP="00296EBF">
      <w:pPr>
        <w:pStyle w:val="30"/>
        <w:numPr>
          <w:ilvl w:val="0"/>
          <w:numId w:val="0"/>
        </w:numPr>
        <w:spacing w:after="120"/>
        <w:ind w:left="340"/>
        <w:rPr>
          <w:rFonts w:cs="Tahoma"/>
        </w:rPr>
      </w:pPr>
    </w:p>
    <w:p w14:paraId="1447AC1D" w14:textId="50E2F02E" w:rsidR="00960720" w:rsidRDefault="00D63381" w:rsidP="00296EBF">
      <w:pPr>
        <w:pStyle w:val="10"/>
        <w:spacing w:after="120"/>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1758501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Principles of Issuer Due Diligence</w:t>
      </w:r>
      <w:bookmarkEnd w:id="28"/>
    </w:p>
    <w:p w14:paraId="41C75D86" w14:textId="683EFBE9" w:rsidR="00D63381" w:rsidRDefault="00D63381" w:rsidP="00296EBF">
      <w:pPr>
        <w:pStyle w:val="30"/>
        <w:spacing w:after="120"/>
      </w:pPr>
      <w:r>
        <w:t>The Indexes shall include shares issued by companies having passed the Compliance check and admitted to trading on the Exchange.</w:t>
      </w:r>
    </w:p>
    <w:p w14:paraId="06EA7B69" w14:textId="56B59DD3" w:rsidR="00303603" w:rsidRDefault="001C6ADF" w:rsidP="00296EBF">
      <w:pPr>
        <w:pStyle w:val="30"/>
        <w:spacing w:after="120"/>
      </w:pPr>
      <w:r>
        <w:t xml:space="preserve">Compliance is verified by the Islamic auditor. </w:t>
      </w:r>
      <w:r>
        <w:rPr>
          <w:rStyle w:val="af7"/>
          <w:rFonts w:ascii="Tahoma" w:hAnsi="Tahoma"/>
        </w:rPr>
        <w:t>The basic principles and approaches are given in Appendix 1 to the Methodology.</w:t>
      </w:r>
    </w:p>
    <w:p w14:paraId="5D0511B6" w14:textId="653E872D" w:rsidR="00D63381" w:rsidRDefault="00303603" w:rsidP="00296EBF">
      <w:pPr>
        <w:pStyle w:val="30"/>
        <w:spacing w:after="120"/>
      </w:pPr>
      <w:r>
        <w:t>Compliance is verified annually, as well as on an ad hoc basis if the Index needs to be updated in accordance with this Methodology.</w:t>
      </w:r>
    </w:p>
    <w:p w14:paraId="27BD702E" w14:textId="234F0871" w:rsidR="001C6ADF" w:rsidRPr="008A2825" w:rsidRDefault="00AD3453" w:rsidP="00296EBF">
      <w:pPr>
        <w:pStyle w:val="30"/>
        <w:spacing w:after="120"/>
      </w:pPr>
      <w:r>
        <w:t>The Islamic auditor, in addition to the annual Compliance audit, performs Screening to calculate financial indicators such as the Debt Ratio, i.e. the ratio of the company's debt to equity ("Debt Ratio"), and the Dividend Adjustment Factor.</w:t>
      </w:r>
    </w:p>
    <w:p w14:paraId="21149219" w14:textId="77777777" w:rsidR="00D63381" w:rsidRPr="00D63381" w:rsidRDefault="00D63381" w:rsidP="00296EBF">
      <w:pPr>
        <w:spacing w:after="120"/>
      </w:pPr>
    </w:p>
    <w:p w14:paraId="59B2ADAC" w14:textId="77777777" w:rsidR="00D63381" w:rsidRDefault="00D63381" w:rsidP="00296EBF">
      <w:pPr>
        <w:pStyle w:val="10"/>
        <w:spacing w:after="120"/>
        <w:rPr>
          <w:rFonts w:cs="Tahoma"/>
        </w:rPr>
      </w:pPr>
      <w:bookmarkStart w:id="29" w:name="_Toc175850104"/>
      <w:r>
        <w:t>Calculation of the Index</w:t>
      </w:r>
      <w:bookmarkEnd w:id="29"/>
    </w:p>
    <w:p w14:paraId="1CA28E3C" w14:textId="2DCE5A24" w:rsidR="009D567F" w:rsidRPr="000E2543" w:rsidRDefault="004C20C3" w:rsidP="00296EBF">
      <w:pPr>
        <w:pStyle w:val="a"/>
        <w:spacing w:after="120"/>
      </w:pPr>
      <w:bookmarkStart w:id="30" w:name="_Toc424291531"/>
      <w:bookmarkStart w:id="31" w:name="_Toc424641373"/>
      <w:bookmarkStart w:id="32" w:name="_Toc424811488"/>
      <w:bookmarkStart w:id="33" w:name="_Toc424291532"/>
      <w:bookmarkStart w:id="34" w:name="_Toc424641374"/>
      <w:bookmarkStart w:id="35" w:name="_Toc424811489"/>
      <w:bookmarkStart w:id="36" w:name="_Toc424291533"/>
      <w:bookmarkStart w:id="37" w:name="_Toc424641375"/>
      <w:bookmarkStart w:id="38" w:name="_Toc424811490"/>
      <w:bookmarkStart w:id="39" w:name="_Toc424641376"/>
      <w:bookmarkStart w:id="40" w:name="_Toc424811491"/>
      <w:bookmarkStart w:id="41" w:name="_Toc424291535"/>
      <w:bookmarkStart w:id="42" w:name="_Toc424641377"/>
      <w:bookmarkStart w:id="43" w:name="_Toc424811492"/>
      <w:bookmarkStart w:id="44" w:name="_Toc175850105"/>
      <w:bookmarkStart w:id="45" w:name="_Ref272311215"/>
      <w:bookmarkStart w:id="46" w:name="_Ref335645386"/>
      <w:bookmarkStart w:id="47" w:name="_Ref410391505"/>
      <w:bookmarkStart w:id="48" w:name="п_2_3"/>
      <w:bookmarkEnd w:id="30"/>
      <w:bookmarkEnd w:id="31"/>
      <w:bookmarkEnd w:id="32"/>
      <w:bookmarkEnd w:id="33"/>
      <w:bookmarkEnd w:id="34"/>
      <w:bookmarkEnd w:id="35"/>
      <w:bookmarkEnd w:id="36"/>
      <w:bookmarkEnd w:id="37"/>
      <w:bookmarkEnd w:id="38"/>
      <w:bookmarkEnd w:id="39"/>
      <w:bookmarkEnd w:id="40"/>
      <w:bookmarkEnd w:id="41"/>
      <w:bookmarkEnd w:id="42"/>
      <w:bookmarkEnd w:id="43"/>
      <w:r>
        <w:t>Price index calculation</w:t>
      </w:r>
      <w:bookmarkEnd w:id="44"/>
    </w:p>
    <w:bookmarkEnd w:id="45"/>
    <w:bookmarkEnd w:id="46"/>
    <w:bookmarkEnd w:id="47"/>
    <w:bookmarkEnd w:id="48"/>
    <w:p w14:paraId="23374208" w14:textId="735F45CB" w:rsidR="00657BF4" w:rsidRPr="000E2543" w:rsidRDefault="00657BF4" w:rsidP="00296EBF">
      <w:pPr>
        <w:pStyle w:val="30"/>
        <w:spacing w:after="120"/>
        <w:rPr>
          <w:rFonts w:cs="Tahoma"/>
        </w:rPr>
      </w:pPr>
      <w:r>
        <w:t>The Price Index is calculated as the ratio of the total value (capitalization) of all Constituent securities, as of the moment of calculation of the Price Index to the value of the Divisor, according to the following formula:</w:t>
      </w:r>
    </w:p>
    <w:p w14:paraId="19ECE328" w14:textId="77777777" w:rsidR="00853A40" w:rsidRPr="000E2543" w:rsidRDefault="00FE3B3E" w:rsidP="00296EBF">
      <w:pPr>
        <w:pStyle w:val="afb"/>
        <w:spacing w:after="12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296EBF">
      <w:pPr>
        <w:pStyle w:val="af9"/>
        <w:contextualSpacing w:val="0"/>
        <w:rPr>
          <w:rFonts w:cs="Tahoma"/>
        </w:rPr>
      </w:pPr>
      <w:r>
        <w:t>where:</w:t>
      </w:r>
    </w:p>
    <w:p w14:paraId="55C461C6" w14:textId="6B2C1252" w:rsidR="00A9700C" w:rsidRPr="000E2543" w:rsidRDefault="00A9700C" w:rsidP="00296EBF">
      <w:pPr>
        <w:pStyle w:val="af9"/>
        <w:contextualSpacing w:val="0"/>
        <w:rPr>
          <w:rFonts w:cs="Tahoma"/>
        </w:rPr>
      </w:pPr>
      <w:r>
        <w:t>I</w:t>
      </w:r>
      <w:r>
        <w:rPr>
          <w:vertAlign w:val="subscript"/>
        </w:rPr>
        <w:t>n</w:t>
      </w:r>
      <w:r>
        <w:t xml:space="preserve"> – </w:t>
      </w:r>
      <w:r w:rsidR="00296EBF">
        <w:t xml:space="preserve">the </w:t>
      </w:r>
      <w:r>
        <w:t>value of the price Index as of the n</w:t>
      </w:r>
      <w:r>
        <w:rPr>
          <w:vertAlign w:val="superscript"/>
        </w:rPr>
        <w:t>th</w:t>
      </w:r>
      <w:r>
        <w:t xml:space="preserve"> moment;</w:t>
      </w:r>
    </w:p>
    <w:p w14:paraId="69E7C504" w14:textId="432C80FB" w:rsidR="00A9700C" w:rsidRPr="000E2543" w:rsidRDefault="00A9700C" w:rsidP="00296EBF">
      <w:pPr>
        <w:pStyle w:val="af9"/>
        <w:contextualSpacing w:val="0"/>
        <w:rPr>
          <w:rFonts w:cs="Tahoma"/>
        </w:rPr>
      </w:pPr>
      <w:proofErr w:type="spellStart"/>
      <w:r>
        <w:t>MC</w:t>
      </w:r>
      <w:r>
        <w:rPr>
          <w:vertAlign w:val="subscript"/>
        </w:rPr>
        <w:t>n</w:t>
      </w:r>
      <w:proofErr w:type="spellEnd"/>
      <w:r>
        <w:t xml:space="preserve"> –</w:t>
      </w:r>
      <w:r w:rsidR="00296EBF">
        <w:t xml:space="preserve"> the </w:t>
      </w:r>
      <w:r>
        <w:t>total value (capitalization) of all securities as of the n</w:t>
      </w:r>
      <w:r>
        <w:rPr>
          <w:vertAlign w:val="superscript"/>
        </w:rPr>
        <w:t>th</w:t>
      </w:r>
      <w:r>
        <w:t xml:space="preserve"> moment, determined according to </w:t>
      </w:r>
      <w:r w:rsidR="00296EBF">
        <w:t>clause</w:t>
      </w:r>
      <w:r>
        <w:t xml:space="preserve">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296EBF">
        <w:rPr>
          <w:rFonts w:cs="Tahoma"/>
        </w:rPr>
        <w:t>3.1.3</w:t>
      </w:r>
      <w:r w:rsidR="002E725A" w:rsidRPr="000E2543">
        <w:rPr>
          <w:rFonts w:cs="Tahoma"/>
        </w:rPr>
        <w:fldChar w:fldCharType="end"/>
      </w:r>
      <w:r>
        <w:t xml:space="preserve"> of the Methodology;</w:t>
      </w:r>
    </w:p>
    <w:p w14:paraId="7B7E0D5B" w14:textId="39FE4865" w:rsidR="00C00C81" w:rsidRPr="000E2543" w:rsidRDefault="00C00C81" w:rsidP="00296EBF">
      <w:pPr>
        <w:pStyle w:val="af9"/>
        <w:contextualSpacing w:val="0"/>
        <w:rPr>
          <w:rFonts w:cs="Tahoma"/>
        </w:rPr>
      </w:pPr>
      <w:r>
        <w:t>I</w:t>
      </w:r>
      <w:r>
        <w:rPr>
          <w:vertAlign w:val="subscript"/>
        </w:rPr>
        <w:t>n</w:t>
      </w:r>
      <w:r>
        <w:t xml:space="preserve"> –</w:t>
      </w:r>
      <w:r w:rsidR="00296EBF">
        <w:t xml:space="preserve"> the </w:t>
      </w:r>
      <w:r>
        <w:t>value of the Divisor as of the n</w:t>
      </w:r>
      <w:r>
        <w:rPr>
          <w:vertAlign w:val="superscript"/>
        </w:rPr>
        <w:t>th</w:t>
      </w:r>
      <w:r>
        <w:t xml:space="preserve"> moment;</w:t>
      </w:r>
    </w:p>
    <w:p w14:paraId="2DD35345" w14:textId="73F8FC98" w:rsidR="00EE01FF" w:rsidRPr="000E2543" w:rsidRDefault="00EE01FF" w:rsidP="00296EBF">
      <w:pPr>
        <w:pStyle w:val="af9"/>
        <w:contextualSpacing w:val="0"/>
        <w:rPr>
          <w:rFonts w:cs="Tahoma"/>
        </w:rPr>
      </w:pPr>
      <w:r>
        <w:t>The Divisor is the total capitalization of all securities as of the first day of calculation of the Price Index, adjusted for the changes in the Index constituents and the initial value of the Price Index. On the first day of calculation of the Price Index, the Divisor is calculated according to the formula:</w:t>
      </w:r>
    </w:p>
    <w:p w14:paraId="1F2E579C" w14:textId="77777777" w:rsidR="00853A40" w:rsidRPr="000E2543" w:rsidRDefault="00FE3B3E" w:rsidP="00296EBF">
      <w:pPr>
        <w:pStyle w:val="afb"/>
        <w:spacing w:after="12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296EBF">
      <w:pPr>
        <w:pStyle w:val="af9"/>
        <w:contextualSpacing w:val="0"/>
        <w:rPr>
          <w:rFonts w:cs="Tahoma"/>
        </w:rPr>
      </w:pPr>
      <w:r>
        <w:t>where:</w:t>
      </w:r>
    </w:p>
    <w:p w14:paraId="6D1C3277" w14:textId="31FF5046" w:rsidR="00A9700C" w:rsidRPr="000E2543" w:rsidRDefault="00A9700C" w:rsidP="00296EBF">
      <w:pPr>
        <w:pStyle w:val="af9"/>
        <w:contextualSpacing w:val="0"/>
        <w:rPr>
          <w:rFonts w:cs="Tahoma"/>
        </w:rPr>
      </w:pPr>
      <w:r>
        <w:t>MC</w:t>
      </w:r>
      <w:r>
        <w:rPr>
          <w:vertAlign w:val="subscript"/>
        </w:rPr>
        <w:t>1</w:t>
      </w:r>
      <w:r>
        <w:t xml:space="preserve"> – the initial capitalisation of all securities;</w:t>
      </w:r>
    </w:p>
    <w:p w14:paraId="6DC8F251" w14:textId="4F17204C" w:rsidR="00A9700C" w:rsidRPr="000E2543" w:rsidRDefault="00A9700C" w:rsidP="00296EBF">
      <w:pPr>
        <w:pStyle w:val="af9"/>
        <w:contextualSpacing w:val="0"/>
        <w:rPr>
          <w:rFonts w:cs="Tahoma"/>
        </w:rPr>
      </w:pPr>
      <w:r>
        <w:t>I</w:t>
      </w:r>
      <w:r>
        <w:rPr>
          <w:vertAlign w:val="subscript"/>
        </w:rPr>
        <w:t>1</w:t>
      </w:r>
      <w:r>
        <w:t xml:space="preserve"> – the </w:t>
      </w:r>
      <w:r w:rsidR="00296EBF">
        <w:t>initial</w:t>
      </w:r>
      <w:r>
        <w:t xml:space="preserve"> value of the price Index.</w:t>
      </w:r>
    </w:p>
    <w:p w14:paraId="51050DA1" w14:textId="14605D21" w:rsidR="005D5D55" w:rsidRPr="005D5D55" w:rsidRDefault="005D5D55" w:rsidP="00296EBF">
      <w:pPr>
        <w:pStyle w:val="af9"/>
        <w:contextualSpacing w:val="0"/>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w:t>
      </w:r>
      <w:r w:rsidR="00296EBF">
        <w:t>clause</w:t>
      </w:r>
      <w:r>
        <w:t xml:space="preserve"> 3.4.</w:t>
      </w:r>
    </w:p>
    <w:p w14:paraId="49E8AB3C" w14:textId="59ED4922" w:rsidR="00051F6A" w:rsidRPr="00B754EA" w:rsidRDefault="00A91DEC" w:rsidP="00296EBF">
      <w:pPr>
        <w:pStyle w:val="30"/>
        <w:spacing w:after="120"/>
        <w:rPr>
          <w:rFonts w:cs="Tahoma"/>
        </w:rPr>
      </w:pPr>
      <w:bookmarkStart w:id="49" w:name="_Ref332015395"/>
      <w:r>
        <w:t>The initial value of the Price Index: I</w:t>
      </w:r>
      <w:r>
        <w:rPr>
          <w:vertAlign w:val="subscript"/>
        </w:rPr>
        <w:t>1</w:t>
      </w:r>
      <w:r>
        <w:t>=1,000 as of 29 December 2020.</w:t>
      </w:r>
    </w:p>
    <w:p w14:paraId="7DFDFD27" w14:textId="7F1B7E15" w:rsidR="003E1173" w:rsidRPr="00636E22" w:rsidRDefault="00657BF4" w:rsidP="00296EBF">
      <w:pPr>
        <w:pStyle w:val="30"/>
        <w:spacing w:after="120"/>
        <w:rPr>
          <w:rFonts w:cs="Tahoma"/>
        </w:rPr>
      </w:pPr>
      <w:bookmarkStart w:id="50" w:name="_Ref335648511"/>
      <w:r>
        <w:t>The total value of all securities as of n</w:t>
      </w:r>
      <w:r>
        <w:rPr>
          <w:vertAlign w:val="superscript"/>
        </w:rPr>
        <w:t>th</w:t>
      </w:r>
      <w:r>
        <w:t xml:space="preserve"> moment of calculation is determined according to the formula:</w:t>
      </w:r>
      <w:bookmarkEnd w:id="49"/>
      <w:bookmarkEnd w:id="50"/>
    </w:p>
    <w:p w14:paraId="13E5B1A3" w14:textId="77777777" w:rsidR="00496D37" w:rsidRPr="00636E22" w:rsidRDefault="00496D37" w:rsidP="00296EBF">
      <w:pPr>
        <w:pStyle w:val="afb"/>
        <w:spacing w:after="12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296EBF">
      <w:pPr>
        <w:pStyle w:val="af9"/>
        <w:contextualSpacing w:val="0"/>
        <w:rPr>
          <w:rFonts w:cs="Tahoma"/>
        </w:rPr>
      </w:pPr>
      <w:r>
        <w:lastRenderedPageBreak/>
        <w:t>where:</w:t>
      </w:r>
    </w:p>
    <w:p w14:paraId="401D864C" w14:textId="5640AF97" w:rsidR="003E1173" w:rsidRPr="00636E22" w:rsidDel="00B80F84" w:rsidRDefault="003E1173" w:rsidP="00296EBF">
      <w:pPr>
        <w:pStyle w:val="af9"/>
        <w:contextualSpacing w:val="0"/>
        <w:rPr>
          <w:rFonts w:cs="Tahoma"/>
        </w:rPr>
      </w:pPr>
      <w:r>
        <w:t>N – the total number of securities;</w:t>
      </w:r>
    </w:p>
    <w:p w14:paraId="47B5D9C4" w14:textId="2D840B31" w:rsidR="003E1173" w:rsidRPr="00636E22" w:rsidRDefault="003E1173" w:rsidP="00296EBF">
      <w:pPr>
        <w:pStyle w:val="af9"/>
        <w:contextualSpacing w:val="0"/>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security.</w:t>
      </w:r>
    </w:p>
    <w:p w14:paraId="26700AF9" w14:textId="42BA4B64" w:rsidR="00657BF4" w:rsidRPr="00636E22" w:rsidRDefault="00FF5998" w:rsidP="00296EBF">
      <w:pPr>
        <w:pStyle w:val="30"/>
        <w:spacing w:after="120"/>
        <w:rPr>
          <w:rFonts w:cs="Tahoma"/>
        </w:rPr>
      </w:pPr>
      <w:r>
        <w:t xml:space="preserve">Capitalisation of the </w:t>
      </w:r>
      <w:proofErr w:type="spellStart"/>
      <w:r>
        <w:t>i</w:t>
      </w:r>
      <w:r>
        <w:rPr>
          <w:vertAlign w:val="superscript"/>
        </w:rPr>
        <w:t>th</w:t>
      </w:r>
      <w:proofErr w:type="spellEnd"/>
      <w:r>
        <w:t xml:space="preserve"> security is calculated as follows:</w:t>
      </w:r>
    </w:p>
    <w:p w14:paraId="6E21DF9F" w14:textId="582656AA" w:rsidR="005261F0" w:rsidRPr="00503147" w:rsidRDefault="005261F0" w:rsidP="00296EBF">
      <w:pPr>
        <w:pStyle w:val="afb"/>
        <w:spacing w:after="12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296EBF">
      <w:pPr>
        <w:pStyle w:val="af9"/>
        <w:contextualSpacing w:val="0"/>
        <w:rPr>
          <w:rFonts w:cs="Tahoma"/>
        </w:rPr>
      </w:pPr>
      <w:r>
        <w:t>where:</w:t>
      </w:r>
    </w:p>
    <w:p w14:paraId="484828B0" w14:textId="77777777" w:rsidR="005261F0" w:rsidRPr="00636E22" w:rsidRDefault="005261F0" w:rsidP="00296EBF">
      <w:pPr>
        <w:pStyle w:val="af9"/>
        <w:contextualSpacing w:val="0"/>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134DB99D" w14:textId="77777777" w:rsidR="005261F0" w:rsidRPr="00636E22" w:rsidRDefault="005261F0" w:rsidP="00296EBF">
      <w:pPr>
        <w:pStyle w:val="af9"/>
        <w:contextualSpacing w:val="0"/>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2A92D45A" w14:textId="77777777" w:rsidR="003E0ABD" w:rsidRPr="005436B6" w:rsidRDefault="003E0ABD" w:rsidP="00296EBF">
      <w:pPr>
        <w:pStyle w:val="af9"/>
        <w:contextualSpacing w:val="0"/>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686F8709" w14:textId="5E381543" w:rsidR="005261F0" w:rsidRPr="00636E22" w:rsidRDefault="005261F0" w:rsidP="00296EBF">
      <w:pPr>
        <w:pStyle w:val="af9"/>
        <w:contextualSpacing w:val="0"/>
        <w:rPr>
          <w:rFonts w:cs="Tahoma"/>
        </w:rPr>
      </w:pPr>
      <w:r>
        <w:t>W</w:t>
      </w:r>
      <w:r>
        <w:rPr>
          <w:vertAlign w:val="subscript"/>
        </w:rPr>
        <w:t>i</w:t>
      </w:r>
      <w:r>
        <w:t xml:space="preserve"> – the weighting factor capping the </w:t>
      </w:r>
      <w:proofErr w:type="spellStart"/>
      <w:r>
        <w:t>i</w:t>
      </w:r>
      <w:r>
        <w:rPr>
          <w:vertAlign w:val="superscript"/>
        </w:rPr>
        <w:t>th</w:t>
      </w:r>
      <w:proofErr w:type="spellEnd"/>
      <w:r>
        <w:rPr>
          <w:vertAlign w:val="superscript"/>
        </w:rPr>
        <w:t xml:space="preserve"> </w:t>
      </w:r>
      <w:r>
        <w:t>Stock in the Index (the Weighting Factor).</w:t>
      </w:r>
    </w:p>
    <w:p w14:paraId="360BBB9D" w14:textId="77777777" w:rsidR="003E1173" w:rsidRPr="00636E22" w:rsidRDefault="003E1173" w:rsidP="00296EBF">
      <w:pPr>
        <w:pStyle w:val="30"/>
        <w:spacing w:after="120"/>
        <w:rPr>
          <w:rFonts w:cs="Tahoma"/>
        </w:rPr>
      </w:pPr>
      <w:r>
        <w:t xml:space="preserve">Capitalisation </w:t>
      </w:r>
      <w:proofErr w:type="spellStart"/>
      <w:r>
        <w:t>MC</w:t>
      </w:r>
      <w:r>
        <w:rPr>
          <w:vertAlign w:val="subscript"/>
        </w:rPr>
        <w:t>i</w:t>
      </w:r>
      <w:proofErr w:type="spellEnd"/>
      <w:r>
        <w:t xml:space="preserve"> is calculated to four decimal places.</w:t>
      </w:r>
    </w:p>
    <w:p w14:paraId="7B294C80" w14:textId="5CC0D893" w:rsidR="00B61B3D" w:rsidRDefault="003C6629" w:rsidP="00296EBF">
      <w:pPr>
        <w:pStyle w:val="30"/>
        <w:spacing w:after="120"/>
        <w:rPr>
          <w:rFonts w:cs="Tahoma"/>
        </w:rPr>
      </w:pPr>
      <w:r>
        <w:t>Price Index values are expressed in points and are calculated to two decimal places.</w:t>
      </w:r>
    </w:p>
    <w:p w14:paraId="66137861" w14:textId="08835C17" w:rsidR="00A3077C" w:rsidRPr="00636E22" w:rsidRDefault="00A3077C" w:rsidP="00296EBF">
      <w:pPr>
        <w:pStyle w:val="a"/>
        <w:spacing w:after="120"/>
      </w:pPr>
      <w:bookmarkStart w:id="51" w:name="_Toc175850106"/>
      <w:bookmarkStart w:id="52" w:name="_Toc463443753"/>
      <w:bookmarkStart w:id="53" w:name="_Toc488065466"/>
      <w:bookmarkStart w:id="54" w:name="_Toc17997654"/>
      <w:r>
        <w:t>Calculating Weighting Factors</w:t>
      </w:r>
      <w:bookmarkEnd w:id="51"/>
    </w:p>
    <w:p w14:paraId="149E1D06" w14:textId="6F17E864" w:rsidR="00A3077C" w:rsidRPr="00A3077C" w:rsidRDefault="00A3077C" w:rsidP="00296EBF">
      <w:pPr>
        <w:pStyle w:val="30"/>
        <w:spacing w:after="120"/>
      </w:pPr>
      <w:r>
        <w:t>W</w:t>
      </w:r>
      <w:r>
        <w:rPr>
          <w:vertAlign w:val="subscript"/>
        </w:rPr>
        <w:t>i</w:t>
      </w:r>
      <w:r>
        <w:t xml:space="preserve"> shall be set so that the specific weight </w:t>
      </w:r>
      <w:proofErr w:type="spellStart"/>
      <w:r>
        <w:t>Wght</w:t>
      </w:r>
      <w:r>
        <w:rPr>
          <w:vertAlign w:val="subscript"/>
        </w:rPr>
        <w:t>i</w:t>
      </w:r>
      <w:proofErr w:type="spellEnd"/>
      <w:r>
        <w:t xml:space="preserve"> of the </w:t>
      </w:r>
      <w:proofErr w:type="spellStart"/>
      <w:r>
        <w:t>i</w:t>
      </w:r>
      <w:r>
        <w:rPr>
          <w:vertAlign w:val="superscript"/>
        </w:rPr>
        <w:t>th</w:t>
      </w:r>
      <w:proofErr w:type="spellEnd"/>
      <w:r>
        <w:t xml:space="preserve"> Constituent </w:t>
      </w:r>
      <w:r w:rsidR="00296EBF">
        <w:t>Stock</w:t>
      </w:r>
      <w:r>
        <w:t xml:space="preserve"> does not exceed the upper limit of the estimated value of one legal entity in the property structure of a mutual fund as established by laws and other regulatory acts of the Bank of Russia, reduced by </w:t>
      </w:r>
      <w:r w:rsidR="00A9084D" w:rsidRPr="00A9084D">
        <w:rPr>
          <w:lang w:val="en-US"/>
        </w:rPr>
        <w:t>2</w:t>
      </w:r>
      <w:r>
        <w:t>%, as of the Index review date.</w:t>
      </w:r>
    </w:p>
    <w:p w14:paraId="204CC5A2" w14:textId="03CAC7ED" w:rsidR="004871B0" w:rsidRPr="00636E22" w:rsidRDefault="004871B0" w:rsidP="00296EBF">
      <w:pPr>
        <w:pStyle w:val="a"/>
        <w:spacing w:after="120"/>
      </w:pPr>
      <w:bookmarkStart w:id="55" w:name="_Toc175850107"/>
      <w:r>
        <w:t>S</w:t>
      </w:r>
      <w:r w:rsidR="00296EBF">
        <w:t>tock</w:t>
      </w:r>
      <w:r>
        <w:t xml:space="preserve"> price</w:t>
      </w:r>
      <w:bookmarkEnd w:id="55"/>
    </w:p>
    <w:p w14:paraId="661D8D6E" w14:textId="6A857C3E" w:rsidR="003E0ABD" w:rsidRPr="00636E22" w:rsidRDefault="003E0ABD" w:rsidP="00296EBF">
      <w:pPr>
        <w:pStyle w:val="30"/>
        <w:spacing w:after="120"/>
      </w:pPr>
      <w:bookmarkStart w:id="56" w:name="_Ref323385773"/>
      <w:bookmarkStart w:id="57" w:name="_Ref323388095"/>
      <w:bookmarkStart w:id="58" w:name="п_3_2"/>
      <w:bookmarkStart w:id="59" w:name="_Ref235351856"/>
      <w:bookmarkStart w:id="60" w:name="_Ref306365601"/>
      <w:bookmarkStart w:id="61" w:name="_Ref306199762"/>
      <w:r>
        <w:t xml:space="preserve">To determine the price (Pi) of the </w:t>
      </w:r>
      <w:proofErr w:type="spellStart"/>
      <w:r>
        <w:t>i</w:t>
      </w:r>
      <w:r>
        <w:rPr>
          <w:vertAlign w:val="superscript"/>
        </w:rPr>
        <w:t>th</w:t>
      </w:r>
      <w:proofErr w:type="spellEnd"/>
      <w:r>
        <w:t xml:space="preserve"> </w:t>
      </w:r>
      <w:r w:rsidR="00296EBF">
        <w:t>Stock</w:t>
      </w:r>
      <w:r>
        <w:t>, the prices of trades executed on the Exchange's market in accordance with the Trading Rules for the Equity &amp; Bond Market and the Deposit Market, are used, namely:</w:t>
      </w:r>
      <w:bookmarkEnd w:id="56"/>
    </w:p>
    <w:p w14:paraId="16C7B491" w14:textId="77777777" w:rsidR="003E0ABD" w:rsidRPr="00B859EE" w:rsidRDefault="003E0ABD" w:rsidP="00296EBF">
      <w:pPr>
        <w:pStyle w:val="11"/>
        <w:spacing w:after="120"/>
        <w:rPr>
          <w:rFonts w:cs="Tahoma"/>
        </w:rPr>
      </w:pPr>
      <w:r>
        <w:t>prices of trades in these Stocks executed during the trading period on the Central Order Book T+;</w:t>
      </w:r>
    </w:p>
    <w:p w14:paraId="0666DEF8" w14:textId="77777777" w:rsidR="003E0ABD" w:rsidRPr="00636E22" w:rsidRDefault="003E0ABD" w:rsidP="00296EBF">
      <w:pPr>
        <w:pStyle w:val="11"/>
        <w:spacing w:after="120"/>
        <w:rPr>
          <w:rFonts w:cs="Tahoma"/>
        </w:rPr>
      </w:pPr>
      <w:r>
        <w:t>closing prices of the Stocks.</w:t>
      </w:r>
    </w:p>
    <w:p w14:paraId="33847DBA" w14:textId="57929589" w:rsidR="003E0ABD" w:rsidRPr="00636E22" w:rsidRDefault="003E0ABD" w:rsidP="00296EBF">
      <w:pPr>
        <w:pStyle w:val="30"/>
        <w:spacing w:after="120"/>
        <w:rPr>
          <w:rFonts w:cs="Tahoma"/>
        </w:rPr>
      </w:pPr>
      <w:bookmarkStart w:id="62" w:name="_Ref332097595"/>
      <w:bookmarkStart w:id="63"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w:t>
      </w:r>
      <w:r w:rsidR="00296EBF">
        <w:t>clause</w:t>
      </w:r>
      <w:r>
        <w:t xml:space="preserve"> 2.3.1 above may be changed by the Exchange's decision.</w:t>
      </w:r>
      <w:bookmarkEnd w:id="57"/>
      <w:bookmarkEnd w:id="62"/>
      <w:bookmarkEnd w:id="63"/>
    </w:p>
    <w:p w14:paraId="7CD813CC" w14:textId="0F553143" w:rsidR="003E0ABD" w:rsidRPr="00636E22" w:rsidRDefault="003E0ABD" w:rsidP="00296EBF">
      <w:pPr>
        <w:pStyle w:val="30"/>
        <w:spacing w:after="120"/>
        <w:rPr>
          <w:rFonts w:cs="Tahoma"/>
        </w:rPr>
      </w:pPr>
      <w:bookmarkStart w:id="64" w:name="_Ref338239353"/>
      <w:bookmarkEnd w:id="58"/>
      <w:r>
        <w:t xml:space="preserve">The price (Pi) of the </w:t>
      </w:r>
      <w:proofErr w:type="spellStart"/>
      <w:r>
        <w:t>i</w:t>
      </w:r>
      <w:r>
        <w:rPr>
          <w:vertAlign w:val="superscript"/>
        </w:rPr>
        <w:t>th</w:t>
      </w:r>
      <w:proofErr w:type="spellEnd"/>
      <w:r>
        <w:t xml:space="preserve"> Stock is set equal to the price of the last trade in that </w:t>
      </w:r>
      <w:r w:rsidR="00296EBF">
        <w:t>Stock</w:t>
      </w:r>
      <w:r>
        <w:t xml:space="preserve"> executed on MOEX (</w:t>
      </w:r>
      <w:proofErr w:type="spellStart"/>
      <w:r>
        <w:t>P</w:t>
      </w:r>
      <w:r>
        <w:rPr>
          <w:vertAlign w:val="subscript"/>
        </w:rPr>
        <w:t>it</w:t>
      </w:r>
      <w:r>
        <w:rPr>
          <w:vertAlign w:val="superscript"/>
        </w:rPr>
        <w:t>deal</w:t>
      </w:r>
      <w:proofErr w:type="spellEnd"/>
      <w:r>
        <w:t xml:space="preserve">), except for the cases stipulated in </w:t>
      </w:r>
      <w:r w:rsidR="00296EBF">
        <w:t>clause</w:t>
      </w:r>
      <w:r>
        <w:t xml:space="preserve">s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sidR="00296EBF">
        <w:rPr>
          <w:rFonts w:cs="Tahoma"/>
        </w:rPr>
        <w:t>3.3.4</w:t>
      </w:r>
      <w:r w:rsidRPr="00636E22">
        <w:rPr>
          <w:rFonts w:cs="Tahoma"/>
        </w:rPr>
        <w:fldChar w:fldCharType="end"/>
      </w:r>
      <w: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sidR="00296EBF">
        <w:rPr>
          <w:rFonts w:cs="Tahoma"/>
        </w:rPr>
        <w:t>3.3.5</w:t>
      </w:r>
      <w:r w:rsidRPr="00636E22">
        <w:rPr>
          <w:rFonts w:cs="Tahoma"/>
        </w:rPr>
        <w:fldChar w:fldCharType="end"/>
      </w:r>
      <w:r>
        <w:t xml:space="preserve"> above.</w:t>
      </w:r>
    </w:p>
    <w:bookmarkStart w:id="65" w:name="_Ref348438393"/>
    <w:p w14:paraId="087C610A" w14:textId="77777777" w:rsidR="003E0ABD" w:rsidRPr="00636E22" w:rsidRDefault="00FE3B3E" w:rsidP="00296EBF">
      <w:pPr>
        <w:pStyle w:val="afb"/>
        <w:spacing w:after="120"/>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296EBF">
      <w:pPr>
        <w:pStyle w:val="30"/>
        <w:spacing w:after="120"/>
        <w:rPr>
          <w:rFonts w:cs="Tahoma"/>
        </w:rPr>
      </w:pPr>
      <w:bookmarkStart w:id="66" w:name="_Ref424307747"/>
      <w:r>
        <w:t>To remove fluctuations in securities prices that are not market-related, the deviation of every trade price from the weighted average price of the previous ten trades is figured out.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66"/>
    </w:p>
    <w:p w14:paraId="66B4B7FB" w14:textId="77777777" w:rsidR="003E0ABD" w:rsidRPr="00636E22" w:rsidRDefault="00FE3B3E" w:rsidP="00296EBF">
      <w:pPr>
        <w:pStyle w:val="afb"/>
        <w:spacing w:after="120"/>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5"/>
    <w:p w14:paraId="3E03025C" w14:textId="77777777" w:rsidR="003E0ABD" w:rsidRPr="00636E22" w:rsidRDefault="003E0ABD" w:rsidP="00296EBF">
      <w:pPr>
        <w:pStyle w:val="af9"/>
        <w:contextualSpacing w:val="0"/>
        <w:rPr>
          <w:rFonts w:cs="Tahoma"/>
        </w:rPr>
      </w:pPr>
      <w:r>
        <w:t>where:</w:t>
      </w:r>
    </w:p>
    <w:p w14:paraId="147E45A9" w14:textId="145DA27D" w:rsidR="003E0ABD" w:rsidRPr="00636E22" w:rsidRDefault="003E0ABD" w:rsidP="00296EBF">
      <w:pPr>
        <w:pStyle w:val="af9"/>
        <w:contextualSpacing w:val="0"/>
        <w:rPr>
          <w:rFonts w:cs="Tahoma"/>
        </w:rPr>
      </w:pPr>
      <w:r>
        <w:t>P</w:t>
      </w:r>
      <w:r>
        <w:rPr>
          <w:vertAlign w:val="subscript"/>
        </w:rPr>
        <w:t xml:space="preserve">it-1 </w:t>
      </w:r>
      <w:r>
        <w:t xml:space="preserve">– the price of the </w:t>
      </w:r>
      <w:proofErr w:type="spellStart"/>
      <w:r>
        <w:t>i</w:t>
      </w:r>
      <w:r w:rsidRPr="002D5581">
        <w:rPr>
          <w:vertAlign w:val="superscript"/>
        </w:rPr>
        <w:t>th</w:t>
      </w:r>
      <w:proofErr w:type="spellEnd"/>
      <w:r>
        <w:t xml:space="preserve"> </w:t>
      </w:r>
      <w:r w:rsidR="00296EBF">
        <w:t>Stock</w:t>
      </w:r>
      <w:r>
        <w:t xml:space="preserve"> at time t-1;</w:t>
      </w:r>
    </w:p>
    <w:p w14:paraId="4B432DC0" w14:textId="77777777" w:rsidR="003E0ABD" w:rsidRPr="00636E22" w:rsidRDefault="003E0ABD" w:rsidP="00296EBF">
      <w:pPr>
        <w:pStyle w:val="af9"/>
        <w:contextualSpacing w:val="0"/>
        <w:rPr>
          <w:rFonts w:cs="Tahoma"/>
          <w:iCs/>
        </w:rPr>
      </w:pPr>
      <w:proofErr w:type="spellStart"/>
      <w:r>
        <w:t>P</w:t>
      </w:r>
      <w:r>
        <w:rPr>
          <w:vertAlign w:val="subscript"/>
        </w:rPr>
        <w:t>it</w:t>
      </w:r>
      <w:r>
        <w:rPr>
          <w:vertAlign w:val="superscript"/>
        </w:rPr>
        <w:t>deal</w:t>
      </w:r>
      <w:proofErr w:type="spellEnd"/>
      <w:r>
        <w:t xml:space="preserve"> </w:t>
      </w:r>
      <w:proofErr w:type="gramStart"/>
      <w:r>
        <w:t>–  the</w:t>
      </w:r>
      <w:proofErr w:type="gramEnd"/>
      <w:r>
        <w:t xml:space="preserve"> price of the last trade at time t;</w:t>
      </w:r>
    </w:p>
    <w:p w14:paraId="6B3EF1EB" w14:textId="77777777" w:rsidR="003E0ABD" w:rsidRPr="007E5F63" w:rsidRDefault="003E0ABD" w:rsidP="00296EBF">
      <w:pPr>
        <w:pStyle w:val="af9"/>
        <w:contextualSpacing w:val="0"/>
        <w:rPr>
          <w:rFonts w:cs="Tahoma"/>
        </w:rPr>
      </w:pPr>
      <w:r>
        <w:t>F</w:t>
      </w:r>
      <w:r>
        <w:rPr>
          <w:vertAlign w:val="subscript"/>
        </w:rPr>
        <w:t>i</w:t>
      </w:r>
      <w:r>
        <w:t xml:space="preserve"> – limit value of deviation equal to 0.02, unless otherwise set by the Exchange;</w:t>
      </w:r>
    </w:p>
    <w:p w14:paraId="68D3B609" w14:textId="77777777" w:rsidR="003E0ABD" w:rsidRPr="00636E22" w:rsidRDefault="003E0ABD" w:rsidP="00296EBF">
      <w:pPr>
        <w:pStyle w:val="af9"/>
        <w:contextualSpacing w:val="0"/>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1CFB663E" w14:textId="77777777" w:rsidR="003E0ABD" w:rsidRPr="00E362C4" w:rsidRDefault="003E0ABD" w:rsidP="00296EBF">
      <w:pPr>
        <w:pStyle w:val="afb"/>
        <w:spacing w:after="120"/>
      </w:pPr>
      <m:oMathPara>
        <m:oMath>
          <m:r>
            <w:rPr>
              <w:lang w:val="en-US"/>
            </w:rPr>
            <w:lastRenderedPageBreak/>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296EBF">
      <w:pPr>
        <w:pStyle w:val="af9"/>
        <w:contextualSpacing w:val="0"/>
        <w:rPr>
          <w:rFonts w:cs="Tahoma"/>
        </w:rPr>
      </w:pPr>
      <w:r>
        <w:t>where:</w:t>
      </w:r>
    </w:p>
    <w:p w14:paraId="2B7D8D07" w14:textId="77777777" w:rsidR="003E0ABD" w:rsidRPr="00636E22" w:rsidRDefault="003E0ABD" w:rsidP="00296EBF">
      <w:pPr>
        <w:pStyle w:val="af9"/>
        <w:contextualSpacing w:val="0"/>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0A980A68" w14:textId="77777777" w:rsidR="003E0ABD" w:rsidRPr="00636E22" w:rsidRDefault="003E0ABD" w:rsidP="00296EBF">
      <w:pPr>
        <w:pStyle w:val="af9"/>
        <w:contextualSpacing w:val="0"/>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05D3E87D" w14:textId="5A3F9C15" w:rsidR="003E0ABD" w:rsidRPr="00636E22" w:rsidRDefault="003E0ABD" w:rsidP="00296EBF">
      <w:pPr>
        <w:pStyle w:val="af9"/>
        <w:contextualSpacing w:val="0"/>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rsidR="002D5581">
        <w:t>i</w:t>
      </w:r>
      <w:r w:rsidR="002D5581" w:rsidRPr="002D5581">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2D8AB96F" w14:textId="7B01327A" w:rsidR="003E0ABD" w:rsidRPr="00636E22" w:rsidRDefault="003E0ABD" w:rsidP="00296EBF">
      <w:pPr>
        <w:pStyle w:val="30"/>
        <w:spacing w:after="120"/>
        <w:rPr>
          <w:rFonts w:cs="Tahoma"/>
          <w:szCs w:val="20"/>
        </w:rPr>
      </w:pPr>
      <w:bookmarkStart w:id="67" w:name="_Ref368927626"/>
      <w:bookmarkStart w:id="68" w:name="_Ref324854569"/>
      <w:bookmarkStart w:id="69" w:name="п_3_5"/>
      <w:bookmarkEnd w:id="59"/>
      <w:bookmarkEnd w:id="60"/>
      <w:bookmarkEnd w:id="61"/>
      <w:bookmarkEnd w:id="64"/>
      <w:r>
        <w:t xml:space="preserve">The price of the </w:t>
      </w:r>
      <w:proofErr w:type="spellStart"/>
      <w:r w:rsidR="002D5581">
        <w:t>i</w:t>
      </w:r>
      <w:r w:rsidR="002D5581" w:rsidRPr="002D5581">
        <w:rPr>
          <w:vertAlign w:val="superscript"/>
        </w:rPr>
        <w:t>th</w:t>
      </w:r>
      <w:proofErr w:type="spellEnd"/>
      <w:r>
        <w:t xml:space="preserve"> </w:t>
      </w:r>
      <w:r w:rsidR="00296EBF">
        <w:t>Stock</w:t>
      </w:r>
      <w:r>
        <w:t xml:space="preserve"> (Pi) at the end of the main trading session is equal to the closing price.</w:t>
      </w:r>
      <w:bookmarkEnd w:id="67"/>
    </w:p>
    <w:p w14:paraId="3DF8AFBD" w14:textId="0916478A" w:rsidR="003E0ABD" w:rsidRPr="00636E22" w:rsidRDefault="003E0ABD" w:rsidP="00296EBF">
      <w:pPr>
        <w:pStyle w:val="30"/>
        <w:spacing w:after="120"/>
        <w:rPr>
          <w:rFonts w:cs="Tahoma"/>
          <w:szCs w:val="20"/>
        </w:rPr>
      </w:pPr>
      <w:bookmarkStart w:id="70" w:name="_Ref338150177"/>
      <w:r>
        <w:t xml:space="preserve">If two or more issues of shares of one Issuer and one category (type), with different state registration numbers, are admitted to trading on the Exchange, to determine the price of the </w:t>
      </w:r>
      <w:proofErr w:type="spellStart"/>
      <w:r w:rsidR="002D5581">
        <w:t>i</w:t>
      </w:r>
      <w:r w:rsidR="002D5581" w:rsidRPr="002D5581">
        <w:rPr>
          <w:vertAlign w:val="superscript"/>
        </w:rPr>
        <w:t>th</w:t>
      </w:r>
      <w:proofErr w:type="spellEnd"/>
      <w:r>
        <w:t xml:space="preserve"> Stock, buying/selling trades in the principal issue Stocks are </w:t>
      </w:r>
      <w:proofErr w:type="gramStart"/>
      <w:r>
        <w:t>taken into account</w:t>
      </w:r>
      <w:proofErr w:type="gramEnd"/>
      <w:r>
        <w:t>, but according to the Exchange decision, the price of an additional issue can be used.</w:t>
      </w:r>
      <w:bookmarkEnd w:id="68"/>
      <w:bookmarkEnd w:id="70"/>
    </w:p>
    <w:bookmarkEnd w:id="69"/>
    <w:p w14:paraId="087ACC64" w14:textId="7B564E87" w:rsidR="003E0ABD" w:rsidRPr="00636E22" w:rsidRDefault="003E0ABD" w:rsidP="00296EBF">
      <w:pPr>
        <w:pStyle w:val="30"/>
        <w:spacing w:after="120"/>
        <w:rPr>
          <w:rFonts w:cs="Tahoma"/>
        </w:rPr>
      </w:pPr>
      <w:r>
        <w:t xml:space="preserve">The price of the </w:t>
      </w:r>
      <w:proofErr w:type="spellStart"/>
      <w:r w:rsidR="002D5581">
        <w:t>i</w:t>
      </w:r>
      <w:r w:rsidR="002D5581" w:rsidRPr="002D5581">
        <w:rPr>
          <w:vertAlign w:val="superscript"/>
        </w:rPr>
        <w:t>th</w:t>
      </w:r>
      <w:proofErr w:type="spellEnd"/>
      <w:r>
        <w:t xml:space="preserve"> </w:t>
      </w:r>
      <w:r w:rsidR="00296EBF">
        <w:t>Stock</w:t>
      </w:r>
      <w:r>
        <w:t xml:space="preserve"> (Pi) is determined with the accuracy of the price tick set for this </w:t>
      </w:r>
      <w:r w:rsidR="00296EBF">
        <w:t>Stock</w:t>
      </w:r>
      <w:r>
        <w:t xml:space="preserve"> in the Trading Rules for the Equity &amp; Bond Market.</w:t>
      </w:r>
    </w:p>
    <w:p w14:paraId="0F8C65E1" w14:textId="77777777" w:rsidR="004871B0" w:rsidRPr="00636E22" w:rsidRDefault="004871B0" w:rsidP="00296EBF">
      <w:pPr>
        <w:pStyle w:val="a4"/>
        <w:jc w:val="both"/>
        <w:rPr>
          <w:rFonts w:cs="Tahoma"/>
        </w:rPr>
      </w:pPr>
    </w:p>
    <w:p w14:paraId="182D1686" w14:textId="77777777" w:rsidR="004871B0" w:rsidRPr="00636E22" w:rsidRDefault="004871B0" w:rsidP="00296EBF">
      <w:pPr>
        <w:pStyle w:val="a"/>
        <w:tabs>
          <w:tab w:val="clear" w:pos="9344"/>
        </w:tabs>
        <w:spacing w:after="120"/>
      </w:pPr>
      <w:bookmarkStart w:id="71" w:name="_Toc175850108"/>
      <w:r>
        <w:t>Calculation of the Divisor</w:t>
      </w:r>
      <w:bookmarkEnd w:id="71"/>
      <w:r>
        <w:t xml:space="preserve"> </w:t>
      </w:r>
    </w:p>
    <w:p w14:paraId="14C5C57C" w14:textId="4382C68A" w:rsidR="004871B0" w:rsidRPr="00636E22" w:rsidRDefault="004871B0" w:rsidP="00296EBF">
      <w:pPr>
        <w:pStyle w:val="30"/>
        <w:spacing w:after="120"/>
        <w:rPr>
          <w:rFonts w:cs="Tahoma"/>
        </w:rPr>
      </w:pPr>
      <w:bookmarkStart w:id="72" w:name="_Ref89800603"/>
      <w:r>
        <w:t xml:space="preserve">Divisor </w:t>
      </w:r>
      <w:proofErr w:type="spellStart"/>
      <w:r>
        <w:t>D</w:t>
      </w:r>
      <w:r>
        <w:rPr>
          <w:vertAlign w:val="subscript"/>
        </w:rPr>
        <w:t>n</w:t>
      </w:r>
      <w:proofErr w:type="spellEnd"/>
      <w:r>
        <w:t xml:space="preserve"> is calculated after revisions in the Index Constituents or changes in their number (Qi) and/or upon occurrence of corporate events in cases set out in clause </w:t>
      </w:r>
      <w:r w:rsidR="00F71539" w:rsidRPr="00636E22">
        <w:rPr>
          <w:rFonts w:cs="Tahoma"/>
        </w:rPr>
        <w:fldChar w:fldCharType="begin"/>
      </w:r>
      <w:r w:rsidR="00F71539" w:rsidRPr="00636E22">
        <w:rPr>
          <w:rFonts w:cs="Tahoma"/>
        </w:rPr>
        <w:instrText xml:space="preserve"> REF _Ref423520053 \r \h  \* MERGEFORMAT </w:instrText>
      </w:r>
      <w:r w:rsidR="00F71539" w:rsidRPr="00636E22">
        <w:rPr>
          <w:rFonts w:cs="Tahoma"/>
        </w:rPr>
      </w:r>
      <w:r w:rsidR="00F71539" w:rsidRPr="00636E22">
        <w:rPr>
          <w:rFonts w:cs="Tahoma"/>
        </w:rPr>
        <w:fldChar w:fldCharType="separate"/>
      </w:r>
      <w:r w:rsidR="00296EBF">
        <w:rPr>
          <w:rFonts w:cs="Tahoma"/>
        </w:rPr>
        <w:t>4.3</w:t>
      </w:r>
      <w:r w:rsidR="00F71539" w:rsidRPr="00636E22">
        <w:rPr>
          <w:rFonts w:cs="Tahoma"/>
        </w:rPr>
        <w:fldChar w:fldCharType="end"/>
      </w:r>
      <w:r>
        <w:t xml:space="preserve"> of this Methodology.</w:t>
      </w:r>
      <w:bookmarkEnd w:id="72"/>
      <w:r>
        <w:t xml:space="preserve"> </w:t>
      </w:r>
    </w:p>
    <w:p w14:paraId="0235DF5F" w14:textId="77777777" w:rsidR="004871B0" w:rsidRPr="00636E22" w:rsidRDefault="004871B0" w:rsidP="00296EBF">
      <w:pPr>
        <w:pStyle w:val="30"/>
        <w:spacing w:after="120"/>
        <w:rPr>
          <w:rFonts w:cs="Tahoma"/>
        </w:rPr>
      </w:pPr>
      <w:r>
        <w:t xml:space="preserve">Divisor </w:t>
      </w:r>
      <w:proofErr w:type="spellStart"/>
      <w:r>
        <w:t>D</w:t>
      </w:r>
      <w:r>
        <w:rPr>
          <w:vertAlign w:val="subscript"/>
        </w:rPr>
        <w:t>n</w:t>
      </w:r>
      <w:proofErr w:type="spellEnd"/>
      <w:r>
        <w:t xml:space="preserve"> is calculated according to the following formula:</w:t>
      </w:r>
    </w:p>
    <w:p w14:paraId="67C6F143" w14:textId="77777777" w:rsidR="004871B0" w:rsidRPr="00636E22" w:rsidRDefault="00FE3B3E" w:rsidP="00296EBF">
      <w:pPr>
        <w:pStyle w:val="afb"/>
        <w:spacing w:after="12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296EBF">
      <w:pPr>
        <w:pStyle w:val="af9"/>
        <w:contextualSpacing w:val="0"/>
        <w:rPr>
          <w:rFonts w:cs="Tahoma"/>
        </w:rPr>
      </w:pPr>
      <w:r>
        <w:t>where:</w:t>
      </w:r>
    </w:p>
    <w:p w14:paraId="05DDB20A" w14:textId="77777777" w:rsidR="004871B0" w:rsidRPr="00636E22" w:rsidRDefault="004871B0" w:rsidP="00296EBF">
      <w:pPr>
        <w:pStyle w:val="af9"/>
        <w:contextualSpacing w:val="0"/>
        <w:rPr>
          <w:rFonts w:cs="Tahoma"/>
        </w:rPr>
      </w:pPr>
      <w:r>
        <w:t>D</w:t>
      </w:r>
      <w:r>
        <w:rPr>
          <w:vertAlign w:val="subscript"/>
        </w:rPr>
        <w:t>n+1</w:t>
      </w:r>
      <w:r>
        <w:t xml:space="preserve"> – the new value of Divisor D;</w:t>
      </w:r>
    </w:p>
    <w:p w14:paraId="2503E62D" w14:textId="77777777" w:rsidR="004871B0" w:rsidRPr="00636E22" w:rsidRDefault="004871B0" w:rsidP="00296EBF">
      <w:pPr>
        <w:pStyle w:val="af9"/>
        <w:contextualSpacing w:val="0"/>
        <w:rPr>
          <w:rFonts w:cs="Tahoma"/>
        </w:rPr>
      </w:pPr>
      <w:proofErr w:type="spellStart"/>
      <w:r>
        <w:t>D</w:t>
      </w:r>
      <w:r>
        <w:rPr>
          <w:vertAlign w:val="subscript"/>
        </w:rPr>
        <w:t>n</w:t>
      </w:r>
      <w:proofErr w:type="spellEnd"/>
      <w:r>
        <w:t xml:space="preserve"> – the current value of Divisor D;</w:t>
      </w:r>
    </w:p>
    <w:p w14:paraId="21A21D33" w14:textId="38AD357A" w:rsidR="004871B0" w:rsidRPr="00636E22" w:rsidRDefault="004871B0" w:rsidP="00296EBF">
      <w:pPr>
        <w:pStyle w:val="af9"/>
        <w:contextualSpacing w:val="0"/>
        <w:rPr>
          <w:rFonts w:cs="Tahoma"/>
        </w:rPr>
      </w:pPr>
      <w:proofErr w:type="spellStart"/>
      <w:r>
        <w:t>MC</w:t>
      </w:r>
      <w:r>
        <w:rPr>
          <w:vertAlign w:val="subscript"/>
        </w:rPr>
        <w:t>n</w:t>
      </w:r>
      <w:proofErr w:type="spellEnd"/>
      <w:r>
        <w:t xml:space="preserve"> – total value of all securities before the occurrence of the circumstance that is the basis for recalculation of Dividend D in accordance with clause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296EBF">
        <w:rPr>
          <w:rFonts w:cs="Tahoma"/>
        </w:rPr>
        <w:t>3.4.1</w:t>
      </w:r>
      <w:r w:rsidR="00CD7AFC">
        <w:rPr>
          <w:rFonts w:cs="Tahoma"/>
        </w:rPr>
        <w:fldChar w:fldCharType="end"/>
      </w:r>
      <w:r>
        <w:t xml:space="preserve"> of this Methodology;</w:t>
      </w:r>
    </w:p>
    <w:p w14:paraId="6346E0A0" w14:textId="7EE45531" w:rsidR="004871B0" w:rsidRPr="00636E22" w:rsidRDefault="004871B0" w:rsidP="00296EBF">
      <w:pPr>
        <w:pStyle w:val="af9"/>
        <w:contextualSpacing w:val="0"/>
        <w:rPr>
          <w:rFonts w:cs="Tahoma"/>
        </w:rPr>
      </w:pPr>
      <w:proofErr w:type="spellStart"/>
      <w:r>
        <w:t>MC</w:t>
      </w:r>
      <w:r>
        <w:rPr>
          <w:vertAlign w:val="subscript"/>
        </w:rPr>
        <w:t>n</w:t>
      </w:r>
      <w:proofErr w:type="spellEnd"/>
      <w:r>
        <w:rPr>
          <w:vertAlign w:val="superscript"/>
        </w:rPr>
        <w:t>'</w:t>
      </w:r>
      <w:r>
        <w:t xml:space="preserve"> – total value of all securities after the occurrence of the circumstance that is the basis for recalculation of Dividend D in accordance with clause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296EBF">
        <w:rPr>
          <w:rFonts w:cs="Tahoma"/>
        </w:rPr>
        <w:t>3.4.1</w:t>
      </w:r>
      <w:r w:rsidR="00CD7AFC">
        <w:rPr>
          <w:rFonts w:cs="Tahoma"/>
        </w:rPr>
        <w:fldChar w:fldCharType="end"/>
      </w:r>
      <w:r>
        <w:t xml:space="preserve"> of this Methodology.</w:t>
      </w:r>
    </w:p>
    <w:p w14:paraId="312455AF" w14:textId="77777777" w:rsidR="004871B0" w:rsidRPr="00636E22" w:rsidRDefault="004871B0" w:rsidP="00296EBF">
      <w:pPr>
        <w:pStyle w:val="30"/>
        <w:spacing w:after="120"/>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77BEB372" w14:textId="10C4654D" w:rsidR="00725919" w:rsidRPr="00636E22" w:rsidRDefault="00725919" w:rsidP="00296EBF">
      <w:pPr>
        <w:pStyle w:val="a"/>
        <w:spacing w:before="120" w:after="120"/>
      </w:pPr>
      <w:bookmarkStart w:id="73" w:name="_Toc175850109"/>
      <w:r>
        <w:t>Calculating the Total Return Index</w:t>
      </w:r>
      <w:bookmarkEnd w:id="52"/>
      <w:bookmarkEnd w:id="53"/>
      <w:bookmarkEnd w:id="54"/>
      <w:bookmarkEnd w:id="73"/>
    </w:p>
    <w:p w14:paraId="69F70ADC" w14:textId="63237292" w:rsidR="00725919" w:rsidRPr="000E2543" w:rsidRDefault="00725919" w:rsidP="00296EBF">
      <w:pPr>
        <w:pStyle w:val="30"/>
        <w:spacing w:after="120"/>
      </w:pPr>
      <w:r>
        <w:t>The Total Return Index is calculated using the Constituents, values and parameters of the Price Index including dividend payments on the securities in the Price Index.</w:t>
      </w:r>
    </w:p>
    <w:p w14:paraId="4568781B" w14:textId="443DEA8D" w:rsidR="00725919" w:rsidRPr="000E2543" w:rsidRDefault="009A2756" w:rsidP="00296EBF">
      <w:pPr>
        <w:pStyle w:val="30"/>
        <w:spacing w:after="120"/>
      </w:pPr>
      <w:bookmarkStart w:id="74"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74"/>
    </w:p>
    <w:p w14:paraId="53D48A03" w14:textId="50F4C0F1" w:rsidR="00725919" w:rsidRDefault="00725919" w:rsidP="00296EBF">
      <w:pPr>
        <w:pStyle w:val="30"/>
        <w:spacing w:after="120"/>
      </w:pPr>
      <w:r>
        <w:t xml:space="preserve">If the Exchange becomes aware of the dividend announcement after the date when the dividend must be accounted for in accordance with </w:t>
      </w:r>
      <w:r w:rsidR="00296EBF">
        <w:t>clause</w:t>
      </w:r>
      <w:r>
        <w:t xml:space="preserve"> </w:t>
      </w:r>
      <w:fldSimple w:instr=" REF _Ref456977001 \r ">
        <w:r w:rsidR="00296EBF">
          <w:t>3.5.2</w:t>
        </w:r>
      </w:fldSimple>
      <w:r>
        <w:t>, then the dividend is included on the day the Exchange gets the information.</w:t>
      </w:r>
    </w:p>
    <w:p w14:paraId="1BBF65A4" w14:textId="0D64A692" w:rsidR="00725919" w:rsidRPr="00BC6404" w:rsidRDefault="00725919" w:rsidP="00296EBF">
      <w:pPr>
        <w:pStyle w:val="30"/>
        <w:spacing w:after="120"/>
      </w:pPr>
      <w:r>
        <w:t>Sources of information about the dividend announcement are information agencies authorized to disclose information and issuers of securities.</w:t>
      </w:r>
    </w:p>
    <w:p w14:paraId="18AB022C" w14:textId="2AB92C02" w:rsidR="00725919" w:rsidRPr="00DD5CC7" w:rsidRDefault="0053624B" w:rsidP="00296EBF">
      <w:pPr>
        <w:pStyle w:val="30"/>
        <w:spacing w:after="120"/>
      </w:pPr>
      <w:r>
        <w:t>The initial value of the Total Return Index: I</w:t>
      </w:r>
      <w:r>
        <w:rPr>
          <w:vertAlign w:val="subscript"/>
        </w:rPr>
        <w:t>1</w:t>
      </w:r>
      <w:r>
        <w:t>=1,000 as of 29 December 2020.</w:t>
      </w:r>
    </w:p>
    <w:p w14:paraId="737F114C" w14:textId="1744A852" w:rsidR="00725919" w:rsidRPr="00BC6404" w:rsidRDefault="00B1440D" w:rsidP="00296EBF">
      <w:pPr>
        <w:pStyle w:val="30"/>
        <w:spacing w:after="120"/>
      </w:pPr>
      <w:r>
        <w:lastRenderedPageBreak/>
        <w:t xml:space="preserve">The Total Return Index is calculated without </w:t>
      </w:r>
      <w:proofErr w:type="gramStart"/>
      <w:r>
        <w:t>taking into account</w:t>
      </w:r>
      <w:proofErr w:type="gramEnd"/>
      <w:r>
        <w:t xml:space="preserve"> taxation of income received in the form of dividends.</w:t>
      </w:r>
    </w:p>
    <w:p w14:paraId="35B11038" w14:textId="64B7B577" w:rsidR="00725919" w:rsidRPr="00684D4E" w:rsidRDefault="00725919" w:rsidP="00296EBF">
      <w:pPr>
        <w:pStyle w:val="30"/>
        <w:spacing w:after="120"/>
        <w:ind w:left="1078" w:hanging="794"/>
      </w:pPr>
      <w:r>
        <w:t xml:space="preserve">The </w:t>
      </w:r>
      <w:proofErr w:type="gramStart"/>
      <w:r>
        <w:t>amount</w:t>
      </w:r>
      <w:proofErr w:type="gramEnd"/>
      <w:r>
        <w:t xml:space="preserve"> of dividends taken into account in the calculation of the Total Return Index is determined by the formula:</w:t>
      </w:r>
    </w:p>
    <w:p w14:paraId="64C7FB13" w14:textId="19D03C6F" w:rsidR="00725919" w:rsidRPr="00BC6404" w:rsidRDefault="00FE3B3E" w:rsidP="00296EBF">
      <w:pPr>
        <w:pStyle w:val="afb"/>
        <w:spacing w:after="12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)∙F</m:t>
              </m:r>
              <m:sSub>
                <m:sSubPr>
                  <m:ctrlPr/>
                </m:sSubPr>
                <m:e>
                  <m:r>
                    <m:t>F</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296EBF">
      <w:pPr>
        <w:pStyle w:val="af9"/>
        <w:ind w:left="1134"/>
        <w:contextualSpacing w:val="0"/>
      </w:pPr>
      <w:r>
        <w:t>where:</w:t>
      </w:r>
    </w:p>
    <w:p w14:paraId="514DE8A8" w14:textId="2922ED74" w:rsidR="00725919" w:rsidRPr="00BC6404" w:rsidRDefault="00725919" w:rsidP="00296EBF">
      <w:pPr>
        <w:pStyle w:val="af9"/>
        <w:ind w:left="1134"/>
        <w:contextualSpacing w:val="0"/>
      </w:pPr>
      <w:proofErr w:type="spellStart"/>
      <w:r>
        <w:t>TD</w:t>
      </w:r>
      <w:r>
        <w:rPr>
          <w:vertAlign w:val="subscript"/>
        </w:rPr>
        <w:t>n</w:t>
      </w:r>
      <w:proofErr w:type="spellEnd"/>
      <w:r>
        <w:t xml:space="preserve"> – total dividends on securities included in the Index </w:t>
      </w:r>
      <w:proofErr w:type="gramStart"/>
      <w:r>
        <w:t>taken into account</w:t>
      </w:r>
      <w:proofErr w:type="gramEnd"/>
      <w:r>
        <w:t xml:space="preserve"> on day n;</w:t>
      </w:r>
    </w:p>
    <w:p w14:paraId="34E356D0" w14:textId="3BFC42C6" w:rsidR="00725919" w:rsidRPr="00BC6404" w:rsidRDefault="00725919" w:rsidP="00296EBF">
      <w:pPr>
        <w:pStyle w:val="af9"/>
        <w:ind w:left="1134"/>
        <w:contextualSpacing w:val="0"/>
      </w:pPr>
      <w:r>
        <w:t>N – number of securities in the relevant Index;</w:t>
      </w:r>
    </w:p>
    <w:p w14:paraId="108644FA" w14:textId="22C00C9B" w:rsidR="00725919" w:rsidRPr="00BC6404" w:rsidRDefault="00725919" w:rsidP="00296EBF">
      <w:pPr>
        <w:pStyle w:val="af9"/>
        <w:ind w:left="1134"/>
        <w:contextualSpacing w:val="0"/>
      </w:pPr>
      <w:proofErr w:type="spellStart"/>
      <w:r>
        <w:t>Div</w:t>
      </w:r>
      <w:r>
        <w:rPr>
          <w:vertAlign w:val="subscript"/>
        </w:rPr>
        <w:t>in</w:t>
      </w:r>
      <w:proofErr w:type="spellEnd"/>
      <w:r>
        <w:t xml:space="preserve"> – </w:t>
      </w:r>
      <w:proofErr w:type="gramStart"/>
      <w:r>
        <w:t>amount</w:t>
      </w:r>
      <w:proofErr w:type="gramEnd"/>
      <w:r>
        <w:t xml:space="preserve"> of dividends on the </w:t>
      </w:r>
      <w:proofErr w:type="spellStart"/>
      <w:r w:rsidR="002D5581">
        <w:t>i</w:t>
      </w:r>
      <w:r w:rsidR="002D5581" w:rsidRPr="002D5581">
        <w:rPr>
          <w:vertAlign w:val="superscript"/>
        </w:rPr>
        <w:t>th</w:t>
      </w:r>
      <w:proofErr w:type="spellEnd"/>
      <w:r>
        <w:t xml:space="preserve"> security, RUB;</w:t>
      </w:r>
    </w:p>
    <w:p w14:paraId="453A066F" w14:textId="610B8B45" w:rsidR="007A7A6C" w:rsidRPr="007A7A6C" w:rsidRDefault="007A7A6C" w:rsidP="00296EBF">
      <w:pPr>
        <w:pStyle w:val="af9"/>
        <w:ind w:left="1134"/>
        <w:contextualSpacing w:val="0"/>
      </w:pPr>
      <w:proofErr w:type="spellStart"/>
      <w:r>
        <w:t>KDP</w:t>
      </w:r>
      <w:r>
        <w:rPr>
          <w:vertAlign w:val="subscript"/>
        </w:rPr>
        <w:t>in</w:t>
      </w:r>
      <w:proofErr w:type="spellEnd"/>
      <w:r>
        <w:t xml:space="preserve"> – the Dividend Adjustment Factor expressed as a percentage, determined by the Islamic auditor;</w:t>
      </w:r>
    </w:p>
    <w:p w14:paraId="5012494A" w14:textId="19A52248" w:rsidR="00D06104" w:rsidRPr="00BC6404" w:rsidRDefault="00D06104" w:rsidP="00296EBF">
      <w:pPr>
        <w:pStyle w:val="af9"/>
        <w:ind w:left="1134"/>
        <w:contextualSpacing w:val="0"/>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of the relevant Index on day n;</w:t>
      </w:r>
    </w:p>
    <w:p w14:paraId="0A10F561" w14:textId="6956E8A8" w:rsidR="00725919" w:rsidRPr="00BC6404" w:rsidRDefault="00725919" w:rsidP="00296EBF">
      <w:pPr>
        <w:pStyle w:val="af9"/>
        <w:ind w:left="1134"/>
        <w:contextualSpacing w:val="0"/>
      </w:pPr>
      <w:r>
        <w:t>Q</w:t>
      </w:r>
      <w:r>
        <w:rPr>
          <w:vertAlign w:val="subscript"/>
        </w:rPr>
        <w:t>in</w:t>
      </w:r>
      <w:r>
        <w:t xml:space="preserve"> – total number of </w:t>
      </w:r>
      <w:proofErr w:type="spellStart"/>
      <w:r>
        <w:t>i</w:t>
      </w:r>
      <w:r>
        <w:rPr>
          <w:vertAlign w:val="superscript"/>
        </w:rPr>
        <w:t>th</w:t>
      </w:r>
      <w:proofErr w:type="spellEnd"/>
      <w:r>
        <w:t xml:space="preserve"> securities of one category (type) of one issuer used to calculate the Index on day n;</w:t>
      </w:r>
    </w:p>
    <w:p w14:paraId="349C98DF" w14:textId="21A203CE" w:rsidR="00725919" w:rsidRPr="00D1612C" w:rsidRDefault="00725919" w:rsidP="00296EBF">
      <w:pPr>
        <w:pStyle w:val="af9"/>
        <w:ind w:left="1134"/>
        <w:contextualSpacing w:val="0"/>
      </w:pPr>
      <w:r>
        <w:t>W</w:t>
      </w:r>
      <w:r>
        <w:rPr>
          <w:vertAlign w:val="subscript"/>
        </w:rPr>
        <w:t>in</w:t>
      </w:r>
      <w:r>
        <w:t xml:space="preserve"> – the weighting factor used to calculate the Index on day n.</w:t>
      </w:r>
    </w:p>
    <w:p w14:paraId="2A8D7C66" w14:textId="29BE14FD" w:rsidR="00725919" w:rsidRPr="00684D4E" w:rsidRDefault="00725919" w:rsidP="00296EBF">
      <w:pPr>
        <w:pStyle w:val="30"/>
        <w:spacing w:after="120"/>
        <w:ind w:left="1078" w:hanging="794"/>
      </w:pPr>
      <w:r>
        <w:t>Dividends expressed in points of the Total Return Indexes:</w:t>
      </w:r>
    </w:p>
    <w:p w14:paraId="10EA10A0" w14:textId="77777777" w:rsidR="00725919" w:rsidRPr="00920790" w:rsidRDefault="00FE3B3E" w:rsidP="00296EBF">
      <w:pPr>
        <w:pStyle w:val="afb"/>
        <w:spacing w:after="12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296EBF">
      <w:pPr>
        <w:pStyle w:val="af9"/>
        <w:contextualSpacing w:val="0"/>
      </w:pPr>
      <w:r>
        <w:t>where:</w:t>
      </w:r>
    </w:p>
    <w:p w14:paraId="710E53D8" w14:textId="0B3AF1B0" w:rsidR="00725919" w:rsidRPr="00BC6404" w:rsidRDefault="00725919" w:rsidP="00296EBF">
      <w:pPr>
        <w:pStyle w:val="af9"/>
        <w:contextualSpacing w:val="0"/>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4DB37C3B" w14:textId="6F569386" w:rsidR="00725919" w:rsidRPr="00684D4E" w:rsidRDefault="00725919" w:rsidP="00296EBF">
      <w:pPr>
        <w:pStyle w:val="30"/>
        <w:spacing w:after="120"/>
        <w:ind w:left="1078" w:hanging="794"/>
      </w:pPr>
      <w:r>
        <w:t xml:space="preserve">The yield resulting from reinvestment of dividends is determined according to the formula: </w:t>
      </w:r>
    </w:p>
    <w:p w14:paraId="79B1B986" w14:textId="77777777" w:rsidR="00725919" w:rsidRPr="00BC6404" w:rsidRDefault="00725919" w:rsidP="00296EBF">
      <w:pPr>
        <w:pStyle w:val="afb"/>
        <w:spacing w:after="120"/>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296EBF">
      <w:pPr>
        <w:pStyle w:val="af9"/>
        <w:contextualSpacing w:val="0"/>
      </w:pPr>
      <w:r>
        <w:t>where:</w:t>
      </w:r>
    </w:p>
    <w:p w14:paraId="2698284E" w14:textId="77777777" w:rsidR="00725919" w:rsidRPr="00BC6404" w:rsidRDefault="00725919" w:rsidP="00296EBF">
      <w:pPr>
        <w:pStyle w:val="af9"/>
        <w:contextualSpacing w:val="0"/>
      </w:pPr>
      <w:r>
        <w:t>I</w:t>
      </w:r>
      <w:r>
        <w:rPr>
          <w:vertAlign w:val="subscript"/>
        </w:rPr>
        <w:t>n</w:t>
      </w:r>
      <w:r>
        <w:t xml:space="preserve"> – the Price Index value on day n;</w:t>
      </w:r>
    </w:p>
    <w:p w14:paraId="364EF3D4" w14:textId="77777777" w:rsidR="00725919" w:rsidRPr="00BC6404" w:rsidRDefault="00725919" w:rsidP="00296EBF">
      <w:pPr>
        <w:pStyle w:val="af9"/>
        <w:contextualSpacing w:val="0"/>
      </w:pPr>
      <w:r>
        <w:t>I</w:t>
      </w:r>
      <w:r>
        <w:rPr>
          <w:vertAlign w:val="subscript"/>
        </w:rPr>
        <w:t>n-1</w:t>
      </w:r>
      <w:r>
        <w:t>– the Price Index value on day n-1.</w:t>
      </w:r>
    </w:p>
    <w:p w14:paraId="0DECEE66" w14:textId="60A6D856" w:rsidR="00725919" w:rsidRDefault="00725919" w:rsidP="00296EBF">
      <w:pPr>
        <w:pStyle w:val="30"/>
        <w:spacing w:after="120"/>
        <w:ind w:left="1078" w:hanging="794"/>
      </w:pPr>
      <w:r>
        <w:t>The Total Return Index is determined as follows:</w:t>
      </w:r>
    </w:p>
    <w:p w14:paraId="7BC63A8C" w14:textId="2C25EB48" w:rsidR="00D1612C" w:rsidRPr="00D1612C" w:rsidRDefault="00FE3B3E" w:rsidP="00296EBF">
      <w:pPr>
        <w:spacing w:before="240" w:after="12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296EBF">
      <w:pPr>
        <w:pStyle w:val="30"/>
        <w:spacing w:after="120"/>
        <w:ind w:left="1078" w:hanging="794"/>
      </w:pPr>
      <w:r>
        <w:t>The Total Return Index is expressed in points and calculated to two decimal places.</w:t>
      </w:r>
    </w:p>
    <w:p w14:paraId="52B79B55" w14:textId="77777777" w:rsidR="00D1612C" w:rsidRPr="00D1612C" w:rsidRDefault="00D1612C" w:rsidP="00296EBF">
      <w:pPr>
        <w:pStyle w:val="30"/>
        <w:numPr>
          <w:ilvl w:val="0"/>
          <w:numId w:val="0"/>
        </w:numPr>
        <w:spacing w:after="120"/>
        <w:ind w:left="1077" w:hanging="793"/>
      </w:pPr>
    </w:p>
    <w:p w14:paraId="70916D2A" w14:textId="77777777" w:rsidR="00611F9A" w:rsidRPr="00636E22" w:rsidRDefault="00611F9A" w:rsidP="00296EBF">
      <w:pPr>
        <w:pStyle w:val="30"/>
        <w:numPr>
          <w:ilvl w:val="0"/>
          <w:numId w:val="0"/>
        </w:numPr>
        <w:spacing w:after="120"/>
        <w:ind w:left="1077" w:hanging="793"/>
      </w:pPr>
      <w:bookmarkStart w:id="75" w:name="_Toc424122354"/>
    </w:p>
    <w:p w14:paraId="01FD59B1" w14:textId="4185365D" w:rsidR="0045247E" w:rsidRPr="00636E22" w:rsidRDefault="00877E85" w:rsidP="00296EBF">
      <w:pPr>
        <w:pStyle w:val="10"/>
        <w:spacing w:after="120"/>
        <w:rPr>
          <w:rFonts w:cs="Tahoma"/>
        </w:rPr>
      </w:pPr>
      <w:bookmarkStart w:id="76" w:name="_Toc175850110"/>
      <w:bookmarkStart w:id="77" w:name="_Toc438206729"/>
      <w:bookmarkStart w:id="78" w:name="_Toc438206765"/>
      <w:bookmarkStart w:id="79" w:name="_Toc438206985"/>
      <w:bookmarkStart w:id="80" w:name="_Toc433902901"/>
      <w:bookmarkStart w:id="81" w:name="_Ref487540760"/>
      <w:bookmarkStart w:id="82" w:name="_Toc463443759"/>
      <w:bookmarkStart w:id="83" w:name="_Toc488065474"/>
      <w:r>
        <w:t>Index Construction and Review</w:t>
      </w:r>
      <w:bookmarkEnd w:id="76"/>
      <w:r>
        <w:t xml:space="preserve"> </w:t>
      </w:r>
      <w:bookmarkEnd w:id="75"/>
      <w:bookmarkEnd w:id="77"/>
      <w:bookmarkEnd w:id="78"/>
      <w:bookmarkEnd w:id="79"/>
      <w:bookmarkEnd w:id="80"/>
      <w:bookmarkEnd w:id="81"/>
      <w:bookmarkEnd w:id="82"/>
      <w:bookmarkEnd w:id="83"/>
    </w:p>
    <w:p w14:paraId="6F6687BB" w14:textId="0A4E85EE" w:rsidR="00F45DB8" w:rsidRPr="00636E22" w:rsidRDefault="00F45DB8" w:rsidP="00296EBF">
      <w:pPr>
        <w:pStyle w:val="a"/>
        <w:spacing w:after="120"/>
      </w:pPr>
      <w:bookmarkStart w:id="84" w:name="_Ref423512999"/>
      <w:bookmarkStart w:id="85" w:name="_Ref423518818"/>
      <w:bookmarkStart w:id="86" w:name="_Toc424122355"/>
      <w:bookmarkStart w:id="87" w:name="_Toc438206730"/>
      <w:bookmarkStart w:id="88" w:name="_Toc438206766"/>
      <w:bookmarkStart w:id="89" w:name="_Toc438206986"/>
      <w:bookmarkStart w:id="90" w:name="_Toc433902902"/>
      <w:bookmarkStart w:id="91" w:name="_Toc463443760"/>
      <w:bookmarkStart w:id="92" w:name="_Toc488065475"/>
      <w:bookmarkStart w:id="93" w:name="_Toc175850111"/>
      <w:r>
        <w:t>Index Construction Principles</w:t>
      </w:r>
      <w:bookmarkEnd w:id="84"/>
      <w:bookmarkEnd w:id="85"/>
      <w:bookmarkEnd w:id="86"/>
      <w:bookmarkEnd w:id="87"/>
      <w:bookmarkEnd w:id="88"/>
      <w:bookmarkEnd w:id="89"/>
      <w:bookmarkEnd w:id="90"/>
      <w:bookmarkEnd w:id="91"/>
      <w:bookmarkEnd w:id="92"/>
      <w:bookmarkEnd w:id="93"/>
    </w:p>
    <w:p w14:paraId="4B720620" w14:textId="11FBB022" w:rsidR="00875892" w:rsidRDefault="000551A3" w:rsidP="00296EBF">
      <w:pPr>
        <w:pStyle w:val="30"/>
        <w:spacing w:after="120"/>
      </w:pPr>
      <w:r>
        <w:t>The Price Index universe includes shares admitted to trading on the Exchange and being in the MOEX Russia Broad Market Index.</w:t>
      </w:r>
    </w:p>
    <w:p w14:paraId="688DD941" w14:textId="77777777" w:rsidR="003C7DCA" w:rsidRPr="006A049C" w:rsidRDefault="003C7DCA" w:rsidP="00296EBF">
      <w:pPr>
        <w:pStyle w:val="30"/>
        <w:spacing w:after="120"/>
      </w:pPr>
      <w:r>
        <w:t>Liquidity factor LC is determined for all Shares:</w:t>
      </w:r>
    </w:p>
    <w:p w14:paraId="24D490A5" w14:textId="77777777" w:rsidR="003C7DCA" w:rsidRPr="00FC762C" w:rsidRDefault="00FE3B3E" w:rsidP="00296EBF">
      <w:pPr>
        <w:pStyle w:val="afb"/>
        <w:spacing w:after="120"/>
        <w:rPr>
          <w:rFonts w:eastAsiaTheme="minorEastAsia"/>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296EBF">
      <w:pPr>
        <w:pStyle w:val="af9"/>
        <w:contextualSpacing w:val="0"/>
      </w:pPr>
      <w:r>
        <w:t>where</w:t>
      </w:r>
    </w:p>
    <w:p w14:paraId="52152124" w14:textId="5361864D" w:rsidR="003C7DCA" w:rsidRDefault="003C7DCA" w:rsidP="00296EBF">
      <w:pPr>
        <w:pStyle w:val="af9"/>
        <w:contextualSpacing w:val="0"/>
      </w:pPr>
      <w:proofErr w:type="gramStart"/>
      <w:r>
        <w:lastRenderedPageBreak/>
        <w:t>Median(</w:t>
      </w:r>
      <w:proofErr w:type="gramEnd"/>
      <w:r>
        <w:t>V</w:t>
      </w:r>
      <w:r>
        <w:rPr>
          <w:vertAlign w:val="subscript"/>
        </w:rPr>
        <w:t>i</w:t>
      </w:r>
      <w:r>
        <w:t xml:space="preserve">) – the median of the daily trading volume in RUB of the </w:t>
      </w:r>
      <w:proofErr w:type="spellStart"/>
      <w:r w:rsidR="002D5581">
        <w:t>i</w:t>
      </w:r>
      <w:r w:rsidR="002D5581" w:rsidRPr="002D5581">
        <w:rPr>
          <w:vertAlign w:val="superscript"/>
        </w:rPr>
        <w:t>th</w:t>
      </w:r>
      <w:proofErr w:type="spellEnd"/>
      <w:r>
        <w:t xml:space="preserve"> </w:t>
      </w:r>
      <w:r w:rsidR="00296EBF">
        <w:t>Stock</w:t>
      </w:r>
      <w:r>
        <w:t xml:space="preserve"> calculated for three months preceding the Index construction day;</w:t>
      </w:r>
    </w:p>
    <w:p w14:paraId="0FA54BCE" w14:textId="77777777" w:rsidR="003C7DCA" w:rsidRPr="006D1D20" w:rsidRDefault="003C7DCA" w:rsidP="00296EBF">
      <w:pPr>
        <w:pStyle w:val="af9"/>
        <w:contextualSpacing w:val="0"/>
      </w:pPr>
      <w:proofErr w:type="spellStart"/>
      <w:r>
        <w:t>WorkDays</w:t>
      </w:r>
      <w:proofErr w:type="spellEnd"/>
      <w:r>
        <w:t xml:space="preserve"> – number of trading days per year, 247 by default. </w:t>
      </w:r>
      <w:r>
        <w:rPr>
          <w:rStyle w:val="af7"/>
          <w:rFonts w:ascii="Tahoma" w:hAnsi="Tahoma"/>
        </w:rPr>
        <w:t>The Exchange may set other value.</w:t>
      </w:r>
    </w:p>
    <w:p w14:paraId="5359DCA0" w14:textId="0467FCA9" w:rsidR="003C7DCA" w:rsidRPr="00636E22" w:rsidRDefault="003C7DCA" w:rsidP="00296EBF">
      <w:pPr>
        <w:pStyle w:val="af9"/>
        <w:contextualSpacing w:val="0"/>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average capitalization of the </w:t>
      </w:r>
      <w:proofErr w:type="spellStart"/>
      <w:r w:rsidR="002D5581">
        <w:t>i</w:t>
      </w:r>
      <w:r w:rsidR="002D5581" w:rsidRPr="002D5581">
        <w:rPr>
          <w:vertAlign w:val="superscript"/>
        </w:rPr>
        <w:t>th</w:t>
      </w:r>
      <w:proofErr w:type="spellEnd"/>
      <w:r>
        <w:t xml:space="preserve"> </w:t>
      </w:r>
      <w:r w:rsidR="00296EBF">
        <w:t>Stock</w:t>
      </w:r>
      <w:r>
        <w:t xml:space="preserve"> calculated for three months preceding the Index construction day;</w:t>
      </w:r>
    </w:p>
    <w:p w14:paraId="3971C835" w14:textId="59E6F9F4" w:rsidR="003C7DCA" w:rsidRPr="005436B6" w:rsidRDefault="003C7DCA" w:rsidP="00296EBF">
      <w:pPr>
        <w:pStyle w:val="af9"/>
        <w:contextualSpacing w:val="0"/>
        <w:rPr>
          <w:rFonts w:cs="Tahoma"/>
        </w:rPr>
      </w:pPr>
      <w:proofErr w:type="spellStart"/>
      <w:r>
        <w:t>FF</w:t>
      </w:r>
      <w:r>
        <w:rPr>
          <w:vertAlign w:val="subscript"/>
        </w:rPr>
        <w:t>i</w:t>
      </w:r>
      <w:proofErr w:type="spellEnd"/>
      <w:r>
        <w:rPr>
          <w:b/>
          <w:vertAlign w:val="subscript"/>
        </w:rPr>
        <w:t xml:space="preserve"> </w:t>
      </w:r>
      <w:r>
        <w:t xml:space="preserve">– free float factor of the </w:t>
      </w:r>
      <w:proofErr w:type="spellStart"/>
      <w:r w:rsidR="002D5581">
        <w:t>i</w:t>
      </w:r>
      <w:r w:rsidR="002D5581" w:rsidRPr="002D5581">
        <w:rPr>
          <w:vertAlign w:val="superscript"/>
        </w:rPr>
        <w:t>th</w:t>
      </w:r>
      <w:proofErr w:type="spellEnd"/>
      <w:r>
        <w:t xml:space="preserve"> </w:t>
      </w:r>
      <w:r w:rsidR="00296EBF">
        <w:t>Stock</w:t>
      </w:r>
      <w:r>
        <w:t>.</w:t>
      </w:r>
    </w:p>
    <w:p w14:paraId="18DD18D9" w14:textId="47C07C79" w:rsidR="0085165E" w:rsidRDefault="0085165E" w:rsidP="00296EBF">
      <w:pPr>
        <w:pStyle w:val="30"/>
        <w:spacing w:after="120"/>
      </w:pPr>
      <w:r>
        <w:t xml:space="preserve">Criteria for inclusion of a </w:t>
      </w:r>
      <w:r w:rsidR="00296EBF">
        <w:t>Stock</w:t>
      </w:r>
      <w:r>
        <w:t xml:space="preserve"> in the Index:</w:t>
      </w:r>
    </w:p>
    <w:p w14:paraId="17395290" w14:textId="05F13C8D" w:rsidR="0085165E" w:rsidRDefault="0085165E" w:rsidP="00296EBF">
      <w:pPr>
        <w:pStyle w:val="4"/>
        <w:spacing w:after="120"/>
      </w:pPr>
      <w:r>
        <w:t xml:space="preserve">The Issuer of the </w:t>
      </w:r>
      <w:r w:rsidR="00296EBF">
        <w:t>Stock</w:t>
      </w:r>
      <w:r>
        <w:t>s has undergone a Compliance Review.</w:t>
      </w:r>
    </w:p>
    <w:p w14:paraId="3D8D57CF" w14:textId="02B4EF2E" w:rsidR="00483918" w:rsidRDefault="0085165E" w:rsidP="00296EBF">
      <w:pPr>
        <w:pStyle w:val="4"/>
        <w:spacing w:after="120"/>
      </w:pPr>
      <w:r>
        <w:t xml:space="preserve">The indebtedness ratio of the Issuer of the </w:t>
      </w:r>
      <w:r w:rsidR="00296EBF">
        <w:t>Stock</w:t>
      </w:r>
      <w:r>
        <w:t>s is not more than 30%.</w:t>
      </w:r>
    </w:p>
    <w:p w14:paraId="7CF09D72" w14:textId="02FCB4EB" w:rsidR="0085165E" w:rsidRDefault="003C7DCA" w:rsidP="00296EBF">
      <w:pPr>
        <w:pStyle w:val="4"/>
        <w:spacing w:after="120"/>
      </w:pPr>
      <w:r>
        <w:t xml:space="preserve">The Free Float </w:t>
      </w:r>
      <w:proofErr w:type="gramStart"/>
      <w:r>
        <w:t>Factor  of</w:t>
      </w:r>
      <w:proofErr w:type="gramEnd"/>
      <w:r>
        <w:t xml:space="preserve"> the Stocks is at least 5%.</w:t>
      </w:r>
    </w:p>
    <w:p w14:paraId="3FE714DB" w14:textId="3D2B1136" w:rsidR="0085165E" w:rsidRPr="00483918" w:rsidRDefault="003C7DCA" w:rsidP="00296EBF">
      <w:pPr>
        <w:pStyle w:val="4"/>
        <w:spacing w:after="120"/>
      </w:pPr>
      <w:r>
        <w:t>Liquidity ratio is not less than 15%.</w:t>
      </w:r>
    </w:p>
    <w:p w14:paraId="738E09BD" w14:textId="5D7BD6AC" w:rsidR="003C7DCA" w:rsidRDefault="003C7DCA" w:rsidP="00296EBF">
      <w:pPr>
        <w:pStyle w:val="30"/>
        <w:spacing w:after="120"/>
      </w:pPr>
      <w:r>
        <w:t xml:space="preserve"> Criteria for removing a </w:t>
      </w:r>
      <w:r w:rsidR="00296EBF">
        <w:t>Stock</w:t>
      </w:r>
      <w:r>
        <w:t xml:space="preserve"> from the Index:</w:t>
      </w:r>
    </w:p>
    <w:p w14:paraId="4C8E53CF" w14:textId="34F17B99" w:rsidR="003C7DCA" w:rsidRDefault="003C7DCA" w:rsidP="00296EBF">
      <w:pPr>
        <w:pStyle w:val="4"/>
        <w:spacing w:after="120"/>
      </w:pPr>
      <w:r>
        <w:t xml:space="preserve">The Issuer of the </w:t>
      </w:r>
      <w:r w:rsidR="00296EBF">
        <w:t>Stock</w:t>
      </w:r>
      <w:r>
        <w:t xml:space="preserve"> has not passed the Compliance verification.</w:t>
      </w:r>
    </w:p>
    <w:p w14:paraId="0B321387" w14:textId="1E649453" w:rsidR="003C7DCA" w:rsidRDefault="003C7DCA" w:rsidP="00296EBF">
      <w:pPr>
        <w:pStyle w:val="4"/>
        <w:spacing w:after="120"/>
      </w:pPr>
      <w:r>
        <w:t>The Debt Ratio of the Issuer is more than 33%.</w:t>
      </w:r>
    </w:p>
    <w:p w14:paraId="1B23E807" w14:textId="139AFD23" w:rsidR="003C7DCA" w:rsidRDefault="003C7DCA" w:rsidP="00296EBF">
      <w:pPr>
        <w:pStyle w:val="4"/>
        <w:spacing w:after="120"/>
      </w:pPr>
      <w:r>
        <w:t>The Free Float Factor of the Stocks is less than 5%.</w:t>
      </w:r>
    </w:p>
    <w:p w14:paraId="23C110A8" w14:textId="350A81B7" w:rsidR="0085165E" w:rsidRPr="00784D04" w:rsidRDefault="003C7DCA" w:rsidP="00296EBF">
      <w:pPr>
        <w:pStyle w:val="4"/>
        <w:spacing w:after="120"/>
      </w:pPr>
      <w:r>
        <w:t>Liquidity ratio is less than 10%.</w:t>
      </w:r>
    </w:p>
    <w:p w14:paraId="1AEE9BFA" w14:textId="151376FF" w:rsidR="00916AF3" w:rsidRDefault="00916AF3" w:rsidP="00296EBF">
      <w:pPr>
        <w:pStyle w:val="30"/>
        <w:spacing w:after="120"/>
        <w:rPr>
          <w:rFonts w:cs="Tahoma"/>
        </w:rPr>
      </w:pPr>
      <w:r>
        <w:t>The Index review date is the first business day of March, June, September and December.</w:t>
      </w:r>
    </w:p>
    <w:p w14:paraId="722E6297" w14:textId="11AFEC9B" w:rsidR="00D77A37" w:rsidRDefault="00D77A37" w:rsidP="00296EBF">
      <w:pPr>
        <w:pStyle w:val="30"/>
        <w:spacing w:after="120"/>
        <w:rPr>
          <w:rFonts w:cs="Tahoma"/>
        </w:rPr>
      </w:pPr>
      <w:r>
        <w:t>The list of Index Constituents shall contain names of securities as well as indication of their category (type).</w:t>
      </w:r>
    </w:p>
    <w:p w14:paraId="2514A0F2" w14:textId="6EADA8DE" w:rsidR="00387C8D" w:rsidRPr="00636E22" w:rsidRDefault="00387C8D" w:rsidP="00296EBF">
      <w:pPr>
        <w:pStyle w:val="30"/>
        <w:spacing w:after="120"/>
        <w:rPr>
          <w:rFonts w:cs="Tahoma"/>
        </w:rPr>
      </w:pPr>
      <w:r>
        <w:t>The Total Return Index Constituents are similar to Constituents of the Price Index.</w:t>
      </w:r>
    </w:p>
    <w:p w14:paraId="40CF2723" w14:textId="0D7401C8" w:rsidR="000E48CF" w:rsidRPr="00636E22" w:rsidRDefault="000E48CF" w:rsidP="00296EBF">
      <w:pPr>
        <w:pStyle w:val="a"/>
        <w:spacing w:after="120"/>
      </w:pPr>
      <w:bookmarkStart w:id="94" w:name="_Toc424122372"/>
      <w:bookmarkStart w:id="95" w:name="_Toc438206738"/>
      <w:bookmarkStart w:id="96" w:name="_Toc438206774"/>
      <w:bookmarkStart w:id="97" w:name="_Toc438206994"/>
      <w:bookmarkStart w:id="98" w:name="_Toc433902910"/>
      <w:bookmarkStart w:id="99" w:name="_Toc463443768"/>
      <w:bookmarkStart w:id="100" w:name="_Toc488065483"/>
      <w:bookmarkStart w:id="101" w:name="_Toc175850112"/>
      <w:r>
        <w:t>Index Review</w:t>
      </w:r>
      <w:bookmarkEnd w:id="94"/>
      <w:bookmarkEnd w:id="95"/>
      <w:bookmarkEnd w:id="96"/>
      <w:bookmarkEnd w:id="97"/>
      <w:bookmarkEnd w:id="98"/>
      <w:bookmarkEnd w:id="99"/>
      <w:bookmarkEnd w:id="100"/>
      <w:bookmarkEnd w:id="101"/>
    </w:p>
    <w:p w14:paraId="661D4EA4" w14:textId="6B2414D3" w:rsidR="00D27107" w:rsidRPr="00636E22" w:rsidRDefault="00B63D82" w:rsidP="00296EBF">
      <w:pPr>
        <w:pStyle w:val="30"/>
        <w:spacing w:after="120"/>
        <w:rPr>
          <w:rFonts w:cs="Tahoma"/>
        </w:rPr>
      </w:pPr>
      <w:r>
        <w:t>Securities are added to and removed from the Index at the Index reviews.</w:t>
      </w:r>
    </w:p>
    <w:p w14:paraId="0D5EDD1F" w14:textId="296F72C5" w:rsidR="00D27107" w:rsidRPr="00636E22" w:rsidRDefault="00CA5C7C" w:rsidP="00296EBF">
      <w:pPr>
        <w:pStyle w:val="30"/>
        <w:spacing w:after="120"/>
      </w:pPr>
      <w:bookmarkStart w:id="102" w:name="_Ref511664437"/>
      <w:r>
        <w:t xml:space="preserve">Regular index reviews shall be carried out once a quarter, except for cases provided by this Methodology. Index review changes become effective from the beginning of the main trading session of the trading day following the third Thursday of March, June, September and December. The Exchange ay set other effective dates for </w:t>
      </w:r>
      <w:proofErr w:type="spellStart"/>
      <w:r>
        <w:t>Inndex</w:t>
      </w:r>
      <w:proofErr w:type="spellEnd"/>
      <w:r>
        <w:t xml:space="preserve"> review changes.</w:t>
      </w:r>
      <w:bookmarkEnd w:id="102"/>
    </w:p>
    <w:p w14:paraId="6FAEDB61" w14:textId="77777777" w:rsidR="00B63D82" w:rsidRPr="00F80625" w:rsidRDefault="00B63D82" w:rsidP="00296EBF">
      <w:pPr>
        <w:pStyle w:val="30"/>
        <w:spacing w:after="120"/>
        <w:rPr>
          <w:rFonts w:cs="Tahoma"/>
        </w:rPr>
      </w:pPr>
      <w:bookmarkStart w:id="103" w:name="_Ref422320984"/>
      <w:r>
        <w:t>Unscheduled reviews of the Index may occur if:</w:t>
      </w:r>
      <w:bookmarkEnd w:id="103"/>
    </w:p>
    <w:p w14:paraId="22231A3E" w14:textId="06AD7452" w:rsidR="00B63D82" w:rsidRDefault="00B63D82" w:rsidP="00296EBF">
      <w:pPr>
        <w:pStyle w:val="11"/>
        <w:spacing w:after="120"/>
        <w:rPr>
          <w:rFonts w:cs="Tahoma"/>
        </w:rPr>
      </w:pPr>
      <w:r>
        <w:t>Admission of securities to trading has been terminated;</w:t>
      </w:r>
    </w:p>
    <w:p w14:paraId="2848903C" w14:textId="140EB58A" w:rsidR="008B4614" w:rsidRDefault="008B4614" w:rsidP="00296EBF">
      <w:pPr>
        <w:pStyle w:val="11"/>
        <w:spacing w:after="120"/>
        <w:rPr>
          <w:rFonts w:cs="Tahoma"/>
        </w:rPr>
      </w:pPr>
      <w:r>
        <w:t>as a result of a regular or extraordinary verification for Compliance;</w:t>
      </w:r>
    </w:p>
    <w:p w14:paraId="4754333F" w14:textId="3941B1A3" w:rsidR="00387C8D" w:rsidRPr="0058098B" w:rsidRDefault="00387C8D" w:rsidP="00296EBF">
      <w:pPr>
        <w:pStyle w:val="11"/>
        <w:spacing w:after="120"/>
        <w:rPr>
          <w:rFonts w:cs="Tahoma"/>
        </w:rPr>
      </w:pPr>
      <w:r>
        <w:t>when the debt ratio increases to more than 33%;</w:t>
      </w:r>
    </w:p>
    <w:p w14:paraId="37B275B2" w14:textId="70E525CE" w:rsidR="00B63D82" w:rsidRPr="00F80625" w:rsidRDefault="00B63D82" w:rsidP="00296EBF">
      <w:pPr>
        <w:pStyle w:val="11"/>
        <w:spacing w:after="120"/>
        <w:rPr>
          <w:rFonts w:cs="Tahoma"/>
        </w:rPr>
      </w:pPr>
      <w:r>
        <w:t>Trading in securities has been restricted;</w:t>
      </w:r>
    </w:p>
    <w:p w14:paraId="5459F7D8" w14:textId="251E2C37" w:rsidR="00B63D82" w:rsidRPr="00F80625" w:rsidRDefault="00B63D82" w:rsidP="00296EBF">
      <w:pPr>
        <w:pStyle w:val="11"/>
        <w:spacing w:after="120"/>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1A85EC91" w14:textId="6D222E3B" w:rsidR="00D27107" w:rsidRDefault="00B63D82" w:rsidP="00296EBF">
      <w:pPr>
        <w:pStyle w:val="11"/>
        <w:spacing w:after="120"/>
        <w:rPr>
          <w:rFonts w:cs="Tahoma"/>
        </w:rPr>
      </w:pPr>
      <w:r>
        <w:t>in other cases that may have a material impact on the calculation of the Index.</w:t>
      </w:r>
    </w:p>
    <w:p w14:paraId="553EE47C" w14:textId="77777777" w:rsidR="00B75481" w:rsidRPr="00FE668E" w:rsidRDefault="00B75481" w:rsidP="00296EBF">
      <w:pPr>
        <w:pStyle w:val="30"/>
        <w:spacing w:after="120"/>
        <w:ind w:left="1361"/>
        <w:rPr>
          <w:rFonts w:cs="Tahoma"/>
        </w:rPr>
      </w:pPr>
      <w:r>
        <w:t>Regular review of the Index by the Exchange's decision and/or recalculation of the Constituent Stocks Parameters shall be announced not later than a week before the new Constituent Stocks and/or new Constituent Stocks Parameters take effect.</w:t>
      </w:r>
    </w:p>
    <w:p w14:paraId="68D0473B" w14:textId="77777777" w:rsidR="00B75481" w:rsidRPr="00FE668E" w:rsidRDefault="00B75481" w:rsidP="00296EBF">
      <w:pPr>
        <w:pStyle w:val="30"/>
        <w:spacing w:after="120"/>
        <w:ind w:left="1361"/>
        <w:rPr>
          <w:rFonts w:cs="Tahoma"/>
        </w:rPr>
      </w:pPr>
      <w:r>
        <w:t>Extraordinary review of the Index by the Exchange's decision and/or recalculation of the Constituent Stocks Parameters shall be announced not later than the day preceding the effective date of the new Constituent Stocks and/or new Constituent Stocks Parameters.</w:t>
      </w:r>
    </w:p>
    <w:p w14:paraId="79B1DDA1" w14:textId="77777777" w:rsidR="00932404" w:rsidRPr="00FE668E" w:rsidRDefault="00932404" w:rsidP="00296EBF">
      <w:pPr>
        <w:pStyle w:val="a"/>
        <w:tabs>
          <w:tab w:val="clear" w:pos="9344"/>
        </w:tabs>
        <w:spacing w:before="120" w:after="120"/>
      </w:pPr>
      <w:bookmarkStart w:id="104" w:name="_Ref423520053"/>
      <w:bookmarkStart w:id="105" w:name="_Toc424122375"/>
      <w:bookmarkStart w:id="106" w:name="_Toc438206741"/>
      <w:bookmarkStart w:id="107" w:name="_Toc438206777"/>
      <w:bookmarkStart w:id="108" w:name="_Toc438206997"/>
      <w:bookmarkStart w:id="109" w:name="_Toc433902913"/>
      <w:bookmarkStart w:id="110" w:name="_Toc463443771"/>
      <w:bookmarkStart w:id="111" w:name="_Toc488065484"/>
      <w:bookmarkStart w:id="112" w:name="_Toc65591908"/>
      <w:bookmarkStart w:id="113" w:name="_Toc155794166"/>
      <w:bookmarkStart w:id="114" w:name="_Toc160531824"/>
      <w:bookmarkStart w:id="115" w:name="_Toc175850113"/>
      <w:bookmarkStart w:id="116" w:name="_Ref335748680"/>
      <w:r>
        <w:lastRenderedPageBreak/>
        <w:t>Treatment of corporate events</w:t>
      </w:r>
      <w:bookmarkEnd w:id="104"/>
      <w:bookmarkEnd w:id="105"/>
      <w:bookmarkEnd w:id="106"/>
      <w:bookmarkEnd w:id="107"/>
      <w:bookmarkEnd w:id="108"/>
      <w:bookmarkEnd w:id="109"/>
      <w:bookmarkEnd w:id="110"/>
      <w:bookmarkEnd w:id="111"/>
      <w:bookmarkEnd w:id="112"/>
      <w:bookmarkEnd w:id="113"/>
      <w:bookmarkEnd w:id="114"/>
      <w:bookmarkEnd w:id="115"/>
    </w:p>
    <w:p w14:paraId="3790674B" w14:textId="77777777" w:rsidR="00932404" w:rsidRPr="00FE668E" w:rsidRDefault="00932404" w:rsidP="00296EBF">
      <w:pPr>
        <w:pStyle w:val="30"/>
        <w:spacing w:before="120" w:after="120"/>
        <w:ind w:left="1361"/>
        <w:rPr>
          <w:rFonts w:cs="Tahoma"/>
        </w:rPr>
      </w:pPr>
      <w:r>
        <w:t>If represented stocks have been split or consolidated or scope of rights and/or procedure for exercising rights carried by the represented stocks pursuant to the foreign law have been changed, the Exchange shall make a resolution on treating such events.</w:t>
      </w:r>
    </w:p>
    <w:p w14:paraId="39D78130" w14:textId="77777777" w:rsidR="00932404" w:rsidRDefault="00932404" w:rsidP="00296EBF">
      <w:pPr>
        <w:pStyle w:val="30"/>
        <w:spacing w:after="120"/>
        <w:ind w:left="1361"/>
        <w:rPr>
          <w:rFonts w:cs="Tahoma"/>
        </w:rPr>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price calculated on the day of trading suspension.</w:t>
      </w:r>
    </w:p>
    <w:p w14:paraId="1B83D938" w14:textId="77777777" w:rsidR="00932404" w:rsidRPr="00FE668E" w:rsidRDefault="00932404" w:rsidP="00296EBF">
      <w:pPr>
        <w:pStyle w:val="30"/>
        <w:spacing w:after="120"/>
        <w:ind w:left="1361"/>
        <w:rPr>
          <w:rFonts w:cs="Tahoma"/>
        </w:rPr>
      </w:pPr>
      <w:bookmarkStart w:id="117" w:name="_Ref61885035"/>
      <w:bookmarkStart w:id="118"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w:t>
      </w:r>
      <w:r>
        <w:rPr>
          <w:vertAlign w:val="subscript"/>
        </w:rPr>
        <w:t>i</w:t>
      </w:r>
      <w:r>
        <w:t xml:space="preserve">), as well as the price of the </w:t>
      </w:r>
      <w:proofErr w:type="spellStart"/>
      <w:r>
        <w:t>i</w:t>
      </w:r>
      <w:r>
        <w:rPr>
          <w:vertAlign w:val="superscript"/>
        </w:rPr>
        <w:t>th</w:t>
      </w:r>
      <w:proofErr w:type="spellEnd"/>
      <w:r>
        <w:t xml:space="preserve"> stock (P</w:t>
      </w:r>
      <w:r>
        <w:rPr>
          <w:vertAlign w:val="subscript"/>
        </w:rPr>
        <w:t>i</w:t>
      </w:r>
      <w:r>
        <w:t xml:space="preserve">),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w:t>
      </w:r>
      <w:r>
        <w:rPr>
          <w:vertAlign w:val="subscript"/>
        </w:rPr>
        <w:t>i</w:t>
      </w:r>
      <w:r>
        <w:t xml:space="preserve">) is multiplied 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bookmarkEnd w:id="117"/>
      <w:bookmarkEnd w:id="118"/>
    </w:p>
    <w:p w14:paraId="2C30F776" w14:textId="77777777" w:rsidR="00932404" w:rsidRPr="00636E22" w:rsidRDefault="00932404" w:rsidP="00296EBF">
      <w:pPr>
        <w:pStyle w:val="30"/>
        <w:spacing w:after="120"/>
        <w:ind w:left="1361"/>
      </w:pPr>
      <w:bookmarkStart w:id="119"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119"/>
    </w:p>
    <w:bookmarkEnd w:id="116"/>
    <w:p w14:paraId="3105E8BF" w14:textId="77777777" w:rsidR="00700330" w:rsidRDefault="00700330" w:rsidP="00296EBF">
      <w:pPr>
        <w:spacing w:after="120"/>
      </w:pPr>
    </w:p>
    <w:p w14:paraId="4ABEAFD8" w14:textId="68D9F80E" w:rsidR="00096A43" w:rsidRPr="00636E22" w:rsidRDefault="00877E85" w:rsidP="00296EBF">
      <w:pPr>
        <w:pStyle w:val="10"/>
        <w:spacing w:after="120"/>
        <w:rPr>
          <w:rFonts w:cs="Tahoma"/>
        </w:rPr>
      </w:pPr>
      <w:bookmarkStart w:id="120" w:name="_Toc424906503"/>
      <w:bookmarkStart w:id="121" w:name="_Toc424906574"/>
      <w:bookmarkStart w:id="122" w:name="_Toc424906606"/>
      <w:bookmarkStart w:id="123" w:name="_Toc424906650"/>
      <w:bookmarkStart w:id="124" w:name="_Toc424906694"/>
      <w:bookmarkStart w:id="125" w:name="_Toc424906732"/>
      <w:bookmarkStart w:id="126" w:name="_Toc424909149"/>
      <w:bookmarkStart w:id="127" w:name="_Toc425425272"/>
      <w:bookmarkStart w:id="128" w:name="_Toc424122376"/>
      <w:bookmarkStart w:id="129" w:name="_Toc438206742"/>
      <w:bookmarkStart w:id="130" w:name="_Toc438206778"/>
      <w:bookmarkStart w:id="131" w:name="_Toc438206998"/>
      <w:bookmarkStart w:id="132" w:name="_Toc433902914"/>
      <w:bookmarkStart w:id="133" w:name="_Toc463443772"/>
      <w:bookmarkStart w:id="134" w:name="_Toc488065485"/>
      <w:bookmarkStart w:id="135" w:name="_Toc175850114"/>
      <w:bookmarkStart w:id="136" w:name="_Ref272826482"/>
      <w:bookmarkStart w:id="137" w:name="п_6_1"/>
      <w:bookmarkEnd w:id="120"/>
      <w:bookmarkEnd w:id="121"/>
      <w:bookmarkEnd w:id="122"/>
      <w:bookmarkEnd w:id="123"/>
      <w:bookmarkEnd w:id="124"/>
      <w:bookmarkEnd w:id="125"/>
      <w:bookmarkEnd w:id="126"/>
      <w:bookmarkEnd w:id="127"/>
      <w:r>
        <w:t>Calculation timing and disclosure of the Indices</w:t>
      </w:r>
      <w:bookmarkEnd w:id="128"/>
      <w:bookmarkEnd w:id="129"/>
      <w:bookmarkEnd w:id="130"/>
      <w:bookmarkEnd w:id="131"/>
      <w:bookmarkEnd w:id="132"/>
      <w:bookmarkEnd w:id="133"/>
      <w:bookmarkEnd w:id="134"/>
      <w:bookmarkEnd w:id="135"/>
    </w:p>
    <w:p w14:paraId="574EDCA4" w14:textId="77777777" w:rsidR="00096A43" w:rsidRPr="00636E22" w:rsidRDefault="00096A43" w:rsidP="00296EBF">
      <w:pPr>
        <w:pStyle w:val="a"/>
        <w:spacing w:after="120"/>
      </w:pPr>
      <w:bookmarkStart w:id="138" w:name="_Toc424122379"/>
      <w:bookmarkStart w:id="139" w:name="_Toc438206744"/>
      <w:bookmarkStart w:id="140" w:name="_Toc438206780"/>
      <w:bookmarkStart w:id="141" w:name="_Toc438207000"/>
      <w:bookmarkStart w:id="142" w:name="_Toc433902916"/>
      <w:bookmarkStart w:id="143" w:name="_Toc463443774"/>
      <w:bookmarkStart w:id="144" w:name="_Toc488065487"/>
      <w:bookmarkStart w:id="145" w:name="_Toc175850115"/>
      <w:r>
        <w:t>Schedule of index calculation</w:t>
      </w:r>
      <w:bookmarkEnd w:id="138"/>
      <w:bookmarkEnd w:id="139"/>
      <w:bookmarkEnd w:id="140"/>
      <w:bookmarkEnd w:id="141"/>
      <w:bookmarkEnd w:id="142"/>
      <w:bookmarkEnd w:id="143"/>
      <w:bookmarkEnd w:id="144"/>
      <w:bookmarkEnd w:id="145"/>
    </w:p>
    <w:p w14:paraId="07735394" w14:textId="07DB3BB2" w:rsidR="00096A43" w:rsidRDefault="0088162F" w:rsidP="00296EBF">
      <w:pPr>
        <w:pStyle w:val="30"/>
        <w:spacing w:after="120"/>
      </w:pPr>
      <w:r>
        <w:t>The price index is calculated once every 5 minutes during the main trading session.</w:t>
      </w:r>
      <w:r>
        <w:rPr>
          <w:color w:val="000000"/>
        </w:rPr>
        <w:t xml:space="preserve"> </w:t>
      </w:r>
      <w:r>
        <w:t>The Total Return Index is calculated once a day at the end of the main trading session. This single value of the Total Return Index for the day is both the current value and the closing value before the next calculation of such Index on the next trading day.</w:t>
      </w:r>
    </w:p>
    <w:p w14:paraId="0156AD10" w14:textId="77777777" w:rsidR="00AD5BD4" w:rsidRPr="00636E22" w:rsidRDefault="00AD5BD4" w:rsidP="00296EBF">
      <w:pPr>
        <w:spacing w:after="120"/>
        <w:jc w:val="both"/>
        <w:rPr>
          <w:rFonts w:cs="Tahoma"/>
          <w:szCs w:val="20"/>
        </w:rPr>
      </w:pPr>
    </w:p>
    <w:p w14:paraId="5A4E77D9" w14:textId="7EFBFECC" w:rsidR="007A619B" w:rsidRPr="00636E22" w:rsidRDefault="007A619B" w:rsidP="00296EBF">
      <w:pPr>
        <w:pStyle w:val="a"/>
        <w:spacing w:after="120"/>
      </w:pPr>
      <w:bookmarkStart w:id="146" w:name="_Toc424122380"/>
      <w:bookmarkStart w:id="147" w:name="_Toc175850116"/>
      <w:bookmarkEnd w:id="146"/>
      <w:r>
        <w:t>Control over the index calculation</w:t>
      </w:r>
      <w:bookmarkEnd w:id="147"/>
    </w:p>
    <w:p w14:paraId="0F58AF8E" w14:textId="63D5E5E2" w:rsidR="00096A43" w:rsidRPr="00636E22" w:rsidRDefault="00EE62B1" w:rsidP="00296EBF">
      <w:pPr>
        <w:pStyle w:val="30"/>
        <w:spacing w:after="120"/>
      </w:pPr>
      <w:r>
        <w:t>In the event of a technical failure during the calculation of the Indices or a technical failure during the receipt of price data required for their calculation, recalculation of the previously calculated values is permitted. This recalculation shall be carried out within the shortest possible time from the moment of detection of the technical failure.</w:t>
      </w:r>
    </w:p>
    <w:p w14:paraId="58538764" w14:textId="008DDE5B" w:rsidR="00096A43" w:rsidRPr="00A9084D" w:rsidRDefault="00EE62B1" w:rsidP="00296EBF">
      <w:pPr>
        <w:pStyle w:val="30"/>
        <w:spacing w:after="120"/>
        <w:rPr>
          <w:rFonts w:cs="Tahoma"/>
        </w:rPr>
      </w:pPr>
      <w:r>
        <w:t>In the event of circumstances that may adversely affect the adequacy of Indices' representation of the actual performance of the financial market, the Exchange may take any actions required to ensure the Indices adequacy, including deletion of securities from the Indices, inclusion of securities into the Indices, setting values of parameters used for calculation of indicators provided for by this Methodology, etc.</w:t>
      </w:r>
    </w:p>
    <w:p w14:paraId="24D94763" w14:textId="2AAA8243" w:rsidR="00A9084D" w:rsidRPr="00160781" w:rsidRDefault="00A9084D" w:rsidP="00296EBF">
      <w:pPr>
        <w:pStyle w:val="30"/>
        <w:spacing w:after="120"/>
        <w:rPr>
          <w:rFonts w:cs="Tahoma"/>
        </w:rPr>
      </w:pPr>
      <w:r>
        <w:rPr>
          <w:rFonts w:cs="Tahoma"/>
          <w:lang w:val="en-US"/>
        </w:rPr>
        <w:t xml:space="preserve">The </w:t>
      </w:r>
      <w:r w:rsidRPr="00AC5CD6">
        <w:rPr>
          <w:rFonts w:cs="Tahoma"/>
        </w:rPr>
        <w:t xml:space="preserve">Moscow Exchange Regulations on Recalculation of Index Values specify the set of principles guiding the Exchange in the development, calculation and distribution of the Indices in the event of errors in the </w:t>
      </w:r>
      <w:r>
        <w:rPr>
          <w:rFonts w:cs="Tahoma"/>
        </w:rPr>
        <w:t>I</w:t>
      </w:r>
      <w:r w:rsidRPr="00AC5CD6">
        <w:rPr>
          <w:rFonts w:cs="Tahoma"/>
        </w:rPr>
        <w:t>ndex value.</w:t>
      </w:r>
    </w:p>
    <w:p w14:paraId="177DF8FF" w14:textId="77777777" w:rsidR="00562BF9" w:rsidRPr="004A7E41" w:rsidRDefault="00562BF9" w:rsidP="00296EBF">
      <w:pPr>
        <w:spacing w:after="120"/>
        <w:rPr>
          <w:rFonts w:cs="Tahoma"/>
        </w:rPr>
      </w:pPr>
      <w:bookmarkStart w:id="148" w:name="_Ref423537260"/>
      <w:bookmarkEnd w:id="136"/>
      <w:bookmarkEnd w:id="137"/>
    </w:p>
    <w:p w14:paraId="56C6172B" w14:textId="59DAD6D0" w:rsidR="00657BF4" w:rsidRPr="00636E22" w:rsidRDefault="00657BF4" w:rsidP="00296EBF">
      <w:pPr>
        <w:pStyle w:val="a"/>
        <w:spacing w:after="120"/>
      </w:pPr>
      <w:bookmarkStart w:id="149" w:name="_Toc424122381"/>
      <w:bookmarkStart w:id="150" w:name="_Ref424288365"/>
      <w:bookmarkStart w:id="151" w:name="_Toc438206746"/>
      <w:bookmarkStart w:id="152" w:name="_Toc438206782"/>
      <w:bookmarkStart w:id="153" w:name="_Toc438207002"/>
      <w:bookmarkStart w:id="154" w:name="_Toc433902918"/>
      <w:bookmarkStart w:id="155" w:name="_Toc463443776"/>
      <w:bookmarkStart w:id="156" w:name="_Toc488065489"/>
      <w:bookmarkStart w:id="157" w:name="_Toc175850117"/>
      <w:r>
        <w:t>Publication</w:t>
      </w:r>
      <w:bookmarkEnd w:id="148"/>
      <w:bookmarkEnd w:id="149"/>
      <w:bookmarkEnd w:id="150"/>
      <w:bookmarkEnd w:id="151"/>
      <w:bookmarkEnd w:id="152"/>
      <w:bookmarkEnd w:id="153"/>
      <w:bookmarkEnd w:id="154"/>
      <w:bookmarkEnd w:id="155"/>
      <w:bookmarkEnd w:id="156"/>
      <w:bookmarkEnd w:id="157"/>
    </w:p>
    <w:p w14:paraId="1D1FDFB3" w14:textId="54199F55" w:rsidR="00DA1DE8" w:rsidRPr="00636E22" w:rsidRDefault="00DA1DE8" w:rsidP="00296EBF">
      <w:pPr>
        <w:pStyle w:val="30"/>
        <w:spacing w:after="120"/>
      </w:pPr>
      <w:r>
        <w:t>Disclosure of information provided for by this Methodology, is made on the Exchange official website.</w:t>
      </w:r>
    </w:p>
    <w:p w14:paraId="6AD59A49" w14:textId="0EB2DEEA" w:rsidR="00DA1DE8" w:rsidRDefault="0088162F" w:rsidP="00296EBF">
      <w:pPr>
        <w:pStyle w:val="30"/>
        <w:spacing w:after="120"/>
        <w:rPr>
          <w:rFonts w:cs="Tahoma"/>
        </w:rPr>
      </w:pPr>
      <w:r>
        <w:t>The values of the Price Index and the Total Return Index are disclosed every trading day not later than one hour after the end of the main trading session of the given trading day.</w:t>
      </w:r>
    </w:p>
    <w:p w14:paraId="7F1E7173" w14:textId="25CAFD2C" w:rsidR="0010569A" w:rsidRDefault="0010569A" w:rsidP="00296EBF">
      <w:pPr>
        <w:pStyle w:val="30"/>
        <w:spacing w:after="120"/>
        <w:rPr>
          <w:rFonts w:cs="Tahoma"/>
        </w:rPr>
      </w:pPr>
      <w:r>
        <w:t>Information subject to disclosure in accordance with this Methodology may be additionally disseminated by other means, including through information agencies disseminating MOEX market data.</w:t>
      </w:r>
    </w:p>
    <w:p w14:paraId="397F1F7B" w14:textId="77777777" w:rsidR="007A7A6C" w:rsidRPr="00636E22" w:rsidRDefault="007A7A6C" w:rsidP="00296EBF">
      <w:pPr>
        <w:pStyle w:val="10"/>
        <w:pageBreakBefore/>
        <w:numPr>
          <w:ilvl w:val="0"/>
          <w:numId w:val="0"/>
        </w:numPr>
        <w:spacing w:after="120"/>
        <w:ind w:left="397"/>
        <w:jc w:val="right"/>
        <w:rPr>
          <w:rFonts w:cs="Tahoma"/>
        </w:rPr>
      </w:pPr>
      <w:bookmarkStart w:id="158" w:name="_Toc351375304"/>
      <w:bookmarkStart w:id="159" w:name="_Toc424122382"/>
      <w:bookmarkStart w:id="160" w:name="_Toc438206747"/>
      <w:bookmarkStart w:id="161" w:name="_Toc438206783"/>
      <w:bookmarkStart w:id="162" w:name="_Toc438207003"/>
      <w:bookmarkStart w:id="163" w:name="_Toc433902919"/>
      <w:bookmarkStart w:id="164" w:name="_Toc463443777"/>
      <w:bookmarkStart w:id="165" w:name="_Toc488065490"/>
      <w:bookmarkStart w:id="166" w:name="_Toc17997677"/>
      <w:bookmarkStart w:id="167" w:name="_Toc175850118"/>
      <w:r>
        <w:lastRenderedPageBreak/>
        <w:t>Appendix I</w:t>
      </w:r>
      <w:bookmarkEnd w:id="158"/>
      <w:bookmarkEnd w:id="159"/>
      <w:bookmarkEnd w:id="160"/>
      <w:bookmarkEnd w:id="161"/>
      <w:bookmarkEnd w:id="162"/>
      <w:bookmarkEnd w:id="163"/>
      <w:bookmarkEnd w:id="164"/>
      <w:bookmarkEnd w:id="165"/>
      <w:bookmarkEnd w:id="166"/>
      <w:bookmarkEnd w:id="167"/>
    </w:p>
    <w:p w14:paraId="5CE79184" w14:textId="66BCACFE" w:rsidR="007A7A6C" w:rsidRPr="00636E22" w:rsidRDefault="007A7A6C" w:rsidP="00296EBF">
      <w:pPr>
        <w:tabs>
          <w:tab w:val="left" w:pos="993"/>
        </w:tabs>
        <w:spacing w:after="120"/>
        <w:ind w:left="397"/>
        <w:jc w:val="right"/>
        <w:rPr>
          <w:rFonts w:cs="Tahoma"/>
          <w:b/>
          <w:szCs w:val="20"/>
        </w:rPr>
      </w:pPr>
      <w:r>
        <w:rPr>
          <w:b/>
        </w:rPr>
        <w:t>To the Calculation Methodology for Shariah Investment Indices</w:t>
      </w:r>
    </w:p>
    <w:p w14:paraId="3AC65B02" w14:textId="1DE95516" w:rsidR="007A7A6C" w:rsidRPr="003747F9" w:rsidRDefault="00065C72" w:rsidP="00296EBF">
      <w:pPr>
        <w:tabs>
          <w:tab w:val="left" w:pos="993"/>
        </w:tabs>
        <w:spacing w:before="240" w:after="120"/>
        <w:ind w:left="992"/>
        <w:jc w:val="center"/>
        <w:rPr>
          <w:rFonts w:cs="Tahoma"/>
          <w:b/>
          <w:sz w:val="24"/>
        </w:rPr>
      </w:pPr>
      <w:r>
        <w:rPr>
          <w:b/>
          <w:sz w:val="24"/>
        </w:rPr>
        <w:t>Basic principles of compliance screening</w:t>
      </w:r>
    </w:p>
    <w:p w14:paraId="6B8E0B72" w14:textId="5BD2F9F1" w:rsidR="005A6467" w:rsidRPr="005A6467" w:rsidRDefault="005A6467" w:rsidP="00296EBF">
      <w:pPr>
        <w:spacing w:after="120"/>
        <w:rPr>
          <w:b/>
          <w:bCs/>
          <w:sz w:val="16"/>
          <w:szCs w:val="16"/>
        </w:rPr>
      </w:pPr>
      <w:r>
        <w:rPr>
          <w:b/>
          <w:sz w:val="16"/>
        </w:rPr>
        <w:t>Regulatory framework (the Islamic rules):</w:t>
      </w:r>
    </w:p>
    <w:p w14:paraId="435A0807" w14:textId="593F90AC" w:rsidR="005A6467" w:rsidRPr="005A6467" w:rsidRDefault="005A6467" w:rsidP="00296EBF">
      <w:pPr>
        <w:pStyle w:val="af4"/>
        <w:numPr>
          <w:ilvl w:val="0"/>
          <w:numId w:val="8"/>
        </w:numPr>
        <w:spacing w:after="120"/>
        <w:contextualSpacing w:val="0"/>
        <w:rPr>
          <w:sz w:val="16"/>
          <w:szCs w:val="16"/>
        </w:rPr>
      </w:pPr>
      <w:r>
        <w:rPr>
          <w:sz w:val="16"/>
        </w:rPr>
        <w:t>norms established by the Shariah, a set of religious, legal, and everyday rules based on scripture (Quran) and tradition (Sunnah);</w:t>
      </w:r>
    </w:p>
    <w:p w14:paraId="631B5810" w14:textId="0F5C79C7" w:rsidR="007A7A6C" w:rsidRPr="005A6467" w:rsidRDefault="005A6467" w:rsidP="00296EBF">
      <w:pPr>
        <w:pStyle w:val="af4"/>
        <w:numPr>
          <w:ilvl w:val="0"/>
          <w:numId w:val="8"/>
        </w:numPr>
        <w:spacing w:after="120"/>
        <w:contextualSpacing w:val="0"/>
        <w:rPr>
          <w:sz w:val="16"/>
          <w:szCs w:val="16"/>
        </w:rPr>
      </w:pPr>
      <w:r>
        <w:rPr>
          <w:sz w:val="16"/>
        </w:rPr>
        <w:t>international standards and rules of Shariah Compliance.</w:t>
      </w:r>
    </w:p>
    <w:p w14:paraId="05605288" w14:textId="77777777" w:rsidR="005A6467" w:rsidRPr="005A6467" w:rsidRDefault="005A6467" w:rsidP="00296EBF">
      <w:pPr>
        <w:spacing w:after="120"/>
        <w:rPr>
          <w:sz w:val="16"/>
          <w:szCs w:val="16"/>
        </w:rPr>
      </w:pPr>
    </w:p>
    <w:p w14:paraId="10CAFE33" w14:textId="6A037BE9" w:rsidR="005A6467" w:rsidRPr="003747F9" w:rsidRDefault="003747F9" w:rsidP="00296EBF">
      <w:pPr>
        <w:spacing w:after="120"/>
        <w:rPr>
          <w:b/>
          <w:bCs/>
          <w:szCs w:val="20"/>
        </w:rPr>
      </w:pPr>
      <w:r>
        <w:rPr>
          <w:b/>
        </w:rPr>
        <w:t>STAGES OF ANALYSIS AND VERIFICATION OF THE ISSUER:</w:t>
      </w:r>
    </w:p>
    <w:p w14:paraId="0278D213" w14:textId="701FDD92" w:rsidR="005A6467" w:rsidRPr="005A6467" w:rsidRDefault="005A6467" w:rsidP="00296EBF">
      <w:pPr>
        <w:spacing w:after="120"/>
        <w:rPr>
          <w:sz w:val="16"/>
          <w:szCs w:val="16"/>
        </w:rPr>
      </w:pPr>
    </w:p>
    <w:p w14:paraId="1EAED5DD" w14:textId="60EF3571" w:rsidR="005A6467" w:rsidRPr="005A6467" w:rsidRDefault="005A6467" w:rsidP="00296EBF">
      <w:pPr>
        <w:widowControl w:val="0"/>
        <w:autoSpaceDE w:val="0"/>
        <w:autoSpaceDN w:val="0"/>
        <w:spacing w:before="200" w:after="120"/>
        <w:jc w:val="center"/>
        <w:outlineLvl w:val="0"/>
        <w:rPr>
          <w:rFonts w:eastAsia="Calibri" w:cs="Tahoma"/>
          <w:b/>
          <w:bCs/>
          <w:sz w:val="16"/>
          <w:szCs w:val="16"/>
        </w:rPr>
      </w:pPr>
      <w:r>
        <w:rPr>
          <w:b/>
          <w:sz w:val="16"/>
        </w:rPr>
        <w:t>1. BUSINESS ACTIVITY SCREENING</w:t>
      </w:r>
    </w:p>
    <w:p w14:paraId="344F451F" w14:textId="77777777" w:rsidR="005A6467" w:rsidRPr="005A6467" w:rsidRDefault="005A6467" w:rsidP="00296EBF">
      <w:pPr>
        <w:widowControl w:val="0"/>
        <w:autoSpaceDE w:val="0"/>
        <w:autoSpaceDN w:val="0"/>
        <w:spacing w:before="8" w:after="120"/>
        <w:rPr>
          <w:rFonts w:eastAsia="Calibri" w:cs="Tahoma"/>
          <w:b/>
          <w:sz w:val="16"/>
          <w:szCs w:val="16"/>
        </w:rPr>
      </w:pPr>
    </w:p>
    <w:p w14:paraId="185DB632" w14:textId="3C54FC0B" w:rsidR="005A6467" w:rsidRPr="005A6467" w:rsidRDefault="003747F9" w:rsidP="00296EBF">
      <w:pPr>
        <w:widowControl w:val="0"/>
        <w:autoSpaceDE w:val="0"/>
        <w:autoSpaceDN w:val="0"/>
        <w:spacing w:after="120" w:line="276" w:lineRule="auto"/>
        <w:ind w:right="107"/>
        <w:jc w:val="both"/>
        <w:rPr>
          <w:rFonts w:eastAsia="Calibri" w:cs="Tahoma"/>
          <w:b/>
          <w:sz w:val="16"/>
          <w:szCs w:val="16"/>
        </w:rPr>
      </w:pPr>
      <w:r>
        <w:rPr>
          <w:b/>
          <w:sz w:val="16"/>
        </w:rPr>
        <w:t>Securities of issuers (the companies), which are engaged in the following activities, are excluded from the list of securities admitted to trading on the Exchange:</w:t>
      </w:r>
    </w:p>
    <w:p w14:paraId="5E235316"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0C37524E"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activities related to ALCOGOL,</w:t>
      </w:r>
      <w:r>
        <w:rPr>
          <w:sz w:val="16"/>
        </w:rPr>
        <w:t xml:space="preserve"> including:</w:t>
      </w:r>
    </w:p>
    <w:p w14:paraId="415D2F9C" w14:textId="77777777"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producers of any alcoholic beverages involved in any stage of production, bottling, packaging and other ancillary activities (in particular, specialized cultivation of crops solely for alcohol production, production of alcohol as a by-product from sugar production, transportation of alcohol products, etc.);</w:t>
      </w:r>
    </w:p>
    <w:p w14:paraId="2EF85322" w14:textId="77777777"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distributors/sellers of alcoholic beverages regardless of the form of distribution including but not limited to retail, wholesale, restaurants, bars, clubs, food courts, stores, supermarkets, etc.);</w:t>
      </w:r>
    </w:p>
    <w:p w14:paraId="079A0291" w14:textId="77777777"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manufacturers of any machinery/goods (including but not limited to bottles, labels, etc.) related to the production, bottling and packaging of alcohol products;</w:t>
      </w:r>
    </w:p>
    <w:p w14:paraId="3A612588" w14:textId="51BDD123"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 xml:space="preserve">landlords of real estate for producers/distributors of alcoholic beverages. In this case, it is necessary to </w:t>
      </w:r>
      <w:r w:rsidR="00A9084D">
        <w:rPr>
          <w:sz w:val="16"/>
        </w:rPr>
        <w:t>analyse</w:t>
      </w:r>
      <w:r>
        <w:rPr>
          <w:sz w:val="16"/>
        </w:rPr>
        <w:t xml:space="preserve"> how much space is used for the sale of alcohol, rather than the proportional share of income from the sale of alcohol. For example, a company that owns a shopping centre has leased space to a supermarket. This supermarket also sells alcohol. The company that owns the mall receives $100 of rental income from the supermarket. So</w:t>
      </w:r>
      <w:r w:rsidR="00A9084D">
        <w:rPr>
          <w:sz w:val="16"/>
        </w:rPr>
        <w:t>,</w:t>
      </w:r>
      <w:r>
        <w:rPr>
          <w:sz w:val="16"/>
        </w:rPr>
        <w:t xml:space="preserve"> if, based on market data, about 10% of the supermarket's income comes from the sale of alcohol, it can be proportionately argued that 10% of the mall owner's rental income comes from an impermissible source, i.e. from the sale of alcohol. Thus, the mall owner's impermissible revenue in this case would be $100 x 10% = $10. However, the Shariah Committee argues that the impermissible revenue for the mall owner must correspond to the area used by its tenant for the impermissible activity, not its financial value. Therefore, assuming that about 5% of the supermarket area is used to store/display alcoholic beverages, the impermissible income for the mall owner would be $100 x 5% = $5.</w:t>
      </w:r>
    </w:p>
    <w:p w14:paraId="3BE9965E"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0B3A6453" w14:textId="0592F1DA"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b/>
          <w:sz w:val="16"/>
          <w:szCs w:val="16"/>
        </w:rPr>
      </w:pPr>
      <w:r>
        <w:rPr>
          <w:b/>
          <w:sz w:val="16"/>
        </w:rPr>
        <w:t>Sports clubs and hotels</w:t>
      </w:r>
    </w:p>
    <w:p w14:paraId="5A278544" w14:textId="77777777" w:rsidR="005A6467" w:rsidRPr="005A6467" w:rsidRDefault="005A6467" w:rsidP="00296EBF">
      <w:pPr>
        <w:widowControl w:val="0"/>
        <w:numPr>
          <w:ilvl w:val="1"/>
          <w:numId w:val="12"/>
        </w:numPr>
        <w:autoSpaceDE w:val="0"/>
        <w:autoSpaceDN w:val="0"/>
        <w:spacing w:after="120" w:line="276" w:lineRule="auto"/>
        <w:ind w:right="107"/>
        <w:jc w:val="both"/>
        <w:rPr>
          <w:rFonts w:eastAsia="Calibri" w:cs="Tahoma"/>
          <w:bCs/>
          <w:sz w:val="16"/>
          <w:szCs w:val="16"/>
        </w:rPr>
      </w:pPr>
      <w:r>
        <w:rPr>
          <w:sz w:val="16"/>
        </w:rPr>
        <w:t>Unsegregated by gender sports clubs</w:t>
      </w:r>
    </w:p>
    <w:p w14:paraId="393055A0" w14:textId="77777777" w:rsidR="005A6467" w:rsidRPr="005A6467" w:rsidRDefault="005A6467" w:rsidP="00296EBF">
      <w:pPr>
        <w:widowControl w:val="0"/>
        <w:numPr>
          <w:ilvl w:val="1"/>
          <w:numId w:val="12"/>
        </w:numPr>
        <w:autoSpaceDE w:val="0"/>
        <w:autoSpaceDN w:val="0"/>
        <w:spacing w:after="120" w:line="276" w:lineRule="auto"/>
        <w:ind w:right="107"/>
        <w:jc w:val="both"/>
        <w:rPr>
          <w:rFonts w:eastAsia="Calibri" w:cs="Tahoma"/>
          <w:bCs/>
          <w:sz w:val="16"/>
          <w:szCs w:val="16"/>
        </w:rPr>
      </w:pPr>
      <w:r>
        <w:rPr>
          <w:sz w:val="16"/>
        </w:rPr>
        <w:t xml:space="preserve">Traditional hotels and their sports clubs </w:t>
      </w:r>
    </w:p>
    <w:p w14:paraId="0E519F63" w14:textId="77777777" w:rsidR="005A6467" w:rsidRPr="005A6467" w:rsidRDefault="005A6467" w:rsidP="00296EBF">
      <w:pPr>
        <w:widowControl w:val="0"/>
        <w:numPr>
          <w:ilvl w:val="1"/>
          <w:numId w:val="12"/>
        </w:numPr>
        <w:autoSpaceDE w:val="0"/>
        <w:autoSpaceDN w:val="0"/>
        <w:spacing w:after="120" w:line="276" w:lineRule="auto"/>
        <w:ind w:right="107"/>
        <w:jc w:val="both"/>
        <w:rPr>
          <w:rFonts w:eastAsia="Calibri" w:cs="Tahoma"/>
          <w:bCs/>
          <w:sz w:val="16"/>
          <w:szCs w:val="16"/>
        </w:rPr>
      </w:pPr>
      <w:r>
        <w:rPr>
          <w:sz w:val="16"/>
        </w:rPr>
        <w:t xml:space="preserve">Mixed pools </w:t>
      </w:r>
    </w:p>
    <w:p w14:paraId="6C5C5EA5"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2EA7DD4C"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Financial Services / Finance:</w:t>
      </w:r>
    </w:p>
    <w:p w14:paraId="78E18219"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Commercial banks</w:t>
      </w:r>
    </w:p>
    <w:p w14:paraId="7E4902F2"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Investment banks</w:t>
      </w:r>
    </w:p>
    <w:p w14:paraId="52030682"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Mortgage lenders</w:t>
      </w:r>
    </w:p>
    <w:p w14:paraId="591D8829"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Mortgage agencies</w:t>
      </w:r>
    </w:p>
    <w:p w14:paraId="5CFD6C0D"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Capital markets, including stock exchanges</w:t>
      </w:r>
    </w:p>
    <w:p w14:paraId="012722CA"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Specialised financial houses</w:t>
      </w:r>
    </w:p>
    <w:p w14:paraId="556E60B8"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Financial brokerage agencies</w:t>
      </w:r>
    </w:p>
    <w:p w14:paraId="06815BAC"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Investment management firms / agencies</w:t>
      </w:r>
    </w:p>
    <w:p w14:paraId="2BA698D9"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lastRenderedPageBreak/>
        <w:t>Stockbrokers</w:t>
      </w:r>
    </w:p>
    <w:p w14:paraId="31427BA0"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Pawnshops / agencies</w:t>
      </w:r>
    </w:p>
    <w:p w14:paraId="5E8D64D7"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Mutual funds and all other financial funds</w:t>
      </w:r>
    </w:p>
    <w:p w14:paraId="71628363"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Insurers</w:t>
      </w:r>
    </w:p>
    <w:p w14:paraId="6B5773C2"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Insurance companies</w:t>
      </w:r>
    </w:p>
    <w:p w14:paraId="1500D0FD"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Insurance agencies</w:t>
      </w:r>
    </w:p>
    <w:p w14:paraId="5B5E48F5"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Insurance brokers</w:t>
      </w:r>
    </w:p>
    <w:p w14:paraId="4B21D10B" w14:textId="77777777" w:rsidR="005A6467" w:rsidRPr="005A6467" w:rsidRDefault="005A6467" w:rsidP="00296EBF">
      <w:pPr>
        <w:widowControl w:val="0"/>
        <w:autoSpaceDE w:val="0"/>
        <w:autoSpaceDN w:val="0"/>
        <w:spacing w:after="120"/>
        <w:rPr>
          <w:rFonts w:eastAsia="Calibri" w:cs="Tahoma"/>
          <w:sz w:val="16"/>
          <w:szCs w:val="16"/>
          <w:lang w:val="en-US"/>
        </w:rPr>
      </w:pPr>
    </w:p>
    <w:p w14:paraId="7CC5C126"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r>
        <w:rPr>
          <w:b/>
          <w:sz w:val="16"/>
        </w:rPr>
        <w:t>Islamic banks, Islamic financial institutions and Islamic insurance companies are excluded as:</w:t>
      </w:r>
    </w:p>
    <w:p w14:paraId="498FC950"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They have a supervising Shariah committee or Shariah specialist in their organizational structure</w:t>
      </w:r>
    </w:p>
    <w:p w14:paraId="2C2ADB4E"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Their products are certified according to Shariah rules;</w:t>
      </w:r>
    </w:p>
    <w:p w14:paraId="032BFFA1"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Their investments and activities are Islamic;</w:t>
      </w:r>
    </w:p>
    <w:p w14:paraId="49FA711F"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Their accounting has gone through all stages of Shariah screening.</w:t>
      </w:r>
    </w:p>
    <w:p w14:paraId="27D27D7E"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51252357" w14:textId="79BC3AF5"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r>
        <w:rPr>
          <w:b/>
          <w:sz w:val="16"/>
        </w:rPr>
        <w:t>The following types of companies are excluded from the above-admitted companies:</w:t>
      </w:r>
    </w:p>
    <w:p w14:paraId="18C98EE9" w14:textId="2604E33F" w:rsidR="005A6467" w:rsidRPr="005A6467" w:rsidRDefault="005A6467" w:rsidP="00296EBF">
      <w:pPr>
        <w:widowControl w:val="0"/>
        <w:numPr>
          <w:ilvl w:val="1"/>
          <w:numId w:val="11"/>
        </w:numPr>
        <w:autoSpaceDE w:val="0"/>
        <w:autoSpaceDN w:val="0"/>
        <w:spacing w:after="120" w:line="276" w:lineRule="auto"/>
        <w:jc w:val="both"/>
        <w:rPr>
          <w:rFonts w:eastAsia="Calibri" w:cs="Tahoma"/>
          <w:sz w:val="16"/>
          <w:szCs w:val="16"/>
        </w:rPr>
      </w:pPr>
      <w:r>
        <w:rPr>
          <w:sz w:val="16"/>
        </w:rPr>
        <w:t xml:space="preserve">Companies that have compliant products but derive realization income (other than interest income) from impermissible investment activities. For example, Islamic insurance companies that only sell takaful products may invest their shareholders' funds in conventional financial instruments, extracting impermissible income. </w:t>
      </w:r>
    </w:p>
    <w:p w14:paraId="077C2D02" w14:textId="77777777" w:rsidR="005A6467" w:rsidRPr="005A6467" w:rsidRDefault="005A6467" w:rsidP="00296EBF">
      <w:pPr>
        <w:widowControl w:val="0"/>
        <w:numPr>
          <w:ilvl w:val="1"/>
          <w:numId w:val="11"/>
        </w:numPr>
        <w:autoSpaceDE w:val="0"/>
        <w:autoSpaceDN w:val="0"/>
        <w:spacing w:after="120" w:line="276" w:lineRule="auto"/>
        <w:jc w:val="both"/>
        <w:rPr>
          <w:rFonts w:eastAsia="Calibri" w:cs="Tahoma"/>
          <w:sz w:val="16"/>
          <w:szCs w:val="16"/>
        </w:rPr>
      </w:pPr>
      <w:r>
        <w:rPr>
          <w:sz w:val="16"/>
        </w:rPr>
        <w:t>an Islamic financial institution that derives its revenues from Islamic products, maintains its investments in accordance with Shariah, but has no Shariah supervisory board or Shariah scholar overseeing its operations.</w:t>
      </w:r>
    </w:p>
    <w:p w14:paraId="41D74738" w14:textId="77777777" w:rsidR="005A6467" w:rsidRPr="005A6467" w:rsidRDefault="005A6467" w:rsidP="00296EBF">
      <w:pPr>
        <w:widowControl w:val="0"/>
        <w:autoSpaceDE w:val="0"/>
        <w:autoSpaceDN w:val="0"/>
        <w:spacing w:after="120" w:line="276" w:lineRule="auto"/>
        <w:ind w:right="107"/>
        <w:rPr>
          <w:rFonts w:eastAsia="Calibri" w:cs="Tahoma"/>
          <w:sz w:val="16"/>
          <w:szCs w:val="16"/>
        </w:rPr>
      </w:pPr>
    </w:p>
    <w:p w14:paraId="7AD41099" w14:textId="32F29C38"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activities related to gambling, including online gambling:</w:t>
      </w:r>
    </w:p>
    <w:p w14:paraId="3B636907" w14:textId="44B0D196"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rPr>
        <w:t>Deriving revenue from pork-related activities,</w:t>
      </w:r>
      <w:r>
        <w:t xml:space="preserve"> </w:t>
      </w:r>
      <w:r>
        <w:rPr>
          <w:sz w:val="16"/>
        </w:rPr>
        <w:t xml:space="preserve">including: pork producers (companies engaged in breeding, raising, slaughtering, processing and packaging of pork, livestock companies, companies producing feed for pigs), and distributors of products containing pork (restaurants, stores, supermarkets). </w:t>
      </w:r>
    </w:p>
    <w:p w14:paraId="6FC10576"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activities related to tobacco products, including</w:t>
      </w:r>
      <w:r>
        <w:rPr>
          <w:sz w:val="16"/>
        </w:rPr>
        <w:t>: manufacturers, processors, packers, distributors, sellers of tobacco products, and manufacturers of paper for curling cigarettes, and filters.</w:t>
      </w:r>
    </w:p>
    <w:p w14:paraId="5AFB6A7D"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media and entertainment related activities.</w:t>
      </w:r>
      <w:r>
        <w:rPr>
          <w:sz w:val="16"/>
        </w:rPr>
        <w:t xml:space="preserve"> </w:t>
      </w:r>
    </w:p>
    <w:p w14:paraId="7A312987" w14:textId="77777777" w:rsidR="005A6467" w:rsidRPr="005A6467" w:rsidRDefault="005A6467" w:rsidP="00296EBF">
      <w:pPr>
        <w:widowControl w:val="0"/>
        <w:numPr>
          <w:ilvl w:val="0"/>
          <w:numId w:val="16"/>
        </w:numPr>
        <w:autoSpaceDE w:val="0"/>
        <w:autoSpaceDN w:val="0"/>
        <w:spacing w:after="120" w:line="276" w:lineRule="auto"/>
        <w:ind w:right="107"/>
        <w:jc w:val="both"/>
        <w:rPr>
          <w:rFonts w:eastAsia="Calibri" w:cs="Tahoma"/>
          <w:sz w:val="16"/>
          <w:szCs w:val="16"/>
        </w:rPr>
      </w:pPr>
      <w:r>
        <w:rPr>
          <w:sz w:val="16"/>
        </w:rPr>
        <w:t xml:space="preserve">Producers, distributors and broadcasters of music, movies, TV shows and music radio shows, cinematographers. </w:t>
      </w:r>
    </w:p>
    <w:p w14:paraId="4B13245E" w14:textId="77777777" w:rsidR="005A6467" w:rsidRPr="005A6467" w:rsidRDefault="005A6467" w:rsidP="00296EBF">
      <w:pPr>
        <w:widowControl w:val="0"/>
        <w:numPr>
          <w:ilvl w:val="0"/>
          <w:numId w:val="16"/>
        </w:numPr>
        <w:autoSpaceDE w:val="0"/>
        <w:autoSpaceDN w:val="0"/>
        <w:spacing w:after="120" w:line="276" w:lineRule="auto"/>
        <w:ind w:right="107"/>
        <w:jc w:val="both"/>
        <w:rPr>
          <w:rFonts w:eastAsia="Calibri" w:cs="Tahoma"/>
          <w:sz w:val="16"/>
          <w:szCs w:val="16"/>
        </w:rPr>
      </w:pPr>
      <w:r>
        <w:rPr>
          <w:sz w:val="16"/>
        </w:rPr>
        <w:t>Companies earning revenue from advertising;</w:t>
      </w:r>
    </w:p>
    <w:p w14:paraId="3866FB99" w14:textId="77777777" w:rsidR="005A6467" w:rsidRPr="005A6467" w:rsidRDefault="005A6467" w:rsidP="00296EBF">
      <w:pPr>
        <w:widowControl w:val="0"/>
        <w:numPr>
          <w:ilvl w:val="0"/>
          <w:numId w:val="16"/>
        </w:numPr>
        <w:autoSpaceDE w:val="0"/>
        <w:autoSpaceDN w:val="0"/>
        <w:spacing w:after="120" w:line="276" w:lineRule="auto"/>
        <w:ind w:right="107"/>
        <w:jc w:val="both"/>
        <w:rPr>
          <w:rFonts w:eastAsia="Calibri" w:cs="Tahoma"/>
          <w:sz w:val="16"/>
          <w:szCs w:val="16"/>
        </w:rPr>
      </w:pPr>
      <w:r>
        <w:rPr>
          <w:sz w:val="16"/>
        </w:rPr>
        <w:t>Companies that produce, broadcast, distribute or sell entertainment content, such as feature films, music, television shows, etc. media.</w:t>
      </w:r>
    </w:p>
    <w:p w14:paraId="61CEE111"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589D23C3" w14:textId="77777777" w:rsidR="005A6467" w:rsidRPr="005A6467" w:rsidRDefault="005A6467" w:rsidP="00296EBF">
      <w:pPr>
        <w:widowControl w:val="0"/>
        <w:autoSpaceDE w:val="0"/>
        <w:autoSpaceDN w:val="0"/>
        <w:spacing w:after="120" w:line="276" w:lineRule="auto"/>
        <w:ind w:left="425" w:right="107"/>
        <w:jc w:val="both"/>
        <w:rPr>
          <w:rFonts w:eastAsia="Calibri" w:cs="Tahoma"/>
          <w:b/>
          <w:sz w:val="16"/>
          <w:szCs w:val="16"/>
        </w:rPr>
      </w:pPr>
      <w:r>
        <w:rPr>
          <w:b/>
          <w:sz w:val="16"/>
        </w:rPr>
        <w:t>Exceptions:</w:t>
      </w:r>
    </w:p>
    <w:p w14:paraId="1F71E0D6" w14:textId="77777777" w:rsidR="005A6467" w:rsidRPr="005A6467" w:rsidRDefault="005A6467" w:rsidP="00296EBF">
      <w:pPr>
        <w:widowControl w:val="0"/>
        <w:autoSpaceDE w:val="0"/>
        <w:autoSpaceDN w:val="0"/>
        <w:spacing w:after="120" w:line="276" w:lineRule="auto"/>
        <w:ind w:left="425" w:right="107"/>
        <w:jc w:val="both"/>
        <w:rPr>
          <w:rFonts w:eastAsia="Calibri" w:cs="Tahoma"/>
          <w:sz w:val="16"/>
          <w:szCs w:val="16"/>
        </w:rPr>
      </w:pPr>
    </w:p>
    <w:p w14:paraId="6ECB21EB"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 xml:space="preserve">News Channels. Advertising revenues from news channels are deemed relevant as it is assumed that advertising content on such channels would be less unacceptable from a Shariah point of view; </w:t>
      </w:r>
    </w:p>
    <w:p w14:paraId="01E12CB6"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Newspapers. Advertising content in newspapers is usually textual rather than graphic. Income from textual advertising is deemed Shariah compliant;</w:t>
      </w:r>
    </w:p>
    <w:p w14:paraId="367CEACE"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Sports channels. Advertising revenues from sports channels are considered Shariah compliant, as it is assumed that advertising content on such channels would be less inappropriate from a Shariah perspective.</w:t>
      </w:r>
    </w:p>
    <w:p w14:paraId="7148AC83"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Channels for kids</w:t>
      </w:r>
    </w:p>
    <w:p w14:paraId="0C0F1FF8"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Educational channels</w:t>
      </w:r>
    </w:p>
    <w:p w14:paraId="3B4A22AB" w14:textId="77777777" w:rsidR="005A6467" w:rsidRPr="005A6467" w:rsidRDefault="005A6467" w:rsidP="00296EBF">
      <w:pPr>
        <w:widowControl w:val="0"/>
        <w:autoSpaceDE w:val="0"/>
        <w:autoSpaceDN w:val="0"/>
        <w:spacing w:after="120" w:line="276" w:lineRule="auto"/>
        <w:ind w:left="425" w:right="107"/>
        <w:jc w:val="both"/>
        <w:rPr>
          <w:rFonts w:eastAsia="Calibri" w:cs="Tahoma"/>
          <w:b/>
          <w:sz w:val="16"/>
          <w:szCs w:val="16"/>
        </w:rPr>
      </w:pPr>
    </w:p>
    <w:p w14:paraId="2620CF17" w14:textId="77777777" w:rsidR="005A6467" w:rsidRPr="005A6467" w:rsidRDefault="005A6467" w:rsidP="00296EBF">
      <w:pPr>
        <w:widowControl w:val="0"/>
        <w:autoSpaceDE w:val="0"/>
        <w:autoSpaceDN w:val="0"/>
        <w:spacing w:after="120" w:line="276" w:lineRule="auto"/>
        <w:ind w:left="425" w:right="107"/>
        <w:jc w:val="both"/>
        <w:rPr>
          <w:rFonts w:eastAsia="Calibri" w:cs="Tahoma"/>
          <w:b/>
          <w:sz w:val="16"/>
          <w:szCs w:val="16"/>
        </w:rPr>
      </w:pPr>
      <w:r>
        <w:rPr>
          <w:b/>
          <w:sz w:val="16"/>
        </w:rPr>
        <w:t xml:space="preserve">Moreover, the following factors are </w:t>
      </w:r>
      <w:proofErr w:type="gramStart"/>
      <w:r>
        <w:rPr>
          <w:b/>
          <w:sz w:val="16"/>
        </w:rPr>
        <w:t>taken into account</w:t>
      </w:r>
      <w:proofErr w:type="gramEnd"/>
      <w:r>
        <w:rPr>
          <w:b/>
          <w:sz w:val="16"/>
        </w:rPr>
        <w:t>:</w:t>
      </w:r>
    </w:p>
    <w:p w14:paraId="53B57E72" w14:textId="77777777" w:rsidR="005A6467" w:rsidRPr="005A6467" w:rsidRDefault="005A6467" w:rsidP="00296EBF">
      <w:pPr>
        <w:widowControl w:val="0"/>
        <w:numPr>
          <w:ilvl w:val="0"/>
          <w:numId w:val="10"/>
        </w:numPr>
        <w:autoSpaceDE w:val="0"/>
        <w:autoSpaceDN w:val="0"/>
        <w:spacing w:after="120"/>
        <w:ind w:left="787"/>
        <w:jc w:val="both"/>
        <w:rPr>
          <w:rFonts w:eastAsia="Calibri" w:cs="Tahoma"/>
          <w:sz w:val="16"/>
          <w:szCs w:val="16"/>
        </w:rPr>
      </w:pPr>
      <w:r>
        <w:rPr>
          <w:sz w:val="16"/>
        </w:rPr>
        <w:t>Revenue from textual advertising is allowed;</w:t>
      </w:r>
    </w:p>
    <w:p w14:paraId="74C0B420" w14:textId="77777777" w:rsidR="005A6467" w:rsidRPr="005A6467" w:rsidRDefault="005A6467" w:rsidP="00296EBF">
      <w:pPr>
        <w:widowControl w:val="0"/>
        <w:numPr>
          <w:ilvl w:val="0"/>
          <w:numId w:val="10"/>
        </w:numPr>
        <w:autoSpaceDE w:val="0"/>
        <w:autoSpaceDN w:val="0"/>
        <w:spacing w:after="120" w:line="276" w:lineRule="auto"/>
        <w:ind w:left="787"/>
        <w:jc w:val="both"/>
        <w:rPr>
          <w:rFonts w:eastAsia="Calibri" w:cs="Tahoma"/>
          <w:sz w:val="16"/>
          <w:szCs w:val="16"/>
        </w:rPr>
      </w:pPr>
      <w:r>
        <w:rPr>
          <w:sz w:val="16"/>
        </w:rPr>
        <w:lastRenderedPageBreak/>
        <w:t>Producers of advertising content are considered non-compliant. Media companies that place such advertisements and derive revenue from them are considered non-compliant;</w:t>
      </w:r>
    </w:p>
    <w:p w14:paraId="1FCB323A" w14:textId="77777777" w:rsidR="005A6467" w:rsidRPr="005A6467" w:rsidRDefault="005A6467" w:rsidP="00296EBF">
      <w:pPr>
        <w:widowControl w:val="0"/>
        <w:numPr>
          <w:ilvl w:val="0"/>
          <w:numId w:val="10"/>
        </w:numPr>
        <w:autoSpaceDE w:val="0"/>
        <w:autoSpaceDN w:val="0"/>
        <w:spacing w:after="120"/>
        <w:ind w:left="787"/>
        <w:jc w:val="both"/>
        <w:rPr>
          <w:rFonts w:eastAsia="Calibri" w:cs="Tahoma"/>
          <w:sz w:val="16"/>
          <w:szCs w:val="16"/>
        </w:rPr>
      </w:pPr>
      <w:r>
        <w:rPr>
          <w:sz w:val="16"/>
        </w:rPr>
        <w:t>Producers/distributors of animated films and media content are deemed compliant;</w:t>
      </w:r>
    </w:p>
    <w:p w14:paraId="5152A5A0" w14:textId="77777777" w:rsidR="005A6467" w:rsidRPr="005A6467" w:rsidRDefault="005A6467" w:rsidP="00296EBF">
      <w:pPr>
        <w:widowControl w:val="0"/>
        <w:numPr>
          <w:ilvl w:val="0"/>
          <w:numId w:val="10"/>
        </w:numPr>
        <w:autoSpaceDE w:val="0"/>
        <w:autoSpaceDN w:val="0"/>
        <w:spacing w:after="120"/>
        <w:ind w:left="787"/>
        <w:jc w:val="both"/>
        <w:rPr>
          <w:rFonts w:eastAsia="Calibri" w:cs="Tahoma"/>
          <w:sz w:val="16"/>
          <w:szCs w:val="16"/>
        </w:rPr>
      </w:pPr>
      <w:r>
        <w:rPr>
          <w:sz w:val="16"/>
        </w:rPr>
        <w:t>The share of revenue generated from supermarkets and bookstores selling CDs or DVDs of music and movies is considered inappropriate.</w:t>
      </w:r>
    </w:p>
    <w:p w14:paraId="6AA8BAB2"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660F3B1E"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Trade in gold and silver with deferred delivery.</w:t>
      </w:r>
      <w:r>
        <w:rPr>
          <w:sz w:val="16"/>
        </w:rPr>
        <w:t xml:space="preserve"> According to Sharia, gold and silver are a medium of exchange and as such cannot be traded with deferred delivery. Although the main activities of gold/silver mining companies </w:t>
      </w:r>
      <w:proofErr w:type="gramStart"/>
      <w:r>
        <w:rPr>
          <w:sz w:val="16"/>
        </w:rPr>
        <w:t>are in compliance with</w:t>
      </w:r>
      <w:proofErr w:type="gramEnd"/>
      <w:r>
        <w:rPr>
          <w:sz w:val="16"/>
        </w:rPr>
        <w:t xml:space="preserve"> Sharia principles, these companies are not allowed to sell their gold/silver shares for hedging purposes. </w:t>
      </w:r>
    </w:p>
    <w:p w14:paraId="715BE2C9" w14:textId="77777777" w:rsidR="005A6467" w:rsidRPr="005A6467" w:rsidRDefault="005A6467" w:rsidP="00296EBF">
      <w:pPr>
        <w:widowControl w:val="0"/>
        <w:autoSpaceDE w:val="0"/>
        <w:autoSpaceDN w:val="0"/>
        <w:spacing w:after="120" w:line="276" w:lineRule="auto"/>
        <w:ind w:left="360" w:right="107"/>
        <w:jc w:val="both"/>
        <w:rPr>
          <w:rFonts w:eastAsia="Calibri" w:cs="Tahoma"/>
          <w:sz w:val="16"/>
          <w:szCs w:val="16"/>
        </w:rPr>
      </w:pPr>
    </w:p>
    <w:p w14:paraId="6D1820A5" w14:textId="77777777" w:rsidR="005A6467" w:rsidRPr="005A6467" w:rsidRDefault="005A6467" w:rsidP="00296EBF">
      <w:pPr>
        <w:widowControl w:val="0"/>
        <w:autoSpaceDE w:val="0"/>
        <w:autoSpaceDN w:val="0"/>
        <w:spacing w:after="120" w:line="276" w:lineRule="auto"/>
        <w:ind w:left="360" w:right="107"/>
        <w:jc w:val="both"/>
        <w:rPr>
          <w:rFonts w:eastAsia="Calibri" w:cs="Tahoma"/>
          <w:b/>
          <w:sz w:val="16"/>
          <w:szCs w:val="16"/>
        </w:rPr>
      </w:pPr>
      <w:r>
        <w:rPr>
          <w:b/>
          <w:sz w:val="16"/>
        </w:rPr>
        <w:t xml:space="preserve">Moreover, the following factors are </w:t>
      </w:r>
      <w:proofErr w:type="gramStart"/>
      <w:r>
        <w:rPr>
          <w:b/>
          <w:sz w:val="16"/>
        </w:rPr>
        <w:t>taken into account</w:t>
      </w:r>
      <w:proofErr w:type="gramEnd"/>
      <w:r>
        <w:rPr>
          <w:b/>
          <w:sz w:val="16"/>
        </w:rPr>
        <w:t>:</w:t>
      </w:r>
    </w:p>
    <w:p w14:paraId="51A93BDF" w14:textId="77777777" w:rsidR="005A6467" w:rsidRPr="005A6467" w:rsidRDefault="005A6467" w:rsidP="00296EBF">
      <w:pPr>
        <w:widowControl w:val="0"/>
        <w:numPr>
          <w:ilvl w:val="0"/>
          <w:numId w:val="9"/>
        </w:numPr>
        <w:autoSpaceDE w:val="0"/>
        <w:autoSpaceDN w:val="0"/>
        <w:spacing w:after="120"/>
        <w:ind w:left="722"/>
        <w:jc w:val="both"/>
        <w:rPr>
          <w:rFonts w:eastAsia="Calibri" w:cs="Tahoma"/>
          <w:sz w:val="16"/>
          <w:szCs w:val="16"/>
        </w:rPr>
      </w:pPr>
      <w:r>
        <w:rPr>
          <w:sz w:val="16"/>
        </w:rPr>
        <w:t>Companies in the exploration phase that do not have revenues but have hedged their future gold/silver production are non-compliant;</w:t>
      </w:r>
    </w:p>
    <w:p w14:paraId="646AC36F" w14:textId="77777777" w:rsidR="005A6467" w:rsidRPr="005A6467" w:rsidRDefault="005A6467" w:rsidP="00296EBF">
      <w:pPr>
        <w:widowControl w:val="0"/>
        <w:numPr>
          <w:ilvl w:val="0"/>
          <w:numId w:val="9"/>
        </w:numPr>
        <w:autoSpaceDE w:val="0"/>
        <w:autoSpaceDN w:val="0"/>
        <w:spacing w:after="120" w:line="276" w:lineRule="auto"/>
        <w:ind w:left="722" w:right="107"/>
        <w:jc w:val="both"/>
        <w:rPr>
          <w:rFonts w:eastAsia="Calibri" w:cs="Tahoma"/>
          <w:sz w:val="16"/>
          <w:szCs w:val="16"/>
        </w:rPr>
      </w:pPr>
      <w:r>
        <w:rPr>
          <w:sz w:val="16"/>
        </w:rPr>
        <w:t>Companies that have a loss on derivatives but have hedged more than 1/3 of their gold/silver production are non-compliant.</w:t>
      </w:r>
    </w:p>
    <w:p w14:paraId="6ED868F7"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561579DC" w14:textId="77777777" w:rsidR="005A6467" w:rsidRPr="005A6467" w:rsidRDefault="005A6467" w:rsidP="00296EBF">
      <w:pPr>
        <w:widowControl w:val="0"/>
        <w:autoSpaceDE w:val="0"/>
        <w:autoSpaceDN w:val="0"/>
        <w:spacing w:before="200" w:after="120"/>
        <w:jc w:val="center"/>
        <w:outlineLvl w:val="0"/>
        <w:rPr>
          <w:rFonts w:eastAsia="Calibri" w:cs="Tahoma"/>
          <w:b/>
          <w:bCs/>
          <w:sz w:val="16"/>
          <w:szCs w:val="16"/>
        </w:rPr>
      </w:pPr>
      <w:r>
        <w:rPr>
          <w:b/>
          <w:sz w:val="16"/>
        </w:rPr>
        <w:t>2. FINANCIAL SCREENING</w:t>
      </w:r>
    </w:p>
    <w:p w14:paraId="10F0DF7E"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03BAA4D7" w14:textId="5593550E" w:rsidR="005A6467" w:rsidRPr="00B71ED9" w:rsidRDefault="005A6467" w:rsidP="00296EBF">
      <w:pPr>
        <w:widowControl w:val="0"/>
        <w:autoSpaceDE w:val="0"/>
        <w:autoSpaceDN w:val="0"/>
        <w:spacing w:after="120" w:line="276" w:lineRule="auto"/>
        <w:ind w:right="107" w:firstLine="463"/>
        <w:jc w:val="both"/>
        <w:rPr>
          <w:rFonts w:eastAsia="Calibri" w:cs="Tahoma"/>
          <w:bCs/>
          <w:sz w:val="16"/>
          <w:szCs w:val="16"/>
        </w:rPr>
      </w:pPr>
      <w:r>
        <w:rPr>
          <w:sz w:val="16"/>
        </w:rPr>
        <w:t>Once companies with non-compliant operations are excluded, additional scrutiny is conducted to ensure compliance with accounting and financial reporting requirements, as some of their ratios and indicators may violate Sharia principles. The focus is on three areas: debt, cash, and the share of revenues generated by non-compliant activities. All of them are subject to evaluation on an ongoing basis.</w:t>
      </w:r>
    </w:p>
    <w:p w14:paraId="2A528B32"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3BB2D4C1" w14:textId="77777777" w:rsidR="005A6467" w:rsidRPr="005A6467" w:rsidRDefault="005A6467" w:rsidP="00296EBF">
      <w:pPr>
        <w:widowControl w:val="0"/>
        <w:numPr>
          <w:ilvl w:val="0"/>
          <w:numId w:val="19"/>
        </w:numPr>
        <w:autoSpaceDE w:val="0"/>
        <w:autoSpaceDN w:val="0"/>
        <w:spacing w:after="120"/>
        <w:jc w:val="both"/>
        <w:rPr>
          <w:rFonts w:eastAsia="Calibri" w:cs="Tahoma"/>
          <w:sz w:val="16"/>
          <w:szCs w:val="16"/>
        </w:rPr>
      </w:pPr>
      <w:r>
        <w:rPr>
          <w:sz w:val="16"/>
        </w:rPr>
        <w:t>Cash matching: there should be a cash match on the balance sheet:</w:t>
      </w:r>
    </w:p>
    <w:p w14:paraId="5698D6EA" w14:textId="77777777" w:rsidR="005A6467" w:rsidRPr="005A6467" w:rsidRDefault="005A6467" w:rsidP="00296EBF">
      <w:pPr>
        <w:widowControl w:val="0"/>
        <w:autoSpaceDE w:val="0"/>
        <w:autoSpaceDN w:val="0"/>
        <w:spacing w:after="120"/>
        <w:jc w:val="both"/>
        <w:rPr>
          <w:rFonts w:eastAsia="Calibri" w:cs="Tahoma"/>
          <w:sz w:val="16"/>
          <w:szCs w:val="16"/>
        </w:rPr>
      </w:pPr>
    </w:p>
    <w:p w14:paraId="4079B0F0" w14:textId="77777777" w:rsidR="005A6467" w:rsidRPr="005A6467" w:rsidRDefault="005A6467" w:rsidP="00296EBF">
      <w:pPr>
        <w:widowControl w:val="0"/>
        <w:autoSpaceDE w:val="0"/>
        <w:autoSpaceDN w:val="0"/>
        <w:spacing w:after="120"/>
        <w:jc w:val="both"/>
        <w:rPr>
          <w:rFonts w:eastAsia="Calibri" w:cs="Tahoma"/>
          <w:i/>
          <w:sz w:val="16"/>
          <w:szCs w:val="16"/>
        </w:rPr>
      </w:pPr>
      <w:r>
        <w:rPr>
          <w:i/>
          <w:sz w:val="16"/>
        </w:rPr>
        <w:t>Accounts receivable / Market value of equity (36 months average) &lt;49%.</w:t>
      </w:r>
    </w:p>
    <w:p w14:paraId="1785D08A" w14:textId="77777777" w:rsidR="005A6467" w:rsidRPr="005A6467" w:rsidRDefault="005A6467" w:rsidP="00296EBF">
      <w:pPr>
        <w:widowControl w:val="0"/>
        <w:autoSpaceDE w:val="0"/>
        <w:autoSpaceDN w:val="0"/>
        <w:spacing w:after="120"/>
        <w:jc w:val="both"/>
        <w:rPr>
          <w:rFonts w:eastAsia="Calibri" w:cs="Tahoma"/>
          <w:sz w:val="16"/>
          <w:szCs w:val="16"/>
        </w:rPr>
      </w:pPr>
      <w:r>
        <w:rPr>
          <w:sz w:val="16"/>
        </w:rPr>
        <w:t>Accounts receivable are estimated as the sum of:</w:t>
      </w:r>
    </w:p>
    <w:p w14:paraId="039E0073" w14:textId="77777777" w:rsidR="005A6467" w:rsidRPr="005A6467" w:rsidRDefault="005A6467" w:rsidP="00296EBF">
      <w:pPr>
        <w:widowControl w:val="0"/>
        <w:autoSpaceDE w:val="0"/>
        <w:autoSpaceDN w:val="0"/>
        <w:spacing w:after="120"/>
        <w:jc w:val="both"/>
        <w:rPr>
          <w:rFonts w:eastAsia="Calibri" w:cs="Tahoma"/>
          <w:sz w:val="16"/>
          <w:szCs w:val="16"/>
        </w:rPr>
      </w:pPr>
    </w:p>
    <w:p w14:paraId="5F83E5BC"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Total accounts receivable;</w:t>
      </w:r>
    </w:p>
    <w:p w14:paraId="621152B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Other non-business/non-trading receivables;</w:t>
      </w:r>
    </w:p>
    <w:p w14:paraId="4D9EDBCB"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Other debit balances;</w:t>
      </w:r>
    </w:p>
    <w:p w14:paraId="6262E61E"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proofErr w:type="spellStart"/>
      <w:r>
        <w:rPr>
          <w:sz w:val="16"/>
        </w:rPr>
        <w:t>Murabaha</w:t>
      </w:r>
      <w:proofErr w:type="spellEnd"/>
      <w:r>
        <w:rPr>
          <w:sz w:val="16"/>
        </w:rPr>
        <w:t xml:space="preserve"> Receivables.</w:t>
      </w:r>
    </w:p>
    <w:p w14:paraId="0722F1E8" w14:textId="77777777" w:rsidR="005A6467" w:rsidRPr="005A6467" w:rsidRDefault="005A6467" w:rsidP="00296EBF">
      <w:pPr>
        <w:widowControl w:val="0"/>
        <w:autoSpaceDE w:val="0"/>
        <w:autoSpaceDN w:val="0"/>
        <w:spacing w:after="120"/>
        <w:jc w:val="both"/>
        <w:rPr>
          <w:rFonts w:eastAsia="Calibri" w:cs="Tahoma"/>
          <w:sz w:val="16"/>
          <w:szCs w:val="16"/>
          <w:lang w:val="en-US"/>
        </w:rPr>
      </w:pPr>
    </w:p>
    <w:p w14:paraId="62A6FF10" w14:textId="77777777" w:rsidR="005A6467" w:rsidRPr="005A6467" w:rsidRDefault="005A6467" w:rsidP="00296EBF">
      <w:pPr>
        <w:widowControl w:val="0"/>
        <w:autoSpaceDE w:val="0"/>
        <w:autoSpaceDN w:val="0"/>
        <w:spacing w:after="120"/>
        <w:jc w:val="both"/>
        <w:rPr>
          <w:rFonts w:eastAsia="Calibri" w:cs="Tahoma"/>
          <w:i/>
          <w:sz w:val="16"/>
          <w:szCs w:val="16"/>
        </w:rPr>
      </w:pPr>
      <w:r>
        <w:rPr>
          <w:i/>
          <w:sz w:val="16"/>
        </w:rPr>
        <w:t>(Cash + interest bearing securities) / Market value of equity (36 months average) 33%.</w:t>
      </w:r>
    </w:p>
    <w:p w14:paraId="3B93E1FA" w14:textId="77777777" w:rsidR="005A6467" w:rsidRPr="005A6467" w:rsidRDefault="005A6467" w:rsidP="00296EBF">
      <w:pPr>
        <w:widowControl w:val="0"/>
        <w:autoSpaceDE w:val="0"/>
        <w:autoSpaceDN w:val="0"/>
        <w:spacing w:after="120"/>
        <w:jc w:val="both"/>
        <w:rPr>
          <w:rFonts w:eastAsia="Calibri" w:cs="Tahoma"/>
          <w:sz w:val="16"/>
          <w:szCs w:val="16"/>
        </w:rPr>
      </w:pPr>
      <w:r>
        <w:rPr>
          <w:sz w:val="16"/>
        </w:rPr>
        <w:t>Cash + interest bearing securities are valued as the amount of:</w:t>
      </w:r>
    </w:p>
    <w:p w14:paraId="33511381" w14:textId="77777777" w:rsidR="005A6467" w:rsidRPr="005A6467" w:rsidRDefault="005A6467" w:rsidP="00296EBF">
      <w:pPr>
        <w:widowControl w:val="0"/>
        <w:autoSpaceDE w:val="0"/>
        <w:autoSpaceDN w:val="0"/>
        <w:spacing w:after="120"/>
        <w:jc w:val="both"/>
        <w:rPr>
          <w:rFonts w:eastAsia="Calibri" w:cs="Tahoma"/>
          <w:sz w:val="16"/>
          <w:szCs w:val="16"/>
        </w:rPr>
      </w:pPr>
    </w:p>
    <w:p w14:paraId="486613FB"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Cash on the balance sheet;</w:t>
      </w:r>
    </w:p>
    <w:p w14:paraId="0F194F0A"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Cash in current accounts;</w:t>
      </w:r>
    </w:p>
    <w:p w14:paraId="58F9F7B7"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Cash deposits;</w:t>
      </w:r>
    </w:p>
    <w:p w14:paraId="08A1137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Time deposits;</w:t>
      </w:r>
    </w:p>
    <w:p w14:paraId="2674192A"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Short-term interest-bearing securities;</w:t>
      </w:r>
    </w:p>
    <w:p w14:paraId="4EF639CC"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Securities with market value estimation;</w:t>
      </w:r>
    </w:p>
    <w:p w14:paraId="5714234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Short-term investments held for sale/speculation;</w:t>
      </w:r>
    </w:p>
    <w:p w14:paraId="3A99F7F1" w14:textId="5D3D5408"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Government bonds (if classified as short-term investments);</w:t>
      </w:r>
    </w:p>
    <w:p w14:paraId="3FC9A547" w14:textId="3260ECC4" w:rsidR="005A6467" w:rsidRPr="005A6467" w:rsidRDefault="005A6467" w:rsidP="00296EBF">
      <w:pPr>
        <w:widowControl w:val="0"/>
        <w:numPr>
          <w:ilvl w:val="1"/>
          <w:numId w:val="19"/>
        </w:numPr>
        <w:autoSpaceDE w:val="0"/>
        <w:autoSpaceDN w:val="0"/>
        <w:spacing w:after="120"/>
        <w:ind w:right="107"/>
        <w:jc w:val="both"/>
        <w:rPr>
          <w:rFonts w:eastAsia="Calibri" w:cs="Tahoma"/>
          <w:sz w:val="16"/>
          <w:szCs w:val="16"/>
        </w:rPr>
      </w:pPr>
      <w:r>
        <w:rPr>
          <w:sz w:val="16"/>
        </w:rPr>
        <w:t>Investments in mutual funds, other equity funds held for sale/speculation.</w:t>
      </w:r>
      <w:r>
        <w:rPr>
          <w:sz w:val="16"/>
        </w:rPr>
        <w:cr/>
      </w:r>
      <w:r>
        <w:rPr>
          <w:sz w:val="16"/>
        </w:rPr>
        <w:br/>
      </w:r>
      <w:r>
        <w:rPr>
          <w:sz w:val="16"/>
        </w:rPr>
        <w:lastRenderedPageBreak/>
        <w:t>Exceptions:</w:t>
      </w:r>
    </w:p>
    <w:p w14:paraId="35D66EA2" w14:textId="77777777" w:rsidR="005A6467" w:rsidRPr="005A6467" w:rsidRDefault="005A6467" w:rsidP="00296EBF">
      <w:pPr>
        <w:widowControl w:val="0"/>
        <w:autoSpaceDE w:val="0"/>
        <w:autoSpaceDN w:val="0"/>
        <w:spacing w:after="120"/>
        <w:ind w:firstLine="425"/>
        <w:jc w:val="both"/>
        <w:rPr>
          <w:rFonts w:eastAsia="Calibri" w:cs="Tahoma"/>
          <w:b/>
          <w:sz w:val="16"/>
          <w:szCs w:val="16"/>
        </w:rPr>
      </w:pPr>
      <w:r>
        <w:rPr>
          <w:b/>
          <w:sz w:val="16"/>
        </w:rPr>
        <w:t>Exceptions:</w:t>
      </w:r>
    </w:p>
    <w:p w14:paraId="7E5F0E8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Islamic investment</w:t>
      </w:r>
    </w:p>
    <w:p w14:paraId="1FBD0412" w14:textId="77777777" w:rsidR="005A6467" w:rsidRPr="005A6467" w:rsidRDefault="005A6467" w:rsidP="00296EBF">
      <w:pPr>
        <w:widowControl w:val="0"/>
        <w:autoSpaceDE w:val="0"/>
        <w:autoSpaceDN w:val="0"/>
        <w:spacing w:after="120"/>
        <w:jc w:val="both"/>
        <w:rPr>
          <w:rFonts w:eastAsia="Calibri" w:cs="Tahoma"/>
          <w:sz w:val="16"/>
          <w:szCs w:val="16"/>
          <w:lang w:val="en-US"/>
        </w:rPr>
      </w:pPr>
    </w:p>
    <w:p w14:paraId="3151F4D7" w14:textId="77777777" w:rsidR="005A6467" w:rsidRPr="005A6467" w:rsidRDefault="005A6467" w:rsidP="00296EBF">
      <w:pPr>
        <w:widowControl w:val="0"/>
        <w:numPr>
          <w:ilvl w:val="0"/>
          <w:numId w:val="19"/>
        </w:numPr>
        <w:autoSpaceDE w:val="0"/>
        <w:autoSpaceDN w:val="0"/>
        <w:spacing w:after="120"/>
        <w:jc w:val="both"/>
        <w:rPr>
          <w:rFonts w:eastAsia="Calibri" w:cs="Tahoma"/>
          <w:sz w:val="16"/>
          <w:szCs w:val="16"/>
        </w:rPr>
      </w:pPr>
      <w:r>
        <w:rPr>
          <w:b/>
          <w:sz w:val="16"/>
        </w:rPr>
        <w:t>Compliance in the use of borrowed funds.</w:t>
      </w:r>
      <w:r>
        <w:rPr>
          <w:sz w:val="16"/>
        </w:rPr>
        <w:t xml:space="preserve"> </w:t>
      </w:r>
    </w:p>
    <w:p w14:paraId="302AAED4" w14:textId="77777777" w:rsidR="005A6467" w:rsidRPr="005A6467" w:rsidRDefault="005A6467" w:rsidP="00296EBF">
      <w:pPr>
        <w:widowControl w:val="0"/>
        <w:autoSpaceDE w:val="0"/>
        <w:autoSpaceDN w:val="0"/>
        <w:spacing w:after="120"/>
        <w:jc w:val="both"/>
        <w:rPr>
          <w:rFonts w:eastAsia="Calibri" w:cs="Tahoma"/>
          <w:sz w:val="16"/>
          <w:szCs w:val="16"/>
        </w:rPr>
      </w:pPr>
      <w:r>
        <w:rPr>
          <w:sz w:val="16"/>
        </w:rPr>
        <w:t xml:space="preserve">Measured as follows: </w:t>
      </w:r>
      <w:r>
        <w:rPr>
          <w:i/>
          <w:sz w:val="16"/>
        </w:rPr>
        <w:t xml:space="preserve">Debt / market value of equity (36-month average) &lt;33%. </w:t>
      </w:r>
      <w:r>
        <w:rPr>
          <w:sz w:val="16"/>
        </w:rPr>
        <w:t>Debt is measured as:</w:t>
      </w:r>
    </w:p>
    <w:p w14:paraId="7081C2DF"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Long-term debt disclosed by company management;</w:t>
      </w:r>
    </w:p>
    <w:p w14:paraId="3D1DC64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Short-term debt disclosed by management;</w:t>
      </w:r>
    </w:p>
    <w:p w14:paraId="3A4C1637"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Current portion of long-term debt disclosed by management;</w:t>
      </w:r>
    </w:p>
    <w:p w14:paraId="13FD0AF5" w14:textId="77777777" w:rsidR="005A6467" w:rsidRPr="005A6467" w:rsidRDefault="005A6467" w:rsidP="00296EBF">
      <w:pPr>
        <w:widowControl w:val="0"/>
        <w:autoSpaceDE w:val="0"/>
        <w:autoSpaceDN w:val="0"/>
        <w:spacing w:after="120"/>
        <w:rPr>
          <w:rFonts w:eastAsia="Calibri" w:cs="Tahoma"/>
          <w:sz w:val="16"/>
          <w:szCs w:val="16"/>
        </w:rPr>
      </w:pPr>
    </w:p>
    <w:p w14:paraId="6D9A1DB6"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Short-term liabilities such as overdrafts, bridge loans, etc. Exclusions:</w:t>
      </w:r>
    </w:p>
    <w:p w14:paraId="4C72BE9C"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Short-term interest-free operating payables for goods and services, inventories, etc;</w:t>
      </w:r>
    </w:p>
    <w:p w14:paraId="69074B4C"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Long-term/short-term Islamic debt;</w:t>
      </w:r>
    </w:p>
    <w:p w14:paraId="57E0A0A3"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Long-term/short-term non-</w:t>
      </w:r>
      <w:proofErr w:type="gramStart"/>
      <w:r>
        <w:rPr>
          <w:sz w:val="16"/>
        </w:rPr>
        <w:t>interest bearing</w:t>
      </w:r>
      <w:proofErr w:type="gramEnd"/>
      <w:r>
        <w:rPr>
          <w:sz w:val="16"/>
        </w:rPr>
        <w:t xml:space="preserve"> debt;</w:t>
      </w:r>
    </w:p>
    <w:p w14:paraId="5F7F7AFC"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Loans from sovereigns not based on interest (according to SIDF).</w:t>
      </w:r>
    </w:p>
    <w:p w14:paraId="389DF35C" w14:textId="77777777" w:rsidR="005A6467" w:rsidRPr="005A6467" w:rsidRDefault="005A6467" w:rsidP="00296EBF">
      <w:pPr>
        <w:widowControl w:val="0"/>
        <w:tabs>
          <w:tab w:val="left" w:pos="1275"/>
        </w:tabs>
        <w:autoSpaceDE w:val="0"/>
        <w:autoSpaceDN w:val="0"/>
        <w:spacing w:after="120"/>
        <w:rPr>
          <w:rFonts w:eastAsia="Calibri" w:cs="Tahoma"/>
          <w:sz w:val="16"/>
          <w:szCs w:val="16"/>
        </w:rPr>
      </w:pPr>
    </w:p>
    <w:p w14:paraId="1E8DD3C9" w14:textId="77777777" w:rsidR="005A6467" w:rsidRPr="005A6467" w:rsidRDefault="005A6467" w:rsidP="00296EBF">
      <w:pPr>
        <w:widowControl w:val="0"/>
        <w:numPr>
          <w:ilvl w:val="0"/>
          <w:numId w:val="19"/>
        </w:numPr>
        <w:tabs>
          <w:tab w:val="left" w:pos="1275"/>
        </w:tabs>
        <w:autoSpaceDE w:val="0"/>
        <w:autoSpaceDN w:val="0"/>
        <w:spacing w:after="120"/>
        <w:jc w:val="both"/>
        <w:rPr>
          <w:rFonts w:eastAsia="Calibri" w:cs="Tahoma"/>
          <w:b/>
          <w:sz w:val="16"/>
          <w:szCs w:val="16"/>
        </w:rPr>
      </w:pPr>
      <w:r>
        <w:rPr>
          <w:b/>
          <w:sz w:val="16"/>
        </w:rPr>
        <w:t>Average market capitalization of shares</w:t>
      </w:r>
    </w:p>
    <w:p w14:paraId="420284CF" w14:textId="77777777" w:rsidR="005A6467" w:rsidRPr="005A6467" w:rsidRDefault="005A6467" w:rsidP="00296EBF">
      <w:pPr>
        <w:widowControl w:val="0"/>
        <w:tabs>
          <w:tab w:val="left" w:pos="1275"/>
        </w:tabs>
        <w:autoSpaceDE w:val="0"/>
        <w:autoSpaceDN w:val="0"/>
        <w:spacing w:after="120"/>
        <w:jc w:val="both"/>
        <w:rPr>
          <w:rFonts w:eastAsia="Calibri" w:cs="Tahoma"/>
          <w:sz w:val="16"/>
          <w:szCs w:val="16"/>
          <w:lang w:val="en-US"/>
        </w:rPr>
      </w:pPr>
    </w:p>
    <w:p w14:paraId="75ADDB47"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ab/>
        <w:t xml:space="preserve">The average market capitalization of X over n months is calculated by multiplying the moving average daily closing price of X over n months (to be adjusted for corporate actions) (P </w:t>
      </w:r>
      <w:proofErr w:type="spellStart"/>
      <w:r>
        <w:rPr>
          <w:sz w:val="16"/>
        </w:rPr>
        <w:t>avg</w:t>
      </w:r>
      <w:proofErr w:type="spellEnd"/>
      <w:r>
        <w:rPr>
          <w:sz w:val="16"/>
        </w:rPr>
        <w:t>) by the total number of shares outstanding for X.</w:t>
      </w:r>
    </w:p>
    <w:p w14:paraId="29C22A15"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 xml:space="preserve">For multi-class stocks, this is estimated as P </w:t>
      </w:r>
      <w:proofErr w:type="spellStart"/>
      <w:r>
        <w:rPr>
          <w:sz w:val="16"/>
        </w:rPr>
        <w:t>avg</w:t>
      </w:r>
      <w:proofErr w:type="spellEnd"/>
      <w:r>
        <w:rPr>
          <w:sz w:val="16"/>
        </w:rPr>
        <w:t xml:space="preserve"> / P last * M, where M is the current market capitalization and P last is the last closing price X (for P </w:t>
      </w:r>
      <w:proofErr w:type="spellStart"/>
      <w:r>
        <w:rPr>
          <w:sz w:val="16"/>
        </w:rPr>
        <w:t>avg</w:t>
      </w:r>
      <w:proofErr w:type="spellEnd"/>
      <w:r>
        <w:rPr>
          <w:sz w:val="16"/>
        </w:rPr>
        <w:t xml:space="preserve"> and P last, the figures for the main class of stock are used).</w:t>
      </w:r>
    </w:p>
    <w:p w14:paraId="18D521B3" w14:textId="2A4212F9" w:rsid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 xml:space="preserve">For companies that do not have a long enough price history (e.g., recent IPOs), the P </w:t>
      </w:r>
      <w:proofErr w:type="spellStart"/>
      <w:r>
        <w:rPr>
          <w:sz w:val="16"/>
        </w:rPr>
        <w:t>avg</w:t>
      </w:r>
      <w:proofErr w:type="spellEnd"/>
      <w:r>
        <w:rPr>
          <w:sz w:val="16"/>
        </w:rPr>
        <w:t xml:space="preserve"> is calculated as the moving average of the daily closing price of X over n days, where n is the number of days that X traded, or the number of days that the daily closing price for X was available.</w:t>
      </w:r>
    </w:p>
    <w:p w14:paraId="43DEB14D" w14:textId="2D541C3B" w:rsidR="00065C72" w:rsidRPr="005A6467" w:rsidRDefault="00065C72" w:rsidP="00296EBF">
      <w:pPr>
        <w:widowControl w:val="0"/>
        <w:autoSpaceDE w:val="0"/>
        <w:autoSpaceDN w:val="0"/>
        <w:spacing w:after="120" w:line="276" w:lineRule="auto"/>
        <w:ind w:right="107"/>
        <w:jc w:val="both"/>
        <w:rPr>
          <w:rFonts w:eastAsia="Calibri" w:cs="Tahoma"/>
          <w:sz w:val="16"/>
          <w:szCs w:val="16"/>
        </w:rPr>
      </w:pPr>
      <w:r>
        <w:rPr>
          <w:sz w:val="16"/>
        </w:rPr>
        <w:tab/>
        <w:t xml:space="preserve">The performance of the average market capitalization is </w:t>
      </w:r>
      <w:proofErr w:type="gramStart"/>
      <w:r>
        <w:rPr>
          <w:sz w:val="16"/>
        </w:rPr>
        <w:t>taken into account</w:t>
      </w:r>
      <w:proofErr w:type="gramEnd"/>
      <w:r>
        <w:rPr>
          <w:sz w:val="16"/>
        </w:rPr>
        <w:t xml:space="preserve"> in screening.</w:t>
      </w:r>
    </w:p>
    <w:p w14:paraId="437AA11A" w14:textId="77777777" w:rsidR="005A6467" w:rsidRPr="005A6467" w:rsidRDefault="005A6467" w:rsidP="00296EBF">
      <w:pPr>
        <w:widowControl w:val="0"/>
        <w:tabs>
          <w:tab w:val="left" w:pos="1275"/>
        </w:tabs>
        <w:autoSpaceDE w:val="0"/>
        <w:autoSpaceDN w:val="0"/>
        <w:spacing w:after="120"/>
        <w:jc w:val="both"/>
        <w:rPr>
          <w:rFonts w:eastAsia="Calibri" w:cs="Tahoma"/>
          <w:sz w:val="16"/>
          <w:szCs w:val="16"/>
        </w:rPr>
      </w:pPr>
    </w:p>
    <w:p w14:paraId="0D006CF9" w14:textId="77777777" w:rsidR="005A6467" w:rsidRPr="005A6467" w:rsidRDefault="005A6467" w:rsidP="00296EBF">
      <w:pPr>
        <w:widowControl w:val="0"/>
        <w:autoSpaceDE w:val="0"/>
        <w:autoSpaceDN w:val="0"/>
        <w:spacing w:before="200" w:after="120"/>
        <w:jc w:val="center"/>
        <w:outlineLvl w:val="0"/>
        <w:rPr>
          <w:rFonts w:eastAsia="Calibri" w:cs="Tahoma"/>
          <w:b/>
          <w:bCs/>
          <w:sz w:val="16"/>
          <w:szCs w:val="16"/>
        </w:rPr>
      </w:pPr>
      <w:r>
        <w:rPr>
          <w:b/>
          <w:sz w:val="16"/>
        </w:rPr>
        <w:t xml:space="preserve">3. DIVIDEND PURIFICATION/ALLOWABLE SHARE OF DIVIDENDS FROM ALL DIVIDENDS </w:t>
      </w:r>
    </w:p>
    <w:p w14:paraId="64615536"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050EE0C5"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Companies whose revenue from prohibited business activities is less than 5% are considered to have passed industry audits. </w:t>
      </w:r>
    </w:p>
    <w:p w14:paraId="26D1AB7A"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But the proportion of dividends relating to income derived from such impermissible business activities and interest income should be cleared. </w:t>
      </w:r>
    </w:p>
    <w:p w14:paraId="54AC2CDA"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Dividend purification is the process of cleansing the income received from activities/sources that are not Shariah compliant from the total income. </w:t>
      </w:r>
    </w:p>
    <w:p w14:paraId="6C41969C" w14:textId="7A0D1E34"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When Shariah compliant securities receive dividends or any other prohibited income under Shariah in the ordinary course of business of a company, a purification process shall be carried out. </w:t>
      </w:r>
    </w:p>
    <w:p w14:paraId="2B3BE2B2"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Any portion of the income derived from activities inconsistent with Shariah principles may be paid to the charity and thus "cleared".</w:t>
      </w:r>
    </w:p>
    <w:p w14:paraId="3374A29A" w14:textId="644C9FB5" w:rsidR="005A6467" w:rsidRPr="005A6467" w:rsidRDefault="004B7BEE" w:rsidP="00296EBF">
      <w:pPr>
        <w:widowControl w:val="0"/>
        <w:autoSpaceDE w:val="0"/>
        <w:autoSpaceDN w:val="0"/>
        <w:spacing w:after="120" w:line="276" w:lineRule="auto"/>
        <w:ind w:right="107" w:firstLine="708"/>
        <w:jc w:val="both"/>
        <w:rPr>
          <w:rFonts w:eastAsia="Calibri" w:cs="Tahoma"/>
          <w:sz w:val="16"/>
          <w:szCs w:val="16"/>
        </w:rPr>
      </w:pPr>
      <w:r>
        <w:rPr>
          <w:sz w:val="16"/>
        </w:rPr>
        <w:t>To clear the dividend, a dividend adjustment factor is calculated (see below) and the corresponding amount is deducted (withheld) from the income. Therefore, the investor receives a dividend net of this amount.</w:t>
      </w:r>
    </w:p>
    <w:p w14:paraId="1C8EC2EB"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2BD86419" w14:textId="5DF9DF11" w:rsidR="005A6467" w:rsidRP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The dividend adjustment factor KDP is calculated as follows:</w:t>
      </w:r>
    </w:p>
    <w:p w14:paraId="2784EBCD" w14:textId="77777777" w:rsidR="005A6467" w:rsidRPr="005A6467" w:rsidRDefault="005A6467" w:rsidP="00296EBF">
      <w:pPr>
        <w:widowControl w:val="0"/>
        <w:autoSpaceDE w:val="0"/>
        <w:autoSpaceDN w:val="0"/>
        <w:spacing w:after="120"/>
        <w:jc w:val="both"/>
        <w:rPr>
          <w:rFonts w:eastAsia="Calibri" w:cs="Tahoma"/>
          <w:sz w:val="16"/>
          <w:szCs w:val="16"/>
        </w:rPr>
      </w:pPr>
    </w:p>
    <w:p w14:paraId="3156CD59" w14:textId="6A97D578" w:rsidR="005A6467" w:rsidRPr="005A6467" w:rsidRDefault="004B7BEE" w:rsidP="00296EBF">
      <w:pPr>
        <w:widowControl w:val="0"/>
        <w:autoSpaceDE w:val="0"/>
        <w:autoSpaceDN w:val="0"/>
        <w:spacing w:after="120"/>
        <w:jc w:val="both"/>
        <w:rPr>
          <w:rFonts w:eastAsia="Calibri" w:cs="Tahoma"/>
          <w:i/>
          <w:sz w:val="16"/>
          <w:szCs w:val="16"/>
        </w:rPr>
      </w:pPr>
      <w:bookmarkStart w:id="168" w:name="_Hlk75349555"/>
      <w:r>
        <w:rPr>
          <w:i/>
          <w:sz w:val="16"/>
        </w:rPr>
        <w:t xml:space="preserve">KDP </w:t>
      </w:r>
      <w:bookmarkEnd w:id="168"/>
      <w:r>
        <w:rPr>
          <w:i/>
          <w:sz w:val="16"/>
        </w:rPr>
        <w:t>= income from prohibited activities, incl. interest income/ total income</w:t>
      </w:r>
    </w:p>
    <w:p w14:paraId="6A1099CF" w14:textId="77777777" w:rsidR="005A6467" w:rsidRPr="005A6467" w:rsidRDefault="005A6467" w:rsidP="00296EBF">
      <w:pPr>
        <w:widowControl w:val="0"/>
        <w:autoSpaceDE w:val="0"/>
        <w:autoSpaceDN w:val="0"/>
        <w:spacing w:after="120"/>
        <w:jc w:val="both"/>
        <w:rPr>
          <w:rFonts w:eastAsia="Calibri" w:cs="Tahoma"/>
          <w:i/>
          <w:sz w:val="16"/>
          <w:szCs w:val="16"/>
        </w:rPr>
      </w:pPr>
    </w:p>
    <w:p w14:paraId="19E9892C" w14:textId="0AE72D8F" w:rsidR="005A6467" w:rsidRPr="005A6467" w:rsidRDefault="005A6467" w:rsidP="00296EBF">
      <w:pPr>
        <w:widowControl w:val="0"/>
        <w:autoSpaceDE w:val="0"/>
        <w:autoSpaceDN w:val="0"/>
        <w:spacing w:after="120"/>
        <w:jc w:val="both"/>
        <w:rPr>
          <w:rFonts w:eastAsia="Calibri" w:cs="Tahoma"/>
          <w:sz w:val="16"/>
          <w:szCs w:val="16"/>
        </w:rPr>
      </w:pPr>
      <w:r>
        <w:rPr>
          <w:sz w:val="16"/>
        </w:rPr>
        <w:t xml:space="preserve">The following elements are </w:t>
      </w:r>
      <w:proofErr w:type="gramStart"/>
      <w:r>
        <w:rPr>
          <w:sz w:val="16"/>
        </w:rPr>
        <w:t>taken into account</w:t>
      </w:r>
      <w:proofErr w:type="gramEnd"/>
      <w:r>
        <w:rPr>
          <w:sz w:val="16"/>
        </w:rPr>
        <w:t xml:space="preserve"> in calculating the dividend adjustment factor:</w:t>
      </w:r>
    </w:p>
    <w:p w14:paraId="2F4010D6" w14:textId="77777777" w:rsidR="005A6467" w:rsidRPr="005A6467" w:rsidRDefault="005A6467" w:rsidP="00296EBF">
      <w:pPr>
        <w:widowControl w:val="0"/>
        <w:autoSpaceDE w:val="0"/>
        <w:autoSpaceDN w:val="0"/>
        <w:spacing w:after="120"/>
        <w:jc w:val="both"/>
        <w:rPr>
          <w:rFonts w:eastAsia="Calibri" w:cs="Tahoma"/>
          <w:sz w:val="16"/>
          <w:szCs w:val="16"/>
        </w:rPr>
      </w:pPr>
    </w:p>
    <w:p w14:paraId="47D2AFE4"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from depositing cash in banks;</w:t>
      </w:r>
    </w:p>
    <w:p w14:paraId="78B2A8F9"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on time deposits;</w:t>
      </w:r>
    </w:p>
    <w:p w14:paraId="79094EEA"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received on bonds and debentures;</w:t>
      </w:r>
    </w:p>
    <w:p w14:paraId="75256DF3"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derived from the money market;</w:t>
      </w:r>
    </w:p>
    <w:p w14:paraId="37F808BA"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Any other interest income received;</w:t>
      </w:r>
    </w:p>
    <w:p w14:paraId="41738E61"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Prohibited investment income (shares, derivatives, mutual funds, etc.)</w:t>
      </w:r>
    </w:p>
    <w:p w14:paraId="0929EBAB"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alcohol, if applicable;</w:t>
      </w:r>
    </w:p>
    <w:p w14:paraId="2842BD17"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financial services, if applicable;</w:t>
      </w:r>
    </w:p>
    <w:p w14:paraId="235CD726"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insurance, if applicable;</w:t>
      </w:r>
    </w:p>
    <w:p w14:paraId="3BB6A4B2"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finance lease, if applicable;</w:t>
      </w:r>
    </w:p>
    <w:p w14:paraId="68D91CF9"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pork, if applicable;</w:t>
      </w:r>
    </w:p>
    <w:p w14:paraId="6C397444"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gambling, if applicable;</w:t>
      </w:r>
    </w:p>
    <w:p w14:paraId="732E3F8C"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pornography, if applicable;</w:t>
      </w:r>
    </w:p>
    <w:p w14:paraId="5048DEF6"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tobacco, if applicable;</w:t>
      </w:r>
    </w:p>
    <w:p w14:paraId="169E5C03"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Gold and silver trading revenue on a deferred cash basis, if applicable;</w:t>
      </w:r>
    </w:p>
    <w:p w14:paraId="543C8DFE"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Any other identified prohibited revenue. The sum of the above items is divided by total revenue.</w:t>
      </w:r>
    </w:p>
    <w:p w14:paraId="32203E3D" w14:textId="77777777" w:rsidR="005A6467" w:rsidRPr="005A6467" w:rsidRDefault="005A6467" w:rsidP="00296EBF">
      <w:pPr>
        <w:widowControl w:val="0"/>
        <w:autoSpaceDE w:val="0"/>
        <w:autoSpaceDN w:val="0"/>
        <w:spacing w:after="120"/>
        <w:rPr>
          <w:rFonts w:eastAsia="Calibri" w:cs="Tahoma"/>
          <w:sz w:val="16"/>
          <w:szCs w:val="16"/>
        </w:rPr>
      </w:pPr>
    </w:p>
    <w:p w14:paraId="1A007265" w14:textId="5FEDAF36" w:rsidR="005A6467" w:rsidRPr="005A6467" w:rsidRDefault="005A6467" w:rsidP="00296EBF">
      <w:pPr>
        <w:widowControl w:val="0"/>
        <w:autoSpaceDE w:val="0"/>
        <w:autoSpaceDN w:val="0"/>
        <w:spacing w:after="120"/>
        <w:ind w:firstLine="425"/>
        <w:jc w:val="both"/>
        <w:rPr>
          <w:rFonts w:eastAsia="Calibri" w:cs="Tahoma"/>
          <w:sz w:val="16"/>
          <w:szCs w:val="16"/>
        </w:rPr>
      </w:pPr>
      <w:r>
        <w:rPr>
          <w:sz w:val="16"/>
        </w:rPr>
        <w:t xml:space="preserve">The dividend adjustment factor determines how much of the dividend received must be cleared by dedicating a certain amount to charity. For example, a KDP of 0.10 (i.e. 10%) means that 10% of the dividend should be given to charity. A KDP of 1.0 means that 100% must be allocated to charity. </w:t>
      </w:r>
    </w:p>
    <w:p w14:paraId="1E314411" w14:textId="27A32483" w:rsidR="005A6467" w:rsidRPr="005A6467" w:rsidRDefault="005A6467" w:rsidP="00296EBF">
      <w:pPr>
        <w:widowControl w:val="0"/>
        <w:autoSpaceDE w:val="0"/>
        <w:autoSpaceDN w:val="0"/>
        <w:spacing w:after="120"/>
        <w:ind w:firstLine="425"/>
        <w:jc w:val="both"/>
        <w:rPr>
          <w:rFonts w:eastAsia="Calibri" w:cs="Tahoma"/>
          <w:sz w:val="16"/>
          <w:szCs w:val="16"/>
        </w:rPr>
      </w:pPr>
      <w:r>
        <w:rPr>
          <w:sz w:val="16"/>
        </w:rPr>
        <w:t>Indicators for calculating the dividend adjustment factor are taken from the latest available annual reports. If no annual report is available, detailed quarterly reports/prospectus are used.</w:t>
      </w:r>
    </w:p>
    <w:p w14:paraId="7A365EFB" w14:textId="77777777" w:rsidR="005A6467" w:rsidRPr="005A6467" w:rsidRDefault="005A6467" w:rsidP="00296EBF">
      <w:pPr>
        <w:widowControl w:val="0"/>
        <w:autoSpaceDE w:val="0"/>
        <w:autoSpaceDN w:val="0"/>
        <w:spacing w:after="120"/>
        <w:jc w:val="both"/>
        <w:rPr>
          <w:rFonts w:eastAsia="Calibri" w:cs="Tahoma"/>
          <w:sz w:val="16"/>
          <w:szCs w:val="16"/>
        </w:rPr>
      </w:pPr>
    </w:p>
    <w:p w14:paraId="12E6BDFF" w14:textId="3FDF93AA" w:rsidR="005A6467" w:rsidRPr="00065C72" w:rsidRDefault="00065C72" w:rsidP="00296EBF">
      <w:pPr>
        <w:pStyle w:val="af4"/>
        <w:widowControl w:val="0"/>
        <w:numPr>
          <w:ilvl w:val="0"/>
          <w:numId w:val="19"/>
        </w:numPr>
        <w:autoSpaceDE w:val="0"/>
        <w:autoSpaceDN w:val="0"/>
        <w:spacing w:before="200" w:after="120"/>
        <w:contextualSpacing w:val="0"/>
        <w:jc w:val="center"/>
        <w:outlineLvl w:val="0"/>
        <w:rPr>
          <w:rFonts w:eastAsia="Calibri" w:cs="Tahoma"/>
          <w:b/>
          <w:bCs/>
          <w:sz w:val="16"/>
          <w:szCs w:val="16"/>
        </w:rPr>
      </w:pPr>
      <w:r>
        <w:rPr>
          <w:b/>
          <w:sz w:val="16"/>
        </w:rPr>
        <w:t>SOME FEATURES ALSO TAKEN INTO ACCOUNT IN THE ANALYSIS:</w:t>
      </w:r>
    </w:p>
    <w:p w14:paraId="39138806" w14:textId="77777777" w:rsidR="005A6467" w:rsidRPr="005A6467" w:rsidRDefault="005A6467" w:rsidP="00296EBF">
      <w:pPr>
        <w:widowControl w:val="0"/>
        <w:autoSpaceDE w:val="0"/>
        <w:autoSpaceDN w:val="0"/>
        <w:spacing w:after="120"/>
        <w:jc w:val="both"/>
        <w:rPr>
          <w:rFonts w:eastAsia="Calibri" w:cs="Tahoma"/>
          <w:sz w:val="16"/>
          <w:szCs w:val="16"/>
        </w:rPr>
      </w:pPr>
    </w:p>
    <w:p w14:paraId="3D562459" w14:textId="77777777" w:rsidR="005A6467" w:rsidRPr="005A6467" w:rsidRDefault="005A6467" w:rsidP="00296EBF">
      <w:pPr>
        <w:widowControl w:val="0"/>
        <w:numPr>
          <w:ilvl w:val="0"/>
          <w:numId w:val="18"/>
        </w:numPr>
        <w:autoSpaceDE w:val="0"/>
        <w:autoSpaceDN w:val="0"/>
        <w:spacing w:after="120" w:line="276" w:lineRule="auto"/>
        <w:jc w:val="both"/>
        <w:rPr>
          <w:rFonts w:eastAsia="Calibri" w:cs="Tahoma"/>
          <w:sz w:val="16"/>
          <w:szCs w:val="16"/>
        </w:rPr>
      </w:pPr>
      <w:r>
        <w:rPr>
          <w:b/>
          <w:sz w:val="16"/>
        </w:rPr>
        <w:t>Consolidated statements.</w:t>
      </w:r>
      <w:r>
        <w:rPr>
          <w:sz w:val="16"/>
        </w:rPr>
        <w:t xml:space="preserve"> Generally, consolidated financial statements are used in certain regions (e.g., Japan and India); companies often publish separate consolidated and unconsolidated balance sheets and income statements. However, it has been observed that these companies are usually large conglomerates with a large number of subsidiaries, often with less than 100% ownership in each subsidiary. In such cases, the use of a consolidated company report often leads to a distortion of Shariah rules (e.g. debt to equity ratio of 200% or higher);</w:t>
      </w:r>
    </w:p>
    <w:p w14:paraId="2CBD3FD4" w14:textId="77777777" w:rsidR="005A6467" w:rsidRPr="005A6467" w:rsidRDefault="005A6467" w:rsidP="00296EBF">
      <w:pPr>
        <w:widowControl w:val="0"/>
        <w:numPr>
          <w:ilvl w:val="0"/>
          <w:numId w:val="18"/>
        </w:numPr>
        <w:autoSpaceDE w:val="0"/>
        <w:autoSpaceDN w:val="0"/>
        <w:spacing w:after="120" w:line="276" w:lineRule="auto"/>
        <w:ind w:right="107"/>
        <w:jc w:val="both"/>
        <w:rPr>
          <w:rFonts w:eastAsia="Calibri" w:cs="Tahoma"/>
          <w:sz w:val="16"/>
          <w:szCs w:val="16"/>
        </w:rPr>
      </w:pPr>
      <w:r>
        <w:rPr>
          <w:b/>
          <w:sz w:val="16"/>
        </w:rPr>
        <w:t>Use of audited or unaudited results.</w:t>
      </w:r>
      <w:r>
        <w:rPr>
          <w:sz w:val="16"/>
        </w:rPr>
        <w:t xml:space="preserve"> In determining Shariah compliance, the most recent financial report is used for inclusion in the product, regardless of whether the most recent report is quarterly, semi-annual or annual. Annual reports are generally audited, while quarterly and semi-annual reports often remain unaudited;</w:t>
      </w:r>
    </w:p>
    <w:p w14:paraId="644E9F20" w14:textId="73466528" w:rsidR="005A6467" w:rsidRPr="005A6467" w:rsidRDefault="005A6467" w:rsidP="00296EBF">
      <w:pPr>
        <w:spacing w:after="120"/>
        <w:rPr>
          <w:rFonts w:cs="Tahoma"/>
          <w:sz w:val="16"/>
          <w:szCs w:val="16"/>
        </w:rPr>
      </w:pPr>
      <w:r>
        <w:rPr>
          <w:b/>
          <w:sz w:val="16"/>
        </w:rPr>
        <w:t>Interim or quarterly results.</w:t>
      </w:r>
      <w:r>
        <w:rPr>
          <w:sz w:val="16"/>
        </w:rPr>
        <w:t xml:space="preserve"> The most recent report is used in the analysis process, regardless of whether the most recent report is quarterly, semi-annual or annual. If the most recent report is available in all three of these formats, the annual report is preferred because it is more likely to be audited and is often more comprehensive.</w:t>
      </w:r>
    </w:p>
    <w:p w14:paraId="01B69F9A" w14:textId="77777777" w:rsidR="005A6467" w:rsidRPr="005A6467" w:rsidRDefault="005A6467" w:rsidP="00296EBF">
      <w:pPr>
        <w:spacing w:after="120"/>
        <w:rPr>
          <w:rFonts w:cs="Tahoma"/>
          <w:sz w:val="16"/>
          <w:szCs w:val="16"/>
        </w:rPr>
      </w:pPr>
    </w:p>
    <w:sectPr w:rsidR="005A6467" w:rsidRPr="005A6467"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1F90" w14:textId="77777777" w:rsidR="005C09F2" w:rsidRDefault="005C09F2">
      <w:r>
        <w:separator/>
      </w:r>
    </w:p>
    <w:p w14:paraId="0BAEACCF" w14:textId="77777777" w:rsidR="005C09F2" w:rsidRDefault="005C09F2"/>
    <w:p w14:paraId="47283E57" w14:textId="77777777" w:rsidR="005C09F2" w:rsidRDefault="005C09F2" w:rsidP="00AF15EE">
      <w:pPr>
        <w:numPr>
          <w:ilvl w:val="2"/>
          <w:numId w:val="1"/>
        </w:numPr>
      </w:pPr>
    </w:p>
  </w:endnote>
  <w:endnote w:type="continuationSeparator" w:id="0">
    <w:p w14:paraId="22D7FD9B" w14:textId="77777777" w:rsidR="005C09F2" w:rsidRDefault="005C09F2">
      <w:r>
        <w:continuationSeparator/>
      </w:r>
    </w:p>
    <w:p w14:paraId="5328D549" w14:textId="77777777" w:rsidR="005C09F2" w:rsidRDefault="005C09F2"/>
    <w:p w14:paraId="608B3147" w14:textId="77777777" w:rsidR="005C09F2" w:rsidRDefault="005C09F2" w:rsidP="00AF15EE">
      <w:pPr>
        <w:numPr>
          <w:ilvl w:val="2"/>
          <w:numId w:val="1"/>
        </w:numPr>
      </w:pPr>
    </w:p>
  </w:endnote>
  <w:endnote w:type="continuationNotice" w:id="1">
    <w:p w14:paraId="0F7B3179" w14:textId="77777777" w:rsidR="005C09F2" w:rsidRDefault="005C09F2"/>
    <w:p w14:paraId="0425B46B" w14:textId="77777777" w:rsidR="005C09F2" w:rsidRDefault="005C09F2"/>
    <w:p w14:paraId="35872EF5" w14:textId="77777777" w:rsidR="005C09F2" w:rsidRDefault="005C09F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1184643"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96EBF">
      <w:rPr>
        <w:rStyle w:val="ab"/>
        <w:noProof/>
      </w:rPr>
      <w:t>12</w:t>
    </w:r>
    <w:r>
      <w:rPr>
        <w:rStyle w:val="ab"/>
      </w:rPr>
      <w:fldChar w:fldCharType="end"/>
    </w:r>
  </w:p>
  <w:p w14:paraId="595F760C" w14:textId="77777777" w:rsidR="005C09F2" w:rsidRDefault="005C09F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5C09F2" w:rsidRPr="006D19CD" w:rsidRDefault="005C09F2"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5C09F2" w:rsidRDefault="005C09F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4BD3CB0B"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96EBF">
      <w:rPr>
        <w:rStyle w:val="ab"/>
        <w:noProof/>
      </w:rPr>
      <w:t>12</w:t>
    </w:r>
    <w:r>
      <w:rPr>
        <w:rStyle w:val="ab"/>
      </w:rPr>
      <w:fldChar w:fldCharType="end"/>
    </w:r>
  </w:p>
  <w:p w14:paraId="7B535441" w14:textId="77777777" w:rsidR="005C09F2" w:rsidRDefault="005C09F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026A3DB5" w:rsidR="005C09F2" w:rsidRPr="006D19CD" w:rsidRDefault="005C09F2"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6</w:t>
    </w:r>
    <w:r w:rsidRPr="006D19CD">
      <w:rPr>
        <w:rStyle w:val="ab"/>
        <w:rFonts w:ascii="Arial" w:hAnsi="Arial" w:cs="Arial"/>
      </w:rPr>
      <w:fldChar w:fldCharType="end"/>
    </w:r>
  </w:p>
  <w:p w14:paraId="60C61560" w14:textId="77777777" w:rsidR="005C09F2" w:rsidRDefault="005C09F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5E09BE64" w:rsidR="005C09F2" w:rsidRPr="00B21DBA" w:rsidRDefault="005C09F2"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5C09F2" w:rsidRDefault="005C09F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B8DB" w14:textId="77777777" w:rsidR="005C09F2" w:rsidRDefault="005C09F2">
      <w:r>
        <w:separator/>
      </w:r>
    </w:p>
    <w:p w14:paraId="357C71F1" w14:textId="77777777" w:rsidR="005C09F2" w:rsidRDefault="005C09F2"/>
    <w:p w14:paraId="022BEFDD" w14:textId="77777777" w:rsidR="005C09F2" w:rsidRDefault="005C09F2" w:rsidP="00AF15EE">
      <w:pPr>
        <w:numPr>
          <w:ilvl w:val="2"/>
          <w:numId w:val="1"/>
        </w:numPr>
      </w:pPr>
    </w:p>
  </w:footnote>
  <w:footnote w:type="continuationSeparator" w:id="0">
    <w:p w14:paraId="3CE07D5A" w14:textId="77777777" w:rsidR="005C09F2" w:rsidRDefault="005C09F2">
      <w:r>
        <w:continuationSeparator/>
      </w:r>
    </w:p>
    <w:p w14:paraId="0B35B100" w14:textId="77777777" w:rsidR="005C09F2" w:rsidRDefault="005C09F2"/>
    <w:p w14:paraId="25D41588" w14:textId="77777777" w:rsidR="005C09F2" w:rsidRDefault="005C09F2" w:rsidP="00AF15EE">
      <w:pPr>
        <w:numPr>
          <w:ilvl w:val="2"/>
          <w:numId w:val="1"/>
        </w:numPr>
      </w:pPr>
    </w:p>
  </w:footnote>
  <w:footnote w:type="continuationNotice" w:id="1">
    <w:p w14:paraId="55F339F0" w14:textId="77777777" w:rsidR="005C09F2" w:rsidRDefault="005C09F2"/>
    <w:p w14:paraId="6F0296F5" w14:textId="77777777" w:rsidR="005C09F2" w:rsidRDefault="005C09F2"/>
    <w:p w14:paraId="51662EFD" w14:textId="77777777" w:rsidR="005C09F2" w:rsidRDefault="005C09F2"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5150F082"/>
    <w:lvl w:ilvl="0" w:tplc="53C29812">
      <w:start w:val="1"/>
      <w:numFmt w:val="decimal"/>
      <w:lvlText w:val="%1."/>
      <w:lvlJc w:val="left"/>
      <w:pPr>
        <w:ind w:left="360" w:hanging="360"/>
      </w:pPr>
      <w:rPr>
        <w:rFonts w:ascii="Tahoma" w:eastAsia="Calibri" w:hAnsi="Tahoma" w:cs="Tahoma" w:hint="default"/>
        <w:b/>
        <w:spacing w:val="-1"/>
        <w:w w:val="100"/>
        <w:sz w:val="16"/>
        <w:szCs w:val="16"/>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69A"/>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050"/>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C48"/>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6EBF"/>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35F"/>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581"/>
    <w:rsid w:val="002D5906"/>
    <w:rsid w:val="002D5E9F"/>
    <w:rsid w:val="002D5EE7"/>
    <w:rsid w:val="002D63DB"/>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28C"/>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638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029"/>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9F2"/>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4BA7"/>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6CE6"/>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495"/>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6B5"/>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790"/>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04"/>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C52"/>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9B5"/>
    <w:rsid w:val="00995B58"/>
    <w:rsid w:val="00996212"/>
    <w:rsid w:val="009966D9"/>
    <w:rsid w:val="00997383"/>
    <w:rsid w:val="009973FD"/>
    <w:rsid w:val="00997B57"/>
    <w:rsid w:val="009A0206"/>
    <w:rsid w:val="009A04D1"/>
    <w:rsid w:val="009A08CA"/>
    <w:rsid w:val="009A0EEE"/>
    <w:rsid w:val="009A1503"/>
    <w:rsid w:val="009A1BCE"/>
    <w:rsid w:val="009A22EF"/>
    <w:rsid w:val="009A2756"/>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84D"/>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D9A"/>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81"/>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2153"/>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255"/>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D7AFC"/>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4"/>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D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87E"/>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539"/>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B3E"/>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5044-88D2-4949-B90C-5C797E23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5151</Words>
  <Characters>29024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34107</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2023-04-26T09:54:00Z</dcterms:created>
  <dcterms:modified xsi:type="dcterms:W3CDTF">2025-09-05T07:48:00Z</dcterms:modified>
</cp:coreProperties>
</file>