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5A5A" w14:textId="77777777" w:rsidR="005104AD" w:rsidRPr="0016178B" w:rsidRDefault="005104AD" w:rsidP="005F5D0E">
      <w:pPr>
        <w:spacing w:after="0"/>
        <w:ind w:left="4395" w:right="-81"/>
        <w:rPr>
          <w:rFonts w:ascii="Tahoma" w:hAnsi="Tahoma" w:cs="Tahoma"/>
          <w:b/>
          <w:sz w:val="20"/>
          <w:szCs w:val="20"/>
        </w:rPr>
      </w:pPr>
      <w:bookmarkStart w:id="0" w:name="_Hlk94266662"/>
      <w:r>
        <w:rPr>
          <w:rFonts w:ascii="Tahoma" w:hAnsi="Tahoma"/>
          <w:b/>
          <w:sz w:val="20"/>
        </w:rPr>
        <w:t>APPROVED</w:t>
      </w:r>
    </w:p>
    <w:p w14:paraId="151EFD99" w14:textId="190E8623" w:rsidR="005104AD" w:rsidRPr="0016178B" w:rsidRDefault="005104AD" w:rsidP="005F5D0E">
      <w:pPr>
        <w:pStyle w:val="a9"/>
        <w:tabs>
          <w:tab w:val="left" w:pos="5387"/>
          <w:tab w:val="left" w:pos="5670"/>
        </w:tabs>
        <w:spacing w:after="0"/>
        <w:ind w:left="4395"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60F39452" w14:textId="79CD7F62" w:rsidR="005104AD" w:rsidRPr="0016178B" w:rsidRDefault="005104AD" w:rsidP="005F5D0E">
      <w:pPr>
        <w:pStyle w:val="a9"/>
        <w:tabs>
          <w:tab w:val="left" w:pos="4962"/>
        </w:tabs>
        <w:spacing w:after="0"/>
        <w:ind w:left="4395" w:right="27"/>
        <w:rPr>
          <w:rFonts w:ascii="Tahoma" w:hAnsi="Tahoma" w:cs="Tahoma"/>
          <w:sz w:val="20"/>
          <w:szCs w:val="20"/>
        </w:rPr>
      </w:pPr>
      <w:r>
        <w:rPr>
          <w:rFonts w:ascii="Tahoma" w:hAnsi="Tahoma"/>
          <w:sz w:val="20"/>
        </w:rPr>
        <w:t>(Order No. МБ-П-</w:t>
      </w:r>
      <w:r w:rsidR="0094478F" w:rsidRPr="0094478F">
        <w:rPr>
          <w:rFonts w:ascii="Tahoma" w:hAnsi="Tahoma"/>
          <w:sz w:val="20"/>
          <w:lang w:val="en-US"/>
        </w:rPr>
        <w:t>202</w:t>
      </w:r>
      <w:r w:rsidR="005B3FD8" w:rsidRPr="005B3FD8">
        <w:rPr>
          <w:rFonts w:ascii="Tahoma" w:hAnsi="Tahoma"/>
          <w:sz w:val="20"/>
          <w:lang w:val="en-US"/>
        </w:rPr>
        <w:t>4</w:t>
      </w:r>
      <w:r w:rsidR="0094478F" w:rsidRPr="0094478F">
        <w:rPr>
          <w:rFonts w:ascii="Tahoma" w:hAnsi="Tahoma"/>
          <w:sz w:val="20"/>
          <w:lang w:val="en-US"/>
        </w:rPr>
        <w:t>-</w:t>
      </w:r>
      <w:r w:rsidR="005F5D0E">
        <w:rPr>
          <w:rFonts w:ascii="Tahoma" w:hAnsi="Tahoma"/>
          <w:sz w:val="20"/>
          <w:lang w:val="en-US"/>
        </w:rPr>
        <w:t>2879</w:t>
      </w:r>
      <w:r>
        <w:rPr>
          <w:rFonts w:ascii="Tahoma" w:hAnsi="Tahoma"/>
          <w:sz w:val="20"/>
        </w:rPr>
        <w:t xml:space="preserve"> </w:t>
      </w:r>
      <w:r w:rsidR="005F5D0E">
        <w:rPr>
          <w:rFonts w:ascii="Tahoma" w:hAnsi="Tahoma"/>
          <w:sz w:val="20"/>
        </w:rPr>
        <w:t xml:space="preserve">dated </w:t>
      </w:r>
      <w:r w:rsidR="005F5D0E" w:rsidRPr="005F5D0E">
        <w:rPr>
          <w:rFonts w:ascii="Tahoma" w:hAnsi="Tahoma"/>
          <w:sz w:val="20"/>
          <w:lang w:val="en-US"/>
        </w:rPr>
        <w:t xml:space="preserve">3 </w:t>
      </w:r>
      <w:r w:rsidR="005F5D0E">
        <w:rPr>
          <w:rFonts w:ascii="Tahoma" w:hAnsi="Tahoma"/>
          <w:sz w:val="20"/>
          <w:lang w:val="en-US"/>
        </w:rPr>
        <w:t xml:space="preserve">September </w:t>
      </w:r>
      <w:r w:rsidR="005F5D0E">
        <w:rPr>
          <w:rFonts w:ascii="Tahoma" w:hAnsi="Tahoma"/>
          <w:sz w:val="20"/>
        </w:rPr>
        <w:t>202</w:t>
      </w:r>
      <w:r w:rsidR="005F5D0E" w:rsidRPr="005F5D0E">
        <w:rPr>
          <w:rFonts w:ascii="Tahoma" w:hAnsi="Tahoma"/>
          <w:sz w:val="20"/>
          <w:lang w:val="en-US"/>
        </w:rPr>
        <w:t>4</w:t>
      </w:r>
      <w:r>
        <w:rPr>
          <w:rFonts w:ascii="Tahoma" w:hAnsi="Tahoma"/>
          <w:sz w:val="20"/>
        </w:rPr>
        <w:t>)</w:t>
      </w:r>
    </w:p>
    <w:bookmarkEnd w:id="0"/>
    <w:p w14:paraId="7B8E0166" w14:textId="7AE9DB3B" w:rsidR="005104AD" w:rsidRDefault="005104AD" w:rsidP="005104AD">
      <w:pPr>
        <w:rPr>
          <w:rFonts w:ascii="Tahoma" w:hAnsi="Tahoma" w:cs="Tahoma"/>
          <w:sz w:val="20"/>
          <w:szCs w:val="20"/>
          <w:lang w:val="x-none"/>
        </w:rPr>
      </w:pPr>
    </w:p>
    <w:p w14:paraId="788C5254" w14:textId="77777777" w:rsidR="005F5D0E" w:rsidRPr="0016178B" w:rsidRDefault="005F5D0E" w:rsidP="005104AD">
      <w:pPr>
        <w:rPr>
          <w:rFonts w:ascii="Tahoma" w:hAnsi="Tahoma" w:cs="Tahoma"/>
          <w:sz w:val="20"/>
          <w:szCs w:val="20"/>
          <w:lang w:val="x-none"/>
        </w:rPr>
      </w:pPr>
    </w:p>
    <w:p w14:paraId="11D8B0AD" w14:textId="76C76A87" w:rsidR="005104AD" w:rsidRPr="0016178B" w:rsidRDefault="005104AD" w:rsidP="005104AD">
      <w:pPr>
        <w:jc w:val="center"/>
        <w:rPr>
          <w:rFonts w:ascii="Tahoma" w:hAnsi="Tahoma" w:cs="Tahoma"/>
          <w:b/>
          <w:bCs/>
          <w:sz w:val="20"/>
          <w:szCs w:val="20"/>
        </w:rPr>
      </w:pPr>
      <w:r>
        <w:rPr>
          <w:rFonts w:ascii="Tahoma" w:hAnsi="Tahoma"/>
          <w:b/>
          <w:sz w:val="20"/>
        </w:rPr>
        <w:t xml:space="preserve">Specification </w:t>
      </w:r>
      <w:r w:rsidR="002C4F7E">
        <w:rPr>
          <w:rFonts w:ascii="Tahoma" w:hAnsi="Tahoma"/>
          <w:b/>
          <w:sz w:val="20"/>
        </w:rPr>
        <w:t>of</w:t>
      </w:r>
      <w:r>
        <w:rPr>
          <w:rFonts w:ascii="Tahoma" w:hAnsi="Tahoma"/>
          <w:b/>
          <w:sz w:val="20"/>
        </w:rPr>
        <w:t xml:space="preserve"> premium-style options contracts on precious metals </w:t>
      </w:r>
    </w:p>
    <w:p w14:paraId="40FE91D2" w14:textId="778C6862" w:rsidR="005104AD" w:rsidRPr="0016178B" w:rsidRDefault="005104AD" w:rsidP="005104AD">
      <w:pPr>
        <w:pStyle w:val="ab"/>
        <w:spacing w:after="120" w:afterAutospacing="0"/>
        <w:ind w:right="96"/>
        <w:rPr>
          <w:rFonts w:ascii="Tahoma" w:hAnsi="Tahoma" w:cs="Tahoma"/>
          <w:color w:val="auto"/>
        </w:rPr>
      </w:pPr>
      <w:r>
        <w:rPr>
          <w:rFonts w:ascii="Tahoma" w:hAnsi="Tahoma"/>
        </w:rPr>
        <w:t xml:space="preserve">This Specification for premium-style options on precious metals (the Specification") defines the standard terms and conditions of premium-style cash-settled European options with a precious metal as the underlying asset. </w:t>
      </w:r>
    </w:p>
    <w:p w14:paraId="012D0F3E" w14:textId="77960035" w:rsidR="005104AD" w:rsidRPr="0016178B"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premium-style options on precious metals (the “Contract”) as well as the procedure for such obligations to arise, be changed or terminated.</w:t>
      </w:r>
    </w:p>
    <w:p w14:paraId="38AE6ADB" w14:textId="2E62EC4F" w:rsidR="005104AD" w:rsidRPr="0016178B"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premium-style options on precious metals as set out in Appendix</w:t>
      </w:r>
      <w:r w:rsidR="00C37059">
        <w:rPr>
          <w:rFonts w:ascii="Tahoma" w:hAnsi="Tahoma"/>
        </w:rPr>
        <w:t xml:space="preserve"> #1</w:t>
      </w:r>
      <w:r>
        <w:rPr>
          <w:rFonts w:ascii="Tahoma" w:hAnsi="Tahoma"/>
        </w:rPr>
        <w:t xml:space="preserve"> this Specification (the "List of Parameters"), which contains:</w:t>
      </w:r>
    </w:p>
    <w:p w14:paraId="16462948" w14:textId="77777777" w:rsidR="005104AD" w:rsidRPr="0016178B"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name of the Contract;</w:t>
      </w:r>
    </w:p>
    <w:p w14:paraId="1CAA664E"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50238C30"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code of the underlying asset;</w:t>
      </w:r>
    </w:p>
    <w:p w14:paraId="7EC5DCB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
    <w:p w14:paraId="07B112B4"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the tick value;</w:t>
      </w:r>
    </w:p>
    <w:p w14:paraId="2F273C1D" w14:textId="77777777" w:rsidR="003955BC" w:rsidRPr="0016178B" w:rsidRDefault="003955BC" w:rsidP="003955BC">
      <w:pPr>
        <w:pStyle w:val="ab"/>
        <w:numPr>
          <w:ilvl w:val="0"/>
          <w:numId w:val="2"/>
        </w:numPr>
        <w:spacing w:before="0" w:beforeAutospacing="0" w:after="0" w:afterAutospacing="0"/>
        <w:ind w:right="57"/>
        <w:rPr>
          <w:rFonts w:ascii="Tahoma" w:hAnsi="Tahoma" w:cs="Tahoma"/>
        </w:rPr>
      </w:pPr>
      <w:r>
        <w:rPr>
          <w:rFonts w:ascii="Tahoma" w:hAnsi="Tahoma"/>
        </w:rPr>
        <w:t>coefficient indicating the quantity of the underlying asset in the Contract Price and Strike Price (</w:t>
      </w:r>
      <w:proofErr w:type="spellStart"/>
      <w:r>
        <w:rPr>
          <w:rFonts w:ascii="Tahoma" w:hAnsi="Tahoma"/>
        </w:rPr>
        <w:t>Lot_Coeff</w:t>
      </w:r>
      <w:proofErr w:type="spellEnd"/>
      <w:r>
        <w:rPr>
          <w:rFonts w:ascii="Tahoma" w:hAnsi="Tahoma"/>
        </w:rPr>
        <w:t>);</w:t>
      </w:r>
    </w:p>
    <w:p w14:paraId="0F39EB45" w14:textId="2FD421A1" w:rsidR="005104AD" w:rsidRPr="005B3FD8" w:rsidRDefault="00363C33" w:rsidP="005104AD">
      <w:pPr>
        <w:pStyle w:val="ab"/>
        <w:numPr>
          <w:ilvl w:val="0"/>
          <w:numId w:val="2"/>
        </w:numPr>
        <w:spacing w:before="0" w:beforeAutospacing="0" w:after="0" w:afterAutospacing="0"/>
        <w:ind w:right="57"/>
        <w:rPr>
          <w:rFonts w:ascii="Tahoma" w:hAnsi="Tahoma" w:cs="Tahoma"/>
        </w:rPr>
      </w:pPr>
      <w:r>
        <w:rPr>
          <w:rFonts w:ascii="Tahoma" w:hAnsi="Tahoma"/>
        </w:rPr>
        <w:t xml:space="preserve"> the lot of the Contract (the "Lot")</w:t>
      </w:r>
      <w:r w:rsidR="005B3FD8" w:rsidRPr="005B3FD8">
        <w:rPr>
          <w:rFonts w:ascii="Tahoma" w:hAnsi="Tahoma"/>
          <w:lang w:val="en-US"/>
        </w:rPr>
        <w:t>;</w:t>
      </w:r>
    </w:p>
    <w:p w14:paraId="781AE2A5" w14:textId="4579E751" w:rsidR="005B3FD8" w:rsidRDefault="005B3FD8" w:rsidP="005104AD">
      <w:pPr>
        <w:pStyle w:val="ab"/>
        <w:numPr>
          <w:ilvl w:val="0"/>
          <w:numId w:val="2"/>
        </w:numPr>
        <w:spacing w:before="0" w:beforeAutospacing="0" w:after="0" w:afterAutospacing="0"/>
        <w:ind w:right="57"/>
        <w:rPr>
          <w:rFonts w:ascii="Tahoma" w:hAnsi="Tahoma" w:cs="Tahoma"/>
        </w:rPr>
      </w:pPr>
      <w:r w:rsidRPr="005B3FD8">
        <w:rPr>
          <w:rFonts w:ascii="Tahoma" w:hAnsi="Tahoma" w:cs="Tahoma"/>
        </w:rPr>
        <w:t>the price of the precious metal used in calculating the intrinsic value of the option in accordance with clause 2.2.2 of this Specification;</w:t>
      </w:r>
    </w:p>
    <w:p w14:paraId="70ABE617" w14:textId="57A5417F" w:rsidR="005B3FD8" w:rsidRPr="00030DD8" w:rsidRDefault="005B3FD8" w:rsidP="005104AD">
      <w:pPr>
        <w:pStyle w:val="ab"/>
        <w:numPr>
          <w:ilvl w:val="0"/>
          <w:numId w:val="2"/>
        </w:numPr>
        <w:spacing w:before="0" w:beforeAutospacing="0" w:after="0" w:afterAutospacing="0"/>
        <w:ind w:right="57"/>
        <w:rPr>
          <w:rFonts w:ascii="Tahoma" w:hAnsi="Tahoma" w:cs="Tahoma"/>
        </w:rPr>
      </w:pPr>
      <w:r w:rsidRPr="005B3FD8">
        <w:rPr>
          <w:rFonts w:ascii="Tahoma" w:hAnsi="Tahoma" w:cs="Tahoma"/>
        </w:rPr>
        <w:t>execution time</w:t>
      </w:r>
      <w:r>
        <w:rPr>
          <w:rFonts w:ascii="Tahoma" w:hAnsi="Tahoma" w:cs="Tahoma"/>
          <w:lang w:val="ru-RU"/>
        </w:rPr>
        <w:t>.</w:t>
      </w:r>
    </w:p>
    <w:p w14:paraId="3C037B87" w14:textId="508341C2" w:rsidR="005104AD" w:rsidRPr="0016178B"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defined in this Specification and in the List, are precious metals.</w:t>
      </w:r>
    </w:p>
    <w:p w14:paraId="6CA6AC21" w14:textId="77777777" w:rsidR="005104AD" w:rsidRPr="0016178B"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51264FC5" w14:textId="77777777" w:rsidR="005104AD" w:rsidRPr="0016178B" w:rsidRDefault="005104AD" w:rsidP="005104AD">
      <w:pPr>
        <w:jc w:val="both"/>
        <w:rPr>
          <w:rFonts w:ascii="Tahoma" w:hAnsi="Tahoma" w:cs="Tahoma"/>
          <w:sz w:val="20"/>
          <w:szCs w:val="20"/>
        </w:rPr>
      </w:pPr>
    </w:p>
    <w:p w14:paraId="45CF140E"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Entering into the Contract</w:t>
      </w:r>
    </w:p>
    <w:p w14:paraId="34412E9C" w14:textId="77777777" w:rsidR="005104AD" w:rsidRPr="0016178B" w:rsidRDefault="005104AD" w:rsidP="005104AD">
      <w:pPr>
        <w:pStyle w:val="ae"/>
        <w:ind w:left="360"/>
        <w:jc w:val="both"/>
        <w:rPr>
          <w:rFonts w:ascii="Tahoma" w:hAnsi="Tahoma" w:cs="Tahoma"/>
          <w:b/>
          <w:bCs/>
          <w:sz w:val="20"/>
          <w:szCs w:val="20"/>
        </w:rPr>
      </w:pPr>
    </w:p>
    <w:p w14:paraId="43A5E220"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759F1E53" w14:textId="6BE21746" w:rsidR="002C4F7E" w:rsidRPr="002C4F7E" w:rsidRDefault="00F0680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 xml:space="preserve">Contract </w:t>
      </w:r>
      <w:r w:rsidR="002C4F7E">
        <w:rPr>
          <w:rFonts w:ascii="Tahoma" w:hAnsi="Tahoma"/>
          <w:sz w:val="20"/>
        </w:rPr>
        <w:t>code;</w:t>
      </w:r>
    </w:p>
    <w:p w14:paraId="4DE0BC17" w14:textId="454ED264" w:rsidR="005104AD" w:rsidRPr="0016178B" w:rsidRDefault="002C4F7E"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w:t>
      </w:r>
      <w:r w:rsidR="00F0680D">
        <w:rPr>
          <w:rFonts w:ascii="Tahoma" w:hAnsi="Tahoma"/>
          <w:sz w:val="20"/>
        </w:rPr>
        <w:t xml:space="preserve"> trading day during which the Contract may trade (the </w:t>
      </w:r>
      <w:r>
        <w:rPr>
          <w:rFonts w:ascii="Tahoma" w:hAnsi="Tahoma"/>
          <w:sz w:val="20"/>
        </w:rPr>
        <w:t>“</w:t>
      </w:r>
      <w:r w:rsidR="00F0680D">
        <w:rPr>
          <w:rFonts w:ascii="Tahoma" w:hAnsi="Tahoma"/>
          <w:sz w:val="20"/>
        </w:rPr>
        <w:t>First Trading Day</w:t>
      </w:r>
      <w:r>
        <w:rPr>
          <w:rFonts w:ascii="Tahoma" w:hAnsi="Tahoma"/>
          <w:sz w:val="20"/>
        </w:rPr>
        <w:t>”</w:t>
      </w:r>
      <w:r w:rsidR="00F0680D">
        <w:rPr>
          <w:rFonts w:ascii="Tahoma" w:hAnsi="Tahoma"/>
          <w:sz w:val="20"/>
        </w:rPr>
        <w:t>);</w:t>
      </w:r>
    </w:p>
    <w:p w14:paraId="419CAFB9" w14:textId="7BEA3119" w:rsidR="005104AD" w:rsidRPr="0016178B"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(the “Start of Trading in the Contract”).</w:t>
      </w:r>
    </w:p>
    <w:p w14:paraId="330E1F3B"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3FD0D7CD" w14:textId="7CAE3B97" w:rsidR="005104AD" w:rsidRPr="0016178B"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Contract&gt;P&lt;last trading day for the Contract&gt;&lt;type of the Contract&gt;E&lt;exercise price&gt;</w:t>
      </w:r>
    </w:p>
    <w:p w14:paraId="49F3A43F"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22F0D763" w14:textId="52FE90B6" w:rsidR="005104AD" w:rsidRPr="00540D4A"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200923 - 20 September 2023);</w:t>
      </w:r>
    </w:p>
    <w:p w14:paraId="0C83A3EB"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313435A1"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3AFA315D" w14:textId="6536B1D6"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2B448864" w14:textId="2C8DED23" w:rsidR="005104AD" w:rsidRPr="008D18C9"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t>The Contract term shall be from the start of Trading in the Contract until the start of the evening clearing session of the last trading day (exercise day) for the Contract.</w:t>
      </w:r>
    </w:p>
    <w:p w14:paraId="7F31225D" w14:textId="32D43C07"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lastRenderedPageBreak/>
        <w:t xml:space="preserve">The date of the last Trading Day during which the Contract can be executed (hereinafter referred to as the last trading day for the Contract) is determined in accordance with the List of dates which are the last trading days for options, as one Thursday of the month and year of expiration of the Contract.  </w:t>
      </w:r>
    </w:p>
    <w:p w14:paraId="1B005947" w14:textId="1FF2EC52" w:rsidR="005104AD" w:rsidRPr="0016178B" w:rsidRDefault="005104AD" w:rsidP="005104AD">
      <w:pPr>
        <w:tabs>
          <w:tab w:val="num" w:pos="851"/>
        </w:tabs>
        <w:ind w:left="851"/>
        <w:jc w:val="both"/>
        <w:rPr>
          <w:rFonts w:ascii="Tahoma" w:hAnsi="Tahoma" w:cs="Tahoma"/>
          <w:sz w:val="20"/>
          <w:szCs w:val="20"/>
        </w:rPr>
      </w:pPr>
      <w:r>
        <w:rPr>
          <w:rFonts w:ascii="Tahoma" w:hAnsi="Tahoma"/>
          <w:sz w:val="20"/>
        </w:rPr>
        <w:t>If that Thursday is not a Trading Day, the date of the last trading day for the Contract specified in the Contract code shall be determined in accordance with the List of Dates which are the last trading days for options as the date of the last Trading Day preceding the relevant Thursday of the month and year of expiration of the Contract.</w:t>
      </w:r>
    </w:p>
    <w:p w14:paraId="776DA645" w14:textId="4C915793" w:rsidR="005104AD" w:rsidRPr="007C59F9" w:rsidRDefault="005104AD" w:rsidP="002C4F7E">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4490AF16" w14:textId="77777777" w:rsidR="005104AD" w:rsidRPr="00BA25C8"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7D99A8F1" w14:textId="77777777" w:rsidR="0041621A" w:rsidRPr="0016178B" w:rsidRDefault="0041621A" w:rsidP="0041621A">
      <w:pPr>
        <w:pStyle w:val="ae"/>
        <w:tabs>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0AF33079" w14:textId="77777777" w:rsidR="0041621A" w:rsidRPr="0016178B" w:rsidRDefault="0041621A" w:rsidP="005104AD">
      <w:pPr>
        <w:pStyle w:val="ae"/>
        <w:tabs>
          <w:tab w:val="num" w:pos="851"/>
        </w:tabs>
        <w:ind w:left="851"/>
        <w:jc w:val="both"/>
        <w:rPr>
          <w:rFonts w:ascii="Tahoma" w:hAnsi="Tahoma" w:cs="Tahoma"/>
          <w:sz w:val="20"/>
          <w:szCs w:val="20"/>
        </w:rPr>
      </w:pPr>
    </w:p>
    <w:p w14:paraId="2E973C71" w14:textId="77777777" w:rsidR="005104AD" w:rsidRPr="0016178B" w:rsidRDefault="005104AD" w:rsidP="005104AD">
      <w:pPr>
        <w:pStyle w:val="ae"/>
        <w:ind w:left="1080"/>
        <w:rPr>
          <w:rFonts w:ascii="Tahoma" w:hAnsi="Tahoma" w:cs="Tahoma"/>
          <w:sz w:val="20"/>
          <w:szCs w:val="20"/>
        </w:rPr>
      </w:pPr>
    </w:p>
    <w:bookmarkEnd w:id="1"/>
    <w:p w14:paraId="7AF69483" w14:textId="77777777" w:rsidR="005104AD" w:rsidRPr="0016178B"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60AC6125" w14:textId="77777777" w:rsidR="005104AD" w:rsidRPr="0016178B" w:rsidRDefault="005104AD" w:rsidP="005104AD">
      <w:pPr>
        <w:pStyle w:val="ae"/>
        <w:ind w:left="360"/>
        <w:rPr>
          <w:rFonts w:ascii="Tahoma" w:hAnsi="Tahoma" w:cs="Tahoma"/>
          <w:b/>
          <w:bCs/>
          <w:sz w:val="20"/>
          <w:szCs w:val="20"/>
        </w:rPr>
      </w:pPr>
    </w:p>
    <w:p w14:paraId="5017B683" w14:textId="77777777" w:rsidR="005104AD" w:rsidRPr="0016178B"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38C192E9"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752DCDE2" w14:textId="227BBF5B"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2C4F7E">
        <w:rPr>
          <w:rFonts w:ascii="Tahoma" w:hAnsi="Tahoma"/>
          <w:sz w:val="20"/>
        </w:rPr>
        <w:t>the clearing</w:t>
      </w:r>
      <w:r>
        <w:rPr>
          <w:rFonts w:ascii="Tahoma" w:hAnsi="Tahoma"/>
          <w:sz w:val="20"/>
        </w:rPr>
        <w:t xml:space="preserve"> session immediately following the trade execution.</w:t>
      </w:r>
    </w:p>
    <w:p w14:paraId="79403DC0"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308DE942"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4F3A6237"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DD6BEA3" w14:textId="77777777"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025C20DA"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2364F01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725A576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0ED6EC3F" w14:textId="77777777" w:rsidR="005104AD" w:rsidRPr="0016178B"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6631F5CA" w14:textId="335FBC9D"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25AF3C79" w14:textId="77777777" w:rsidR="005104AD" w:rsidRPr="00D95D70" w:rsidRDefault="005104AD" w:rsidP="007739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4EAFAB9F" w14:textId="62100155" w:rsidR="005104AD" w:rsidRPr="00D95D70" w:rsidRDefault="0016178B"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price of precious metal* </w:t>
      </w:r>
      <w:proofErr w:type="spellStart"/>
      <w:r>
        <w:rPr>
          <w:rFonts w:ascii="Tahoma" w:hAnsi="Tahoma"/>
          <w:sz w:val="20"/>
        </w:rPr>
        <w:t>Lot_Coeff</w:t>
      </w:r>
      <w:proofErr w:type="spellEnd"/>
      <w:r>
        <w:rPr>
          <w:rFonts w:ascii="Tahoma" w:hAnsi="Tahoma"/>
          <w:sz w:val="20"/>
        </w:rPr>
        <w:t xml:space="preserve"> – Strike Price; 0) for Call options</w:t>
      </w:r>
    </w:p>
    <w:p w14:paraId="4457DF68" w14:textId="49BC9960" w:rsidR="005104AD" w:rsidRPr="0016178B"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Strike Price – </w:t>
      </w:r>
      <w:r w:rsidR="005B3FD8" w:rsidRPr="005B3FD8">
        <w:rPr>
          <w:rFonts w:ascii="Tahoma" w:hAnsi="Tahoma"/>
          <w:sz w:val="20"/>
        </w:rPr>
        <w:t xml:space="preserve">price of precious metal </w:t>
      </w:r>
      <w:r>
        <w:rPr>
          <w:rFonts w:ascii="Tahoma" w:hAnsi="Tahoma"/>
          <w:sz w:val="20"/>
        </w:rPr>
        <w:t xml:space="preserve">* </w:t>
      </w:r>
      <w:proofErr w:type="spellStart"/>
      <w:r>
        <w:rPr>
          <w:rFonts w:ascii="Tahoma" w:hAnsi="Tahoma"/>
          <w:sz w:val="20"/>
        </w:rPr>
        <w:t>Lot_Coeff</w:t>
      </w:r>
      <w:proofErr w:type="spellEnd"/>
      <w:r>
        <w:rPr>
          <w:rFonts w:ascii="Tahoma" w:hAnsi="Tahoma"/>
          <w:sz w:val="20"/>
        </w:rPr>
        <w:t>; 0) for put options,</w:t>
      </w:r>
    </w:p>
    <w:p w14:paraId="7A228127" w14:textId="6FA3AFB0" w:rsidR="00A34DCC"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 xml:space="preserve">where the price of the underlying precious metal is determined in accordance with the procedure established by the List of Parameters. </w:t>
      </w:r>
    </w:p>
    <w:p w14:paraId="0F47780C" w14:textId="77777777" w:rsidR="005104AD" w:rsidRPr="0016178B"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is the coefficient indicating the quantity of the underlying asset in the Contract Price and the Strike Price which is determined in the List of Parameters.</w:t>
      </w:r>
    </w:p>
    <w:p w14:paraId="43D51117"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amount of cash equal to the intrinsic value of the option shall be paid in RUB, and shall be calculated for each Contract as follows:</w:t>
      </w:r>
    </w:p>
    <w:p w14:paraId="5FFD8A0D"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1CA607BD" w14:textId="77777777" w:rsidR="005104AD" w:rsidRPr="0016178B"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883B088" w14:textId="77777777"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5F182733"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3CA4A88B"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13E2AE3F"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R</w:t>
      </w:r>
      <w:r>
        <w:rPr>
          <w:rFonts w:ascii="Tahoma" w:hAnsi="Tahoma"/>
          <w:sz w:val="20"/>
        </w:rPr>
        <w:t xml:space="preserve"> - the tick of the Contract.</w:t>
      </w:r>
    </w:p>
    <w:p w14:paraId="7A4360E1" w14:textId="31E83E67" w:rsidR="005104AD" w:rsidRPr="00540D4A"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arise automatically in the end-of-day clearing session of the day of exercise for "in-the-money" Options, i.e. for contracts whose Intrinsic Value is positive. </w:t>
      </w:r>
    </w:p>
    <w:p w14:paraId="4DAFC8ED" w14:textId="7777777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6BBC1A9D"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2A55F62B" w14:textId="77777777" w:rsidR="005104AD" w:rsidRPr="0016178B" w:rsidRDefault="005104AD" w:rsidP="005104AD">
      <w:pPr>
        <w:pStyle w:val="ae"/>
        <w:ind w:left="2160"/>
        <w:jc w:val="both"/>
        <w:rPr>
          <w:rFonts w:ascii="Tahoma" w:hAnsi="Tahoma" w:cs="Tahoma"/>
          <w:sz w:val="20"/>
          <w:szCs w:val="20"/>
        </w:rPr>
      </w:pPr>
    </w:p>
    <w:p w14:paraId="3ED19049" w14:textId="77777777" w:rsidR="005104AD" w:rsidRPr="00BA25C8"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089910FF" w14:textId="77777777" w:rsidR="005104AD" w:rsidRPr="00BA25C8"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732DBD42"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The party’s obligations under the Contract will be terminated prior to the final settlement by entering into an offsetting Contract with the same Contract code (designation), subject to the procedures and time frames set forth in the Clearing Rules.</w:t>
      </w:r>
    </w:p>
    <w:p w14:paraId="3CC276C7" w14:textId="77777777" w:rsidR="005104AD" w:rsidRPr="0016178B"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0B53760E" w14:textId="77777777" w:rsidR="005104AD" w:rsidRPr="0016178B"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1BE4AEAF"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F0E40DF"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Rules and the Clearing Rules. </w:t>
      </w:r>
    </w:p>
    <w:p w14:paraId="50DB87EC"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10FA4B91" w14:textId="76AF8572" w:rsidR="005104AD" w:rsidRPr="00540D4A"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precious metals on the Moscow Exchange FX Market and Precious Metals Market and/or suspension/termination of calculation of the indicators used to determine the Settlement Obligation in accordance with the List of Parameters, the Exchange shall be entitled, upon agreement with the Clearing Centre, to take one or more of the following decisions:</w:t>
      </w:r>
    </w:p>
    <w:p w14:paraId="6D31C38D"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2927FC2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settlement date for the Contract,</w:t>
      </w:r>
    </w:p>
    <w:p w14:paraId="7E01F8E0"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2CB5A1D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4F0F51C2" w14:textId="77777777"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19C05B57"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037CE69C"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5F85B7A8" w14:textId="77777777" w:rsidR="005104AD" w:rsidRPr="0016178B" w:rsidRDefault="005104AD" w:rsidP="005104AD">
      <w:pPr>
        <w:pStyle w:val="a1"/>
        <w:numPr>
          <w:ilvl w:val="0"/>
          <w:numId w:val="0"/>
        </w:numPr>
        <w:tabs>
          <w:tab w:val="left" w:pos="426"/>
        </w:tabs>
        <w:autoSpaceDE w:val="0"/>
        <w:autoSpaceDN w:val="0"/>
        <w:ind w:left="1080"/>
        <w:rPr>
          <w:rFonts w:ascii="Tahoma" w:hAnsi="Tahoma" w:cs="Tahoma"/>
          <w:szCs w:val="20"/>
        </w:rPr>
      </w:pPr>
    </w:p>
    <w:p w14:paraId="27E387CB"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5EDD2F77"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672D553"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lastRenderedPageBreak/>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E6EBCF9" w14:textId="6354C8F2" w:rsidR="005104AD" w:rsidRPr="005B3FD8"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46ADDA49" w14:textId="0BD1B7EE" w:rsidR="005B3FD8" w:rsidRDefault="005B3FD8" w:rsidP="005B3FD8">
      <w:pPr>
        <w:pStyle w:val="1"/>
        <w:numPr>
          <w:ilvl w:val="0"/>
          <w:numId w:val="0"/>
        </w:numPr>
        <w:tabs>
          <w:tab w:val="clear" w:pos="900"/>
        </w:tabs>
        <w:ind w:left="896" w:hanging="539"/>
        <w:rPr>
          <w:rFonts w:ascii="Tahoma" w:hAnsi="Tahoma" w:cs="Tahoma"/>
        </w:rPr>
      </w:pPr>
    </w:p>
    <w:p w14:paraId="0789EB86" w14:textId="511D20C9" w:rsidR="005B3FD8" w:rsidRDefault="005B3FD8" w:rsidP="005B3FD8">
      <w:pPr>
        <w:pStyle w:val="1"/>
        <w:numPr>
          <w:ilvl w:val="0"/>
          <w:numId w:val="0"/>
        </w:numPr>
        <w:tabs>
          <w:tab w:val="clear" w:pos="900"/>
        </w:tabs>
        <w:ind w:left="896" w:hanging="539"/>
        <w:rPr>
          <w:rFonts w:ascii="Tahoma" w:hAnsi="Tahoma" w:cs="Tahoma"/>
        </w:rPr>
      </w:pPr>
    </w:p>
    <w:p w14:paraId="657FA632" w14:textId="6D17AA92" w:rsidR="005B3FD8" w:rsidRDefault="005B3FD8" w:rsidP="005B3FD8">
      <w:pPr>
        <w:pStyle w:val="1"/>
        <w:numPr>
          <w:ilvl w:val="0"/>
          <w:numId w:val="0"/>
        </w:numPr>
        <w:tabs>
          <w:tab w:val="clear" w:pos="900"/>
        </w:tabs>
        <w:ind w:left="896" w:hanging="539"/>
        <w:rPr>
          <w:rFonts w:ascii="Tahoma" w:hAnsi="Tahoma" w:cs="Tahoma"/>
        </w:rPr>
      </w:pPr>
    </w:p>
    <w:p w14:paraId="3FF79E26" w14:textId="197ADC11" w:rsidR="005B3FD8" w:rsidRDefault="005B3FD8" w:rsidP="005B3FD8">
      <w:pPr>
        <w:pStyle w:val="1"/>
        <w:numPr>
          <w:ilvl w:val="0"/>
          <w:numId w:val="0"/>
        </w:numPr>
        <w:tabs>
          <w:tab w:val="clear" w:pos="900"/>
        </w:tabs>
        <w:ind w:left="896" w:hanging="539"/>
        <w:rPr>
          <w:rFonts w:ascii="Tahoma" w:hAnsi="Tahoma" w:cs="Tahoma"/>
        </w:rPr>
      </w:pPr>
    </w:p>
    <w:p w14:paraId="19593DDD" w14:textId="0FA6F7EB" w:rsidR="005B3FD8" w:rsidRDefault="005B3FD8" w:rsidP="005B3FD8">
      <w:pPr>
        <w:pStyle w:val="1"/>
        <w:numPr>
          <w:ilvl w:val="0"/>
          <w:numId w:val="0"/>
        </w:numPr>
        <w:tabs>
          <w:tab w:val="clear" w:pos="900"/>
        </w:tabs>
        <w:ind w:left="896" w:hanging="539"/>
        <w:rPr>
          <w:rFonts w:ascii="Tahoma" w:hAnsi="Tahoma" w:cs="Tahoma"/>
        </w:rPr>
      </w:pPr>
    </w:p>
    <w:p w14:paraId="1381A16E" w14:textId="6F1AAF22" w:rsidR="005B3FD8" w:rsidRDefault="005B3FD8" w:rsidP="005B3FD8">
      <w:pPr>
        <w:pStyle w:val="1"/>
        <w:numPr>
          <w:ilvl w:val="0"/>
          <w:numId w:val="0"/>
        </w:numPr>
        <w:tabs>
          <w:tab w:val="clear" w:pos="900"/>
        </w:tabs>
        <w:ind w:left="896" w:hanging="539"/>
        <w:rPr>
          <w:rFonts w:ascii="Tahoma" w:hAnsi="Tahoma" w:cs="Tahoma"/>
        </w:rPr>
      </w:pPr>
    </w:p>
    <w:p w14:paraId="6DBD91B3" w14:textId="1C8B8507" w:rsidR="005B3FD8" w:rsidRDefault="005B3FD8" w:rsidP="005B3FD8">
      <w:pPr>
        <w:pStyle w:val="1"/>
        <w:numPr>
          <w:ilvl w:val="0"/>
          <w:numId w:val="0"/>
        </w:numPr>
        <w:tabs>
          <w:tab w:val="clear" w:pos="900"/>
        </w:tabs>
        <w:ind w:left="896" w:hanging="539"/>
        <w:rPr>
          <w:rFonts w:ascii="Tahoma" w:hAnsi="Tahoma" w:cs="Tahoma"/>
        </w:rPr>
      </w:pPr>
    </w:p>
    <w:p w14:paraId="2F7B20E8" w14:textId="21AA2313" w:rsidR="005B3FD8" w:rsidRDefault="005B3FD8" w:rsidP="005B3FD8">
      <w:pPr>
        <w:pStyle w:val="1"/>
        <w:numPr>
          <w:ilvl w:val="0"/>
          <w:numId w:val="0"/>
        </w:numPr>
        <w:tabs>
          <w:tab w:val="clear" w:pos="900"/>
        </w:tabs>
        <w:ind w:left="896" w:hanging="539"/>
        <w:rPr>
          <w:rFonts w:ascii="Tahoma" w:hAnsi="Tahoma" w:cs="Tahoma"/>
        </w:rPr>
      </w:pPr>
    </w:p>
    <w:p w14:paraId="17104B9F" w14:textId="6731E3AF" w:rsidR="005B3FD8" w:rsidRDefault="005B3FD8" w:rsidP="005B3FD8">
      <w:pPr>
        <w:pStyle w:val="1"/>
        <w:numPr>
          <w:ilvl w:val="0"/>
          <w:numId w:val="0"/>
        </w:numPr>
        <w:tabs>
          <w:tab w:val="clear" w:pos="900"/>
        </w:tabs>
        <w:ind w:left="896" w:hanging="539"/>
        <w:rPr>
          <w:rFonts w:ascii="Tahoma" w:hAnsi="Tahoma" w:cs="Tahoma"/>
        </w:rPr>
      </w:pPr>
    </w:p>
    <w:p w14:paraId="7FF89101" w14:textId="7DDFCACC" w:rsidR="005B3FD8" w:rsidRDefault="005B3FD8" w:rsidP="005B3FD8">
      <w:pPr>
        <w:pStyle w:val="1"/>
        <w:numPr>
          <w:ilvl w:val="0"/>
          <w:numId w:val="0"/>
        </w:numPr>
        <w:tabs>
          <w:tab w:val="clear" w:pos="900"/>
        </w:tabs>
        <w:ind w:left="896" w:hanging="539"/>
        <w:rPr>
          <w:rFonts w:ascii="Tahoma" w:hAnsi="Tahoma" w:cs="Tahoma"/>
        </w:rPr>
      </w:pPr>
    </w:p>
    <w:p w14:paraId="0D73E2A2" w14:textId="31CA1155" w:rsidR="005B3FD8" w:rsidRDefault="005B3FD8" w:rsidP="005B3FD8">
      <w:pPr>
        <w:pStyle w:val="1"/>
        <w:numPr>
          <w:ilvl w:val="0"/>
          <w:numId w:val="0"/>
        </w:numPr>
        <w:tabs>
          <w:tab w:val="clear" w:pos="900"/>
        </w:tabs>
        <w:ind w:left="896" w:hanging="539"/>
        <w:rPr>
          <w:rFonts w:ascii="Tahoma" w:hAnsi="Tahoma" w:cs="Tahoma"/>
        </w:rPr>
      </w:pPr>
    </w:p>
    <w:p w14:paraId="3007B15D" w14:textId="322BFB34" w:rsidR="005B3FD8" w:rsidRDefault="005B3FD8" w:rsidP="005B3FD8">
      <w:pPr>
        <w:pStyle w:val="1"/>
        <w:numPr>
          <w:ilvl w:val="0"/>
          <w:numId w:val="0"/>
        </w:numPr>
        <w:tabs>
          <w:tab w:val="clear" w:pos="900"/>
        </w:tabs>
        <w:ind w:left="896" w:hanging="539"/>
        <w:rPr>
          <w:rFonts w:ascii="Tahoma" w:hAnsi="Tahoma" w:cs="Tahoma"/>
        </w:rPr>
      </w:pPr>
    </w:p>
    <w:p w14:paraId="5C50B921" w14:textId="1FDB0C85" w:rsidR="005B3FD8" w:rsidRDefault="005B3FD8" w:rsidP="005B3FD8">
      <w:pPr>
        <w:pStyle w:val="1"/>
        <w:numPr>
          <w:ilvl w:val="0"/>
          <w:numId w:val="0"/>
        </w:numPr>
        <w:tabs>
          <w:tab w:val="clear" w:pos="900"/>
        </w:tabs>
        <w:ind w:left="896" w:hanging="539"/>
        <w:rPr>
          <w:rFonts w:ascii="Tahoma" w:hAnsi="Tahoma" w:cs="Tahoma"/>
        </w:rPr>
      </w:pPr>
    </w:p>
    <w:p w14:paraId="317C0284" w14:textId="7D793E44" w:rsidR="005B3FD8" w:rsidRDefault="005B3FD8" w:rsidP="005B3FD8">
      <w:pPr>
        <w:pStyle w:val="1"/>
        <w:numPr>
          <w:ilvl w:val="0"/>
          <w:numId w:val="0"/>
        </w:numPr>
        <w:tabs>
          <w:tab w:val="clear" w:pos="900"/>
        </w:tabs>
        <w:ind w:left="896" w:hanging="539"/>
        <w:rPr>
          <w:rFonts w:ascii="Tahoma" w:hAnsi="Tahoma" w:cs="Tahoma"/>
        </w:rPr>
      </w:pPr>
    </w:p>
    <w:p w14:paraId="2F56BF60" w14:textId="2DF88557" w:rsidR="005B3FD8" w:rsidRDefault="005B3FD8" w:rsidP="005B3FD8">
      <w:pPr>
        <w:pStyle w:val="1"/>
        <w:numPr>
          <w:ilvl w:val="0"/>
          <w:numId w:val="0"/>
        </w:numPr>
        <w:tabs>
          <w:tab w:val="clear" w:pos="900"/>
        </w:tabs>
        <w:ind w:left="896" w:hanging="539"/>
        <w:rPr>
          <w:rFonts w:ascii="Tahoma" w:hAnsi="Tahoma" w:cs="Tahoma"/>
        </w:rPr>
      </w:pPr>
    </w:p>
    <w:p w14:paraId="32202EAD" w14:textId="17AB750C" w:rsidR="005B3FD8" w:rsidRDefault="005B3FD8" w:rsidP="005B3FD8">
      <w:pPr>
        <w:pStyle w:val="1"/>
        <w:numPr>
          <w:ilvl w:val="0"/>
          <w:numId w:val="0"/>
        </w:numPr>
        <w:tabs>
          <w:tab w:val="clear" w:pos="900"/>
        </w:tabs>
        <w:ind w:left="896" w:hanging="539"/>
        <w:rPr>
          <w:rFonts w:ascii="Tahoma" w:hAnsi="Tahoma" w:cs="Tahoma"/>
        </w:rPr>
      </w:pPr>
    </w:p>
    <w:p w14:paraId="27B60ACD" w14:textId="0DC93238" w:rsidR="005B3FD8" w:rsidRDefault="005B3FD8" w:rsidP="005B3FD8">
      <w:pPr>
        <w:pStyle w:val="1"/>
        <w:numPr>
          <w:ilvl w:val="0"/>
          <w:numId w:val="0"/>
        </w:numPr>
        <w:tabs>
          <w:tab w:val="clear" w:pos="900"/>
        </w:tabs>
        <w:ind w:left="896" w:hanging="539"/>
        <w:rPr>
          <w:rFonts w:ascii="Tahoma" w:hAnsi="Tahoma" w:cs="Tahoma"/>
        </w:rPr>
      </w:pPr>
    </w:p>
    <w:p w14:paraId="7A98365A" w14:textId="3C6A1AC0" w:rsidR="005B3FD8" w:rsidRDefault="005B3FD8" w:rsidP="005B3FD8">
      <w:pPr>
        <w:pStyle w:val="1"/>
        <w:numPr>
          <w:ilvl w:val="0"/>
          <w:numId w:val="0"/>
        </w:numPr>
        <w:tabs>
          <w:tab w:val="clear" w:pos="900"/>
        </w:tabs>
        <w:ind w:left="896" w:hanging="539"/>
        <w:rPr>
          <w:rFonts w:ascii="Tahoma" w:hAnsi="Tahoma" w:cs="Tahoma"/>
        </w:rPr>
      </w:pPr>
    </w:p>
    <w:p w14:paraId="4D90FB8F" w14:textId="4E0F858C" w:rsidR="005B3FD8" w:rsidRDefault="005B3FD8" w:rsidP="005B3FD8">
      <w:pPr>
        <w:pStyle w:val="1"/>
        <w:numPr>
          <w:ilvl w:val="0"/>
          <w:numId w:val="0"/>
        </w:numPr>
        <w:tabs>
          <w:tab w:val="clear" w:pos="900"/>
        </w:tabs>
        <w:ind w:left="896" w:hanging="539"/>
        <w:rPr>
          <w:rFonts w:ascii="Tahoma" w:hAnsi="Tahoma" w:cs="Tahoma"/>
        </w:rPr>
      </w:pPr>
    </w:p>
    <w:p w14:paraId="44833B94" w14:textId="79916FEF" w:rsidR="005B3FD8" w:rsidRDefault="005B3FD8" w:rsidP="005B3FD8">
      <w:pPr>
        <w:pStyle w:val="1"/>
        <w:numPr>
          <w:ilvl w:val="0"/>
          <w:numId w:val="0"/>
        </w:numPr>
        <w:tabs>
          <w:tab w:val="clear" w:pos="900"/>
        </w:tabs>
        <w:ind w:left="896" w:hanging="539"/>
        <w:rPr>
          <w:rFonts w:ascii="Tahoma" w:hAnsi="Tahoma" w:cs="Tahoma"/>
        </w:rPr>
      </w:pPr>
    </w:p>
    <w:p w14:paraId="5B80157D" w14:textId="5BC54B61" w:rsidR="005B3FD8" w:rsidRDefault="005B3FD8" w:rsidP="005B3FD8">
      <w:pPr>
        <w:pStyle w:val="1"/>
        <w:numPr>
          <w:ilvl w:val="0"/>
          <w:numId w:val="0"/>
        </w:numPr>
        <w:tabs>
          <w:tab w:val="clear" w:pos="900"/>
        </w:tabs>
        <w:ind w:left="896" w:hanging="539"/>
        <w:rPr>
          <w:rFonts w:ascii="Tahoma" w:hAnsi="Tahoma" w:cs="Tahoma"/>
        </w:rPr>
      </w:pPr>
    </w:p>
    <w:p w14:paraId="3AE9A274" w14:textId="300A0A4B" w:rsidR="005B3FD8" w:rsidRDefault="005B3FD8" w:rsidP="005B3FD8">
      <w:pPr>
        <w:pStyle w:val="1"/>
        <w:numPr>
          <w:ilvl w:val="0"/>
          <w:numId w:val="0"/>
        </w:numPr>
        <w:tabs>
          <w:tab w:val="clear" w:pos="900"/>
        </w:tabs>
        <w:ind w:left="896" w:hanging="539"/>
        <w:rPr>
          <w:rFonts w:ascii="Tahoma" w:hAnsi="Tahoma" w:cs="Tahoma"/>
        </w:rPr>
      </w:pPr>
    </w:p>
    <w:p w14:paraId="0C39A409" w14:textId="1A569702" w:rsidR="005B3FD8" w:rsidRDefault="005B3FD8" w:rsidP="005B3FD8">
      <w:pPr>
        <w:pStyle w:val="1"/>
        <w:numPr>
          <w:ilvl w:val="0"/>
          <w:numId w:val="0"/>
        </w:numPr>
        <w:tabs>
          <w:tab w:val="clear" w:pos="900"/>
        </w:tabs>
        <w:ind w:left="896" w:hanging="539"/>
        <w:rPr>
          <w:rFonts w:ascii="Tahoma" w:hAnsi="Tahoma" w:cs="Tahoma"/>
        </w:rPr>
      </w:pPr>
    </w:p>
    <w:p w14:paraId="06EBE1E0" w14:textId="2245000E" w:rsidR="005B3FD8" w:rsidRDefault="005B3FD8" w:rsidP="005B3FD8">
      <w:pPr>
        <w:pStyle w:val="1"/>
        <w:numPr>
          <w:ilvl w:val="0"/>
          <w:numId w:val="0"/>
        </w:numPr>
        <w:tabs>
          <w:tab w:val="clear" w:pos="900"/>
        </w:tabs>
        <w:ind w:left="896" w:hanging="539"/>
        <w:rPr>
          <w:rFonts w:ascii="Tahoma" w:hAnsi="Tahoma" w:cs="Tahoma"/>
        </w:rPr>
      </w:pPr>
    </w:p>
    <w:p w14:paraId="4C1FDCF8" w14:textId="7D6D05A9" w:rsidR="005B3FD8" w:rsidRDefault="005B3FD8" w:rsidP="005B3FD8">
      <w:pPr>
        <w:pStyle w:val="1"/>
        <w:numPr>
          <w:ilvl w:val="0"/>
          <w:numId w:val="0"/>
        </w:numPr>
        <w:tabs>
          <w:tab w:val="clear" w:pos="900"/>
        </w:tabs>
        <w:ind w:left="896" w:hanging="539"/>
        <w:rPr>
          <w:rFonts w:ascii="Tahoma" w:hAnsi="Tahoma" w:cs="Tahoma"/>
        </w:rPr>
      </w:pPr>
    </w:p>
    <w:p w14:paraId="5A7F0FFE" w14:textId="579556D1" w:rsidR="005B3FD8" w:rsidRDefault="005B3FD8" w:rsidP="005B3FD8">
      <w:pPr>
        <w:pStyle w:val="1"/>
        <w:numPr>
          <w:ilvl w:val="0"/>
          <w:numId w:val="0"/>
        </w:numPr>
        <w:tabs>
          <w:tab w:val="clear" w:pos="900"/>
        </w:tabs>
        <w:ind w:left="896" w:hanging="539"/>
        <w:rPr>
          <w:rFonts w:ascii="Tahoma" w:hAnsi="Tahoma" w:cs="Tahoma"/>
        </w:rPr>
      </w:pPr>
    </w:p>
    <w:p w14:paraId="17307E13" w14:textId="3A6152D4" w:rsidR="005B3FD8" w:rsidRDefault="005B3FD8" w:rsidP="005B3FD8">
      <w:pPr>
        <w:pStyle w:val="1"/>
        <w:numPr>
          <w:ilvl w:val="0"/>
          <w:numId w:val="0"/>
        </w:numPr>
        <w:tabs>
          <w:tab w:val="clear" w:pos="900"/>
        </w:tabs>
        <w:ind w:left="896" w:hanging="539"/>
        <w:rPr>
          <w:rFonts w:ascii="Tahoma" w:hAnsi="Tahoma" w:cs="Tahoma"/>
        </w:rPr>
      </w:pPr>
    </w:p>
    <w:p w14:paraId="42B36422" w14:textId="77155360" w:rsidR="005B3FD8" w:rsidRDefault="005B3FD8" w:rsidP="005B3FD8">
      <w:pPr>
        <w:pStyle w:val="1"/>
        <w:numPr>
          <w:ilvl w:val="0"/>
          <w:numId w:val="0"/>
        </w:numPr>
        <w:tabs>
          <w:tab w:val="clear" w:pos="900"/>
        </w:tabs>
        <w:ind w:left="896" w:hanging="539"/>
        <w:rPr>
          <w:rFonts w:ascii="Tahoma" w:hAnsi="Tahoma" w:cs="Tahoma"/>
        </w:rPr>
      </w:pPr>
    </w:p>
    <w:p w14:paraId="082C80B7" w14:textId="2E52A341" w:rsidR="005B3FD8" w:rsidRDefault="005B3FD8" w:rsidP="005B3FD8">
      <w:pPr>
        <w:pStyle w:val="1"/>
        <w:numPr>
          <w:ilvl w:val="0"/>
          <w:numId w:val="0"/>
        </w:numPr>
        <w:tabs>
          <w:tab w:val="clear" w:pos="900"/>
        </w:tabs>
        <w:ind w:left="896" w:hanging="539"/>
        <w:rPr>
          <w:rFonts w:ascii="Tahoma" w:hAnsi="Tahoma" w:cs="Tahoma"/>
        </w:rPr>
      </w:pPr>
    </w:p>
    <w:p w14:paraId="334DC5FD" w14:textId="49B1386D" w:rsidR="005B3FD8" w:rsidRDefault="005B3FD8" w:rsidP="005B3FD8">
      <w:pPr>
        <w:pStyle w:val="1"/>
        <w:numPr>
          <w:ilvl w:val="0"/>
          <w:numId w:val="0"/>
        </w:numPr>
        <w:tabs>
          <w:tab w:val="clear" w:pos="900"/>
        </w:tabs>
        <w:ind w:left="896" w:hanging="539"/>
        <w:rPr>
          <w:rFonts w:ascii="Tahoma" w:hAnsi="Tahoma" w:cs="Tahoma"/>
        </w:rPr>
      </w:pPr>
    </w:p>
    <w:p w14:paraId="2ECE8C4F" w14:textId="44E97CF4" w:rsidR="005B3FD8" w:rsidRDefault="005B3FD8" w:rsidP="005B3FD8">
      <w:pPr>
        <w:pStyle w:val="1"/>
        <w:numPr>
          <w:ilvl w:val="0"/>
          <w:numId w:val="0"/>
        </w:numPr>
        <w:tabs>
          <w:tab w:val="clear" w:pos="900"/>
        </w:tabs>
        <w:ind w:left="896" w:hanging="539"/>
        <w:rPr>
          <w:rFonts w:ascii="Tahoma" w:hAnsi="Tahoma" w:cs="Tahoma"/>
        </w:rPr>
      </w:pPr>
    </w:p>
    <w:p w14:paraId="4C6B76B4" w14:textId="51B5BDF7" w:rsidR="005B3FD8" w:rsidRDefault="005B3FD8" w:rsidP="005B3FD8">
      <w:pPr>
        <w:pStyle w:val="1"/>
        <w:numPr>
          <w:ilvl w:val="0"/>
          <w:numId w:val="0"/>
        </w:numPr>
        <w:tabs>
          <w:tab w:val="clear" w:pos="900"/>
        </w:tabs>
        <w:ind w:left="896" w:hanging="539"/>
        <w:rPr>
          <w:rFonts w:ascii="Tahoma" w:hAnsi="Tahoma" w:cs="Tahoma"/>
        </w:rPr>
      </w:pPr>
    </w:p>
    <w:p w14:paraId="4445A01F" w14:textId="3E1C949C" w:rsidR="005B3FD8" w:rsidRDefault="005B3FD8" w:rsidP="005B3FD8">
      <w:pPr>
        <w:pStyle w:val="1"/>
        <w:numPr>
          <w:ilvl w:val="0"/>
          <w:numId w:val="0"/>
        </w:numPr>
        <w:tabs>
          <w:tab w:val="clear" w:pos="900"/>
        </w:tabs>
        <w:ind w:left="896" w:hanging="539"/>
        <w:rPr>
          <w:rFonts w:ascii="Tahoma" w:hAnsi="Tahoma" w:cs="Tahoma"/>
        </w:rPr>
      </w:pPr>
    </w:p>
    <w:p w14:paraId="697E0C38" w14:textId="23A7C199" w:rsidR="005B3FD8" w:rsidRDefault="005B3FD8" w:rsidP="005B3FD8">
      <w:pPr>
        <w:pStyle w:val="1"/>
        <w:numPr>
          <w:ilvl w:val="0"/>
          <w:numId w:val="0"/>
        </w:numPr>
        <w:tabs>
          <w:tab w:val="clear" w:pos="900"/>
        </w:tabs>
        <w:ind w:left="896" w:hanging="539"/>
        <w:rPr>
          <w:rFonts w:ascii="Tahoma" w:hAnsi="Tahoma" w:cs="Tahoma"/>
        </w:rPr>
      </w:pPr>
    </w:p>
    <w:p w14:paraId="75BACAB8" w14:textId="19FFE145" w:rsidR="005B3FD8" w:rsidRDefault="005B3FD8" w:rsidP="005B3FD8">
      <w:pPr>
        <w:pStyle w:val="1"/>
        <w:numPr>
          <w:ilvl w:val="0"/>
          <w:numId w:val="0"/>
        </w:numPr>
        <w:tabs>
          <w:tab w:val="clear" w:pos="900"/>
        </w:tabs>
        <w:ind w:left="896" w:hanging="539"/>
        <w:rPr>
          <w:rFonts w:ascii="Tahoma" w:hAnsi="Tahoma" w:cs="Tahoma"/>
        </w:rPr>
      </w:pPr>
    </w:p>
    <w:p w14:paraId="037D74D7" w14:textId="77777777" w:rsidR="005B3FD8" w:rsidRDefault="005B3FD8" w:rsidP="005B3FD8">
      <w:pPr>
        <w:ind w:right="-81"/>
        <w:jc w:val="both"/>
        <w:rPr>
          <w:rFonts w:ascii="Tahoma" w:hAnsi="Tahoma"/>
          <w:b/>
        </w:rPr>
        <w:sectPr w:rsidR="005B3FD8">
          <w:headerReference w:type="default" r:id="rId7"/>
          <w:pgSz w:w="11906" w:h="16838"/>
          <w:pgMar w:top="1134" w:right="850" w:bottom="1134" w:left="1701" w:header="708" w:footer="708" w:gutter="0"/>
          <w:cols w:space="708"/>
          <w:docGrid w:linePitch="360"/>
        </w:sectPr>
      </w:pPr>
    </w:p>
    <w:p w14:paraId="4941E59C" w14:textId="77777777" w:rsidR="00C37059" w:rsidRPr="005D7EAE" w:rsidRDefault="00C37059" w:rsidP="00803B4B">
      <w:pPr>
        <w:pStyle w:val="af8"/>
        <w:keepNext/>
        <w:widowControl w:val="0"/>
        <w:spacing w:line="180" w:lineRule="exact"/>
        <w:ind w:right="11"/>
        <w:jc w:val="right"/>
        <w:rPr>
          <w:rFonts w:ascii="Tahoma" w:hAnsi="Tahoma" w:cs="Tahoma"/>
          <w:b/>
          <w:bCs/>
        </w:rPr>
      </w:pPr>
      <w:r>
        <w:rPr>
          <w:rFonts w:ascii="Tahoma" w:hAnsi="Tahoma"/>
          <w:b/>
        </w:rPr>
        <w:lastRenderedPageBreak/>
        <w:t>Appendix 1 to the specification for</w:t>
      </w:r>
    </w:p>
    <w:p w14:paraId="13EDBFB1" w14:textId="77777777" w:rsidR="00803B4B" w:rsidRDefault="00803B4B" w:rsidP="00803B4B">
      <w:pPr>
        <w:pStyle w:val="af8"/>
        <w:keepNext/>
        <w:widowControl w:val="0"/>
        <w:spacing w:line="180" w:lineRule="exact"/>
        <w:ind w:right="11"/>
        <w:jc w:val="right"/>
        <w:rPr>
          <w:rFonts w:ascii="Tahoma" w:hAnsi="Tahoma"/>
          <w:b/>
        </w:rPr>
      </w:pPr>
      <w:r>
        <w:rPr>
          <w:rFonts w:ascii="Tahoma" w:hAnsi="Tahoma"/>
          <w:b/>
        </w:rPr>
        <w:t xml:space="preserve">Premium-style options contracts </w:t>
      </w:r>
    </w:p>
    <w:p w14:paraId="5EB6069F" w14:textId="372EA7F2" w:rsidR="00C37059" w:rsidRDefault="00803B4B" w:rsidP="00803B4B">
      <w:pPr>
        <w:pStyle w:val="af8"/>
        <w:keepNext/>
        <w:widowControl w:val="0"/>
        <w:spacing w:line="180" w:lineRule="exact"/>
        <w:ind w:right="11"/>
        <w:jc w:val="right"/>
        <w:rPr>
          <w:rFonts w:ascii="Tahoma" w:hAnsi="Tahoma" w:cs="Tahoma"/>
          <w:b/>
          <w:bCs/>
        </w:rPr>
      </w:pPr>
      <w:r>
        <w:rPr>
          <w:rFonts w:ascii="Tahoma" w:hAnsi="Tahoma"/>
          <w:b/>
        </w:rPr>
        <w:t xml:space="preserve">on </w:t>
      </w:r>
      <w:r w:rsidR="00C37059">
        <w:rPr>
          <w:rFonts w:ascii="Tahoma" w:hAnsi="Tahoma"/>
          <w:b/>
        </w:rPr>
        <w:t xml:space="preserve">precious metals </w:t>
      </w:r>
    </w:p>
    <w:p w14:paraId="54EE52C4" w14:textId="77777777" w:rsidR="005B3FD8" w:rsidRPr="00EB4167" w:rsidRDefault="005B3FD8" w:rsidP="005B3FD8">
      <w:pPr>
        <w:pStyle w:val="a9"/>
        <w:tabs>
          <w:tab w:val="left" w:pos="4962"/>
        </w:tabs>
        <w:spacing w:after="0"/>
        <w:ind w:left="5940" w:right="96"/>
        <w:rPr>
          <w:rFonts w:ascii="Tahoma" w:hAnsi="Tahoma" w:cs="Tahoma"/>
          <w:sz w:val="22"/>
          <w:szCs w:val="20"/>
          <w:lang w:val="x-none"/>
        </w:rPr>
      </w:pPr>
    </w:p>
    <w:p w14:paraId="55EA054A" w14:textId="77777777" w:rsidR="005B3FD8" w:rsidRDefault="005B3FD8" w:rsidP="005B3FD8">
      <w:pPr>
        <w:pStyle w:val="a9"/>
        <w:tabs>
          <w:tab w:val="left" w:pos="4962"/>
        </w:tabs>
        <w:spacing w:after="0"/>
        <w:ind w:left="5387" w:right="27"/>
        <w:rPr>
          <w:rFonts w:ascii="Tahoma" w:hAnsi="Tahoma" w:cs="Tahoma"/>
          <w:sz w:val="22"/>
          <w:szCs w:val="20"/>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      </w:t>
      </w:r>
    </w:p>
    <w:p w14:paraId="0DD9CACB" w14:textId="77777777" w:rsidR="005B3FD8" w:rsidRDefault="005B3FD8" w:rsidP="005B3FD8">
      <w:pPr>
        <w:pStyle w:val="ac"/>
        <w:keepNext/>
        <w:widowControl w:val="0"/>
        <w:spacing w:after="0"/>
        <w:ind w:right="11"/>
        <w:jc w:val="center"/>
        <w:rPr>
          <w:rFonts w:ascii="Tahoma" w:hAnsi="Tahoma" w:cs="Tahoma"/>
          <w:b/>
          <w:bCs/>
          <w:sz w:val="22"/>
          <w:szCs w:val="22"/>
        </w:rPr>
      </w:pPr>
    </w:p>
    <w:p w14:paraId="7745783A" w14:textId="77777777" w:rsidR="005B3FD8" w:rsidRDefault="005B3FD8" w:rsidP="005B3FD8">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FOR PREMIUM OPTIONS </w:t>
      </w:r>
    </w:p>
    <w:p w14:paraId="3F2248E6" w14:textId="77777777" w:rsidR="005B3FD8" w:rsidRPr="002A6513" w:rsidRDefault="005B3FD8" w:rsidP="005B3FD8">
      <w:pPr>
        <w:pStyle w:val="ac"/>
        <w:keepNext/>
        <w:widowControl w:val="0"/>
        <w:spacing w:after="0"/>
        <w:ind w:right="11"/>
        <w:jc w:val="center"/>
        <w:rPr>
          <w:rFonts w:ascii="Tahoma" w:hAnsi="Tahoma" w:cs="Tahoma"/>
          <w:b/>
          <w:bCs/>
          <w:sz w:val="22"/>
          <w:szCs w:val="22"/>
        </w:rPr>
      </w:pPr>
      <w:r>
        <w:rPr>
          <w:rFonts w:ascii="Tahoma" w:hAnsi="Tahoma"/>
          <w:b/>
          <w:sz w:val="22"/>
        </w:rPr>
        <w:t xml:space="preserve">on precious metals </w:t>
      </w:r>
    </w:p>
    <w:p w14:paraId="215374E6" w14:textId="77777777" w:rsidR="005B3FD8" w:rsidRPr="00125F2A" w:rsidRDefault="005B3FD8" w:rsidP="005B3FD8">
      <w:pPr>
        <w:pStyle w:val="ac"/>
        <w:keepNext/>
        <w:widowControl w:val="0"/>
        <w:spacing w:after="0"/>
        <w:ind w:right="11"/>
        <w:jc w:val="center"/>
        <w:rPr>
          <w:rFonts w:ascii="Tahoma" w:hAnsi="Tahoma" w:cs="Tahoma"/>
          <w:b/>
          <w:bCs/>
          <w:sz w:val="22"/>
          <w:szCs w:val="22"/>
        </w:rPr>
      </w:pPr>
    </w:p>
    <w:p w14:paraId="19B87120" w14:textId="77777777" w:rsidR="005B3FD8" w:rsidRPr="00DE3878" w:rsidRDefault="005B3FD8" w:rsidP="005B3FD8">
      <w:pPr>
        <w:jc w:val="both"/>
        <w:rPr>
          <w:rFonts w:ascii="Tahoma" w:hAnsi="Tahoma" w:cs="Tahom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163"/>
        <w:gridCol w:w="1134"/>
        <w:gridCol w:w="1276"/>
        <w:gridCol w:w="1275"/>
        <w:gridCol w:w="1276"/>
        <w:gridCol w:w="4678"/>
        <w:gridCol w:w="1530"/>
      </w:tblGrid>
      <w:tr w:rsidR="005B3FD8" w:rsidRPr="00F75E32" w14:paraId="187B567F" w14:textId="77777777" w:rsidTr="005F5D0E">
        <w:trPr>
          <w:trHeight w:val="1191"/>
        </w:trPr>
        <w:tc>
          <w:tcPr>
            <w:tcW w:w="425" w:type="dxa"/>
            <w:shd w:val="clear" w:color="auto" w:fill="auto"/>
            <w:vAlign w:val="center"/>
          </w:tcPr>
          <w:p w14:paraId="53D89CBC" w14:textId="77777777" w:rsidR="005B3FD8" w:rsidRPr="009C43DA" w:rsidRDefault="005B3FD8" w:rsidP="00E8337F">
            <w:pPr>
              <w:jc w:val="center"/>
              <w:rPr>
                <w:rFonts w:ascii="Tahoma" w:hAnsi="Tahoma" w:cs="Tahoma"/>
                <w:bCs/>
                <w:sz w:val="20"/>
                <w:szCs w:val="16"/>
              </w:rPr>
            </w:pPr>
            <w:r>
              <w:rPr>
                <w:rFonts w:ascii="Tahoma" w:hAnsi="Tahoma"/>
                <w:sz w:val="20"/>
              </w:rPr>
              <w:t>No.</w:t>
            </w:r>
          </w:p>
        </w:tc>
        <w:tc>
          <w:tcPr>
            <w:tcW w:w="1843" w:type="dxa"/>
            <w:shd w:val="clear" w:color="auto" w:fill="auto"/>
            <w:vAlign w:val="center"/>
          </w:tcPr>
          <w:p w14:paraId="3801B668" w14:textId="77777777" w:rsidR="005B3FD8" w:rsidRPr="008E180F" w:rsidRDefault="005B3FD8" w:rsidP="00E8337F">
            <w:pPr>
              <w:jc w:val="center"/>
              <w:rPr>
                <w:rFonts w:ascii="Tahoma" w:hAnsi="Tahoma" w:cs="Tahoma"/>
                <w:bCs/>
                <w:sz w:val="20"/>
                <w:szCs w:val="16"/>
              </w:rPr>
            </w:pPr>
            <w:r>
              <w:rPr>
                <w:rFonts w:ascii="Tahoma" w:hAnsi="Tahoma"/>
                <w:sz w:val="20"/>
              </w:rPr>
              <w:t xml:space="preserve">Contract name </w:t>
            </w:r>
          </w:p>
          <w:p w14:paraId="34BF9304" w14:textId="77777777" w:rsidR="005B3FD8" w:rsidRPr="00BA6A1C" w:rsidRDefault="005B3FD8" w:rsidP="00E8337F">
            <w:pPr>
              <w:jc w:val="center"/>
              <w:rPr>
                <w:rFonts w:ascii="Tahoma" w:hAnsi="Tahoma" w:cs="Tahoma"/>
                <w:bCs/>
                <w:sz w:val="20"/>
                <w:szCs w:val="16"/>
              </w:rPr>
            </w:pPr>
            <w:r>
              <w:rPr>
                <w:rFonts w:ascii="Tahoma" w:hAnsi="Tahoma"/>
                <w:sz w:val="20"/>
              </w:rPr>
              <w:t xml:space="preserve"> </w:t>
            </w:r>
          </w:p>
        </w:tc>
        <w:tc>
          <w:tcPr>
            <w:tcW w:w="1276" w:type="dxa"/>
            <w:shd w:val="clear" w:color="auto" w:fill="auto"/>
            <w:vAlign w:val="center"/>
          </w:tcPr>
          <w:p w14:paraId="3477D520" w14:textId="77777777" w:rsidR="005B3FD8" w:rsidRPr="00F31852" w:rsidRDefault="005B3FD8" w:rsidP="00E8337F">
            <w:pPr>
              <w:jc w:val="center"/>
              <w:rPr>
                <w:rFonts w:ascii="Tahoma" w:hAnsi="Tahoma" w:cs="Tahoma"/>
                <w:bCs/>
                <w:sz w:val="20"/>
                <w:szCs w:val="16"/>
              </w:rPr>
            </w:pPr>
            <w:r>
              <w:rPr>
                <w:rFonts w:ascii="Tahoma" w:hAnsi="Tahoma"/>
                <w:sz w:val="20"/>
              </w:rPr>
              <w:t>Code of the underlying asset</w:t>
            </w:r>
          </w:p>
        </w:tc>
        <w:tc>
          <w:tcPr>
            <w:tcW w:w="1163" w:type="dxa"/>
            <w:shd w:val="clear" w:color="auto" w:fill="auto"/>
            <w:vAlign w:val="center"/>
          </w:tcPr>
          <w:p w14:paraId="7437E9D7" w14:textId="77777777" w:rsidR="005B3FD8" w:rsidRPr="00D745D4" w:rsidRDefault="005B3FD8" w:rsidP="00E8337F">
            <w:pPr>
              <w:jc w:val="center"/>
              <w:rPr>
                <w:rFonts w:ascii="Tahoma" w:hAnsi="Tahoma" w:cs="Tahoma"/>
                <w:bCs/>
                <w:sz w:val="20"/>
                <w:szCs w:val="16"/>
              </w:rPr>
            </w:pPr>
            <w:r>
              <w:rPr>
                <w:rFonts w:ascii="Tahoma" w:hAnsi="Tahoma"/>
                <w:sz w:val="20"/>
              </w:rPr>
              <w:t xml:space="preserve">Underling </w:t>
            </w:r>
          </w:p>
          <w:p w14:paraId="2012C64F" w14:textId="77777777" w:rsidR="005B3FD8" w:rsidRPr="00E2610F" w:rsidRDefault="005B3FD8" w:rsidP="00E8337F">
            <w:pPr>
              <w:jc w:val="center"/>
              <w:rPr>
                <w:rFonts w:ascii="Tahoma" w:hAnsi="Tahoma" w:cs="Tahoma"/>
                <w:bCs/>
                <w:sz w:val="20"/>
                <w:szCs w:val="16"/>
              </w:rPr>
            </w:pPr>
            <w:r>
              <w:rPr>
                <w:rFonts w:ascii="Tahoma" w:hAnsi="Tahoma"/>
                <w:sz w:val="20"/>
              </w:rPr>
              <w:t>asset</w:t>
            </w:r>
          </w:p>
        </w:tc>
        <w:tc>
          <w:tcPr>
            <w:tcW w:w="1134" w:type="dxa"/>
            <w:shd w:val="clear" w:color="auto" w:fill="auto"/>
            <w:vAlign w:val="center"/>
          </w:tcPr>
          <w:p w14:paraId="0B4E7914" w14:textId="77777777" w:rsidR="005B3FD8" w:rsidRPr="00E2610F" w:rsidRDefault="005B3FD8" w:rsidP="00E8337F">
            <w:pPr>
              <w:jc w:val="center"/>
              <w:rPr>
                <w:rFonts w:ascii="Tahoma" w:hAnsi="Tahoma" w:cs="Tahoma"/>
                <w:bCs/>
                <w:sz w:val="20"/>
                <w:szCs w:val="16"/>
              </w:rPr>
            </w:pPr>
            <w:proofErr w:type="spellStart"/>
            <w:r>
              <w:rPr>
                <w:rFonts w:ascii="Tahoma" w:hAnsi="Tahoma"/>
                <w:sz w:val="20"/>
              </w:rPr>
              <w:t>Lot_Coeff</w:t>
            </w:r>
            <w:proofErr w:type="spellEnd"/>
          </w:p>
        </w:tc>
        <w:tc>
          <w:tcPr>
            <w:tcW w:w="1276" w:type="dxa"/>
            <w:shd w:val="clear" w:color="auto" w:fill="auto"/>
            <w:vAlign w:val="center"/>
          </w:tcPr>
          <w:p w14:paraId="5C87A677" w14:textId="77777777" w:rsidR="005B3FD8" w:rsidRPr="00E2610F" w:rsidRDefault="005B3FD8" w:rsidP="00E8337F">
            <w:pPr>
              <w:jc w:val="center"/>
              <w:rPr>
                <w:rFonts w:ascii="Tahoma" w:hAnsi="Tahoma" w:cs="Tahoma"/>
                <w:bCs/>
                <w:sz w:val="20"/>
                <w:szCs w:val="16"/>
              </w:rPr>
            </w:pPr>
            <w:r>
              <w:rPr>
                <w:rFonts w:ascii="Tahoma" w:hAnsi="Tahoma"/>
                <w:sz w:val="20"/>
              </w:rPr>
              <w:t>Lot</w:t>
            </w:r>
          </w:p>
        </w:tc>
        <w:tc>
          <w:tcPr>
            <w:tcW w:w="1275" w:type="dxa"/>
            <w:shd w:val="clear" w:color="auto" w:fill="auto"/>
            <w:vAlign w:val="center"/>
          </w:tcPr>
          <w:p w14:paraId="5B0A17E4" w14:textId="77777777" w:rsidR="005B3FD8" w:rsidRPr="0095205F" w:rsidRDefault="005B3FD8" w:rsidP="00E8337F">
            <w:pPr>
              <w:jc w:val="center"/>
              <w:rPr>
                <w:rFonts w:ascii="Tahoma" w:hAnsi="Tahoma" w:cs="Tahoma"/>
                <w:bCs/>
                <w:sz w:val="20"/>
                <w:szCs w:val="16"/>
              </w:rPr>
            </w:pPr>
            <w:r>
              <w:rPr>
                <w:rFonts w:ascii="Tahoma" w:hAnsi="Tahoma"/>
                <w:sz w:val="20"/>
              </w:rPr>
              <w:t>Tick</w:t>
            </w:r>
          </w:p>
        </w:tc>
        <w:tc>
          <w:tcPr>
            <w:tcW w:w="1276" w:type="dxa"/>
            <w:shd w:val="clear" w:color="auto" w:fill="auto"/>
            <w:vAlign w:val="center"/>
          </w:tcPr>
          <w:p w14:paraId="2D437EEA" w14:textId="77777777" w:rsidR="005B3FD8" w:rsidRPr="00AC7F1F" w:rsidRDefault="005B3FD8" w:rsidP="00E8337F">
            <w:pPr>
              <w:jc w:val="center"/>
              <w:rPr>
                <w:rFonts w:ascii="Tahoma" w:hAnsi="Tahoma" w:cs="Tahoma"/>
                <w:bCs/>
                <w:sz w:val="20"/>
                <w:szCs w:val="16"/>
              </w:rPr>
            </w:pPr>
            <w:r>
              <w:rPr>
                <w:rFonts w:ascii="Tahoma" w:hAnsi="Tahoma"/>
                <w:sz w:val="20"/>
              </w:rPr>
              <w:t>Tick value</w:t>
            </w:r>
          </w:p>
        </w:tc>
        <w:tc>
          <w:tcPr>
            <w:tcW w:w="4678" w:type="dxa"/>
            <w:shd w:val="clear" w:color="auto" w:fill="auto"/>
            <w:vAlign w:val="center"/>
          </w:tcPr>
          <w:p w14:paraId="11689EDE" w14:textId="089C0358" w:rsidR="005B3FD8" w:rsidRPr="009C43DA" w:rsidRDefault="00803B4B" w:rsidP="00E8337F">
            <w:pPr>
              <w:jc w:val="center"/>
              <w:rPr>
                <w:rFonts w:ascii="Tahoma" w:hAnsi="Tahoma" w:cs="Tahoma"/>
                <w:bCs/>
                <w:sz w:val="20"/>
                <w:szCs w:val="16"/>
              </w:rPr>
            </w:pPr>
            <w:r w:rsidRPr="00803B4B">
              <w:rPr>
                <w:rFonts w:ascii="Tahoma" w:hAnsi="Tahoma" w:cs="Tahoma"/>
                <w:bCs/>
                <w:sz w:val="20"/>
                <w:szCs w:val="16"/>
              </w:rPr>
              <w:t>The price of the precious metal</w:t>
            </w:r>
          </w:p>
        </w:tc>
        <w:tc>
          <w:tcPr>
            <w:tcW w:w="1530" w:type="dxa"/>
            <w:vAlign w:val="center"/>
          </w:tcPr>
          <w:p w14:paraId="75A3658A" w14:textId="77777777" w:rsidR="005B3FD8" w:rsidRPr="00F75E32" w:rsidRDefault="005B3FD8" w:rsidP="00E8337F">
            <w:pPr>
              <w:jc w:val="center"/>
              <w:rPr>
                <w:rFonts w:ascii="Tahoma" w:hAnsi="Tahoma" w:cs="Tahoma"/>
                <w:bCs/>
                <w:sz w:val="20"/>
                <w:szCs w:val="16"/>
              </w:rPr>
            </w:pPr>
            <w:r>
              <w:rPr>
                <w:rFonts w:ascii="Tahoma" w:hAnsi="Tahoma"/>
                <w:sz w:val="20"/>
              </w:rPr>
              <w:t>Exercise time</w:t>
            </w:r>
          </w:p>
        </w:tc>
      </w:tr>
      <w:tr w:rsidR="005B3FD8" w:rsidRPr="00F75E32" w14:paraId="624BFA59" w14:textId="77777777" w:rsidTr="005F5D0E">
        <w:trPr>
          <w:trHeight w:val="1191"/>
        </w:trPr>
        <w:tc>
          <w:tcPr>
            <w:tcW w:w="425" w:type="dxa"/>
            <w:shd w:val="clear" w:color="auto" w:fill="auto"/>
            <w:vAlign w:val="center"/>
          </w:tcPr>
          <w:p w14:paraId="4EB20740" w14:textId="77777777" w:rsidR="005B3FD8" w:rsidRPr="00F75E32" w:rsidRDefault="005B3FD8" w:rsidP="00E8337F">
            <w:pPr>
              <w:jc w:val="center"/>
              <w:rPr>
                <w:rFonts w:ascii="Tahoma" w:hAnsi="Tahoma" w:cs="Tahoma"/>
                <w:sz w:val="20"/>
                <w:szCs w:val="16"/>
              </w:rPr>
            </w:pPr>
            <w:r>
              <w:rPr>
                <w:rFonts w:ascii="Tahoma" w:hAnsi="Tahoma"/>
                <w:sz w:val="20"/>
              </w:rPr>
              <w:t>1</w:t>
            </w:r>
          </w:p>
        </w:tc>
        <w:tc>
          <w:tcPr>
            <w:tcW w:w="1843" w:type="dxa"/>
            <w:shd w:val="clear" w:color="auto" w:fill="auto"/>
            <w:vAlign w:val="center"/>
          </w:tcPr>
          <w:p w14:paraId="1ECCF62C" w14:textId="77777777" w:rsidR="005B3FD8" w:rsidRPr="00F75E32" w:rsidRDefault="005B3FD8" w:rsidP="00E8337F">
            <w:pPr>
              <w:rPr>
                <w:rFonts w:ascii="Tahoma" w:hAnsi="Tahoma" w:cs="Tahoma"/>
                <w:sz w:val="20"/>
                <w:szCs w:val="16"/>
              </w:rPr>
            </w:pPr>
            <w:r>
              <w:rPr>
                <w:rFonts w:ascii="Tahoma" w:hAnsi="Tahoma"/>
                <w:sz w:val="20"/>
              </w:rPr>
              <w:t>Gold Option</w:t>
            </w:r>
          </w:p>
        </w:tc>
        <w:tc>
          <w:tcPr>
            <w:tcW w:w="1276" w:type="dxa"/>
            <w:shd w:val="clear" w:color="auto" w:fill="auto"/>
            <w:vAlign w:val="center"/>
          </w:tcPr>
          <w:p w14:paraId="380CBA3F" w14:textId="77777777" w:rsidR="005B3FD8" w:rsidRPr="00B123DC" w:rsidRDefault="005B3FD8" w:rsidP="00E8337F">
            <w:pPr>
              <w:jc w:val="center"/>
              <w:rPr>
                <w:rFonts w:ascii="Tahoma" w:hAnsi="Tahoma" w:cs="Tahoma"/>
                <w:sz w:val="20"/>
                <w:szCs w:val="16"/>
              </w:rPr>
            </w:pPr>
            <w:r>
              <w:rPr>
                <w:rFonts w:ascii="Tahoma" w:hAnsi="Tahoma"/>
                <w:sz w:val="20"/>
              </w:rPr>
              <w:t>GL</w:t>
            </w:r>
          </w:p>
        </w:tc>
        <w:tc>
          <w:tcPr>
            <w:tcW w:w="1163" w:type="dxa"/>
            <w:shd w:val="clear" w:color="auto" w:fill="auto"/>
            <w:vAlign w:val="center"/>
          </w:tcPr>
          <w:p w14:paraId="5B51C892" w14:textId="77777777" w:rsidR="005B3FD8" w:rsidRPr="00F75E32" w:rsidRDefault="005B3FD8" w:rsidP="00E8337F">
            <w:pPr>
              <w:tabs>
                <w:tab w:val="num" w:pos="1260"/>
              </w:tabs>
              <w:rPr>
                <w:rFonts w:ascii="Tahoma" w:hAnsi="Tahoma" w:cs="Tahoma"/>
                <w:sz w:val="20"/>
                <w:szCs w:val="16"/>
              </w:rPr>
            </w:pPr>
            <w:r>
              <w:rPr>
                <w:rFonts w:ascii="Tahoma" w:hAnsi="Tahoma"/>
                <w:color w:val="000000"/>
                <w:sz w:val="20"/>
              </w:rPr>
              <w:t>Gold</w:t>
            </w:r>
          </w:p>
        </w:tc>
        <w:tc>
          <w:tcPr>
            <w:tcW w:w="1134" w:type="dxa"/>
            <w:shd w:val="clear" w:color="auto" w:fill="auto"/>
            <w:vAlign w:val="center"/>
          </w:tcPr>
          <w:p w14:paraId="6B886007" w14:textId="77777777" w:rsidR="005B3FD8" w:rsidRPr="002B69DB" w:rsidRDefault="005B3FD8" w:rsidP="00E8337F">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69D8E853" w14:textId="77777777" w:rsidR="005B3FD8" w:rsidRPr="007D1156" w:rsidRDefault="005B3FD8" w:rsidP="00E8337F">
            <w:pPr>
              <w:tabs>
                <w:tab w:val="num" w:pos="1260"/>
              </w:tabs>
              <w:jc w:val="center"/>
              <w:rPr>
                <w:rFonts w:ascii="Tahoma" w:hAnsi="Tahoma" w:cs="Tahoma"/>
                <w:sz w:val="20"/>
                <w:szCs w:val="16"/>
              </w:rPr>
            </w:pPr>
            <w:r>
              <w:rPr>
                <w:rFonts w:ascii="Tahoma" w:hAnsi="Tahoma"/>
                <w:sz w:val="20"/>
              </w:rPr>
              <w:t>One gram</w:t>
            </w:r>
          </w:p>
        </w:tc>
        <w:tc>
          <w:tcPr>
            <w:tcW w:w="1275" w:type="dxa"/>
            <w:shd w:val="clear" w:color="auto" w:fill="auto"/>
            <w:vAlign w:val="center"/>
          </w:tcPr>
          <w:p w14:paraId="415594B0" w14:textId="77777777" w:rsidR="005B3FD8" w:rsidRPr="00C37059" w:rsidRDefault="005B3FD8" w:rsidP="00E8337F">
            <w:pPr>
              <w:tabs>
                <w:tab w:val="num" w:pos="1260"/>
              </w:tabs>
              <w:spacing w:before="60"/>
              <w:jc w:val="center"/>
              <w:rPr>
                <w:rFonts w:ascii="Tahoma" w:hAnsi="Tahoma" w:cs="Tahoma"/>
                <w:sz w:val="20"/>
                <w:szCs w:val="16"/>
                <w:lang w:val="ru-RU"/>
              </w:rPr>
            </w:pPr>
            <w:r>
              <w:rPr>
                <w:rFonts w:ascii="Tahoma" w:hAnsi="Tahoma"/>
                <w:sz w:val="20"/>
              </w:rPr>
              <w:t>RUB 0.1</w:t>
            </w:r>
          </w:p>
        </w:tc>
        <w:tc>
          <w:tcPr>
            <w:tcW w:w="1276" w:type="dxa"/>
            <w:shd w:val="clear" w:color="auto" w:fill="auto"/>
            <w:vAlign w:val="center"/>
          </w:tcPr>
          <w:p w14:paraId="0B360A4B" w14:textId="77777777" w:rsidR="005B3FD8" w:rsidRPr="008D1141" w:rsidRDefault="005B3FD8" w:rsidP="00E8337F">
            <w:pPr>
              <w:tabs>
                <w:tab w:val="num" w:pos="1260"/>
              </w:tabs>
              <w:spacing w:before="60"/>
              <w:jc w:val="center"/>
              <w:rPr>
                <w:rFonts w:ascii="Tahoma" w:hAnsi="Tahoma" w:cs="Tahoma"/>
                <w:sz w:val="20"/>
                <w:szCs w:val="16"/>
              </w:rPr>
            </w:pPr>
            <w:r>
              <w:rPr>
                <w:rFonts w:ascii="Tahoma" w:hAnsi="Tahoma"/>
                <w:sz w:val="20"/>
              </w:rPr>
              <w:t>RUB 0.1</w:t>
            </w:r>
          </w:p>
        </w:tc>
        <w:tc>
          <w:tcPr>
            <w:tcW w:w="4678" w:type="dxa"/>
            <w:shd w:val="clear" w:color="auto" w:fill="auto"/>
            <w:vAlign w:val="center"/>
          </w:tcPr>
          <w:p w14:paraId="3335975E" w14:textId="6B9456FD" w:rsidR="005B3FD8" w:rsidRPr="00F75E32" w:rsidRDefault="00803B4B" w:rsidP="00E8337F">
            <w:pPr>
              <w:tabs>
                <w:tab w:val="num" w:pos="1260"/>
              </w:tabs>
              <w:spacing w:before="60"/>
              <w:jc w:val="center"/>
              <w:rPr>
                <w:rFonts w:ascii="Tahoma" w:hAnsi="Tahoma" w:cs="Tahoma"/>
                <w:sz w:val="20"/>
                <w:szCs w:val="16"/>
              </w:rPr>
            </w:pPr>
            <w:r>
              <w:rPr>
                <w:rFonts w:ascii="Arial" w:hAnsi="Arial" w:cs="Arial"/>
                <w:color w:val="000000"/>
                <w:sz w:val="20"/>
                <w:szCs w:val="20"/>
              </w:rPr>
              <w:t>The value of fixing the gold of the Moscow Exchange (GOLDFIXME), determined on the day of execution of the Contract in accordance with the Methodology for calculating the fixings of the Moscow Exchange, approved by the Exchange and published on the Exchange's website on the Internet</w:t>
            </w:r>
          </w:p>
        </w:tc>
        <w:tc>
          <w:tcPr>
            <w:tcW w:w="1530" w:type="dxa"/>
            <w:vAlign w:val="center"/>
          </w:tcPr>
          <w:p w14:paraId="29FCCCDD" w14:textId="77777777" w:rsidR="005B3FD8" w:rsidRPr="00F75E32" w:rsidRDefault="005B3FD8" w:rsidP="00E8337F">
            <w:pPr>
              <w:tabs>
                <w:tab w:val="num" w:pos="1260"/>
              </w:tabs>
              <w:spacing w:before="60"/>
              <w:jc w:val="center"/>
              <w:rPr>
                <w:rFonts w:ascii="Tahoma" w:hAnsi="Tahoma" w:cs="Tahoma"/>
                <w:sz w:val="20"/>
                <w:szCs w:val="16"/>
              </w:rPr>
            </w:pPr>
            <w:r>
              <w:rPr>
                <w:rFonts w:ascii="Tahoma" w:hAnsi="Tahoma"/>
                <w:sz w:val="20"/>
              </w:rPr>
              <w:t xml:space="preserve">End-of-day clearing session </w:t>
            </w:r>
          </w:p>
        </w:tc>
      </w:tr>
    </w:tbl>
    <w:p w14:paraId="17D00DCA" w14:textId="77777777" w:rsidR="005B3FD8" w:rsidRDefault="005B3FD8" w:rsidP="005B3FD8">
      <w:pPr>
        <w:jc w:val="both"/>
        <w:rPr>
          <w:rFonts w:ascii="Tahoma" w:hAnsi="Tahoma" w:cs="Tahoma"/>
        </w:rPr>
      </w:pPr>
    </w:p>
    <w:p w14:paraId="1FAD8DB5" w14:textId="77777777" w:rsidR="005F5D0E" w:rsidRDefault="005F5D0E" w:rsidP="005B3FD8">
      <w:pPr>
        <w:jc w:val="both"/>
        <w:rPr>
          <w:rFonts w:ascii="Tahoma" w:hAnsi="Tahoma" w:cs="Tahoma"/>
        </w:rPr>
        <w:sectPr w:rsidR="005F5D0E" w:rsidSect="005F5D0E">
          <w:headerReference w:type="default" r:id="rId8"/>
          <w:pgSz w:w="16838" w:h="11906" w:orient="landscape"/>
          <w:pgMar w:top="1701" w:right="1134" w:bottom="851" w:left="1134" w:header="709" w:footer="709" w:gutter="0"/>
          <w:cols w:space="708"/>
          <w:docGrid w:linePitch="360"/>
        </w:sectPr>
      </w:pPr>
      <w:bookmarkStart w:id="2" w:name="_GoBack"/>
      <w:bookmarkEnd w:id="2"/>
    </w:p>
    <w:p w14:paraId="5936DA79" w14:textId="29EA6190" w:rsidR="005B3FD8" w:rsidRDefault="005B3FD8" w:rsidP="005B3FD8">
      <w:pPr>
        <w:jc w:val="both"/>
        <w:rPr>
          <w:rFonts w:ascii="Tahoma" w:hAnsi="Tahoma" w:cs="Tahoma"/>
        </w:rPr>
      </w:pPr>
    </w:p>
    <w:p w14:paraId="0871C140" w14:textId="77777777" w:rsidR="005B3FD8" w:rsidRPr="0016178B" w:rsidRDefault="005B3FD8" w:rsidP="005B3FD8">
      <w:pPr>
        <w:pStyle w:val="1"/>
        <w:numPr>
          <w:ilvl w:val="0"/>
          <w:numId w:val="0"/>
        </w:numPr>
        <w:tabs>
          <w:tab w:val="clear" w:pos="900"/>
        </w:tabs>
        <w:ind w:left="896" w:hanging="539"/>
        <w:rPr>
          <w:rFonts w:ascii="Tahoma" w:hAnsi="Tahoma" w:cs="Tahoma"/>
        </w:rPr>
      </w:pPr>
    </w:p>
    <w:sectPr w:rsidR="005B3FD8" w:rsidRPr="001617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060D" w14:textId="77777777" w:rsidR="005553D3" w:rsidRDefault="005553D3">
      <w:pPr>
        <w:spacing w:after="0" w:line="240" w:lineRule="auto"/>
      </w:pPr>
      <w:r>
        <w:separator/>
      </w:r>
    </w:p>
  </w:endnote>
  <w:endnote w:type="continuationSeparator" w:id="0">
    <w:p w14:paraId="75BA1BEF" w14:textId="77777777" w:rsidR="005553D3" w:rsidRDefault="0055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EF994" w14:textId="77777777" w:rsidR="005553D3" w:rsidRDefault="005553D3">
      <w:pPr>
        <w:spacing w:after="0" w:line="240" w:lineRule="auto"/>
      </w:pPr>
      <w:r>
        <w:separator/>
      </w:r>
    </w:p>
  </w:footnote>
  <w:footnote w:type="continuationSeparator" w:id="0">
    <w:p w14:paraId="65DACA75" w14:textId="77777777" w:rsidR="005553D3" w:rsidRDefault="00555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7896" w14:textId="594688FD" w:rsidR="0035076F" w:rsidRPr="0035076F" w:rsidRDefault="001C04D6" w:rsidP="002C4F7E">
    <w:pPr>
      <w:pStyle w:val="a7"/>
      <w:pBdr>
        <w:bottom w:val="single" w:sz="4" w:space="10" w:color="auto"/>
      </w:pBdr>
      <w:rPr>
        <w:b/>
        <w:bCs/>
        <w:color w:val="000000" w:themeColor="text1"/>
      </w:rPr>
    </w:pPr>
    <w:r>
      <w:rPr>
        <w:b/>
        <w:color w:val="000000" w:themeColor="text1"/>
      </w:rPr>
      <w:t xml:space="preserve">Specification </w:t>
    </w:r>
    <w:r w:rsidR="002C4F7E">
      <w:rPr>
        <w:b/>
        <w:color w:val="000000" w:themeColor="text1"/>
      </w:rPr>
      <w:t>of</w:t>
    </w:r>
    <w:r>
      <w:rPr>
        <w:b/>
        <w:color w:val="000000" w:themeColor="text1"/>
      </w:rPr>
      <w:t xml:space="preserve"> premium-style options contracts on precious metals </w:t>
    </w:r>
  </w:p>
  <w:p w14:paraId="4387DA93" w14:textId="77777777" w:rsidR="0035076F" w:rsidRDefault="005F5D0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13FF" w14:textId="4A1DC13B" w:rsidR="00C37059" w:rsidRPr="0035076F" w:rsidRDefault="00C37059" w:rsidP="002C4F7E">
    <w:pPr>
      <w:pStyle w:val="a7"/>
      <w:pBdr>
        <w:bottom w:val="single" w:sz="4" w:space="10" w:color="auto"/>
      </w:pBdr>
      <w:rPr>
        <w:b/>
        <w:bCs/>
        <w:color w:val="000000" w:themeColor="text1"/>
      </w:rPr>
    </w:pPr>
    <w:r>
      <w:rPr>
        <w:b/>
        <w:color w:val="000000" w:themeColor="text1"/>
        <w:lang w:val="en-US"/>
      </w:rPr>
      <w:t>List of parameters for</w:t>
    </w:r>
    <w:r>
      <w:rPr>
        <w:b/>
        <w:color w:val="000000" w:themeColor="text1"/>
      </w:rPr>
      <w:t xml:space="preserve"> premium-style options contracts on precious metals </w:t>
    </w:r>
  </w:p>
  <w:p w14:paraId="48C2FCA6" w14:textId="77777777" w:rsidR="00C37059" w:rsidRDefault="00C370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2"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8092"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3"/>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30DD8"/>
    <w:rsid w:val="000516D2"/>
    <w:rsid w:val="000D290C"/>
    <w:rsid w:val="00106E5F"/>
    <w:rsid w:val="00160BDA"/>
    <w:rsid w:val="0016178B"/>
    <w:rsid w:val="001B19E3"/>
    <w:rsid w:val="001C04D6"/>
    <w:rsid w:val="001E5FFE"/>
    <w:rsid w:val="001E7A7C"/>
    <w:rsid w:val="001F54E5"/>
    <w:rsid w:val="002113CC"/>
    <w:rsid w:val="0024398A"/>
    <w:rsid w:val="002A0FA5"/>
    <w:rsid w:val="002C4F7E"/>
    <w:rsid w:val="002D5F24"/>
    <w:rsid w:val="003255E1"/>
    <w:rsid w:val="00347B6A"/>
    <w:rsid w:val="00352EC1"/>
    <w:rsid w:val="00363C33"/>
    <w:rsid w:val="00387CF7"/>
    <w:rsid w:val="003955BC"/>
    <w:rsid w:val="003A5C03"/>
    <w:rsid w:val="003E1DA4"/>
    <w:rsid w:val="003F3236"/>
    <w:rsid w:val="0041621A"/>
    <w:rsid w:val="00462A7E"/>
    <w:rsid w:val="004637B4"/>
    <w:rsid w:val="00476B8F"/>
    <w:rsid w:val="00481913"/>
    <w:rsid w:val="0049158E"/>
    <w:rsid w:val="00495D8F"/>
    <w:rsid w:val="005104AD"/>
    <w:rsid w:val="005223B6"/>
    <w:rsid w:val="00540D4A"/>
    <w:rsid w:val="005424D3"/>
    <w:rsid w:val="005553D3"/>
    <w:rsid w:val="00592EF8"/>
    <w:rsid w:val="005B3FD8"/>
    <w:rsid w:val="005C74F7"/>
    <w:rsid w:val="005F5D0E"/>
    <w:rsid w:val="006441BC"/>
    <w:rsid w:val="00656580"/>
    <w:rsid w:val="00657E93"/>
    <w:rsid w:val="00660755"/>
    <w:rsid w:val="00677C3B"/>
    <w:rsid w:val="00677C3F"/>
    <w:rsid w:val="006E0FF8"/>
    <w:rsid w:val="00715457"/>
    <w:rsid w:val="007257E6"/>
    <w:rsid w:val="00734899"/>
    <w:rsid w:val="00750B65"/>
    <w:rsid w:val="00764978"/>
    <w:rsid w:val="007739AD"/>
    <w:rsid w:val="00776B60"/>
    <w:rsid w:val="007A4DEF"/>
    <w:rsid w:val="007B2754"/>
    <w:rsid w:val="007C59F9"/>
    <w:rsid w:val="007F6EA9"/>
    <w:rsid w:val="00803B4B"/>
    <w:rsid w:val="00806828"/>
    <w:rsid w:val="00811EFB"/>
    <w:rsid w:val="0086789D"/>
    <w:rsid w:val="008D18C9"/>
    <w:rsid w:val="00913E17"/>
    <w:rsid w:val="0094478F"/>
    <w:rsid w:val="0094551D"/>
    <w:rsid w:val="009A0F0A"/>
    <w:rsid w:val="009D3488"/>
    <w:rsid w:val="009F0E9C"/>
    <w:rsid w:val="00A11F94"/>
    <w:rsid w:val="00A34B6A"/>
    <w:rsid w:val="00A34DCC"/>
    <w:rsid w:val="00AA6C20"/>
    <w:rsid w:val="00AC62DF"/>
    <w:rsid w:val="00AD7610"/>
    <w:rsid w:val="00B9156F"/>
    <w:rsid w:val="00BA25C8"/>
    <w:rsid w:val="00BC5F00"/>
    <w:rsid w:val="00BF1E82"/>
    <w:rsid w:val="00C267C6"/>
    <w:rsid w:val="00C37059"/>
    <w:rsid w:val="00C61AA4"/>
    <w:rsid w:val="00C775AB"/>
    <w:rsid w:val="00C97014"/>
    <w:rsid w:val="00CC300C"/>
    <w:rsid w:val="00CF1AC2"/>
    <w:rsid w:val="00D2109E"/>
    <w:rsid w:val="00D71A11"/>
    <w:rsid w:val="00D91E9C"/>
    <w:rsid w:val="00D931D0"/>
    <w:rsid w:val="00D95D70"/>
    <w:rsid w:val="00DC299E"/>
    <w:rsid w:val="00DD224A"/>
    <w:rsid w:val="00DE5778"/>
    <w:rsid w:val="00E1130C"/>
    <w:rsid w:val="00E24E90"/>
    <w:rsid w:val="00E414B5"/>
    <w:rsid w:val="00E528AD"/>
    <w:rsid w:val="00E53BBE"/>
    <w:rsid w:val="00F0680D"/>
    <w:rsid w:val="00F30A3B"/>
    <w:rsid w:val="00F52592"/>
    <w:rsid w:val="00F535F7"/>
    <w:rsid w:val="00F55926"/>
    <w:rsid w:val="00FD2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B10A3"/>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F1AC2"/>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F1AC2"/>
  </w:style>
  <w:style w:type="paragraph" w:styleId="af1">
    <w:name w:val="Balloon Text"/>
    <w:basedOn w:val="a3"/>
    <w:link w:val="af2"/>
    <w:uiPriority w:val="99"/>
    <w:semiHidden/>
    <w:unhideWhenUsed/>
    <w:rsid w:val="00677C3B"/>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semiHidden/>
    <w:rsid w:val="00677C3B"/>
    <w:rPr>
      <w:rFonts w:ascii="Segoe UI" w:hAnsi="Segoe UI" w:cs="Segoe UI"/>
      <w:sz w:val="18"/>
      <w:szCs w:val="18"/>
    </w:rPr>
  </w:style>
  <w:style w:type="paragraph" w:customStyle="1" w:styleId="Pointmark">
    <w:name w:val="Point (mark)"/>
    <w:rsid w:val="00677C3F"/>
    <w:pPr>
      <w:numPr>
        <w:numId w:val="9"/>
      </w:numPr>
      <w:spacing w:before="60" w:after="0" w:line="240" w:lineRule="auto"/>
      <w:ind w:left="1083" w:hanging="357"/>
      <w:jc w:val="both"/>
    </w:pPr>
    <w:rPr>
      <w:rFonts w:ascii="Arial" w:eastAsia="Times New Roman" w:hAnsi="Arial" w:cs="Arial"/>
      <w:sz w:val="20"/>
      <w:szCs w:val="20"/>
    </w:rPr>
  </w:style>
  <w:style w:type="character" w:styleId="af3">
    <w:name w:val="annotation reference"/>
    <w:basedOn w:val="a4"/>
    <w:uiPriority w:val="99"/>
    <w:semiHidden/>
    <w:unhideWhenUsed/>
    <w:rsid w:val="004637B4"/>
    <w:rPr>
      <w:sz w:val="16"/>
      <w:szCs w:val="16"/>
    </w:rPr>
  </w:style>
  <w:style w:type="paragraph" w:styleId="af4">
    <w:name w:val="annotation text"/>
    <w:basedOn w:val="a3"/>
    <w:link w:val="af5"/>
    <w:uiPriority w:val="99"/>
    <w:semiHidden/>
    <w:unhideWhenUsed/>
    <w:rsid w:val="004637B4"/>
    <w:pPr>
      <w:spacing w:line="240" w:lineRule="auto"/>
    </w:pPr>
    <w:rPr>
      <w:sz w:val="20"/>
      <w:szCs w:val="20"/>
    </w:rPr>
  </w:style>
  <w:style w:type="character" w:customStyle="1" w:styleId="af5">
    <w:name w:val="Текст примечания Знак"/>
    <w:basedOn w:val="a4"/>
    <w:link w:val="af4"/>
    <w:uiPriority w:val="99"/>
    <w:semiHidden/>
    <w:rsid w:val="004637B4"/>
    <w:rPr>
      <w:sz w:val="20"/>
      <w:szCs w:val="20"/>
    </w:rPr>
  </w:style>
  <w:style w:type="paragraph" w:styleId="af6">
    <w:name w:val="annotation subject"/>
    <w:basedOn w:val="af4"/>
    <w:next w:val="af4"/>
    <w:link w:val="af7"/>
    <w:uiPriority w:val="99"/>
    <w:semiHidden/>
    <w:unhideWhenUsed/>
    <w:rsid w:val="004637B4"/>
    <w:rPr>
      <w:b/>
      <w:bCs/>
    </w:rPr>
  </w:style>
  <w:style w:type="character" w:customStyle="1" w:styleId="af7">
    <w:name w:val="Тема примечания Знак"/>
    <w:basedOn w:val="af5"/>
    <w:link w:val="af6"/>
    <w:uiPriority w:val="99"/>
    <w:semiHidden/>
    <w:rsid w:val="004637B4"/>
    <w:rPr>
      <w:b/>
      <w:bCs/>
      <w:sz w:val="20"/>
      <w:szCs w:val="20"/>
    </w:rPr>
  </w:style>
  <w:style w:type="paragraph" w:customStyle="1" w:styleId="af8">
    <w:basedOn w:val="a3"/>
    <w:next w:val="ac"/>
    <w:rsid w:val="00C37059"/>
    <w:pPr>
      <w:autoSpaceDE w:val="0"/>
      <w:autoSpaceDN w:val="0"/>
      <w:spacing w:before="100" w:after="10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3</cp:revision>
  <dcterms:created xsi:type="dcterms:W3CDTF">2024-08-28T08:36:00Z</dcterms:created>
  <dcterms:modified xsi:type="dcterms:W3CDTF">2024-09-03T08:34:00Z</dcterms:modified>
</cp:coreProperties>
</file>