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B7598E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2C451AE0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691331">
        <w:rPr>
          <w:rFonts w:ascii="Tahoma" w:hAnsi="Tahoma" w:cs="Tahoma"/>
          <w:bCs/>
          <w:sz w:val="20"/>
          <w:szCs w:val="20"/>
        </w:rPr>
        <w:t xml:space="preserve"> МБ-П-2025-</w:t>
      </w:r>
      <w:r w:rsidR="000F292A">
        <w:rPr>
          <w:rFonts w:ascii="Tahoma" w:hAnsi="Tahoma" w:cs="Tahoma"/>
          <w:bCs/>
          <w:sz w:val="20"/>
          <w:szCs w:val="20"/>
        </w:rPr>
        <w:t>2419</w:t>
      </w:r>
      <w:bookmarkStart w:id="0" w:name="_GoBack"/>
      <w:bookmarkEnd w:id="0"/>
      <w:r w:rsidR="00307CF0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691331">
        <w:rPr>
          <w:rFonts w:ascii="Tahoma" w:hAnsi="Tahoma" w:cs="Tahoma"/>
          <w:bCs/>
          <w:sz w:val="20"/>
          <w:szCs w:val="20"/>
        </w:rPr>
        <w:t xml:space="preserve"> </w:t>
      </w:r>
      <w:r w:rsidR="002C51C9">
        <w:rPr>
          <w:rFonts w:ascii="Tahoma" w:hAnsi="Tahoma" w:cs="Tahoma"/>
          <w:bCs/>
          <w:sz w:val="20"/>
          <w:szCs w:val="20"/>
        </w:rPr>
        <w:t xml:space="preserve">1 </w:t>
      </w:r>
      <w:r w:rsidR="00691331">
        <w:rPr>
          <w:rFonts w:ascii="Tahoma" w:hAnsi="Tahoma" w:cs="Tahoma"/>
          <w:bCs/>
          <w:sz w:val="20"/>
          <w:szCs w:val="20"/>
        </w:rPr>
        <w:t>ию</w:t>
      </w:r>
      <w:r w:rsidR="002C51C9">
        <w:rPr>
          <w:rFonts w:ascii="Tahoma" w:hAnsi="Tahoma" w:cs="Tahoma"/>
          <w:bCs/>
          <w:sz w:val="20"/>
          <w:szCs w:val="20"/>
        </w:rPr>
        <w:t>л</w:t>
      </w:r>
      <w:r w:rsidR="00691331">
        <w:rPr>
          <w:rFonts w:ascii="Tahoma" w:hAnsi="Tahoma" w:cs="Tahoma"/>
          <w:bCs/>
          <w:sz w:val="20"/>
          <w:szCs w:val="20"/>
        </w:rPr>
        <w:t>я 2025г.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lastRenderedPageBreak/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62A99D28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40"/>
        <w:gridCol w:w="1492"/>
        <w:gridCol w:w="960"/>
        <w:gridCol w:w="1771"/>
        <w:gridCol w:w="1639"/>
        <w:gridCol w:w="1125"/>
        <w:gridCol w:w="1277"/>
        <w:gridCol w:w="1291"/>
        <w:gridCol w:w="2248"/>
        <w:gridCol w:w="1131"/>
        <w:gridCol w:w="1186"/>
      </w:tblGrid>
      <w:tr w:rsidR="00C5169F" w:rsidRPr="00812C8E" w14:paraId="390AC295" w14:textId="77777777" w:rsidTr="00B7598E">
        <w:trPr>
          <w:trHeight w:val="1730"/>
        </w:trPr>
        <w:tc>
          <w:tcPr>
            <w:tcW w:w="151" w:type="pct"/>
            <w:vAlign w:val="center"/>
          </w:tcPr>
          <w:p w14:paraId="1554371C" w14:textId="77777777" w:rsidR="00C5169F" w:rsidRPr="00812C8E" w:rsidRDefault="00C5169F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14:paraId="5AD2E751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330" w:type="pct"/>
            <w:vAlign w:val="center"/>
          </w:tcPr>
          <w:p w14:paraId="6800E677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608" w:type="pct"/>
            <w:vAlign w:val="center"/>
          </w:tcPr>
          <w:p w14:paraId="05964D7C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588" w:type="pct"/>
            <w:vAlign w:val="center"/>
          </w:tcPr>
          <w:p w14:paraId="722730E3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324" w:type="pct"/>
            <w:vAlign w:val="center"/>
          </w:tcPr>
          <w:p w14:paraId="7D483169" w14:textId="2CCEFC43" w:rsidR="00C5169F" w:rsidRPr="007D294F" w:rsidRDefault="00C5169F" w:rsidP="00B7598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14:paraId="648B600F" w14:textId="0E982175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14:paraId="51F1195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797" w:type="pct"/>
            <w:vAlign w:val="center"/>
          </w:tcPr>
          <w:p w14:paraId="2966A634" w14:textId="49B80B6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388" w:type="pct"/>
            <w:vAlign w:val="center"/>
          </w:tcPr>
          <w:p w14:paraId="6202F32D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C5169F" w:rsidRPr="007D294F" w:rsidRDefault="00C5169F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20" w:type="pct"/>
            <w:vAlign w:val="center"/>
          </w:tcPr>
          <w:p w14:paraId="4D84AC0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C5169F" w:rsidRPr="00812C8E" w14:paraId="4222D9A6" w14:textId="77777777" w:rsidTr="00B7598E">
        <w:trPr>
          <w:trHeight w:val="2072"/>
        </w:trPr>
        <w:tc>
          <w:tcPr>
            <w:tcW w:w="151" w:type="pct"/>
            <w:vAlign w:val="center"/>
          </w:tcPr>
          <w:p w14:paraId="6CD791A3" w14:textId="77777777" w:rsidR="00C5169F" w:rsidRPr="000429E3" w:rsidRDefault="00C5169F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14:paraId="24FB0D4F" w14:textId="0DB1EB60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SPY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E3A432D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608" w:type="pct"/>
            <w:vAlign w:val="center"/>
          </w:tcPr>
          <w:p w14:paraId="2C2FE705" w14:textId="48396121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vAlign w:val="center"/>
          </w:tcPr>
          <w:p w14:paraId="44BE8435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24" w:type="pct"/>
            <w:vAlign w:val="center"/>
          </w:tcPr>
          <w:p w14:paraId="6E17D210" w14:textId="03350669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BE2B37A" w14:textId="559C73EB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230C4170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97" w:type="pct"/>
            <w:vAlign w:val="center"/>
          </w:tcPr>
          <w:p w14:paraId="283731AB" w14:textId="3F2E8492" w:rsidR="00C5169F" w:rsidRPr="00EB79BB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687927A3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0AF2931A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080AFB5" w14:textId="77777777" w:rsidTr="00691331">
        <w:trPr>
          <w:trHeight w:val="2425"/>
        </w:trPr>
        <w:tc>
          <w:tcPr>
            <w:tcW w:w="151" w:type="pct"/>
            <w:vAlign w:val="center"/>
          </w:tcPr>
          <w:p w14:paraId="42AD570A" w14:textId="0BCD3838" w:rsidR="00C5169F" w:rsidRPr="000429E3" w:rsidRDefault="00C5169F" w:rsidP="00C516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  <w:r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12" w:type="pct"/>
            <w:vAlign w:val="center"/>
          </w:tcPr>
          <w:p w14:paraId="0EF0E97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330" w:type="pct"/>
            <w:vAlign w:val="center"/>
          </w:tcPr>
          <w:p w14:paraId="4B390AA4" w14:textId="589CAEBF" w:rsidR="00C5169F" w:rsidRPr="003A7441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608" w:type="pct"/>
            <w:vAlign w:val="center"/>
          </w:tcPr>
          <w:p w14:paraId="665A06F3" w14:textId="7A4FCDC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vAlign w:val="center"/>
          </w:tcPr>
          <w:p w14:paraId="26C97C29" w14:textId="31F5CB6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14:paraId="6CE9423C" w14:textId="0A59BD28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1AACE93E" w14:textId="22E2ABE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443" w:type="pct"/>
            <w:vAlign w:val="center"/>
          </w:tcPr>
          <w:p w14:paraId="767CB9C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97" w:type="pct"/>
            <w:vAlign w:val="center"/>
          </w:tcPr>
          <w:p w14:paraId="29EFE15C" w14:textId="6B2506C9" w:rsidR="00C5169F" w:rsidRPr="002F3A81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41</w:t>
            </w:r>
          </w:p>
        </w:tc>
        <w:tc>
          <w:tcPr>
            <w:tcW w:w="388" w:type="pct"/>
            <w:vAlign w:val="center"/>
          </w:tcPr>
          <w:p w14:paraId="72A546C8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499967FB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53A46D92" w14:textId="77777777" w:rsidTr="00B7598E">
        <w:trPr>
          <w:trHeight w:val="2258"/>
        </w:trPr>
        <w:tc>
          <w:tcPr>
            <w:tcW w:w="151" w:type="pct"/>
            <w:vAlign w:val="center"/>
          </w:tcPr>
          <w:p w14:paraId="71B7BD67" w14:textId="310A628D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512" w:type="pct"/>
            <w:vAlign w:val="center"/>
          </w:tcPr>
          <w:p w14:paraId="30EA1360" w14:textId="43D84A5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6" w:name="_Hlk201823237"/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6"/>
          </w:p>
        </w:tc>
        <w:tc>
          <w:tcPr>
            <w:tcW w:w="330" w:type="pct"/>
            <w:vAlign w:val="center"/>
          </w:tcPr>
          <w:p w14:paraId="1EF62690" w14:textId="28A2B97E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608" w:type="pct"/>
            <w:vAlign w:val="center"/>
          </w:tcPr>
          <w:p w14:paraId="6432303C" w14:textId="3B043D29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88" w:type="pct"/>
            <w:vAlign w:val="center"/>
          </w:tcPr>
          <w:p w14:paraId="74716A66" w14:textId="24B156B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2C0490AD" w14:textId="4E0D1056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E0BCDE1" w14:textId="4B9EF40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443" w:type="pct"/>
            <w:vAlign w:val="center"/>
          </w:tcPr>
          <w:p w14:paraId="65E61045" w14:textId="3C7997F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797" w:type="pct"/>
            <w:vAlign w:val="center"/>
          </w:tcPr>
          <w:p w14:paraId="460B179C" w14:textId="593A6AB2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1000</w:t>
            </w:r>
          </w:p>
        </w:tc>
        <w:tc>
          <w:tcPr>
            <w:tcW w:w="388" w:type="pct"/>
            <w:vAlign w:val="center"/>
          </w:tcPr>
          <w:p w14:paraId="32958EC5" w14:textId="21B1C960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20" w:type="pct"/>
            <w:vAlign w:val="center"/>
          </w:tcPr>
          <w:p w14:paraId="2E92DFE7" w14:textId="206E83A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37C203A" w14:textId="77777777" w:rsidTr="00B7598E">
        <w:trPr>
          <w:trHeight w:val="2257"/>
        </w:trPr>
        <w:tc>
          <w:tcPr>
            <w:tcW w:w="151" w:type="pct"/>
            <w:vAlign w:val="center"/>
          </w:tcPr>
          <w:p w14:paraId="14BBB8A6" w14:textId="3E0E58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512" w:type="pct"/>
            <w:vAlign w:val="center"/>
          </w:tcPr>
          <w:p w14:paraId="00A784E3" w14:textId="07FC0D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30" w:type="pct"/>
            <w:vAlign w:val="center"/>
          </w:tcPr>
          <w:p w14:paraId="35A19E01" w14:textId="2FD0997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608" w:type="pct"/>
            <w:vAlign w:val="center"/>
          </w:tcPr>
          <w:p w14:paraId="14376648" w14:textId="61203D95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88" w:type="pct"/>
            <w:vAlign w:val="center"/>
          </w:tcPr>
          <w:p w14:paraId="2C5B95E6" w14:textId="04813831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17C84CA3" w14:textId="2C2B399F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09265CE" w14:textId="462F186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1B587418" w14:textId="7B5499D9" w:rsidR="00C5169F" w:rsidRPr="009A4E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97" w:type="pct"/>
            <w:vAlign w:val="center"/>
          </w:tcPr>
          <w:p w14:paraId="2B6A718B" w14:textId="03CB48A7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</w:t>
            </w:r>
            <w:r w:rsidRPr="00EB79BB">
              <w:rPr>
                <w:rFonts w:ascii="Tahoma" w:hAnsi="Tahoma" w:cs="Tahoma"/>
                <w:sz w:val="16"/>
                <w:szCs w:val="16"/>
              </w:rPr>
              <w:lastRenderedPageBreak/>
              <w:t>запятой, умноженному на 100</w:t>
            </w:r>
          </w:p>
        </w:tc>
        <w:tc>
          <w:tcPr>
            <w:tcW w:w="388" w:type="pct"/>
            <w:vAlign w:val="center"/>
          </w:tcPr>
          <w:p w14:paraId="2D92BD82" w14:textId="71D38AF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Евро</w:t>
            </w:r>
          </w:p>
        </w:tc>
        <w:tc>
          <w:tcPr>
            <w:tcW w:w="420" w:type="pct"/>
            <w:vAlign w:val="center"/>
          </w:tcPr>
          <w:p w14:paraId="717D0029" w14:textId="4ABD98E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19E002F7" w14:textId="77777777" w:rsidTr="00B7598E">
        <w:trPr>
          <w:trHeight w:val="2247"/>
        </w:trPr>
        <w:tc>
          <w:tcPr>
            <w:tcW w:w="151" w:type="pct"/>
            <w:vAlign w:val="center"/>
          </w:tcPr>
          <w:p w14:paraId="5062475A" w14:textId="6BAE2B3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512" w:type="pct"/>
            <w:vAlign w:val="center"/>
          </w:tcPr>
          <w:p w14:paraId="6558377D" w14:textId="14598A8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330" w:type="pct"/>
            <w:vAlign w:val="center"/>
          </w:tcPr>
          <w:p w14:paraId="0455908E" w14:textId="479571E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608" w:type="pct"/>
            <w:vAlign w:val="center"/>
          </w:tcPr>
          <w:p w14:paraId="61973867" w14:textId="3D626C9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vAlign w:val="center"/>
          </w:tcPr>
          <w:p w14:paraId="015BB6B1" w14:textId="4AEC75D2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324" w:type="pct"/>
            <w:vAlign w:val="center"/>
          </w:tcPr>
          <w:p w14:paraId="3DBD61B4" w14:textId="693E14F2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67C4DAA" w14:textId="7A30D08B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59BC306C" w14:textId="75535B3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97" w:type="pct"/>
            <w:vAlign w:val="center"/>
          </w:tcPr>
          <w:p w14:paraId="239A9759" w14:textId="311C226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7CACEB53" w14:textId="44DB50A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20" w:type="pct"/>
            <w:vAlign w:val="center"/>
          </w:tcPr>
          <w:p w14:paraId="10CCBF9F" w14:textId="66A08E3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43F9154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2FD32F7A" w14:textId="300E7C0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512" w:type="pct"/>
            <w:vAlign w:val="center"/>
          </w:tcPr>
          <w:p w14:paraId="53D133F6" w14:textId="6C70C78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1BC339A3" w14:textId="353232A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608" w:type="pct"/>
            <w:vAlign w:val="center"/>
          </w:tcPr>
          <w:p w14:paraId="2B86F0D1" w14:textId="2928AD34" w:rsidR="00C5169F" w:rsidRPr="00F8455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88" w:type="pct"/>
            <w:vAlign w:val="center"/>
          </w:tcPr>
          <w:p w14:paraId="72D14A27" w14:textId="26F24DD0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087018AA" w14:textId="471AAC18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5B427E">
              <w:rPr>
                <w:rFonts w:ascii="Tahoma" w:hAnsi="Tahoma" w:cs="Tahoma"/>
                <w:sz w:val="16"/>
                <w:szCs w:val="16"/>
              </w:rPr>
              <w:t>как цена акции, умноженная</w:t>
            </w:r>
            <w:r w:rsidR="00620E43">
              <w:rPr>
                <w:rFonts w:ascii="Tahoma" w:hAnsi="Tahoma" w:cs="Tahoma"/>
                <w:sz w:val="16"/>
                <w:szCs w:val="16"/>
              </w:rPr>
              <w:t xml:space="preserve">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10 </w:t>
            </w:r>
          </w:p>
        </w:tc>
        <w:tc>
          <w:tcPr>
            <w:tcW w:w="439" w:type="pct"/>
            <w:vAlign w:val="center"/>
          </w:tcPr>
          <w:p w14:paraId="6216BE44" w14:textId="2559FDF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443" w:type="pct"/>
            <w:vAlign w:val="center"/>
          </w:tcPr>
          <w:p w14:paraId="1D8E1989" w14:textId="4BABBE7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797" w:type="pct"/>
            <w:vAlign w:val="center"/>
          </w:tcPr>
          <w:p w14:paraId="6F7666A5" w14:textId="7586C51A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</w:t>
            </w:r>
            <w:r>
              <w:rPr>
                <w:rFonts w:ascii="Tahoma" w:hAnsi="Tahoma" w:cs="Tahoma"/>
                <w:sz w:val="16"/>
                <w:szCs w:val="16"/>
              </w:rPr>
              <w:t xml:space="preserve"> умноженному на 10,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C4CCBE4" w14:textId="6E461404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420" w:type="pct"/>
            <w:vAlign w:val="center"/>
          </w:tcPr>
          <w:p w14:paraId="1936BEB9" w14:textId="387CD72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4CDF8F7D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00631641" w14:textId="441333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512" w:type="pct"/>
            <w:vAlign w:val="center"/>
          </w:tcPr>
          <w:p w14:paraId="74595B3B" w14:textId="2F9FECCB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330" w:type="pct"/>
            <w:vAlign w:val="center"/>
          </w:tcPr>
          <w:p w14:paraId="230DD94D" w14:textId="254BE33E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608" w:type="pct"/>
            <w:vAlign w:val="center"/>
          </w:tcPr>
          <w:p w14:paraId="6556325E" w14:textId="6B597D8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88" w:type="pct"/>
            <w:vAlign w:val="center"/>
          </w:tcPr>
          <w:p w14:paraId="36D7205B" w14:textId="633203ED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6D823346" w14:textId="65105B11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6012596" w14:textId="4F6EECE0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250BE63A" w14:textId="39503BB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797" w:type="pct"/>
            <w:vAlign w:val="center"/>
          </w:tcPr>
          <w:p w14:paraId="548C06ED" w14:textId="3E7E72DB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388" w:type="pct"/>
            <w:vAlign w:val="center"/>
          </w:tcPr>
          <w:p w14:paraId="1AF2935B" w14:textId="34A3115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670BDB0E" w14:textId="6EDD06D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1B1198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702662EF" w14:textId="305CC7A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512" w:type="pct"/>
            <w:vAlign w:val="center"/>
          </w:tcPr>
          <w:p w14:paraId="0BAE6230" w14:textId="7BF9A560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30" w:type="pct"/>
            <w:vAlign w:val="center"/>
          </w:tcPr>
          <w:p w14:paraId="3BF98C8D" w14:textId="752B439C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608" w:type="pct"/>
            <w:vAlign w:val="center"/>
          </w:tcPr>
          <w:p w14:paraId="6F91D124" w14:textId="17CDBE78" w:rsidR="00C5169F" w:rsidRPr="00892A4B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vAlign w:val="center"/>
          </w:tcPr>
          <w:p w14:paraId="48113CB3" w14:textId="4B10D2BE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24" w:type="pct"/>
            <w:vAlign w:val="center"/>
          </w:tcPr>
          <w:p w14:paraId="174A8A88" w14:textId="66DA4F0F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8528B26" w14:textId="36F605D5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71B10EC3" w14:textId="22FACEB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797" w:type="pct"/>
            <w:vAlign w:val="center"/>
          </w:tcPr>
          <w:p w14:paraId="30904680" w14:textId="379A467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9ED797D" w14:textId="3DDF86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165A73D9" w14:textId="43384D9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2422DEA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2049EF50" w14:textId="465EDC1E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512" w:type="pct"/>
            <w:vAlign w:val="center"/>
          </w:tcPr>
          <w:p w14:paraId="4F6E9645" w14:textId="7CEB0B00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0" w:type="pct"/>
            <w:vAlign w:val="center"/>
          </w:tcPr>
          <w:p w14:paraId="6087B679" w14:textId="17363FF5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608" w:type="pct"/>
            <w:vAlign w:val="center"/>
          </w:tcPr>
          <w:p w14:paraId="51701EE4" w14:textId="0AE68C2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vAlign w:val="center"/>
          </w:tcPr>
          <w:p w14:paraId="555DEFFC" w14:textId="75A65E7D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292B4FE7" w14:textId="48496CED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FCC8A9D" w14:textId="21B1483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34EE6A60" w14:textId="128C660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97" w:type="pct"/>
            <w:vAlign w:val="center"/>
          </w:tcPr>
          <w:p w14:paraId="3973A756" w14:textId="08C317D6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4E76C81" w14:textId="2141B79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5D3A57AB" w14:textId="712C6E26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961469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273A2D33" w14:textId="226EBBA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41"/>
            <w:r>
              <w:rPr>
                <w:rFonts w:ascii="Tahoma" w:hAnsi="Tahoma" w:cs="Tahom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512" w:type="pct"/>
            <w:vAlign w:val="center"/>
          </w:tcPr>
          <w:p w14:paraId="7DE4BB31" w14:textId="67CCCBB0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30" w:type="pct"/>
            <w:vAlign w:val="center"/>
          </w:tcPr>
          <w:p w14:paraId="4AEE3372" w14:textId="69929678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608" w:type="pct"/>
            <w:vAlign w:val="center"/>
          </w:tcPr>
          <w:p w14:paraId="2F3884F1" w14:textId="7710FC5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588" w:type="pct"/>
            <w:vAlign w:val="center"/>
          </w:tcPr>
          <w:p w14:paraId="2650D3F0" w14:textId="61AD4E5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24" w:type="pct"/>
            <w:vAlign w:val="center"/>
          </w:tcPr>
          <w:p w14:paraId="3FA63CDB" w14:textId="124D4DD4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5DF757C" w14:textId="7DA50B0F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68AABA9C" w14:textId="0CC6439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97" w:type="pct"/>
            <w:vAlign w:val="center"/>
          </w:tcPr>
          <w:p w14:paraId="78C5E516" w14:textId="2D1B6919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8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8"/>
          </w:p>
        </w:tc>
        <w:tc>
          <w:tcPr>
            <w:tcW w:w="388" w:type="pct"/>
            <w:vAlign w:val="center"/>
          </w:tcPr>
          <w:p w14:paraId="5AF264D7" w14:textId="0F9B9FE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20138305" w14:textId="60512C4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301380C4" w14:textId="77777777" w:rsidTr="00B7598E">
        <w:trPr>
          <w:trHeight w:val="2124"/>
        </w:trPr>
        <w:tc>
          <w:tcPr>
            <w:tcW w:w="151" w:type="pct"/>
            <w:vAlign w:val="center"/>
          </w:tcPr>
          <w:p w14:paraId="485C3FB0" w14:textId="4555EE2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512" w:type="pct"/>
            <w:vAlign w:val="center"/>
          </w:tcPr>
          <w:p w14:paraId="1604100B" w14:textId="64878C5A" w:rsidR="00C5169F" w:rsidRPr="006F6ED8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330" w:type="pct"/>
            <w:vAlign w:val="center"/>
          </w:tcPr>
          <w:p w14:paraId="34E825F4" w14:textId="37A3699D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608" w:type="pct"/>
            <w:vAlign w:val="center"/>
          </w:tcPr>
          <w:p w14:paraId="4904BEB5" w14:textId="7972F56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588" w:type="pct"/>
            <w:vAlign w:val="center"/>
          </w:tcPr>
          <w:p w14:paraId="56150104" w14:textId="4A3D4B02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24" w:type="pct"/>
            <w:vAlign w:val="center"/>
          </w:tcPr>
          <w:p w14:paraId="369EFB7E" w14:textId="37F3E2C3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ED4D96E" w14:textId="677961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46A64F24" w14:textId="5FC7977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97" w:type="pct"/>
            <w:vAlign w:val="center"/>
          </w:tcPr>
          <w:p w14:paraId="7536ED6B" w14:textId="070ACAD0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388" w:type="pct"/>
            <w:vAlign w:val="center"/>
          </w:tcPr>
          <w:p w14:paraId="573F1DCD" w14:textId="44133679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vAlign w:val="center"/>
          </w:tcPr>
          <w:p w14:paraId="2B672C19" w14:textId="301DA08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7B782E" w14:paraId="2881AB0B" w14:textId="77777777" w:rsidTr="00B7598E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AB53A53" w14:textId="0D8AD818" w:rsidR="00C5169F" w:rsidRPr="009701F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58B3ED9" w14:textId="2ED5EACA" w:rsidR="00C5169F" w:rsidRPr="00B32B78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F6C341" w14:textId="304481DD" w:rsidR="00C5169F" w:rsidRPr="00113D99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AD65D7" w14:textId="3B21E486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2898B0" w14:textId="23A26C85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2EDAC563" w14:textId="232F11A7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5765886" w14:textId="0C22D1E4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82EFC8C" w14:textId="3E059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D9B680B" w14:textId="482DC3C2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DF33806" w14:textId="18BA4108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B929B4" w14:textId="625EB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1EF105A4" w14:textId="77777777" w:rsidTr="00B7598E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8232A83" w14:textId="722869DC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8228648" w14:textId="5FA6A642" w:rsidR="00C5169F" w:rsidRPr="00DB1AF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>
              <w:t xml:space="preserve"> </w:t>
            </w:r>
            <w:proofErr w:type="spellStart"/>
            <w:r w:rsidRPr="00435C1D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435C1D">
              <w:rPr>
                <w:rFonts w:ascii="Tahoma" w:hAnsi="Tahoma" w:cs="Tahoma"/>
                <w:sz w:val="16"/>
                <w:szCs w:val="16"/>
              </w:rPr>
              <w:t xml:space="preserve"> PHLX </w:t>
            </w:r>
            <w:proofErr w:type="spellStart"/>
            <w:r w:rsidRPr="00435C1D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8655D0" w14:textId="76FB2E2B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970EB7" w14:textId="4E011CAE" w:rsidR="00C5169F" w:rsidRPr="00BB21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11C4997" w14:textId="365C8692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24" w:type="pct"/>
            <w:vAlign w:val="center"/>
          </w:tcPr>
          <w:p w14:paraId="552E15C1" w14:textId="7BCEF7AD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53FE7CB" w14:textId="19D32B3A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FAC2A98" w14:textId="16A35B3E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AEAC683" w14:textId="01E30F26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CE5966" w14:textId="6DC2943C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484E50" w14:textId="5CBDB389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2B1CDAE5" w14:textId="77777777" w:rsidTr="00B7598E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6A75787" w14:textId="776FD7E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CD59E92" w14:textId="18BA4CC7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3140A6" w14:textId="3E20270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E89F2A7" w14:textId="72858B2F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 (ISIN: KYG875721634, CFI: ESVUFR)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2EBC0C" w14:textId="083975E6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324" w:type="pct"/>
            <w:vAlign w:val="center"/>
          </w:tcPr>
          <w:p w14:paraId="3DDE353A" w14:textId="174DAA30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4F0E7DC" w14:textId="6405641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8FBB20B" w14:textId="2943E73B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AEA4901" w14:textId="0CC79594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Лимитед, определенной на организованных торгах площадки первичного листинга базисного актива, за предшествующий дню исполнения день</w:t>
            </w:r>
            <w:r>
              <w:rPr>
                <w:rFonts w:ascii="Tahoma" w:hAnsi="Tahoma" w:cs="Tahoma"/>
                <w:sz w:val="16"/>
                <w:szCs w:val="16"/>
              </w:rPr>
              <w:t>, умноженной на 10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FF92B1" w14:textId="0AB83F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AB565C" w14:textId="5968DD8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6C2E28A2" w14:textId="77777777" w:rsidTr="00B7598E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4796B61" w14:textId="2708521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1191F63" w14:textId="0541734E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D5E6D0" w14:textId="3AF126FE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04AF33" w14:textId="5071A5D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 (ISIN: KYG9830T1067, CFI: ESVUFR)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6C21842" w14:textId="32F3A1C3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324" w:type="pct"/>
            <w:vAlign w:val="center"/>
          </w:tcPr>
          <w:p w14:paraId="507EF6A9" w14:textId="289135DF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F2988ED" w14:textId="10ACCE9C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776A39F" w14:textId="37670AB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D6FD517" w14:textId="2A9063C0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Корпорэйшн, определенной на организованных торгах площадки первичного листинга базисного актива, за предшествующий дню исполнения день</w:t>
            </w:r>
            <w:r>
              <w:rPr>
                <w:rFonts w:ascii="Tahoma" w:hAnsi="Tahoma" w:cs="Tahoma"/>
                <w:sz w:val="16"/>
                <w:szCs w:val="16"/>
              </w:rPr>
              <w:t>, умноженной на 100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4EB464" w14:textId="5916EEA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6B1C6C" w14:textId="5FCF6D6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7"/>
    </w:tbl>
    <w:p w14:paraId="48688254" w14:textId="4E1B8BAC" w:rsidR="000429E3" w:rsidRPr="00D85334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D85334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9307" w14:textId="77777777" w:rsidR="00B2021A" w:rsidRDefault="00B2021A" w:rsidP="002F7E61">
      <w:r>
        <w:separator/>
      </w:r>
    </w:p>
  </w:endnote>
  <w:endnote w:type="continuationSeparator" w:id="0">
    <w:p w14:paraId="529370E8" w14:textId="77777777" w:rsidR="00B2021A" w:rsidRDefault="00B2021A" w:rsidP="002F7E61">
      <w:r>
        <w:continuationSeparator/>
      </w:r>
    </w:p>
  </w:endnote>
  <w:endnote w:type="continuationNotice" w:id="1">
    <w:p w14:paraId="4B0B7B08" w14:textId="77777777" w:rsidR="00B2021A" w:rsidRDefault="00B20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3EF9" w14:textId="77777777" w:rsidR="00B2021A" w:rsidRDefault="00B2021A" w:rsidP="002F7E61">
      <w:r>
        <w:separator/>
      </w:r>
    </w:p>
  </w:footnote>
  <w:footnote w:type="continuationSeparator" w:id="0">
    <w:p w14:paraId="5D7CB8A9" w14:textId="77777777" w:rsidR="00B2021A" w:rsidRDefault="00B2021A" w:rsidP="002F7E61">
      <w:r>
        <w:continuationSeparator/>
      </w:r>
    </w:p>
  </w:footnote>
  <w:footnote w:type="continuationNotice" w:id="1">
    <w:p w14:paraId="69ADCF31" w14:textId="77777777" w:rsidR="00B2021A" w:rsidRDefault="00B20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292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51C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27E"/>
    <w:rsid w:val="005B4377"/>
    <w:rsid w:val="005B5468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0E43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1331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A3D37"/>
    <w:rsid w:val="00AB13D3"/>
    <w:rsid w:val="00AB2CB7"/>
    <w:rsid w:val="00AB31E9"/>
    <w:rsid w:val="00AB484A"/>
    <w:rsid w:val="00AB57D2"/>
    <w:rsid w:val="00AB580C"/>
    <w:rsid w:val="00AC18C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21A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98E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C2AB7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3F5A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D74CC-D00E-43EB-9714-C8883C47C950}">
  <ds:schemaRefs>
    <ds:schemaRef ds:uri="http://schemas.microsoft.com/office/2006/documentManagement/types"/>
    <ds:schemaRef ds:uri="http://schemas.microsoft.com/office/2006/metadata/properties"/>
    <ds:schemaRef ds:uri="3d16ac60-ca44-4310-891e-6ee324d946e9"/>
    <ds:schemaRef ds:uri="http://purl.org/dc/terms/"/>
    <ds:schemaRef ds:uri="http://purl.org/dc/dcmitype/"/>
    <ds:schemaRef ds:uri="http://schemas.microsoft.com/office/infopath/2007/PartnerControls"/>
    <ds:schemaRef ds:uri="8c8bead1-c00a-4acf-9384-c08cb59451b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EA9A4-8265-4BB8-9F66-12BC72EC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3775</Words>
  <Characters>21522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25247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2025-06-26T07:33:00Z</dcterms:created>
  <dcterms:modified xsi:type="dcterms:W3CDTF">2025-07-01T06:25:00Z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