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19EB" w14:textId="77777777" w:rsidR="007949AF" w:rsidRPr="00F74826" w:rsidRDefault="007949AF" w:rsidP="00204F1E">
      <w:pPr>
        <w:ind w:right="-81"/>
        <w:rPr>
          <w:rFonts w:ascii="Tahoma" w:hAnsi="Tahoma" w:cs="Tahoma"/>
          <w:b/>
          <w:sz w:val="20"/>
          <w:szCs w:val="20"/>
          <w:lang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5D0D3D" w:rsidRDefault="00DE1D9D" w:rsidP="0038321B">
      <w:pPr>
        <w:ind w:left="4536" w:right="-81"/>
        <w:rPr>
          <w:rFonts w:ascii="Tahoma" w:hAnsi="Tahoma" w:cs="Tahoma"/>
          <w:b/>
          <w:sz w:val="20"/>
          <w:szCs w:val="20"/>
        </w:rPr>
      </w:pPr>
      <w:r>
        <w:rPr>
          <w:rFonts w:ascii="Tahoma" w:hAnsi="Tahoma"/>
          <w:b/>
          <w:sz w:val="20"/>
        </w:rPr>
        <w:t>APPROVED</w:t>
      </w:r>
    </w:p>
    <w:p w14:paraId="5743F42B" w14:textId="3BC3756C" w:rsidR="00F4784D" w:rsidRPr="005D0D3D" w:rsidRDefault="00F4784D" w:rsidP="0038321B">
      <w:pPr>
        <w:pStyle w:val="a9"/>
        <w:tabs>
          <w:tab w:val="left" w:pos="5387"/>
          <w:tab w:val="left" w:pos="5812"/>
        </w:tabs>
        <w:spacing w:after="0"/>
        <w:ind w:left="4536" w:right="-79"/>
        <w:rPr>
          <w:rFonts w:ascii="Tahoma" w:hAnsi="Tahoma" w:cs="Tahoma"/>
          <w:sz w:val="20"/>
          <w:szCs w:val="20"/>
        </w:rPr>
      </w:pPr>
      <w:r>
        <w:rPr>
          <w:rFonts w:ascii="Tahoma" w:hAnsi="Tahoma"/>
          <w:sz w:val="20"/>
        </w:rPr>
        <w:t xml:space="preserve">by Public Joint Stock Company </w:t>
      </w:r>
      <w:r>
        <w:rPr>
          <w:rFonts w:ascii="Tahoma" w:hAnsi="Tahoma"/>
          <w:sz w:val="20"/>
        </w:rPr>
        <w:cr/>
      </w:r>
      <w:bookmarkStart w:id="0" w:name="_GoBack"/>
      <w:bookmarkEnd w:id="0"/>
      <w:r>
        <w:rPr>
          <w:rFonts w:ascii="Tahoma" w:hAnsi="Tahoma"/>
          <w:sz w:val="20"/>
        </w:rPr>
        <w:t>Moscow Exchange MICEX-RTS</w:t>
      </w:r>
    </w:p>
    <w:p w14:paraId="1CE8EC16" w14:textId="77777777" w:rsidR="0038321B" w:rsidRPr="00F54015" w:rsidRDefault="0038321B" w:rsidP="0038321B">
      <w:pPr>
        <w:pStyle w:val="a9"/>
        <w:spacing w:after="0"/>
        <w:ind w:left="3402" w:right="96" w:firstLine="1134"/>
        <w:rPr>
          <w:rFonts w:ascii="Tahoma" w:hAnsi="Tahoma" w:cs="Tahoma"/>
          <w:bCs/>
          <w:sz w:val="20"/>
          <w:szCs w:val="20"/>
        </w:rPr>
      </w:pPr>
      <w:r>
        <w:rPr>
          <w:rFonts w:ascii="Tahoma" w:hAnsi="Tahoma"/>
          <w:sz w:val="20"/>
        </w:rPr>
        <w:t>(Order No. МБ-П-2022-</w:t>
      </w:r>
      <w:r w:rsidRPr="00496E8E">
        <w:rPr>
          <w:rFonts w:ascii="Tahoma" w:hAnsi="Tahoma" w:cs="Tahoma"/>
          <w:bCs/>
          <w:sz w:val="20"/>
          <w:szCs w:val="20"/>
          <w:lang w:val="en-US"/>
        </w:rPr>
        <w:t>1756</w:t>
      </w:r>
      <w:r>
        <w:rPr>
          <w:rFonts w:ascii="Tahoma" w:hAnsi="Tahoma"/>
          <w:sz w:val="20"/>
        </w:rPr>
        <w:t xml:space="preserve"> dated </w:t>
      </w:r>
      <w:r w:rsidRPr="00496E8E">
        <w:rPr>
          <w:rFonts w:ascii="Tahoma" w:hAnsi="Tahoma"/>
          <w:sz w:val="20"/>
          <w:lang w:val="en-US"/>
        </w:rPr>
        <w:t xml:space="preserve">30 </w:t>
      </w:r>
      <w:r>
        <w:rPr>
          <w:rFonts w:ascii="Tahoma" w:hAnsi="Tahoma"/>
          <w:sz w:val="20"/>
          <w:lang w:val="en-US"/>
        </w:rPr>
        <w:t>August</w:t>
      </w:r>
      <w:r>
        <w:rPr>
          <w:rFonts w:ascii="Tahoma" w:hAnsi="Tahoma"/>
          <w:sz w:val="20"/>
        </w:rPr>
        <w:t xml:space="preserve"> 2022)</w:t>
      </w:r>
    </w:p>
    <w:p w14:paraId="0D61C9C5" w14:textId="77777777" w:rsidR="00B471DD" w:rsidRPr="005D0D3D" w:rsidRDefault="00B471DD" w:rsidP="00821879">
      <w:pPr>
        <w:tabs>
          <w:tab w:val="left" w:pos="4962"/>
        </w:tabs>
        <w:ind w:left="5103" w:right="-81"/>
        <w:rPr>
          <w:rFonts w:ascii="Tahoma" w:hAnsi="Tahoma" w:cs="Tahoma"/>
          <w:sz w:val="20"/>
          <w:szCs w:val="20"/>
        </w:rPr>
      </w:pPr>
    </w:p>
    <w:p w14:paraId="7B864934" w14:textId="77777777" w:rsidR="00F4784D" w:rsidRPr="005D0D3D" w:rsidRDefault="00F4784D" w:rsidP="00821879">
      <w:pPr>
        <w:tabs>
          <w:tab w:val="left" w:pos="4962"/>
        </w:tabs>
        <w:ind w:left="5103" w:right="-81"/>
        <w:rPr>
          <w:rFonts w:ascii="Tahoma" w:hAnsi="Tahoma" w:cs="Tahoma"/>
          <w:sz w:val="20"/>
          <w:szCs w:val="20"/>
        </w:rPr>
      </w:pPr>
    </w:p>
    <w:p w14:paraId="1732EA8A" w14:textId="77777777" w:rsidR="00204F1E" w:rsidRDefault="00F11C0C" w:rsidP="009248D2">
      <w:pPr>
        <w:pStyle w:val="a8"/>
        <w:spacing w:before="0" w:after="0"/>
        <w:ind w:right="-6"/>
        <w:jc w:val="center"/>
        <w:rPr>
          <w:rFonts w:ascii="Tahoma" w:hAnsi="Tahoma"/>
          <w:b/>
        </w:rPr>
      </w:pPr>
      <w:r>
        <w:rPr>
          <w:rFonts w:ascii="Tahoma" w:hAnsi="Tahoma"/>
          <w:b/>
        </w:rPr>
        <w:t xml:space="preserve">SPECIFICATION FOR FINANCIALLY SETTLED FUTURES CONTRACTS </w:t>
      </w:r>
    </w:p>
    <w:p w14:paraId="6FD9C895" w14:textId="380E49D3" w:rsidR="009248D2" w:rsidRPr="005D0D3D" w:rsidRDefault="00F11C0C" w:rsidP="009248D2">
      <w:pPr>
        <w:pStyle w:val="a8"/>
        <w:spacing w:before="0" w:after="0"/>
        <w:ind w:right="-6"/>
        <w:jc w:val="center"/>
        <w:rPr>
          <w:rFonts w:ascii="Tahoma" w:eastAsia="Arial Unicode MS" w:hAnsi="Tahoma" w:cs="Tahoma"/>
          <w:b/>
          <w:color w:val="auto"/>
        </w:rPr>
      </w:pPr>
      <w:r>
        <w:rPr>
          <w:rFonts w:ascii="Tahoma" w:hAnsi="Tahoma"/>
          <w:b/>
        </w:rPr>
        <w:t>ON INTERNATIONAL SECURITIES</w:t>
      </w:r>
      <w:r>
        <w:rPr>
          <w:rFonts w:ascii="Tahoma" w:hAnsi="Tahoma"/>
          <w:b/>
          <w:color w:val="auto"/>
        </w:rPr>
        <w:t xml:space="preserve"> </w:t>
      </w:r>
    </w:p>
    <w:p w14:paraId="1E3A044C" w14:textId="2A6C7850" w:rsidR="005B1E6C" w:rsidRPr="005D0D3D" w:rsidRDefault="005B1E6C">
      <w:pPr>
        <w:pStyle w:val="a8"/>
        <w:spacing w:before="0" w:after="0"/>
        <w:ind w:right="-6"/>
        <w:jc w:val="center"/>
        <w:rPr>
          <w:rFonts w:ascii="Tahoma" w:eastAsia="Arial Unicode MS" w:hAnsi="Tahoma" w:cs="Tahoma"/>
          <w:b/>
          <w:color w:val="auto"/>
        </w:rPr>
      </w:pPr>
    </w:p>
    <w:p w14:paraId="32C397E6" w14:textId="77777777" w:rsidR="00292B50" w:rsidRPr="005D0D3D" w:rsidRDefault="00292B50" w:rsidP="00DE583B">
      <w:pPr>
        <w:pStyle w:val="a8"/>
        <w:spacing w:before="0" w:after="0"/>
        <w:ind w:right="-6"/>
        <w:rPr>
          <w:rFonts w:ascii="Tahoma" w:eastAsia="Arial Unicode MS" w:hAnsi="Tahoma" w:cs="Tahoma"/>
          <w:b/>
          <w:color w:val="auto"/>
        </w:rPr>
      </w:pPr>
    </w:p>
    <w:p w14:paraId="14A7268D" w14:textId="2C181E78" w:rsidR="00B471DD" w:rsidRPr="005D0D3D" w:rsidRDefault="007452E4">
      <w:pPr>
        <w:pStyle w:val="ad"/>
        <w:spacing w:after="120"/>
        <w:rPr>
          <w:rFonts w:ascii="Tahoma" w:hAnsi="Tahoma" w:cs="Tahoma"/>
        </w:rPr>
      </w:pPr>
      <w:r>
        <w:rPr>
          <w:rFonts w:ascii="Tahoma" w:hAnsi="Tahoma"/>
        </w:rPr>
        <w:t>This Specification sets out the standard terms and conditions of the International Securities Futures contract (hereinafter referred to as the Specification).</w:t>
      </w:r>
    </w:p>
    <w:p w14:paraId="6B7EBA73" w14:textId="42E75755" w:rsidR="00651BB4" w:rsidRPr="005D0D3D" w:rsidRDefault="00F45CF4">
      <w:pPr>
        <w:pStyle w:val="ad"/>
        <w:spacing w:before="120"/>
        <w:ind w:right="57"/>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International Securities Futures contract (the "Contracts", "Contract") as well as the procedure for such obligations to arise, be changed or terminated. </w:t>
      </w:r>
    </w:p>
    <w:p w14:paraId="7C202B4E" w14:textId="569B15E8" w:rsidR="00855526" w:rsidRPr="005D0D3D" w:rsidRDefault="00855526" w:rsidP="00855526">
      <w:pPr>
        <w:pStyle w:val="ad"/>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792A4917" w14:textId="77777777" w:rsidR="00855526" w:rsidRPr="005D0D3D" w:rsidRDefault="00855526" w:rsidP="00855526">
      <w:pPr>
        <w:pStyle w:val="ad"/>
        <w:numPr>
          <w:ilvl w:val="0"/>
          <w:numId w:val="12"/>
        </w:numPr>
        <w:tabs>
          <w:tab w:val="clear" w:pos="9000"/>
          <w:tab w:val="left" w:pos="709"/>
        </w:tabs>
        <w:spacing w:before="120"/>
        <w:ind w:left="714" w:right="57" w:hanging="357"/>
        <w:rPr>
          <w:rFonts w:ascii="Tahoma" w:hAnsi="Tahoma" w:cs="Tahoma"/>
        </w:rPr>
      </w:pPr>
      <w:r>
        <w:rPr>
          <w:rFonts w:ascii="Tahoma" w:hAnsi="Tahoma"/>
        </w:rPr>
        <w:t>name of the Contract;</w:t>
      </w:r>
    </w:p>
    <w:p w14:paraId="6642FE00" w14:textId="4B9BD819" w:rsidR="00855526" w:rsidRPr="005D0D3D" w:rsidRDefault="006316B8"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main code of the underlying asset;</w:t>
      </w:r>
    </w:p>
    <w:p w14:paraId="33172F93" w14:textId="36554909" w:rsidR="00855526" w:rsidRPr="005D0D3D" w:rsidRDefault="00F73FF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underlying asset of the Contract;</w:t>
      </w:r>
    </w:p>
    <w:p w14:paraId="00DFA4EE" w14:textId="5C73B1A4" w:rsidR="006352B9" w:rsidRPr="005D0D3D" w:rsidRDefault="00990C4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ISIN and CFI of the underlying receipt;</w:t>
      </w:r>
    </w:p>
    <w:p w14:paraId="1B88F19F" w14:textId="77777777" w:rsidR="00855526" w:rsidRPr="005D0D3D" w:rsidRDefault="00855526"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Contract lot;</w:t>
      </w:r>
    </w:p>
    <w:p w14:paraId="6FAA24B8" w14:textId="77777777" w:rsidR="00855526" w:rsidRPr="005D0D3D" w:rsidRDefault="00855526" w:rsidP="00855526">
      <w:pPr>
        <w:numPr>
          <w:ilvl w:val="0"/>
          <w:numId w:val="12"/>
        </w:numPr>
        <w:rPr>
          <w:rFonts w:ascii="Tahoma" w:hAnsi="Tahoma" w:cs="Tahoma"/>
          <w:sz w:val="20"/>
          <w:szCs w:val="20"/>
        </w:rPr>
      </w:pPr>
      <w:r>
        <w:rPr>
          <w:rFonts w:ascii="Tahoma" w:hAnsi="Tahoma"/>
          <w:sz w:val="20"/>
        </w:rPr>
        <w:t>minimum price movement for the Contract in the course of trading on MOEX (the "price tick");</w:t>
      </w:r>
    </w:p>
    <w:p w14:paraId="400E3551" w14:textId="7AA4AA5A" w:rsidR="00855526" w:rsidRPr="005D0D3D" w:rsidRDefault="00855526" w:rsidP="00855526">
      <w:pPr>
        <w:pStyle w:val="ad"/>
        <w:numPr>
          <w:ilvl w:val="0"/>
          <w:numId w:val="12"/>
        </w:numPr>
        <w:tabs>
          <w:tab w:val="clear" w:pos="9000"/>
          <w:tab w:val="left" w:pos="709"/>
        </w:tabs>
        <w:spacing w:before="0"/>
        <w:ind w:right="57"/>
        <w:rPr>
          <w:rFonts w:ascii="Tahoma" w:hAnsi="Tahoma" w:cs="Tahoma"/>
        </w:rPr>
      </w:pPr>
      <w:r>
        <w:rPr>
          <w:rFonts w:ascii="Tahoma" w:hAnsi="Tahoma"/>
        </w:rPr>
        <w:t>the tick value;</w:t>
      </w:r>
    </w:p>
    <w:p w14:paraId="76C80E7C" w14:textId="24558685" w:rsidR="00642093" w:rsidRPr="005D0D3D" w:rsidRDefault="00601A7B" w:rsidP="00855526">
      <w:pPr>
        <w:pStyle w:val="ad"/>
        <w:numPr>
          <w:ilvl w:val="0"/>
          <w:numId w:val="12"/>
        </w:numPr>
        <w:tabs>
          <w:tab w:val="clear" w:pos="9000"/>
          <w:tab w:val="left" w:pos="709"/>
        </w:tabs>
        <w:spacing w:before="0"/>
        <w:ind w:right="57"/>
        <w:rPr>
          <w:rFonts w:ascii="Tahoma" w:hAnsi="Tahoma" w:cs="Tahoma"/>
        </w:rPr>
      </w:pPr>
      <w:r>
        <w:rPr>
          <w:rFonts w:ascii="Tahoma" w:hAnsi="Tahoma"/>
        </w:rPr>
        <w:t>settlement procedures;</w:t>
      </w:r>
    </w:p>
    <w:p w14:paraId="6C55B4A1" w14:textId="0E534E9D" w:rsidR="00C47C11" w:rsidRPr="005D0D3D" w:rsidRDefault="00C47C11" w:rsidP="00855526">
      <w:pPr>
        <w:pStyle w:val="ad"/>
        <w:numPr>
          <w:ilvl w:val="0"/>
          <w:numId w:val="12"/>
        </w:numPr>
        <w:tabs>
          <w:tab w:val="clear" w:pos="9000"/>
          <w:tab w:val="left" w:pos="709"/>
        </w:tabs>
        <w:spacing w:before="0"/>
        <w:ind w:right="57"/>
        <w:rPr>
          <w:rFonts w:ascii="Tahoma" w:hAnsi="Tahoma" w:cs="Tahoma"/>
        </w:rPr>
      </w:pPr>
      <w:r>
        <w:rPr>
          <w:rFonts w:ascii="Tahoma" w:hAnsi="Tahoma"/>
        </w:rPr>
        <w:t>currency of the contract price (the "Base Currency");</w:t>
      </w:r>
    </w:p>
    <w:p w14:paraId="0B6B0C3B" w14:textId="3FDDC46B" w:rsidR="007A0F10" w:rsidRPr="005D0D3D" w:rsidRDefault="007A0F10" w:rsidP="00855526">
      <w:pPr>
        <w:pStyle w:val="ad"/>
        <w:numPr>
          <w:ilvl w:val="0"/>
          <w:numId w:val="12"/>
        </w:numPr>
        <w:tabs>
          <w:tab w:val="clear" w:pos="9000"/>
          <w:tab w:val="left" w:pos="709"/>
        </w:tabs>
        <w:spacing w:before="0"/>
        <w:ind w:right="57"/>
        <w:rPr>
          <w:rFonts w:ascii="Tahoma" w:hAnsi="Tahoma" w:cs="Tahoma"/>
        </w:rPr>
      </w:pPr>
      <w:r>
        <w:rPr>
          <w:rFonts w:ascii="Tahoma" w:hAnsi="Tahoma"/>
        </w:rPr>
        <w:t>last Trading Day for the Contract;</w:t>
      </w:r>
    </w:p>
    <w:p w14:paraId="77C3B5B3" w14:textId="755B9542" w:rsidR="00311491" w:rsidRPr="005D0D3D" w:rsidRDefault="00311491" w:rsidP="00DE583B">
      <w:pPr>
        <w:tabs>
          <w:tab w:val="left" w:pos="0"/>
        </w:tabs>
        <w:spacing w:before="120"/>
        <w:jc w:val="both"/>
        <w:rPr>
          <w:rFonts w:ascii="Tahoma" w:hAnsi="Tahoma" w:cs="Tahoma"/>
          <w:sz w:val="20"/>
          <w:szCs w:val="20"/>
        </w:rPr>
      </w:pPr>
      <w:r>
        <w:rPr>
          <w:rFonts w:ascii="Tahoma" w:hAnsi="Tahoma"/>
          <w:sz w:val="20"/>
        </w:rPr>
        <w:t>The underlying assets of the Contracts the terms of which are determined in this Specification and in the List of Parameters shall be International Securities (the "International Securities").</w:t>
      </w:r>
    </w:p>
    <w:p w14:paraId="1EE67CD8" w14:textId="77777777" w:rsidR="00ED15C0" w:rsidRPr="005D0D3D" w:rsidRDefault="00ED15C0">
      <w:pPr>
        <w:pStyle w:val="a1"/>
        <w:numPr>
          <w:ilvl w:val="0"/>
          <w:numId w:val="0"/>
        </w:numPr>
        <w:tabs>
          <w:tab w:val="clear" w:pos="9000"/>
          <w:tab w:val="num" w:pos="709"/>
          <w:tab w:val="num" w:pos="1440"/>
        </w:tabs>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B501ABA" w14:textId="77777777" w:rsidR="0064425A" w:rsidRPr="005D0D3D" w:rsidRDefault="0064425A" w:rsidP="00DE583B">
      <w:pPr>
        <w:pStyle w:val="a0"/>
        <w:rPr>
          <w:rFonts w:ascii="Tahoma" w:hAnsi="Tahoma" w:cs="Tahoma"/>
        </w:rPr>
      </w:pPr>
      <w:r>
        <w:rPr>
          <w:rFonts w:ascii="Tahoma" w:hAnsi="Tahoma"/>
        </w:rPr>
        <w:t>Entering into the Contract</w:t>
      </w:r>
    </w:p>
    <w:p w14:paraId="1B1E0426" w14:textId="696C6159" w:rsidR="0064425A" w:rsidRPr="005D0D3D"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5D0D3D"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
    <w:p w14:paraId="1EC7689C" w14:textId="77777777" w:rsidR="006A37C8"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
    <w:p w14:paraId="201EAD67" w14:textId="5405111E" w:rsidR="001F0BE3"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p>
    <w:p w14:paraId="377594B0" w14:textId="54686B72" w:rsidR="0064425A" w:rsidRPr="005D0D3D" w:rsidRDefault="009346F5" w:rsidP="00DE583B">
      <w:pPr>
        <w:pStyle w:val="Pointmark"/>
        <w:tabs>
          <w:tab w:val="clear" w:pos="360"/>
          <w:tab w:val="num" w:pos="1260"/>
        </w:tabs>
        <w:autoSpaceDN/>
        <w:spacing w:before="0"/>
        <w:ind w:left="1259" w:hanging="357"/>
        <w:rPr>
          <w:rFonts w:ascii="Tahoma" w:hAnsi="Tahoma" w:cs="Tahoma"/>
        </w:rPr>
      </w:pPr>
      <w:r>
        <w:rPr>
          <w:rFonts w:ascii="Tahoma" w:hAnsi="Tahoma"/>
        </w:rPr>
        <w:t xml:space="preserve">the last Trading day for the Contract (the “Last Trading Day”). </w:t>
      </w:r>
    </w:p>
    <w:p w14:paraId="34D5E247" w14:textId="070A8EB7" w:rsidR="006A6D3C" w:rsidRPr="005D0D3D" w:rsidRDefault="00DE583B" w:rsidP="00DE583B">
      <w:pPr>
        <w:pStyle w:val="a1"/>
        <w:tabs>
          <w:tab w:val="num" w:pos="567"/>
        </w:tabs>
        <w:ind w:left="567" w:hanging="283"/>
        <w:rPr>
          <w:rFonts w:ascii="Tahoma" w:hAnsi="Tahoma" w:cs="Tahoma"/>
        </w:rPr>
      </w:pPr>
      <w:r>
        <w:rPr>
          <w:rFonts w:ascii="Tahoma" w:hAnsi="Tahoma"/>
        </w:rPr>
        <w:t xml:space="preserve"> The Contract code (designation) is formed as follows:</w:t>
      </w:r>
    </w:p>
    <w:p w14:paraId="71BBEB3E" w14:textId="5579EF4D" w:rsidR="00821879" w:rsidRPr="005D0D3D" w:rsidRDefault="00AB57D2" w:rsidP="00DE583B">
      <w:pPr>
        <w:pStyle w:val="ac"/>
        <w:tabs>
          <w:tab w:val="clear" w:pos="9000"/>
        </w:tabs>
        <w:spacing w:before="120"/>
        <w:rPr>
          <w:rFonts w:ascii="Tahoma" w:hAnsi="Tahoma" w:cs="Tahoma"/>
        </w:rPr>
      </w:pPr>
      <w:r>
        <w:rPr>
          <w:rFonts w:ascii="Tahoma" w:hAnsi="Tahoma"/>
        </w:rPr>
        <w:t>XXXX-&lt;settlement month</w:t>
      </w:r>
      <w:proofErr w:type="gramStart"/>
      <w:r>
        <w:rPr>
          <w:rFonts w:ascii="Tahoma" w:hAnsi="Tahoma"/>
        </w:rPr>
        <w:t>&gt;.&lt;</w:t>
      </w:r>
      <w:proofErr w:type="gramEnd"/>
      <w:r>
        <w:rPr>
          <w:rFonts w:ascii="Tahoma" w:hAnsi="Tahoma"/>
        </w:rPr>
        <w:t>settlement year&gt;, where ХХХХ – the main code of the underlying asset specified in the List of Parameters</w:t>
      </w:r>
      <w:r>
        <w:t>.</w:t>
      </w:r>
    </w:p>
    <w:p w14:paraId="1FEECED2" w14:textId="77777777" w:rsidR="006A6D3C" w:rsidRPr="005D0D3D"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5D0D3D"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6321D127" w14:textId="0127C821" w:rsidR="00821879" w:rsidRPr="005D0D3D" w:rsidRDefault="00987F32" w:rsidP="00DE583B">
      <w:pPr>
        <w:pStyle w:val="10"/>
        <w:tabs>
          <w:tab w:val="clear" w:pos="360"/>
          <w:tab w:val="clear" w:pos="1418"/>
          <w:tab w:val="clear" w:pos="9000"/>
          <w:tab w:val="num" w:pos="851"/>
        </w:tabs>
        <w:rPr>
          <w:rFonts w:ascii="Tahoma" w:hAnsi="Tahoma" w:cs="Tahoma"/>
        </w:rPr>
      </w:pPr>
      <w:r>
        <w:rPr>
          <w:rFonts w:ascii="Tahoma" w:hAnsi="Tahoma"/>
        </w:rPr>
        <w:t xml:space="preserve">The price of the Contract at the time of submitting orders and entering into the Contract shall be quoted in the Base Currency per Lot as defined in the List of Parameters. </w:t>
      </w:r>
    </w:p>
    <w:p w14:paraId="79D2622D" w14:textId="53CF7C48" w:rsidR="00281ED7" w:rsidRPr="005D0D3D" w:rsidRDefault="00281ED7">
      <w:pPr>
        <w:pStyle w:val="10"/>
        <w:tabs>
          <w:tab w:val="clear" w:pos="360"/>
          <w:tab w:val="clear" w:pos="9000"/>
        </w:tabs>
        <w:rPr>
          <w:rFonts w:ascii="Tahoma" w:hAnsi="Tahoma" w:cs="Tahoma"/>
        </w:rPr>
      </w:pPr>
      <w:r>
        <w:rPr>
          <w:rFonts w:ascii="Tahoma" w:hAnsi="Tahoma"/>
        </w:rPr>
        <w:lastRenderedPageBreak/>
        <w:t xml:space="preserve">The minimum price fluctuation for the Contract (the “tick”) is set out in the List of Parameters. </w:t>
      </w:r>
    </w:p>
    <w:p w14:paraId="513335B2" w14:textId="443D5847" w:rsidR="00B25483" w:rsidRPr="005D0D3D" w:rsidRDefault="00607117" w:rsidP="00B25483">
      <w:pPr>
        <w:pStyle w:val="10"/>
        <w:numPr>
          <w:ilvl w:val="2"/>
          <w:numId w:val="1"/>
        </w:numPr>
        <w:tabs>
          <w:tab w:val="clear" w:pos="1854"/>
          <w:tab w:val="clear" w:pos="9000"/>
          <w:tab w:val="num" w:pos="1418"/>
        </w:tabs>
        <w:ind w:left="1418" w:hanging="567"/>
        <w:rPr>
          <w:rFonts w:ascii="Tahoma" w:hAnsi="Tahoma" w:cs="Tahoma"/>
        </w:rPr>
      </w:pPr>
      <w:r>
        <w:rPr>
          <w:rFonts w:ascii="Tahoma" w:hAnsi="Tahoma"/>
        </w:rPr>
        <w:t>The tick value specified in the List of Parameters shall be calculated in Russian roubles at the exchange rate of the relevant Base Currency specified in the List of Parameters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70AF0E25" w14:textId="123B81B4" w:rsidR="00515030" w:rsidRPr="005D0D3D" w:rsidRDefault="00515030" w:rsidP="00515030">
      <w:pPr>
        <w:pStyle w:val="10"/>
        <w:numPr>
          <w:ilvl w:val="0"/>
          <w:numId w:val="0"/>
        </w:numPr>
        <w:tabs>
          <w:tab w:val="clear" w:pos="1418"/>
          <w:tab w:val="clear" w:pos="9000"/>
        </w:tabs>
        <w:ind w:left="1418"/>
        <w:rPr>
          <w:rFonts w:ascii="Tahoma" w:hAnsi="Tahoma" w:cs="Tahoma"/>
        </w:rPr>
      </w:pPr>
      <w:proofErr w:type="gramStart"/>
      <w:r>
        <w:rPr>
          <w:rFonts w:ascii="Tahoma" w:hAnsi="Tahoma"/>
        </w:rPr>
        <w:t>In the event that</w:t>
      </w:r>
      <w:proofErr w:type="gramEnd"/>
      <w:r>
        <w:rPr>
          <w:rFonts w:ascii="Tahoma" w:hAnsi="Tahoma"/>
        </w:rPr>
        <w:t xml:space="preserve"> the Base Currency exchange rate is below/above the specified limit, it is deemed to be equal to the lower/upper limit of the specified limit respectively.</w:t>
      </w:r>
    </w:p>
    <w:p w14:paraId="1D03988F" w14:textId="0FEB8A2B" w:rsidR="00240F3A" w:rsidRPr="005D0D3D" w:rsidRDefault="003C733D" w:rsidP="003C733D">
      <w:pPr>
        <w:pStyle w:val="Texttabtab"/>
        <w:spacing w:before="120"/>
        <w:ind w:left="1418"/>
        <w:rPr>
          <w:rFonts w:ascii="Tahoma" w:hAnsi="Tahoma" w:cs="Tahoma"/>
        </w:rPr>
      </w:pPr>
      <w:r>
        <w:rPr>
          <w:rFonts w:ascii="Tahoma" w:hAnsi="Tahoma"/>
        </w:rPr>
        <w:t>The time the Base Currency exchange rate is determined is set by the Exchange and published on the Exchange website.</w:t>
      </w:r>
    </w:p>
    <w:p w14:paraId="00406625" w14:textId="5A205ACD" w:rsidR="00C03FA8" w:rsidRPr="00C25767" w:rsidRDefault="00C03FA8" w:rsidP="008C527E">
      <w:pPr>
        <w:pStyle w:val="10"/>
        <w:rPr>
          <w:rFonts w:ascii="Tahoma" w:hAnsi="Tahoma" w:cs="Tahoma"/>
        </w:rPr>
      </w:pPr>
      <w:r>
        <w:rPr>
          <w:rFonts w:ascii="Tahoma" w:hAnsi="Tahoma"/>
        </w:rPr>
        <w:t xml:space="preserve">The Contract Lot shall be specified in the List of Parameters. </w:t>
      </w:r>
    </w:p>
    <w:p w14:paraId="3FB2C59E" w14:textId="795B8C6A" w:rsidR="00DC1DB8" w:rsidRPr="005D0D3D" w:rsidRDefault="00953CD0" w:rsidP="00DE583B">
      <w:pPr>
        <w:pStyle w:val="a1"/>
        <w:tabs>
          <w:tab w:val="num" w:pos="1418"/>
          <w:tab w:val="num" w:pos="2268"/>
        </w:tabs>
        <w:ind w:left="709" w:hanging="425"/>
        <w:rPr>
          <w:rFonts w:ascii="Tahoma" w:hAnsi="Tahoma" w:cs="Tahoma"/>
        </w:rPr>
      </w:pPr>
      <w:r>
        <w:rPr>
          <w:rFonts w:ascii="Tahoma" w:hAnsi="Tahoma"/>
        </w:rPr>
        <w:t>The last trading day for the Contract shall be specified in the List of Parameters. If the last trading day for the Contract is not a Trading Day, it is set to be the Trading Day immediately preceding the last trading day specified in the List of Parameters.</w:t>
      </w:r>
      <w:r>
        <w:rPr>
          <w:rFonts w:ascii="Tahoma" w:hAnsi="Tahoma"/>
        </w:rPr>
        <w:cr/>
      </w:r>
      <w:r>
        <w:rPr>
          <w:rFonts w:ascii="Tahoma" w:hAnsi="Tahoma"/>
        </w:rPr>
        <w:br/>
        <w:t xml:space="preserve"> The Exchange shall be entitled upon agreement with the Clearing Centre to set another date of the last trading day for the Contract, different from the one determined in accordance with the List of Parameters and this clause. </w:t>
      </w:r>
    </w:p>
    <w:p w14:paraId="0D63600D" w14:textId="547639E4" w:rsidR="00767E85" w:rsidRPr="005D0D3D"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62267AF0" w:rsidR="00767E85" w:rsidRPr="005D0D3D" w:rsidRDefault="00767E85">
      <w:pPr>
        <w:pStyle w:val="a1"/>
        <w:tabs>
          <w:tab w:val="num" w:pos="709"/>
        </w:tabs>
        <w:ind w:left="709" w:hanging="425"/>
        <w:rPr>
          <w:rFonts w:ascii="Tahoma" w:hAnsi="Tahoma" w:cs="Tahoma"/>
        </w:rPr>
      </w:pPr>
      <w:r>
        <w:rPr>
          <w:rFonts w:ascii="Tahoma" w:hAnsi="Tahoma"/>
        </w:rPr>
        <w:t>The calendar of last trading days and settlement days for the Contracts for the next 12 months is available on the Exchange website.</w:t>
      </w:r>
    </w:p>
    <w:p w14:paraId="68191507" w14:textId="389E867F" w:rsidR="00DC1DB8" w:rsidRPr="005D0D3D" w:rsidRDefault="0064425A" w:rsidP="00DE583B">
      <w:pPr>
        <w:pStyle w:val="a0"/>
        <w:rPr>
          <w:rFonts w:ascii="Tahoma" w:hAnsi="Tahoma" w:cs="Tahoma"/>
        </w:rPr>
      </w:pPr>
      <w:r>
        <w:rPr>
          <w:rFonts w:ascii="Tahoma" w:hAnsi="Tahoma"/>
        </w:rPr>
        <w:t>Obligations under the Contract</w:t>
      </w:r>
    </w:p>
    <w:p w14:paraId="271683F2" w14:textId="4597962A" w:rsidR="00DC1DB8" w:rsidRPr="005D0D3D" w:rsidRDefault="006B0BDD" w:rsidP="00DE583B">
      <w:pPr>
        <w:pStyle w:val="a1"/>
        <w:tabs>
          <w:tab w:val="num" w:pos="644"/>
        </w:tabs>
        <w:rPr>
          <w:rFonts w:ascii="Tahoma" w:hAnsi="Tahoma" w:cs="Tahoma"/>
        </w:rPr>
      </w:pPr>
      <w:r>
        <w:rPr>
          <w:rFonts w:ascii="Tahoma" w:hAnsi="Tahoma"/>
        </w:rPr>
        <w:t xml:space="preserve"> Variation Margin obligation.</w:t>
      </w:r>
    </w:p>
    <w:p w14:paraId="52B52C71" w14:textId="1E5E4B5E" w:rsidR="00DE698B" w:rsidRPr="005D0D3D"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Contract’s underlying. </w:t>
      </w:r>
    </w:p>
    <w:p w14:paraId="11808BE9" w14:textId="4D10739D" w:rsidR="001316FC" w:rsidRPr="005D0D3D"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5D0D3D" w:rsidRDefault="001316FC" w:rsidP="00DE583B">
      <w:pPr>
        <w:pStyle w:val="10"/>
        <w:rPr>
          <w:rFonts w:ascii="Tahoma" w:hAnsi="Tahoma" w:cs="Tahoma"/>
        </w:rPr>
      </w:pPr>
      <w:r>
        <w:rPr>
          <w:rFonts w:ascii="Tahoma" w:hAnsi="Tahoma"/>
        </w:rPr>
        <w:t>Variation margin is calculated according to the following formulas:</w:t>
      </w:r>
    </w:p>
    <w:p w14:paraId="1A661091" w14:textId="43298BA5" w:rsidR="00DF3D45" w:rsidRPr="005D0D3D"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1" w:name="_Ref249432111"/>
      <w:r>
        <w:rPr>
          <w:rFonts w:ascii="Tahoma" w:hAnsi="Tahoma"/>
        </w:rPr>
        <w:t>During the intraday clearing session:</w:t>
      </w:r>
      <w:bookmarkEnd w:id="1"/>
    </w:p>
    <w:p w14:paraId="5896384E" w14:textId="6F059447"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35F76002" w14:textId="27FCF1B4"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5D0D3D"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47E205CD" w14:textId="0E80DFB2" w:rsidR="00DF3D45" w:rsidRPr="005D0D3D" w:rsidRDefault="00BE6258" w:rsidP="00BE6258">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tick value is calculated using the Base Currency exchange rate determined at the time set by the Exchange and published on the Exchange website.</w:t>
      </w:r>
    </w:p>
    <w:p w14:paraId="45056376" w14:textId="7A9BE8B4" w:rsidR="00DF3D45" w:rsidRPr="005D0D3D"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 – tick size.</w:t>
      </w:r>
    </w:p>
    <w:p w14:paraId="0A145597"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7D0CA4C" w14:textId="5E029962" w:rsidR="00DF3D45" w:rsidRPr="005D0D3D"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6FED7B7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 xml:space="preserve">VM is determined according to the following formulas: </w:t>
      </w:r>
    </w:p>
    <w:p w14:paraId="04A70E88" w14:textId="77777777" w:rsidR="00DF3D45" w:rsidRPr="005D0D3D"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t>If the variation margin has not been calculated for the previous trading day in the evening clearing session:</w:t>
      </w:r>
    </w:p>
    <w:p w14:paraId="17E519CD" w14:textId="77777777" w:rsidR="00DF3D45" w:rsidRPr="005D0D3D"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5D0D3D"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 – tick size.</w:t>
      </w:r>
    </w:p>
    <w:p w14:paraId="51082D38" w14:textId="77777777" w:rsidR="00DF3D45" w:rsidRPr="005D0D3D"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5D0D3D"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tick size.</w:t>
      </w:r>
    </w:p>
    <w:p w14:paraId="327A3976" w14:textId="3BAE3404" w:rsidR="00AD5B75" w:rsidRPr="005D0D3D" w:rsidRDefault="00BE6258">
      <w:pPr>
        <w:spacing w:before="120"/>
        <w:ind w:left="1134"/>
        <w:jc w:val="both"/>
        <w:rPr>
          <w:rFonts w:ascii="Tahoma" w:hAnsi="Tahoma" w:cs="Tahoma"/>
          <w:sz w:val="20"/>
          <w:szCs w:val="20"/>
        </w:rPr>
      </w:pPr>
      <w:r>
        <w:rPr>
          <w:rFonts w:ascii="Tahoma" w:hAnsi="Tahoma"/>
          <w:sz w:val="20"/>
        </w:rPr>
        <w:t>To calculate the variation margin during the evening clearing session of the current Trading Day, the tick value is calculated using the Base Currency exchange rate determined at the time set by the Exchange and published on the Exchange website.</w:t>
      </w:r>
    </w:p>
    <w:p w14:paraId="10997A75" w14:textId="4BE99BD7" w:rsidR="00DB5C60" w:rsidRPr="005D0D3D"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5D0D3D"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7BA75F43" w14:textId="17EAAEBE" w:rsidR="000A455D" w:rsidRPr="005D0D3D"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010E1948" w:rsidR="00DB5C60" w:rsidRPr="005D0D3D"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5D0D3D" w:rsidRDefault="0064425A" w:rsidP="00DE583B">
      <w:pPr>
        <w:pStyle w:val="a0"/>
        <w:spacing w:line="360" w:lineRule="auto"/>
        <w:rPr>
          <w:rFonts w:ascii="Tahoma" w:hAnsi="Tahoma" w:cs="Tahoma"/>
        </w:rPr>
      </w:pPr>
      <w:r>
        <w:rPr>
          <w:rFonts w:ascii="Tahoma" w:hAnsi="Tahoma"/>
        </w:rPr>
        <w:t>Settlement obligation</w:t>
      </w:r>
    </w:p>
    <w:p w14:paraId="3F8FE8AD" w14:textId="6C2A3237" w:rsidR="00FF4039" w:rsidRPr="005D0D3D" w:rsidRDefault="00FF4039" w:rsidP="00DE583B">
      <w:pPr>
        <w:pStyle w:val="a1"/>
        <w:tabs>
          <w:tab w:val="clear" w:pos="786"/>
          <w:tab w:val="num" w:pos="1701"/>
          <w:tab w:val="num" w:pos="1985"/>
        </w:tabs>
        <w:ind w:left="851" w:hanging="425"/>
        <w:rPr>
          <w:rFonts w:ascii="Tahoma" w:hAnsi="Tahoma" w:cs="Tahoma"/>
        </w:rPr>
      </w:pPr>
      <w:r>
        <w:rPr>
          <w:rFonts w:ascii="Tahoma" w:hAnsi="Tahoma"/>
        </w:rPr>
        <w:t>The obligation to pay the variation margin as determined during the evening clearing session on the settlement date for the Contract, is the Settlement Obligation.</w:t>
      </w:r>
    </w:p>
    <w:p w14:paraId="4C5B0724" w14:textId="59DFB89C" w:rsidR="00FF4039" w:rsidRPr="005D0D3D" w:rsidRDefault="00217B6B" w:rsidP="00332A24">
      <w:pPr>
        <w:pStyle w:val="a1"/>
        <w:tabs>
          <w:tab w:val="clear" w:pos="786"/>
          <w:tab w:val="num" w:pos="1134"/>
          <w:tab w:val="num" w:pos="1701"/>
          <w:tab w:val="num" w:pos="1985"/>
        </w:tabs>
        <w:ind w:left="851" w:hanging="425"/>
        <w:rPr>
          <w:rFonts w:ascii="Tahoma" w:hAnsi="Tahoma" w:cs="Tahoma"/>
        </w:rPr>
      </w:pPr>
      <w:r>
        <w:rPr>
          <w:rFonts w:ascii="Tahoma" w:hAnsi="Tahoma"/>
        </w:rPr>
        <w:t>For the purpose of determining the Settlement Obligation, the current Settlement Price of the Contract (the Execution Price) shall be determined in accordance with the procedure for calculating the current Settlement Price of the Contract set forth in the List of Parameters.</w:t>
      </w:r>
    </w:p>
    <w:p w14:paraId="3A8CB7A7" w14:textId="3AF33652" w:rsidR="00B721BC" w:rsidRPr="005D0D3D" w:rsidRDefault="008272EF" w:rsidP="008272EF">
      <w:pPr>
        <w:pStyle w:val="a1"/>
        <w:numPr>
          <w:ilvl w:val="1"/>
          <w:numId w:val="1"/>
        </w:numPr>
        <w:tabs>
          <w:tab w:val="clear" w:pos="786"/>
          <w:tab w:val="num" w:pos="1134"/>
        </w:tabs>
        <w:ind w:left="851" w:hanging="425"/>
        <w:rPr>
          <w:rFonts w:ascii="Tahoma" w:hAnsi="Tahoma" w:cs="Tahoma"/>
        </w:rPr>
      </w:pPr>
      <w:r>
        <w:rPr>
          <w:rFonts w:ascii="Tahoma" w:hAnsi="Tahoma"/>
        </w:rPr>
        <w:t xml:space="preserve"> If an hour before the end of the evening Settlement Period of the day of performance of the Contract the necessary values specified in the List of Parameters for determining the Settlement Price (price of performance) of the Contract have not been published by the respective information agency, the last published by the respective information agency values shall be used to determine the Settlement Price (price of performance) of the Contract, unless otherwise decided by the Exchange in accordance with clauses 6.1 - 6.2 of the Specification.</w:t>
      </w:r>
    </w:p>
    <w:p w14:paraId="0D7CB8E9" w14:textId="5484860C" w:rsidR="00BD1676" w:rsidRPr="005D0D3D" w:rsidRDefault="008272EF" w:rsidP="00DE583B">
      <w:pPr>
        <w:pStyle w:val="a1"/>
        <w:tabs>
          <w:tab w:val="num" w:pos="1134"/>
        </w:tabs>
        <w:ind w:left="851" w:hanging="425"/>
        <w:rPr>
          <w:rFonts w:ascii="Tahoma" w:hAnsi="Tahoma" w:cs="Tahoma"/>
        </w:rPr>
      </w:pPr>
      <w:r>
        <w:rPr>
          <w:rFonts w:ascii="Tahoma" w:hAnsi="Tahoma"/>
        </w:rPr>
        <w:t xml:space="preserve"> For the purpose of determining the Settlement Obligation, the tick value is calculated using the Base Currency exchange rate determined at the time set by the Exchange and published on the Exchange website.  </w:t>
      </w:r>
    </w:p>
    <w:p w14:paraId="66B7AC73" w14:textId="77777777" w:rsidR="00A83A8E" w:rsidRPr="005D0D3D"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5D0D3D"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5D0D3D" w:rsidRDefault="00FF7A9B" w:rsidP="00DE583B">
      <w:pPr>
        <w:pStyle w:val="a1"/>
        <w:tabs>
          <w:tab w:val="num" w:pos="993"/>
        </w:tabs>
        <w:spacing w:before="240" w:after="120"/>
        <w:ind w:left="426" w:firstLine="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5D0D3D"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entering into an offsetting Contract with the same Contract code (designation), subject to the procedures and time frames set forth in the Clearing Rules.</w:t>
      </w:r>
    </w:p>
    <w:p w14:paraId="00BFFD4F" w14:textId="4462083D" w:rsidR="0064425A" w:rsidRPr="005D0D3D"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60656A7B" w14:textId="77777777" w:rsidR="0064425A" w:rsidRPr="005D0D3D" w:rsidRDefault="0064425A" w:rsidP="00DE583B">
      <w:pPr>
        <w:pStyle w:val="a0"/>
        <w:spacing w:after="120"/>
        <w:ind w:left="284" w:hanging="284"/>
        <w:jc w:val="left"/>
        <w:rPr>
          <w:rFonts w:ascii="Tahoma" w:hAnsi="Tahoma" w:cs="Tahoma"/>
        </w:rPr>
      </w:pPr>
      <w:r>
        <w:rPr>
          <w:rFonts w:ascii="Tahoma" w:hAnsi="Tahoma"/>
        </w:rPr>
        <w:t>Liability of the parties for failure to perform the obligations under the Contract</w:t>
      </w:r>
    </w:p>
    <w:p w14:paraId="3C7B6DEB" w14:textId="2DB73B94" w:rsidR="0064425A" w:rsidRPr="005D0D3D" w:rsidRDefault="006D5208" w:rsidP="004E248A">
      <w:pPr>
        <w:pStyle w:val="a1"/>
        <w:tabs>
          <w:tab w:val="num" w:pos="851"/>
        </w:tabs>
        <w:autoSpaceDE/>
        <w:autoSpaceDN/>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432F445A" w14:textId="77777777" w:rsidR="0064425A" w:rsidRPr="005D0D3D" w:rsidRDefault="0064425A" w:rsidP="00DE583B">
      <w:pPr>
        <w:pStyle w:val="a0"/>
        <w:spacing w:after="120"/>
        <w:ind w:left="284" w:hanging="284"/>
        <w:jc w:val="left"/>
        <w:rPr>
          <w:rFonts w:ascii="Tahoma" w:hAnsi="Tahoma" w:cs="Tahoma"/>
        </w:rPr>
      </w:pPr>
      <w:r>
        <w:rPr>
          <w:rFonts w:ascii="Tahoma" w:hAnsi="Tahoma"/>
        </w:rPr>
        <w:t>Special provisions</w:t>
      </w:r>
    </w:p>
    <w:p w14:paraId="68746177" w14:textId="52466592" w:rsidR="001B0592" w:rsidRPr="005D0D3D" w:rsidRDefault="000C2BE9" w:rsidP="001B0592">
      <w:pPr>
        <w:pStyle w:val="a1"/>
        <w:numPr>
          <w:ilvl w:val="1"/>
          <w:numId w:val="25"/>
        </w:numPr>
        <w:tabs>
          <w:tab w:val="clear" w:pos="786"/>
          <w:tab w:val="clear" w:pos="9000"/>
          <w:tab w:val="num" w:pos="851"/>
        </w:tabs>
        <w:ind w:left="851" w:hanging="425"/>
        <w:rPr>
          <w:rFonts w:ascii="Tahoma" w:hAnsi="Tahoma" w:cs="Tahoma"/>
        </w:rPr>
      </w:pPr>
      <w:r>
        <w:t>In the event of circumstances that lead to a significant change in the conditions of the Contract performance stipulated by the Specification, including in case of suspension/termination of publication of the values required to determine the Settlement Price (Execution Price) of the Contract, as well as in case if the previously published values required to determine the Settlement Price (Execution Price) of the Contract were changed by the respective information agency, the Exchange shall have the right to make one or more of the following decisions:</w:t>
      </w:r>
    </w:p>
    <w:p w14:paraId="53CC0CAA"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last trading date for the Contract,</w:t>
      </w:r>
    </w:p>
    <w:p w14:paraId="560EA7F4"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settlement date for the Contract,</w:t>
      </w:r>
    </w:p>
    <w:p w14:paraId="0B4E1F73"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current (last) settlement price, and/or amend the calculation method for the variation margin and/or rules pertaining to its transfer,</w:t>
      </w:r>
    </w:p>
    <w:p w14:paraId="44BE8A60" w14:textId="5ED59BE4" w:rsidR="000C2BE9" w:rsidRPr="005D0D3D" w:rsidRDefault="001B0592" w:rsidP="001B0592">
      <w:pPr>
        <w:pStyle w:val="10"/>
        <w:numPr>
          <w:ilvl w:val="2"/>
          <w:numId w:val="1"/>
        </w:numPr>
        <w:tabs>
          <w:tab w:val="clear" w:pos="1854"/>
          <w:tab w:val="clear" w:pos="9000"/>
          <w:tab w:val="num" w:pos="720"/>
          <w:tab w:val="left" w:pos="1985"/>
          <w:tab w:val="num" w:pos="2127"/>
        </w:tabs>
        <w:spacing w:before="60"/>
        <w:ind w:left="1418" w:hanging="567"/>
        <w:rPr>
          <w:rFonts w:ascii="Tahoma" w:hAnsi="Tahoma" w:cs="Tahoma"/>
        </w:rPr>
      </w:pPr>
      <w:r>
        <w:rPr>
          <w:rFonts w:ascii="Tahoma" w:hAnsi="Tahoma"/>
        </w:rPr>
        <w:t>undertake other actions provided for in the Trading Rules.</w:t>
      </w:r>
    </w:p>
    <w:p w14:paraId="5E684B60" w14:textId="76FE0C8F" w:rsidR="009D64A3" w:rsidRPr="005D0D3D" w:rsidRDefault="00216A8E" w:rsidP="00DE583B">
      <w:pPr>
        <w:pStyle w:val="a1"/>
        <w:tabs>
          <w:tab w:val="clear" w:pos="9000"/>
          <w:tab w:val="left" w:pos="709"/>
        </w:tabs>
        <w:ind w:left="851" w:hanging="425"/>
        <w:rPr>
          <w:rFonts w:ascii="Tahoma" w:hAnsi="Tahoma" w:cs="Tahoma"/>
        </w:rPr>
      </w:pPr>
      <w:r>
        <w:rPr>
          <w:rFonts w:ascii="Tahoma" w:hAnsi="Tahoma"/>
        </w:rPr>
        <w:t xml:space="preserve"> The Exchange, upon agreement with the NCC, may alter the last trading date and/or the final settlement date for the Contract with a specific code, if the last trading date is declared a public holiday by order of the competent authority of the Russian Federation.</w:t>
      </w:r>
    </w:p>
    <w:p w14:paraId="62209B68" w14:textId="5A8A72DE" w:rsidR="00C91C90"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Any changes adopted by the Exchange pursuant to Sections 6.1-6.2 above will be published on the Exchange website at least 3 (three) trading days prior to their taking effect, which serves as notice to the Trading Members. If circumstances that may give rise to decisions set out in Sections 6.1-6.2 above occur less than 3 (three) trading days before the last trading day for the Contract, these decisions are announced on the Exchange website at the moment they come into force or earlier.</w:t>
      </w:r>
    </w:p>
    <w:p w14:paraId="17F6D673" w14:textId="37698ADB" w:rsidR="0064425A"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As soon as the change(s) adopted by the Exchange, pursuant to Sections 6.1-6.2 above, come(s) into effect, the terms of existing Contracts previously </w:t>
      </w:r>
      <w:proofErr w:type="gramStart"/>
      <w:r>
        <w:rPr>
          <w:rFonts w:ascii="Tahoma" w:hAnsi="Tahoma"/>
        </w:rPr>
        <w:t>entered into</w:t>
      </w:r>
      <w:proofErr w:type="gramEnd"/>
      <w:r>
        <w:rPr>
          <w:rFonts w:ascii="Tahoma" w:hAnsi="Tahoma"/>
        </w:rPr>
        <w:t xml:space="preserve"> will be deemed to have been amended in accordance with the aforementioned change(s).</w:t>
      </w:r>
    </w:p>
    <w:p w14:paraId="738DC24E" w14:textId="1F77B9EA" w:rsidR="00C3764B" w:rsidRPr="005D0D3D" w:rsidRDefault="00220C8C" w:rsidP="00DE583B">
      <w:pPr>
        <w:pStyle w:val="a1"/>
        <w:tabs>
          <w:tab w:val="clear" w:pos="9000"/>
          <w:tab w:val="left" w:pos="426"/>
        </w:tabs>
        <w:ind w:left="851" w:hanging="425"/>
        <w:rPr>
          <w:rFonts w:ascii="Tahoma" w:hAnsi="Tahoma" w:cs="Tahoma"/>
        </w:rPr>
      </w:pPr>
      <w:bookmarkStart w:id="2" w:name="_Ref152644934"/>
      <w:r>
        <w:rPr>
          <w:rFonts w:ascii="Tahoma" w:hAnsi="Tahoma"/>
        </w:rPr>
        <w:t xml:space="preserve"> </w:t>
      </w:r>
      <w:bookmarkEnd w:id="2"/>
      <w:proofErr w:type="gramStart"/>
      <w:r>
        <w:t>In the event that</w:t>
      </w:r>
      <w:proofErr w:type="gramEnd"/>
      <w:r>
        <w:t xml:space="preserve"> the Securities cease to meet the requirements of the Bank of Russia for the underlying asset of a derivative contract, the terms of the obligations under the previously concluded Contracts shall remain unchanged.</w:t>
      </w:r>
    </w:p>
    <w:p w14:paraId="206423F2" w14:textId="4CB587B1" w:rsidR="0064425A" w:rsidRPr="005D0D3D" w:rsidRDefault="0064425A">
      <w:pPr>
        <w:pStyle w:val="a0"/>
        <w:spacing w:after="120"/>
        <w:ind w:left="284" w:hanging="284"/>
        <w:rPr>
          <w:rFonts w:ascii="Tahoma" w:hAnsi="Tahoma" w:cs="Tahoma"/>
        </w:rPr>
      </w:pPr>
      <w:r>
        <w:rPr>
          <w:rFonts w:ascii="Tahoma" w:hAnsi="Tahoma"/>
        </w:rPr>
        <w:t>Amendments and Supplements to the Specification</w:t>
      </w:r>
    </w:p>
    <w:p w14:paraId="3CC3CD43" w14:textId="216DDB51"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EA64EB8" w14:textId="0E836F6C"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Any amendments and supplements hereto come into force as from the Exchange has put into effect the Specifications containing such amendments and supplements, upon registration thereof with the Bank of Russia in accordance with established procedures.</w:t>
      </w:r>
    </w:p>
    <w:p w14:paraId="0D26B859" w14:textId="6356302A"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Specification as amended and supplemented from time to tome is published on the Exchange website at least 3 (three) business days before it takes effect, which serves as notice to trading members.</w:t>
      </w:r>
    </w:p>
    <w:p w14:paraId="217AD718" w14:textId="0B03917B" w:rsidR="00166D3D" w:rsidRDefault="00216A8E" w:rsidP="00DE583B">
      <w:pPr>
        <w:pStyle w:val="a1"/>
        <w:tabs>
          <w:tab w:val="clear" w:pos="9000"/>
          <w:tab w:val="num" w:pos="851"/>
        </w:tabs>
        <w:spacing w:before="0" w:after="60"/>
        <w:ind w:left="851" w:hanging="425"/>
        <w:rPr>
          <w:rFonts w:ascii="Tahoma" w:hAnsi="Tahoma" w:cs="Tahoma"/>
        </w:rPr>
      </w:pPr>
      <w:r>
        <w:rPr>
          <w:rFonts w:ascii="Tahoma" w:hAnsi="Tahoma"/>
        </w:rPr>
        <w:t xml:space="preserve"> 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2F0CD70" w14:textId="0B060C8B" w:rsidR="000429E3" w:rsidRDefault="000429E3">
      <w:pPr>
        <w:autoSpaceDE/>
        <w:autoSpaceDN/>
        <w:rPr>
          <w:rFonts w:ascii="Tahoma" w:hAnsi="Tahoma" w:cs="Tahoma"/>
          <w:sz w:val="20"/>
          <w:szCs w:val="20"/>
        </w:rPr>
      </w:pPr>
      <w:r>
        <w:br w:type="page"/>
      </w:r>
    </w:p>
    <w:p w14:paraId="26358F44" w14:textId="77777777" w:rsidR="000429E3" w:rsidRDefault="000429E3" w:rsidP="000429E3">
      <w:pPr>
        <w:pStyle w:val="a1"/>
        <w:numPr>
          <w:ilvl w:val="0"/>
          <w:numId w:val="0"/>
        </w:numPr>
        <w:tabs>
          <w:tab w:val="clear" w:pos="9000"/>
          <w:tab w:val="num" w:pos="851"/>
        </w:tabs>
        <w:spacing w:before="0" w:after="60"/>
        <w:ind w:left="851"/>
        <w:rPr>
          <w:rFonts w:ascii="Tahoma" w:hAnsi="Tahoma" w:cs="Tahoma"/>
        </w:rPr>
        <w:sectPr w:rsidR="000429E3" w:rsidSect="006965D8">
          <w:headerReference w:type="default" r:id="rId11"/>
          <w:footerReference w:type="even" r:id="rId12"/>
          <w:footerReference w:type="default" r:id="rId13"/>
          <w:headerReference w:type="first" r:id="rId14"/>
          <w:pgSz w:w="11906" w:h="16838"/>
          <w:pgMar w:top="1134" w:right="850" w:bottom="1134" w:left="993" w:header="708" w:footer="708" w:gutter="0"/>
          <w:cols w:space="708"/>
          <w:docGrid w:linePitch="360"/>
        </w:sectPr>
      </w:pPr>
    </w:p>
    <w:p w14:paraId="5CC430E1" w14:textId="77777777" w:rsidR="00264959" w:rsidRDefault="00264959" w:rsidP="000805E6">
      <w:pPr>
        <w:pStyle w:val="a8"/>
        <w:keepNext/>
        <w:widowControl w:val="0"/>
        <w:ind w:right="11"/>
        <w:jc w:val="center"/>
        <w:rPr>
          <w:rFonts w:ascii="Tahoma" w:hAnsi="Tahoma" w:cs="Tahoma"/>
          <w:b/>
          <w:bCs/>
          <w:sz w:val="22"/>
          <w:szCs w:val="22"/>
        </w:rPr>
      </w:pPr>
    </w:p>
    <w:p w14:paraId="3D44B017" w14:textId="7E715483" w:rsidR="000429E3" w:rsidRPr="00E93EA5" w:rsidRDefault="000429E3" w:rsidP="000805E6">
      <w:pPr>
        <w:pStyle w:val="a8"/>
        <w:keepNext/>
        <w:widowControl w:val="0"/>
        <w:ind w:right="11"/>
        <w:jc w:val="center"/>
        <w:rPr>
          <w:rFonts w:ascii="Tahoma" w:hAnsi="Tahoma" w:cs="Tahoma"/>
          <w:b/>
          <w:bCs/>
          <w:sz w:val="22"/>
          <w:szCs w:val="22"/>
        </w:rPr>
      </w:pPr>
      <w:r>
        <w:rPr>
          <w:rFonts w:ascii="Tahoma" w:hAnsi="Tahoma"/>
          <w:b/>
          <w:sz w:val="22"/>
        </w:rPr>
        <w:t xml:space="preserve">LIST OF PARAMETERS FOR FINANCYALLY SETTLED INTERNATIONAL SECURITIES FUTURES CONTRACTS </w:t>
      </w:r>
    </w:p>
    <w:p w14:paraId="0F243228" w14:textId="77777777" w:rsidR="000429E3" w:rsidRDefault="000429E3" w:rsidP="000805E6">
      <w:pPr>
        <w:pStyle w:val="a8"/>
        <w:keepNext/>
        <w:widowControl w:val="0"/>
        <w:spacing w:before="0" w:after="0"/>
        <w:ind w:right="11"/>
        <w:jc w:val="center"/>
        <w:rPr>
          <w:rFonts w:ascii="Tahoma" w:hAnsi="Tahoma" w:cs="Tahoma"/>
          <w:b/>
          <w:bCs/>
          <w:sz w:val="22"/>
          <w:szCs w:val="22"/>
        </w:rPr>
      </w:pPr>
    </w:p>
    <w:tbl>
      <w:tblPr>
        <w:tblStyle w:val="aff6"/>
        <w:tblpPr w:leftFromText="180" w:rightFromText="180" w:vertAnchor="text" w:horzAnchor="margin" w:tblpXSpec="center" w:tblpY="535"/>
        <w:tblW w:w="16034" w:type="dxa"/>
        <w:tblLayout w:type="fixed"/>
        <w:tblLook w:val="04A0" w:firstRow="1" w:lastRow="0" w:firstColumn="1" w:lastColumn="0" w:noHBand="0" w:noVBand="1"/>
      </w:tblPr>
      <w:tblGrid>
        <w:gridCol w:w="494"/>
        <w:gridCol w:w="1911"/>
        <w:gridCol w:w="1397"/>
        <w:gridCol w:w="2004"/>
        <w:gridCol w:w="1905"/>
        <w:gridCol w:w="1356"/>
        <w:gridCol w:w="1402"/>
        <w:gridCol w:w="2803"/>
        <w:gridCol w:w="1145"/>
        <w:gridCol w:w="1617"/>
      </w:tblGrid>
      <w:tr w:rsidR="000805E6" w:rsidRPr="00812C8E" w14:paraId="390AC295" w14:textId="77777777" w:rsidTr="00E74464">
        <w:trPr>
          <w:trHeight w:val="1730"/>
        </w:trPr>
        <w:tc>
          <w:tcPr>
            <w:tcW w:w="494" w:type="dxa"/>
            <w:vAlign w:val="center"/>
          </w:tcPr>
          <w:p w14:paraId="1554371C" w14:textId="77777777" w:rsidR="000805E6" w:rsidRPr="00812C8E" w:rsidRDefault="000805E6" w:rsidP="000805E6">
            <w:pPr>
              <w:jc w:val="center"/>
              <w:rPr>
                <w:rFonts w:ascii="Tahoma" w:hAnsi="Tahoma" w:cs="Tahoma"/>
                <w:b/>
                <w:sz w:val="18"/>
                <w:szCs w:val="18"/>
              </w:rPr>
            </w:pPr>
            <w:r>
              <w:rPr>
                <w:rFonts w:ascii="Tahoma" w:hAnsi="Tahoma"/>
                <w:b/>
                <w:sz w:val="18"/>
              </w:rPr>
              <w:t>No.</w:t>
            </w:r>
          </w:p>
        </w:tc>
        <w:tc>
          <w:tcPr>
            <w:tcW w:w="1911" w:type="dxa"/>
            <w:vAlign w:val="center"/>
          </w:tcPr>
          <w:p w14:paraId="5AD2E751" w14:textId="77777777" w:rsidR="000805E6" w:rsidRPr="007D294F" w:rsidRDefault="000805E6" w:rsidP="000805E6">
            <w:pPr>
              <w:jc w:val="center"/>
              <w:rPr>
                <w:rFonts w:ascii="Tahoma" w:hAnsi="Tahoma" w:cs="Tahoma"/>
                <w:b/>
                <w:sz w:val="14"/>
                <w:szCs w:val="14"/>
              </w:rPr>
            </w:pPr>
            <w:r>
              <w:rPr>
                <w:rFonts w:ascii="Tahoma" w:hAnsi="Tahoma"/>
                <w:b/>
                <w:sz w:val="14"/>
              </w:rPr>
              <w:t>Name of contract</w:t>
            </w:r>
          </w:p>
        </w:tc>
        <w:tc>
          <w:tcPr>
            <w:tcW w:w="1397" w:type="dxa"/>
            <w:vAlign w:val="center"/>
          </w:tcPr>
          <w:p w14:paraId="6800E677" w14:textId="77777777" w:rsidR="000805E6" w:rsidRPr="007D294F" w:rsidRDefault="000805E6" w:rsidP="000805E6">
            <w:pPr>
              <w:jc w:val="center"/>
              <w:rPr>
                <w:rFonts w:ascii="Tahoma" w:hAnsi="Tahoma" w:cs="Tahoma"/>
                <w:b/>
                <w:sz w:val="14"/>
                <w:szCs w:val="14"/>
              </w:rPr>
            </w:pPr>
            <w:r>
              <w:rPr>
                <w:rFonts w:ascii="Tahoma" w:hAnsi="Tahoma"/>
                <w:b/>
                <w:sz w:val="14"/>
              </w:rPr>
              <w:t>Main code of the underlying asset</w:t>
            </w:r>
          </w:p>
        </w:tc>
        <w:tc>
          <w:tcPr>
            <w:tcW w:w="2004" w:type="dxa"/>
            <w:vAlign w:val="center"/>
          </w:tcPr>
          <w:p w14:paraId="05964D7C" w14:textId="77777777" w:rsidR="000805E6" w:rsidRPr="007D294F" w:rsidRDefault="000805E6" w:rsidP="000805E6">
            <w:pPr>
              <w:jc w:val="center"/>
              <w:rPr>
                <w:rFonts w:ascii="Tahoma" w:hAnsi="Tahoma" w:cs="Tahoma"/>
                <w:b/>
                <w:sz w:val="14"/>
                <w:szCs w:val="14"/>
              </w:rPr>
            </w:pPr>
            <w:r>
              <w:rPr>
                <w:rFonts w:ascii="Tahoma" w:hAnsi="Tahoma"/>
                <w:b/>
                <w:sz w:val="14"/>
              </w:rPr>
              <w:t>Underlying asset</w:t>
            </w:r>
          </w:p>
        </w:tc>
        <w:tc>
          <w:tcPr>
            <w:tcW w:w="1905" w:type="dxa"/>
            <w:vAlign w:val="center"/>
          </w:tcPr>
          <w:p w14:paraId="722730E3" w14:textId="77777777" w:rsidR="000805E6" w:rsidRPr="007D294F" w:rsidRDefault="000805E6" w:rsidP="000805E6">
            <w:pPr>
              <w:jc w:val="center"/>
              <w:rPr>
                <w:rFonts w:ascii="Tahoma" w:hAnsi="Tahoma" w:cs="Tahoma"/>
                <w:b/>
                <w:sz w:val="14"/>
                <w:szCs w:val="14"/>
              </w:rPr>
            </w:pPr>
            <w:r>
              <w:rPr>
                <w:rFonts w:ascii="Tahoma" w:hAnsi="Tahoma"/>
                <w:b/>
                <w:sz w:val="14"/>
              </w:rPr>
              <w:t>Contract lot</w:t>
            </w:r>
          </w:p>
        </w:tc>
        <w:tc>
          <w:tcPr>
            <w:tcW w:w="1356" w:type="dxa"/>
            <w:vAlign w:val="center"/>
          </w:tcPr>
          <w:p w14:paraId="648B600F" w14:textId="77777777" w:rsidR="000805E6" w:rsidRPr="007D294F" w:rsidRDefault="000805E6" w:rsidP="000805E6">
            <w:pPr>
              <w:jc w:val="center"/>
              <w:rPr>
                <w:rFonts w:ascii="Tahoma" w:hAnsi="Tahoma" w:cs="Tahoma"/>
                <w:b/>
                <w:sz w:val="14"/>
                <w:szCs w:val="14"/>
              </w:rPr>
            </w:pPr>
            <w:r>
              <w:rPr>
                <w:rFonts w:ascii="Tahoma" w:hAnsi="Tahoma"/>
                <w:b/>
                <w:sz w:val="14"/>
              </w:rPr>
              <w:t>Tick</w:t>
            </w:r>
          </w:p>
        </w:tc>
        <w:tc>
          <w:tcPr>
            <w:tcW w:w="1402" w:type="dxa"/>
            <w:vAlign w:val="center"/>
          </w:tcPr>
          <w:p w14:paraId="51F1195B" w14:textId="77777777" w:rsidR="000805E6" w:rsidRPr="007D294F" w:rsidRDefault="000805E6" w:rsidP="000805E6">
            <w:pPr>
              <w:jc w:val="center"/>
              <w:rPr>
                <w:rFonts w:ascii="Tahoma" w:hAnsi="Tahoma" w:cs="Tahoma"/>
                <w:b/>
                <w:sz w:val="14"/>
                <w:szCs w:val="14"/>
              </w:rPr>
            </w:pPr>
            <w:r>
              <w:rPr>
                <w:rFonts w:ascii="Tahoma" w:hAnsi="Tahoma"/>
                <w:b/>
                <w:sz w:val="14"/>
              </w:rPr>
              <w:t>Tick value</w:t>
            </w:r>
          </w:p>
        </w:tc>
        <w:tc>
          <w:tcPr>
            <w:tcW w:w="2803" w:type="dxa"/>
            <w:vAlign w:val="center"/>
          </w:tcPr>
          <w:p w14:paraId="2966A634" w14:textId="49B80B67" w:rsidR="000805E6" w:rsidRPr="007D294F" w:rsidRDefault="000805E6" w:rsidP="000805E6">
            <w:pPr>
              <w:jc w:val="center"/>
              <w:rPr>
                <w:rFonts w:ascii="Tahoma" w:hAnsi="Tahoma" w:cs="Tahoma"/>
                <w:b/>
                <w:sz w:val="14"/>
                <w:szCs w:val="14"/>
              </w:rPr>
            </w:pPr>
            <w:r>
              <w:rPr>
                <w:rFonts w:ascii="Tahoma" w:hAnsi="Tahoma"/>
                <w:b/>
                <w:sz w:val="14"/>
              </w:rPr>
              <w:t>Settlement procedures</w:t>
            </w:r>
          </w:p>
        </w:tc>
        <w:tc>
          <w:tcPr>
            <w:tcW w:w="1145" w:type="dxa"/>
            <w:vAlign w:val="center"/>
          </w:tcPr>
          <w:p w14:paraId="6202F32D" w14:textId="77777777" w:rsidR="000805E6" w:rsidRPr="007D294F" w:rsidRDefault="000805E6" w:rsidP="000805E6">
            <w:pPr>
              <w:jc w:val="center"/>
              <w:rPr>
                <w:rFonts w:ascii="Tahoma" w:hAnsi="Tahoma" w:cs="Tahoma"/>
                <w:b/>
                <w:sz w:val="14"/>
                <w:szCs w:val="14"/>
              </w:rPr>
            </w:pPr>
            <w:r>
              <w:rPr>
                <w:rFonts w:ascii="Tahoma" w:hAnsi="Tahoma"/>
                <w:b/>
                <w:sz w:val="14"/>
              </w:rPr>
              <w:t>Base currency</w:t>
            </w:r>
          </w:p>
          <w:p w14:paraId="263800D5" w14:textId="77777777" w:rsidR="000805E6" w:rsidRPr="007D294F" w:rsidRDefault="000805E6" w:rsidP="000805E6">
            <w:pPr>
              <w:rPr>
                <w:rFonts w:ascii="Tahoma" w:hAnsi="Tahoma" w:cs="Tahoma"/>
                <w:b/>
                <w:sz w:val="14"/>
                <w:szCs w:val="14"/>
              </w:rPr>
            </w:pPr>
          </w:p>
        </w:tc>
        <w:tc>
          <w:tcPr>
            <w:tcW w:w="1617" w:type="dxa"/>
            <w:vAlign w:val="center"/>
          </w:tcPr>
          <w:p w14:paraId="4D84AC0B" w14:textId="77777777" w:rsidR="000805E6" w:rsidRPr="007D294F" w:rsidRDefault="000805E6" w:rsidP="000805E6">
            <w:pPr>
              <w:jc w:val="center"/>
              <w:rPr>
                <w:rFonts w:ascii="Tahoma" w:hAnsi="Tahoma" w:cs="Tahoma"/>
                <w:b/>
                <w:sz w:val="14"/>
                <w:szCs w:val="14"/>
              </w:rPr>
            </w:pPr>
            <w:r>
              <w:rPr>
                <w:rFonts w:ascii="Tahoma" w:hAnsi="Tahoma"/>
                <w:b/>
                <w:sz w:val="14"/>
              </w:rPr>
              <w:t>Last trading day</w:t>
            </w:r>
          </w:p>
        </w:tc>
      </w:tr>
      <w:tr w:rsidR="000805E6" w:rsidRPr="00812C8E" w14:paraId="4222D9A6" w14:textId="77777777" w:rsidTr="00E74464">
        <w:trPr>
          <w:trHeight w:val="1730"/>
        </w:trPr>
        <w:tc>
          <w:tcPr>
            <w:tcW w:w="494" w:type="dxa"/>
            <w:vAlign w:val="center"/>
          </w:tcPr>
          <w:p w14:paraId="6CD791A3" w14:textId="77777777" w:rsidR="000805E6" w:rsidRPr="000429E3" w:rsidRDefault="000805E6" w:rsidP="000805E6">
            <w:pPr>
              <w:rPr>
                <w:rFonts w:ascii="Tahoma" w:hAnsi="Tahoma" w:cs="Tahoma"/>
                <w:bCs/>
                <w:sz w:val="16"/>
                <w:szCs w:val="16"/>
              </w:rPr>
            </w:pPr>
            <w:r>
              <w:rPr>
                <w:rFonts w:ascii="Tahoma" w:hAnsi="Tahoma"/>
                <w:sz w:val="16"/>
              </w:rPr>
              <w:t>1.</w:t>
            </w:r>
          </w:p>
        </w:tc>
        <w:tc>
          <w:tcPr>
            <w:tcW w:w="1911" w:type="dxa"/>
            <w:vAlign w:val="center"/>
          </w:tcPr>
          <w:p w14:paraId="24FB0D4F" w14:textId="77777777" w:rsidR="000805E6" w:rsidRPr="000429E3" w:rsidRDefault="000805E6" w:rsidP="000805E6">
            <w:pPr>
              <w:rPr>
                <w:rFonts w:ascii="Tahoma" w:hAnsi="Tahoma" w:cs="Tahoma"/>
                <w:b/>
                <w:sz w:val="16"/>
                <w:szCs w:val="16"/>
              </w:rPr>
            </w:pPr>
            <w:r>
              <w:rPr>
                <w:rFonts w:ascii="Tahoma" w:hAnsi="Tahoma"/>
                <w:sz w:val="16"/>
              </w:rPr>
              <w:t>Financially settled SPDR S&amp;P 500 ETF Trust futures contracts</w:t>
            </w:r>
          </w:p>
        </w:tc>
        <w:tc>
          <w:tcPr>
            <w:tcW w:w="1397" w:type="dxa"/>
            <w:vAlign w:val="center"/>
          </w:tcPr>
          <w:p w14:paraId="4E3A432D" w14:textId="77777777" w:rsidR="000805E6" w:rsidRPr="000429E3" w:rsidRDefault="000805E6" w:rsidP="000805E6">
            <w:pPr>
              <w:rPr>
                <w:rFonts w:ascii="Tahoma" w:hAnsi="Tahoma" w:cs="Tahoma"/>
                <w:b/>
                <w:sz w:val="16"/>
                <w:szCs w:val="16"/>
              </w:rPr>
            </w:pPr>
            <w:r>
              <w:rPr>
                <w:rFonts w:ascii="Tahoma" w:hAnsi="Tahoma"/>
                <w:sz w:val="16"/>
              </w:rPr>
              <w:t>SPYF</w:t>
            </w:r>
          </w:p>
        </w:tc>
        <w:tc>
          <w:tcPr>
            <w:tcW w:w="2004" w:type="dxa"/>
            <w:vAlign w:val="center"/>
          </w:tcPr>
          <w:p w14:paraId="2C2FE705" w14:textId="3A43A9D3" w:rsidR="000805E6" w:rsidRPr="000429E3" w:rsidRDefault="000805E6" w:rsidP="000805E6">
            <w:pPr>
              <w:rPr>
                <w:rFonts w:ascii="Tahoma" w:hAnsi="Tahoma" w:cs="Tahoma"/>
                <w:b/>
                <w:sz w:val="16"/>
                <w:szCs w:val="16"/>
              </w:rPr>
            </w:pPr>
            <w:r>
              <w:rPr>
                <w:rFonts w:ascii="Tahoma" w:hAnsi="Tahoma"/>
                <w:sz w:val="16"/>
              </w:rPr>
              <w:t>Shares of SPDR S&amp;P 500 ETF Trust (ISIN: US78462F1030, CFI: CEOGEU)</w:t>
            </w:r>
          </w:p>
        </w:tc>
        <w:tc>
          <w:tcPr>
            <w:tcW w:w="1905" w:type="dxa"/>
            <w:vAlign w:val="center"/>
          </w:tcPr>
          <w:p w14:paraId="44BE8435" w14:textId="77777777" w:rsidR="000805E6" w:rsidRPr="000429E3" w:rsidRDefault="000805E6" w:rsidP="000805E6">
            <w:pPr>
              <w:rPr>
                <w:rFonts w:ascii="Tahoma" w:hAnsi="Tahoma" w:cs="Tahoma"/>
                <w:b/>
                <w:sz w:val="16"/>
                <w:szCs w:val="16"/>
              </w:rPr>
            </w:pPr>
            <w:r>
              <w:rPr>
                <w:rFonts w:ascii="Tahoma" w:hAnsi="Tahoma"/>
                <w:sz w:val="16"/>
              </w:rPr>
              <w:t>One ETF share</w:t>
            </w:r>
          </w:p>
        </w:tc>
        <w:tc>
          <w:tcPr>
            <w:tcW w:w="1356" w:type="dxa"/>
            <w:vAlign w:val="center"/>
          </w:tcPr>
          <w:p w14:paraId="5BE2B37A" w14:textId="77777777" w:rsidR="000805E6" w:rsidRPr="000429E3" w:rsidRDefault="000805E6" w:rsidP="000805E6">
            <w:pPr>
              <w:rPr>
                <w:rFonts w:ascii="Tahoma" w:hAnsi="Tahoma" w:cs="Tahoma"/>
                <w:b/>
                <w:sz w:val="16"/>
                <w:szCs w:val="16"/>
              </w:rPr>
            </w:pPr>
            <w:r>
              <w:rPr>
                <w:rFonts w:ascii="Tahoma" w:hAnsi="Tahoma"/>
                <w:sz w:val="16"/>
              </w:rPr>
              <w:t>USD 0.01</w:t>
            </w:r>
          </w:p>
        </w:tc>
        <w:tc>
          <w:tcPr>
            <w:tcW w:w="1402" w:type="dxa"/>
            <w:vAlign w:val="center"/>
          </w:tcPr>
          <w:p w14:paraId="230C4170" w14:textId="77777777" w:rsidR="000805E6" w:rsidRPr="000429E3" w:rsidRDefault="000805E6" w:rsidP="000805E6">
            <w:pPr>
              <w:rPr>
                <w:rFonts w:ascii="Tahoma" w:hAnsi="Tahoma" w:cs="Tahoma"/>
                <w:b/>
                <w:sz w:val="16"/>
                <w:szCs w:val="16"/>
              </w:rPr>
            </w:pPr>
            <w:r>
              <w:rPr>
                <w:rFonts w:ascii="Tahoma" w:hAnsi="Tahoma"/>
                <w:sz w:val="16"/>
              </w:rPr>
              <w:t>USD 0.01</w:t>
            </w:r>
          </w:p>
        </w:tc>
        <w:tc>
          <w:tcPr>
            <w:tcW w:w="2803" w:type="dxa"/>
            <w:vAlign w:val="center"/>
          </w:tcPr>
          <w:p w14:paraId="283731AB" w14:textId="1E3CE6F7" w:rsidR="000805E6" w:rsidRPr="005D0D3D" w:rsidRDefault="000805E6" w:rsidP="000805E6">
            <w:pPr>
              <w:rPr>
                <w:rFonts w:ascii="Tahoma" w:hAnsi="Tahoma" w:cs="Tahoma"/>
                <w:b/>
                <w:sz w:val="14"/>
                <w:szCs w:val="14"/>
              </w:rPr>
            </w:pPr>
            <w:r>
              <w:rPr>
                <w:rFonts w:ascii="Tahoma" w:hAnsi="Tahoma"/>
                <w:sz w:val="14"/>
              </w:rPr>
              <w:t xml:space="preserve">The settlement price of the Contract shall be deemed to be equal to the net asset value (NAV) of the SPDR S&amp;P 500 ETF Trust share published by </w:t>
            </w:r>
            <w:proofErr w:type="spellStart"/>
            <w:r>
              <w:rPr>
                <w:rFonts w:ascii="Tahoma" w:hAnsi="Tahoma"/>
                <w:sz w:val="14"/>
              </w:rPr>
              <w:t>C</w:t>
            </w:r>
            <w:r w:rsidR="00204F1E">
              <w:rPr>
                <w:rFonts w:ascii="Tahoma" w:hAnsi="Tahoma"/>
                <w:sz w:val="14"/>
              </w:rPr>
              <w:t>B</w:t>
            </w:r>
            <w:r>
              <w:rPr>
                <w:rFonts w:ascii="Tahoma" w:hAnsi="Tahoma"/>
                <w:sz w:val="14"/>
              </w:rPr>
              <w:t>bonds</w:t>
            </w:r>
            <w:proofErr w:type="spellEnd"/>
            <w:r>
              <w:rPr>
                <w:rFonts w:ascii="Tahoma" w:hAnsi="Tahoma"/>
                <w:sz w:val="14"/>
              </w:rPr>
              <w:t xml:space="preserve"> or Interfax for the day prior to the final settlement date, rounded to two decimal places.</w:t>
            </w:r>
          </w:p>
        </w:tc>
        <w:tc>
          <w:tcPr>
            <w:tcW w:w="1145" w:type="dxa"/>
            <w:vAlign w:val="center"/>
          </w:tcPr>
          <w:p w14:paraId="687927A3" w14:textId="77777777" w:rsidR="000805E6" w:rsidRPr="000429E3" w:rsidRDefault="000805E6" w:rsidP="000805E6">
            <w:pPr>
              <w:rPr>
                <w:rFonts w:ascii="Tahoma" w:hAnsi="Tahoma" w:cs="Tahoma"/>
                <w:b/>
                <w:sz w:val="16"/>
                <w:szCs w:val="16"/>
              </w:rPr>
            </w:pPr>
            <w:r>
              <w:rPr>
                <w:rFonts w:ascii="Tahoma" w:hAnsi="Tahoma"/>
                <w:sz w:val="16"/>
              </w:rPr>
              <w:t>USD</w:t>
            </w:r>
          </w:p>
        </w:tc>
        <w:tc>
          <w:tcPr>
            <w:tcW w:w="1617" w:type="dxa"/>
            <w:vAlign w:val="center"/>
          </w:tcPr>
          <w:p w14:paraId="0AF2931A" w14:textId="77777777" w:rsidR="000805E6" w:rsidRPr="000429E3" w:rsidRDefault="000805E6" w:rsidP="000805E6">
            <w:pPr>
              <w:rPr>
                <w:rFonts w:ascii="Tahoma" w:hAnsi="Tahoma" w:cs="Tahoma"/>
                <w:b/>
                <w:sz w:val="16"/>
                <w:szCs w:val="16"/>
              </w:rPr>
            </w:pPr>
            <w:r>
              <w:rPr>
                <w:rFonts w:ascii="Tahoma" w:hAnsi="Tahoma"/>
                <w:sz w:val="16"/>
              </w:rPr>
              <w:t>3rd (third) Friday of the month and year of the Contract</w:t>
            </w:r>
          </w:p>
        </w:tc>
      </w:tr>
      <w:tr w:rsidR="000805E6" w:rsidRPr="00812C8E" w14:paraId="6080AFB5" w14:textId="77777777" w:rsidTr="00E74464">
        <w:trPr>
          <w:trHeight w:val="1730"/>
        </w:trPr>
        <w:tc>
          <w:tcPr>
            <w:tcW w:w="494" w:type="dxa"/>
            <w:vAlign w:val="center"/>
          </w:tcPr>
          <w:p w14:paraId="42AD570A" w14:textId="0BCD3838" w:rsidR="000805E6" w:rsidRPr="000429E3" w:rsidRDefault="00E74464" w:rsidP="000805E6">
            <w:pPr>
              <w:rPr>
                <w:rFonts w:ascii="Tahoma" w:hAnsi="Tahoma" w:cs="Tahoma"/>
                <w:bCs/>
                <w:sz w:val="16"/>
                <w:szCs w:val="16"/>
              </w:rPr>
            </w:pPr>
            <w:r>
              <w:rPr>
                <w:rFonts w:ascii="Tahoma" w:hAnsi="Tahoma"/>
                <w:sz w:val="16"/>
              </w:rPr>
              <w:t>2.</w:t>
            </w:r>
          </w:p>
        </w:tc>
        <w:tc>
          <w:tcPr>
            <w:tcW w:w="1911" w:type="dxa"/>
            <w:vAlign w:val="center"/>
          </w:tcPr>
          <w:p w14:paraId="0EF0E976" w14:textId="77777777" w:rsidR="000805E6" w:rsidRPr="000429E3" w:rsidRDefault="000805E6" w:rsidP="000805E6">
            <w:pPr>
              <w:rPr>
                <w:rFonts w:ascii="Tahoma" w:hAnsi="Tahoma" w:cs="Tahoma"/>
                <w:sz w:val="16"/>
                <w:szCs w:val="16"/>
              </w:rPr>
            </w:pPr>
            <w:r>
              <w:rPr>
                <w:rFonts w:ascii="Tahoma" w:hAnsi="Tahoma"/>
                <w:sz w:val="16"/>
              </w:rPr>
              <w:t>Financially settled Invesco QQQ ETF Trust Unit Series 1 Futures contract</w:t>
            </w:r>
          </w:p>
        </w:tc>
        <w:tc>
          <w:tcPr>
            <w:tcW w:w="1397" w:type="dxa"/>
            <w:vAlign w:val="center"/>
          </w:tcPr>
          <w:p w14:paraId="4B390AA4" w14:textId="589CAEBF" w:rsidR="000805E6" w:rsidRPr="003A7441" w:rsidRDefault="003A7441" w:rsidP="000805E6">
            <w:pPr>
              <w:rPr>
                <w:rFonts w:ascii="Tahoma" w:hAnsi="Tahoma" w:cs="Tahoma"/>
                <w:sz w:val="16"/>
                <w:szCs w:val="16"/>
              </w:rPr>
            </w:pPr>
            <w:r>
              <w:rPr>
                <w:rFonts w:ascii="Tahoma" w:hAnsi="Tahoma"/>
                <w:sz w:val="16"/>
              </w:rPr>
              <w:t>NASD</w:t>
            </w:r>
          </w:p>
        </w:tc>
        <w:tc>
          <w:tcPr>
            <w:tcW w:w="2004" w:type="dxa"/>
            <w:vAlign w:val="center"/>
          </w:tcPr>
          <w:p w14:paraId="665A06F3" w14:textId="1B9B9AEA" w:rsidR="000805E6" w:rsidRPr="000429E3" w:rsidRDefault="000805E6" w:rsidP="000805E6">
            <w:pPr>
              <w:rPr>
                <w:rFonts w:ascii="Tahoma" w:hAnsi="Tahoma" w:cs="Tahoma"/>
                <w:sz w:val="16"/>
                <w:szCs w:val="16"/>
              </w:rPr>
            </w:pPr>
            <w:r>
              <w:rPr>
                <w:rFonts w:ascii="Tahoma" w:hAnsi="Tahoma"/>
                <w:sz w:val="16"/>
              </w:rPr>
              <w:t>Invesco QQQ ETF Trust Unit Series 1 share (ISIN:</w:t>
            </w:r>
            <w:r>
              <w:t xml:space="preserve"> </w:t>
            </w:r>
            <w:r>
              <w:rPr>
                <w:rFonts w:ascii="Tahoma" w:hAnsi="Tahoma"/>
                <w:sz w:val="16"/>
              </w:rPr>
              <w:t>US46090E1038, CFI:</w:t>
            </w:r>
            <w:r>
              <w:t xml:space="preserve"> </w:t>
            </w:r>
            <w:r>
              <w:rPr>
                <w:rFonts w:ascii="Tahoma" w:hAnsi="Tahoma"/>
                <w:sz w:val="16"/>
              </w:rPr>
              <w:t>CEOJLU)</w:t>
            </w:r>
          </w:p>
        </w:tc>
        <w:tc>
          <w:tcPr>
            <w:tcW w:w="1905" w:type="dxa"/>
            <w:vAlign w:val="center"/>
          </w:tcPr>
          <w:p w14:paraId="26C97C29" w14:textId="31F5CB68" w:rsidR="000805E6" w:rsidRPr="000429E3" w:rsidRDefault="00FB6289" w:rsidP="000805E6">
            <w:pPr>
              <w:rPr>
                <w:rFonts w:ascii="Tahoma" w:hAnsi="Tahoma" w:cs="Tahoma"/>
                <w:sz w:val="16"/>
                <w:szCs w:val="16"/>
              </w:rPr>
            </w:pPr>
            <w:r>
              <w:rPr>
                <w:rFonts w:ascii="Tahoma" w:hAnsi="Tahoma"/>
                <w:sz w:val="16"/>
              </w:rPr>
              <w:t xml:space="preserve">41 ETF shares </w:t>
            </w:r>
          </w:p>
        </w:tc>
        <w:tc>
          <w:tcPr>
            <w:tcW w:w="1356" w:type="dxa"/>
            <w:vAlign w:val="center"/>
          </w:tcPr>
          <w:p w14:paraId="1AACE93E" w14:textId="7243E4CE" w:rsidR="000805E6" w:rsidRPr="000429E3" w:rsidRDefault="008C2260" w:rsidP="000805E6">
            <w:pPr>
              <w:rPr>
                <w:rFonts w:ascii="Tahoma" w:hAnsi="Tahoma" w:cs="Tahoma"/>
                <w:sz w:val="16"/>
                <w:szCs w:val="16"/>
              </w:rPr>
            </w:pPr>
            <w:r>
              <w:rPr>
                <w:rFonts w:ascii="Tahoma" w:hAnsi="Tahoma"/>
                <w:sz w:val="16"/>
              </w:rPr>
              <w:t>USD 1</w:t>
            </w:r>
          </w:p>
        </w:tc>
        <w:tc>
          <w:tcPr>
            <w:tcW w:w="1402" w:type="dxa"/>
            <w:vAlign w:val="center"/>
          </w:tcPr>
          <w:p w14:paraId="767CB9C6" w14:textId="77777777" w:rsidR="000805E6" w:rsidRPr="000429E3" w:rsidRDefault="000805E6" w:rsidP="000805E6">
            <w:pPr>
              <w:rPr>
                <w:rFonts w:ascii="Tahoma" w:hAnsi="Tahoma" w:cs="Tahoma"/>
                <w:sz w:val="16"/>
                <w:szCs w:val="16"/>
              </w:rPr>
            </w:pPr>
            <w:r>
              <w:rPr>
                <w:rFonts w:ascii="Tahoma" w:hAnsi="Tahoma"/>
                <w:sz w:val="16"/>
              </w:rPr>
              <w:t>USD 0.01</w:t>
            </w:r>
          </w:p>
        </w:tc>
        <w:tc>
          <w:tcPr>
            <w:tcW w:w="2803" w:type="dxa"/>
            <w:vAlign w:val="center"/>
          </w:tcPr>
          <w:p w14:paraId="29EFE15C" w14:textId="02910FEE" w:rsidR="000805E6" w:rsidRPr="000429E3" w:rsidRDefault="000805E6" w:rsidP="000805E6">
            <w:pPr>
              <w:rPr>
                <w:rFonts w:ascii="Tahoma" w:hAnsi="Tahoma" w:cs="Tahoma"/>
                <w:sz w:val="16"/>
                <w:szCs w:val="16"/>
              </w:rPr>
            </w:pPr>
            <w:r>
              <w:rPr>
                <w:rFonts w:ascii="Tahoma" w:hAnsi="Tahoma"/>
                <w:sz w:val="14"/>
              </w:rPr>
              <w:t>The settlement price of the Contract shall be deemed to be equal to the net asset value (NAV) of the Invesco QQQ ETF Trust Unit Series 1 published by Interfax for the day preceding the settlement day, rounded to two decimal places, multiplied by 41</w:t>
            </w:r>
          </w:p>
        </w:tc>
        <w:tc>
          <w:tcPr>
            <w:tcW w:w="1145" w:type="dxa"/>
            <w:vAlign w:val="center"/>
          </w:tcPr>
          <w:p w14:paraId="72A546C8" w14:textId="77777777" w:rsidR="000805E6" w:rsidRPr="000429E3" w:rsidRDefault="000805E6" w:rsidP="000805E6">
            <w:pPr>
              <w:rPr>
                <w:rFonts w:ascii="Tahoma" w:hAnsi="Tahoma" w:cs="Tahoma"/>
                <w:sz w:val="16"/>
                <w:szCs w:val="16"/>
              </w:rPr>
            </w:pPr>
            <w:r>
              <w:rPr>
                <w:rFonts w:ascii="Tahoma" w:hAnsi="Tahoma"/>
                <w:sz w:val="16"/>
              </w:rPr>
              <w:t>USD</w:t>
            </w:r>
          </w:p>
        </w:tc>
        <w:tc>
          <w:tcPr>
            <w:tcW w:w="1617" w:type="dxa"/>
            <w:vAlign w:val="center"/>
          </w:tcPr>
          <w:p w14:paraId="499967FB" w14:textId="77777777" w:rsidR="000805E6" w:rsidRPr="000429E3" w:rsidRDefault="000805E6" w:rsidP="000805E6">
            <w:pPr>
              <w:rPr>
                <w:rFonts w:ascii="Tahoma" w:hAnsi="Tahoma" w:cs="Tahoma"/>
                <w:sz w:val="16"/>
                <w:szCs w:val="16"/>
              </w:rPr>
            </w:pPr>
            <w:r>
              <w:rPr>
                <w:rFonts w:ascii="Tahoma" w:hAnsi="Tahoma"/>
                <w:sz w:val="16"/>
              </w:rPr>
              <w:t>3rd (third) Friday of the month and year of the Contract</w:t>
            </w:r>
          </w:p>
        </w:tc>
      </w:tr>
    </w:tbl>
    <w:p w14:paraId="48688254" w14:textId="1DA2F8A1" w:rsidR="000429E3" w:rsidRPr="00C82916" w:rsidRDefault="000429E3" w:rsidP="005D0D3D">
      <w:pPr>
        <w:pStyle w:val="a1"/>
        <w:numPr>
          <w:ilvl w:val="0"/>
          <w:numId w:val="0"/>
        </w:numPr>
        <w:tabs>
          <w:tab w:val="clear" w:pos="9000"/>
          <w:tab w:val="num" w:pos="851"/>
        </w:tabs>
        <w:spacing w:before="0" w:after="60"/>
        <w:rPr>
          <w:rFonts w:ascii="Tahoma" w:hAnsi="Tahoma" w:cs="Tahoma"/>
        </w:rPr>
      </w:pPr>
    </w:p>
    <w:sectPr w:rsidR="000429E3" w:rsidRPr="00C82916" w:rsidSect="00264959">
      <w:pgSz w:w="16838" w:h="11906" w:orient="landscape"/>
      <w:pgMar w:top="992"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5FEF4" w14:textId="77777777" w:rsidR="00687E2A" w:rsidRDefault="00687E2A" w:rsidP="002F7E61">
      <w:r>
        <w:separator/>
      </w:r>
    </w:p>
  </w:endnote>
  <w:endnote w:type="continuationSeparator" w:id="0">
    <w:p w14:paraId="37808A98" w14:textId="77777777" w:rsidR="00687E2A" w:rsidRDefault="00687E2A" w:rsidP="002F7E61">
      <w:r>
        <w:continuationSeparator/>
      </w:r>
    </w:p>
  </w:endnote>
  <w:endnote w:type="continuationNotice" w:id="1">
    <w:p w14:paraId="2E874136" w14:textId="77777777" w:rsidR="00687E2A" w:rsidRDefault="0068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06B95" w14:textId="77777777" w:rsidR="00687E2A" w:rsidRDefault="00687E2A" w:rsidP="002F7E61">
      <w:r>
        <w:separator/>
      </w:r>
    </w:p>
  </w:footnote>
  <w:footnote w:type="continuationSeparator" w:id="0">
    <w:p w14:paraId="2B3D420A" w14:textId="77777777" w:rsidR="00687E2A" w:rsidRDefault="00687E2A" w:rsidP="002F7E61">
      <w:r>
        <w:continuationSeparator/>
      </w:r>
    </w:p>
  </w:footnote>
  <w:footnote w:type="continuationNotice" w:id="1">
    <w:p w14:paraId="7B07DE81" w14:textId="77777777" w:rsidR="00687E2A" w:rsidRDefault="00687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1AD2" w14:textId="555E29B5" w:rsidR="00311491" w:rsidRPr="00700AAD" w:rsidRDefault="00311491" w:rsidP="00204F1E">
    <w:pPr>
      <w:pStyle w:val="af6"/>
      <w:rPr>
        <w:rFonts w:ascii="Tahoma" w:hAnsi="Tahoma" w:cs="Tahoma"/>
        <w:b/>
        <w:sz w:val="20"/>
        <w:szCs w:val="20"/>
      </w:rPr>
    </w:pPr>
    <w:r>
      <w:rPr>
        <w:rFonts w:ascii="Tahoma" w:hAnsi="Tahoma"/>
        <w:b/>
        <w:sz w:val="20"/>
      </w:rPr>
      <w:t>International securities futures contract specification</w:t>
    </w:r>
  </w:p>
  <w:p w14:paraId="3A67C866" w14:textId="1427ED2C" w:rsidR="00311491" w:rsidRPr="00D779FA" w:rsidRDefault="00311491" w:rsidP="00311491">
    <w:pPr>
      <w:pStyle w:val="af6"/>
      <w:pBdr>
        <w:bottom w:val="single" w:sz="12" w:space="1" w:color="auto"/>
      </w:pBdr>
      <w:jc w:val="right"/>
      <w:rPr>
        <w:rFonts w:ascii="Tahoma" w:hAnsi="Tahoma" w:cs="Tahoma"/>
        <w:b/>
        <w:sz w:val="20"/>
        <w:szCs w:val="20"/>
      </w:rPr>
    </w:pPr>
  </w:p>
  <w:p w14:paraId="7A9EB3CD" w14:textId="6937D6EB" w:rsidR="00DD7AFE" w:rsidRPr="000429E3" w:rsidRDefault="00DD7AFE" w:rsidP="007E575F">
    <w:pPr>
      <w:pStyle w:val="af6"/>
      <w:rPr>
        <w:rFonts w:ascii="Tahoma" w:hAnsi="Tahoma" w:cs="Tahoma"/>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DF0" w14:textId="58FA1D1F" w:rsidR="00873CF7" w:rsidRDefault="00264959" w:rsidP="00264959">
    <w:pPr>
      <w:pStyle w:val="af6"/>
      <w:pBdr>
        <w:bottom w:val="single" w:sz="12" w:space="1" w:color="auto"/>
      </w:pBdr>
      <w:jc w:val="right"/>
      <w:rPr>
        <w:rFonts w:ascii="Tahoma" w:hAnsi="Tahoma" w:cs="Tahoma"/>
        <w:b/>
        <w:sz w:val="20"/>
        <w:szCs w:val="20"/>
      </w:rPr>
    </w:pPr>
    <w:r>
      <w:rPr>
        <w:rFonts w:ascii="Tahoma" w:hAnsi="Tahoma"/>
        <w:b/>
        <w:sz w:val="20"/>
      </w:rPr>
      <w:t>Appendix 1</w:t>
    </w:r>
  </w:p>
  <w:p w14:paraId="0E3C2314" w14:textId="260DDB35" w:rsidR="00227CB5" w:rsidRDefault="00227CB5" w:rsidP="00264959">
    <w:pPr>
      <w:pStyle w:val="af6"/>
      <w:pBdr>
        <w:bottom w:val="single" w:sz="12" w:space="1" w:color="auto"/>
      </w:pBdr>
      <w:jc w:val="right"/>
      <w:rPr>
        <w:rFonts w:ascii="Tahoma" w:hAnsi="Tahoma" w:cs="Tahoma"/>
        <w:b/>
        <w:sz w:val="20"/>
        <w:szCs w:val="20"/>
      </w:rPr>
    </w:pPr>
    <w:r>
      <w:rPr>
        <w:rFonts w:ascii="Tahoma" w:hAnsi="Tahoma"/>
        <w:b/>
        <w:sz w:val="20"/>
      </w:rPr>
      <w:t>To the International securities futures contract specification</w:t>
    </w:r>
  </w:p>
  <w:p w14:paraId="48F51553" w14:textId="4BD263F9" w:rsidR="00227CB5" w:rsidRPr="00264959" w:rsidRDefault="00227CB5" w:rsidP="00264959">
    <w:pPr>
      <w:pStyle w:val="af6"/>
      <w:pBdr>
        <w:bottom w:val="single" w:sz="12" w:space="1" w:color="auto"/>
      </w:pBdr>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8"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1854"/>
        </w:tabs>
        <w:ind w:left="1854"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9"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0"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10"/>
  </w:num>
  <w:num w:numId="9">
    <w:abstractNumId w:val="13"/>
  </w:num>
  <w:num w:numId="10">
    <w:abstractNumId w:val="7"/>
  </w:num>
  <w:num w:numId="11">
    <w:abstractNumId w:val="11"/>
  </w:num>
  <w:num w:numId="12">
    <w:abstractNumId w:val="14"/>
  </w:num>
  <w:num w:numId="13">
    <w:abstractNumId w:val="6"/>
  </w:num>
  <w:num w:numId="14">
    <w:abstractNumId w:val="23"/>
  </w:num>
  <w:num w:numId="15">
    <w:abstractNumId w:val="8"/>
  </w:num>
  <w:num w:numId="16">
    <w:abstractNumId w:val="0"/>
  </w:num>
  <w:num w:numId="17">
    <w:abstractNumId w:val="20"/>
  </w:num>
  <w:num w:numId="18">
    <w:abstractNumId w:val="22"/>
  </w:num>
  <w:num w:numId="19">
    <w:abstractNumId w:val="18"/>
  </w:num>
  <w:num w:numId="20">
    <w:abstractNumId w:val="14"/>
  </w:num>
  <w:num w:numId="21">
    <w:abstractNumId w:val="17"/>
  </w:num>
  <w:num w:numId="22">
    <w:abstractNumId w:val="5"/>
  </w:num>
  <w:num w:numId="23">
    <w:abstractNumId w:val="2"/>
  </w:num>
  <w:num w:numId="24">
    <w:abstractNumId w:val="10"/>
    <w:lvlOverride w:ilvl="0">
      <w:startOverride w:val="2"/>
    </w:lvlOverride>
    <w:lvlOverride w:ilvl="1">
      <w:startOverride w:val="2"/>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5"/>
  </w:num>
  <w:num w:numId="29">
    <w:abstractNumId w:val="19"/>
  </w:num>
  <w:num w:numId="30">
    <w:abstractNumId w:val="12"/>
  </w:num>
  <w:num w:numId="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377F"/>
    <w:rsid w:val="00010D7A"/>
    <w:rsid w:val="000149CF"/>
    <w:rsid w:val="000153CC"/>
    <w:rsid w:val="00017B4E"/>
    <w:rsid w:val="00017EC1"/>
    <w:rsid w:val="00022699"/>
    <w:rsid w:val="0003150D"/>
    <w:rsid w:val="00034F8A"/>
    <w:rsid w:val="0003594B"/>
    <w:rsid w:val="000429E3"/>
    <w:rsid w:val="00043B6D"/>
    <w:rsid w:val="000446D5"/>
    <w:rsid w:val="000558D1"/>
    <w:rsid w:val="00057B82"/>
    <w:rsid w:val="00066752"/>
    <w:rsid w:val="00066905"/>
    <w:rsid w:val="00070440"/>
    <w:rsid w:val="00072BA7"/>
    <w:rsid w:val="000805E6"/>
    <w:rsid w:val="0009539C"/>
    <w:rsid w:val="000975C3"/>
    <w:rsid w:val="000A455D"/>
    <w:rsid w:val="000A7D5C"/>
    <w:rsid w:val="000A7E81"/>
    <w:rsid w:val="000B46A3"/>
    <w:rsid w:val="000B7133"/>
    <w:rsid w:val="000C1F35"/>
    <w:rsid w:val="000C2BE9"/>
    <w:rsid w:val="000E0906"/>
    <w:rsid w:val="000E7DDA"/>
    <w:rsid w:val="000F5E09"/>
    <w:rsid w:val="000F5F10"/>
    <w:rsid w:val="000F661C"/>
    <w:rsid w:val="00104433"/>
    <w:rsid w:val="00104805"/>
    <w:rsid w:val="001056C5"/>
    <w:rsid w:val="001060B5"/>
    <w:rsid w:val="0010758D"/>
    <w:rsid w:val="00110E60"/>
    <w:rsid w:val="00114A05"/>
    <w:rsid w:val="00115554"/>
    <w:rsid w:val="001249B6"/>
    <w:rsid w:val="00125B93"/>
    <w:rsid w:val="001316FC"/>
    <w:rsid w:val="001449CC"/>
    <w:rsid w:val="00145BF6"/>
    <w:rsid w:val="001471A0"/>
    <w:rsid w:val="0014756D"/>
    <w:rsid w:val="00147B65"/>
    <w:rsid w:val="001532A3"/>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0592"/>
    <w:rsid w:val="001B0685"/>
    <w:rsid w:val="001B3B57"/>
    <w:rsid w:val="001B65E6"/>
    <w:rsid w:val="001B6DBE"/>
    <w:rsid w:val="001C080F"/>
    <w:rsid w:val="001D5940"/>
    <w:rsid w:val="001E20B0"/>
    <w:rsid w:val="001E4FB2"/>
    <w:rsid w:val="001F0BE3"/>
    <w:rsid w:val="001F0ED6"/>
    <w:rsid w:val="001F50F3"/>
    <w:rsid w:val="001F740D"/>
    <w:rsid w:val="0020026C"/>
    <w:rsid w:val="00201C5E"/>
    <w:rsid w:val="002049BC"/>
    <w:rsid w:val="00204F1E"/>
    <w:rsid w:val="0020583C"/>
    <w:rsid w:val="00216A8E"/>
    <w:rsid w:val="00217B6B"/>
    <w:rsid w:val="00220C8C"/>
    <w:rsid w:val="00221EC5"/>
    <w:rsid w:val="0022349A"/>
    <w:rsid w:val="00223B64"/>
    <w:rsid w:val="00224B2C"/>
    <w:rsid w:val="00227CB5"/>
    <w:rsid w:val="00230645"/>
    <w:rsid w:val="00232B5C"/>
    <w:rsid w:val="00233E34"/>
    <w:rsid w:val="00235246"/>
    <w:rsid w:val="00235E6C"/>
    <w:rsid w:val="002367FD"/>
    <w:rsid w:val="00240F3A"/>
    <w:rsid w:val="00242A6C"/>
    <w:rsid w:val="00252D5C"/>
    <w:rsid w:val="0025441B"/>
    <w:rsid w:val="002549EE"/>
    <w:rsid w:val="00255B75"/>
    <w:rsid w:val="002569BE"/>
    <w:rsid w:val="00257BBA"/>
    <w:rsid w:val="00260AB5"/>
    <w:rsid w:val="00262409"/>
    <w:rsid w:val="00262FD8"/>
    <w:rsid w:val="00264705"/>
    <w:rsid w:val="00264959"/>
    <w:rsid w:val="00265B8A"/>
    <w:rsid w:val="00267657"/>
    <w:rsid w:val="00270428"/>
    <w:rsid w:val="00270BD3"/>
    <w:rsid w:val="0027302D"/>
    <w:rsid w:val="00273A72"/>
    <w:rsid w:val="00281ED7"/>
    <w:rsid w:val="00284041"/>
    <w:rsid w:val="0028679C"/>
    <w:rsid w:val="00291D16"/>
    <w:rsid w:val="00292883"/>
    <w:rsid w:val="00292B50"/>
    <w:rsid w:val="00296FF2"/>
    <w:rsid w:val="002A4785"/>
    <w:rsid w:val="002A49BD"/>
    <w:rsid w:val="002A505C"/>
    <w:rsid w:val="002B0777"/>
    <w:rsid w:val="002B17D9"/>
    <w:rsid w:val="002B1815"/>
    <w:rsid w:val="002B764B"/>
    <w:rsid w:val="002B78E3"/>
    <w:rsid w:val="002C13AD"/>
    <w:rsid w:val="002C21F3"/>
    <w:rsid w:val="002C4AA9"/>
    <w:rsid w:val="002C7A8E"/>
    <w:rsid w:val="002D3444"/>
    <w:rsid w:val="002D44D7"/>
    <w:rsid w:val="002D5D38"/>
    <w:rsid w:val="002D72E7"/>
    <w:rsid w:val="002D7C30"/>
    <w:rsid w:val="002E33F0"/>
    <w:rsid w:val="002E3AAE"/>
    <w:rsid w:val="002E4B0E"/>
    <w:rsid w:val="002E5125"/>
    <w:rsid w:val="002E663F"/>
    <w:rsid w:val="002F0CE1"/>
    <w:rsid w:val="002F2827"/>
    <w:rsid w:val="002F326E"/>
    <w:rsid w:val="002F6D11"/>
    <w:rsid w:val="002F7E61"/>
    <w:rsid w:val="002F7FA0"/>
    <w:rsid w:val="00302252"/>
    <w:rsid w:val="003042DA"/>
    <w:rsid w:val="003046E6"/>
    <w:rsid w:val="00305F03"/>
    <w:rsid w:val="00307888"/>
    <w:rsid w:val="00311491"/>
    <w:rsid w:val="003123ED"/>
    <w:rsid w:val="00313292"/>
    <w:rsid w:val="00314798"/>
    <w:rsid w:val="00315C4A"/>
    <w:rsid w:val="00317D3B"/>
    <w:rsid w:val="0032606C"/>
    <w:rsid w:val="00326ED6"/>
    <w:rsid w:val="003300AF"/>
    <w:rsid w:val="00331D36"/>
    <w:rsid w:val="00332A24"/>
    <w:rsid w:val="00333530"/>
    <w:rsid w:val="0033417E"/>
    <w:rsid w:val="00334D49"/>
    <w:rsid w:val="003468D4"/>
    <w:rsid w:val="0035128F"/>
    <w:rsid w:val="0035473B"/>
    <w:rsid w:val="00361216"/>
    <w:rsid w:val="00363074"/>
    <w:rsid w:val="003768A8"/>
    <w:rsid w:val="00376B0E"/>
    <w:rsid w:val="0038321B"/>
    <w:rsid w:val="00383B57"/>
    <w:rsid w:val="00384736"/>
    <w:rsid w:val="00386533"/>
    <w:rsid w:val="00390C0B"/>
    <w:rsid w:val="00393EA8"/>
    <w:rsid w:val="003971C2"/>
    <w:rsid w:val="003A1EDB"/>
    <w:rsid w:val="003A4281"/>
    <w:rsid w:val="003A4FC3"/>
    <w:rsid w:val="003A7441"/>
    <w:rsid w:val="003B57E3"/>
    <w:rsid w:val="003B7758"/>
    <w:rsid w:val="003C3ACF"/>
    <w:rsid w:val="003C5B5E"/>
    <w:rsid w:val="003C733D"/>
    <w:rsid w:val="003D11F4"/>
    <w:rsid w:val="003D2915"/>
    <w:rsid w:val="003D3911"/>
    <w:rsid w:val="003D512B"/>
    <w:rsid w:val="003D5894"/>
    <w:rsid w:val="003D5FE2"/>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480"/>
    <w:rsid w:val="004537E3"/>
    <w:rsid w:val="00453E92"/>
    <w:rsid w:val="00454FAC"/>
    <w:rsid w:val="0045737E"/>
    <w:rsid w:val="004575B4"/>
    <w:rsid w:val="0046162E"/>
    <w:rsid w:val="00461F58"/>
    <w:rsid w:val="0046205E"/>
    <w:rsid w:val="004621CB"/>
    <w:rsid w:val="0046308E"/>
    <w:rsid w:val="00463EDB"/>
    <w:rsid w:val="00470614"/>
    <w:rsid w:val="00484901"/>
    <w:rsid w:val="00485C2C"/>
    <w:rsid w:val="00486CF5"/>
    <w:rsid w:val="00486F26"/>
    <w:rsid w:val="00492B21"/>
    <w:rsid w:val="00492EAD"/>
    <w:rsid w:val="004A312F"/>
    <w:rsid w:val="004A562C"/>
    <w:rsid w:val="004A5646"/>
    <w:rsid w:val="004A7EAD"/>
    <w:rsid w:val="004B174E"/>
    <w:rsid w:val="004B2BA3"/>
    <w:rsid w:val="004B7DFE"/>
    <w:rsid w:val="004C1638"/>
    <w:rsid w:val="004C7252"/>
    <w:rsid w:val="004C7FB8"/>
    <w:rsid w:val="004D066B"/>
    <w:rsid w:val="004D550B"/>
    <w:rsid w:val="004F6172"/>
    <w:rsid w:val="005057DC"/>
    <w:rsid w:val="00505EBB"/>
    <w:rsid w:val="00507FA5"/>
    <w:rsid w:val="00514158"/>
    <w:rsid w:val="00514B1D"/>
    <w:rsid w:val="00515030"/>
    <w:rsid w:val="00522ED5"/>
    <w:rsid w:val="005255C9"/>
    <w:rsid w:val="005302F6"/>
    <w:rsid w:val="005348CC"/>
    <w:rsid w:val="00535782"/>
    <w:rsid w:val="0053755D"/>
    <w:rsid w:val="00543907"/>
    <w:rsid w:val="00546C7B"/>
    <w:rsid w:val="00547387"/>
    <w:rsid w:val="0055027C"/>
    <w:rsid w:val="00550D12"/>
    <w:rsid w:val="00551143"/>
    <w:rsid w:val="00553236"/>
    <w:rsid w:val="00553790"/>
    <w:rsid w:val="005621E0"/>
    <w:rsid w:val="00563D8B"/>
    <w:rsid w:val="0056532D"/>
    <w:rsid w:val="00573547"/>
    <w:rsid w:val="00580773"/>
    <w:rsid w:val="00582610"/>
    <w:rsid w:val="00582968"/>
    <w:rsid w:val="0058638E"/>
    <w:rsid w:val="005905C4"/>
    <w:rsid w:val="00593CC5"/>
    <w:rsid w:val="0059529A"/>
    <w:rsid w:val="00595998"/>
    <w:rsid w:val="00596D9E"/>
    <w:rsid w:val="00597A3E"/>
    <w:rsid w:val="005A3213"/>
    <w:rsid w:val="005A58E2"/>
    <w:rsid w:val="005B1E6C"/>
    <w:rsid w:val="005B21DD"/>
    <w:rsid w:val="005B4377"/>
    <w:rsid w:val="005C70E2"/>
    <w:rsid w:val="005C7C41"/>
    <w:rsid w:val="005D0D3D"/>
    <w:rsid w:val="005D490C"/>
    <w:rsid w:val="005E05FA"/>
    <w:rsid w:val="005E1F01"/>
    <w:rsid w:val="005E3B88"/>
    <w:rsid w:val="005E663F"/>
    <w:rsid w:val="005F0683"/>
    <w:rsid w:val="005F40F5"/>
    <w:rsid w:val="005F5736"/>
    <w:rsid w:val="00600519"/>
    <w:rsid w:val="00600617"/>
    <w:rsid w:val="0060081A"/>
    <w:rsid w:val="00601A7B"/>
    <w:rsid w:val="006022B8"/>
    <w:rsid w:val="00607117"/>
    <w:rsid w:val="00611E08"/>
    <w:rsid w:val="00622038"/>
    <w:rsid w:val="006316B8"/>
    <w:rsid w:val="006352B9"/>
    <w:rsid w:val="006361EB"/>
    <w:rsid w:val="0064149C"/>
    <w:rsid w:val="00642093"/>
    <w:rsid w:val="0064425A"/>
    <w:rsid w:val="00647802"/>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87E2A"/>
    <w:rsid w:val="00690E9B"/>
    <w:rsid w:val="006965D8"/>
    <w:rsid w:val="006979EE"/>
    <w:rsid w:val="006A0DD9"/>
    <w:rsid w:val="006A37C8"/>
    <w:rsid w:val="006A6D3C"/>
    <w:rsid w:val="006B0BDD"/>
    <w:rsid w:val="006B5161"/>
    <w:rsid w:val="006B5D44"/>
    <w:rsid w:val="006C1BF1"/>
    <w:rsid w:val="006C1FE2"/>
    <w:rsid w:val="006C3685"/>
    <w:rsid w:val="006D07BB"/>
    <w:rsid w:val="006D0CC1"/>
    <w:rsid w:val="006D1F01"/>
    <w:rsid w:val="006D5208"/>
    <w:rsid w:val="006D5543"/>
    <w:rsid w:val="006E3E82"/>
    <w:rsid w:val="006E4896"/>
    <w:rsid w:val="006E4EC0"/>
    <w:rsid w:val="006F00A8"/>
    <w:rsid w:val="006F1090"/>
    <w:rsid w:val="006F2CCE"/>
    <w:rsid w:val="006F6CE1"/>
    <w:rsid w:val="007028A9"/>
    <w:rsid w:val="007053DD"/>
    <w:rsid w:val="007075D3"/>
    <w:rsid w:val="00707D62"/>
    <w:rsid w:val="00707E5F"/>
    <w:rsid w:val="00716203"/>
    <w:rsid w:val="00716C96"/>
    <w:rsid w:val="00721075"/>
    <w:rsid w:val="00724D5E"/>
    <w:rsid w:val="00725D4B"/>
    <w:rsid w:val="00730EE4"/>
    <w:rsid w:val="00733190"/>
    <w:rsid w:val="00737F89"/>
    <w:rsid w:val="0074113B"/>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0F10"/>
    <w:rsid w:val="007A1CDD"/>
    <w:rsid w:val="007A1F91"/>
    <w:rsid w:val="007A377C"/>
    <w:rsid w:val="007A63DF"/>
    <w:rsid w:val="007A7AFD"/>
    <w:rsid w:val="007B17D0"/>
    <w:rsid w:val="007B1A21"/>
    <w:rsid w:val="007B58D6"/>
    <w:rsid w:val="007B7FFD"/>
    <w:rsid w:val="007C0CC9"/>
    <w:rsid w:val="007C1CBB"/>
    <w:rsid w:val="007C1DAF"/>
    <w:rsid w:val="007C5A0E"/>
    <w:rsid w:val="007C645D"/>
    <w:rsid w:val="007C6DF1"/>
    <w:rsid w:val="007C754B"/>
    <w:rsid w:val="007D3CB1"/>
    <w:rsid w:val="007D49E9"/>
    <w:rsid w:val="007D4BCE"/>
    <w:rsid w:val="007D6E9D"/>
    <w:rsid w:val="007D7969"/>
    <w:rsid w:val="007E1A61"/>
    <w:rsid w:val="007E1E73"/>
    <w:rsid w:val="007E1FEA"/>
    <w:rsid w:val="007E3BB6"/>
    <w:rsid w:val="007E575F"/>
    <w:rsid w:val="007E7793"/>
    <w:rsid w:val="007F493A"/>
    <w:rsid w:val="007F591A"/>
    <w:rsid w:val="007F5D3F"/>
    <w:rsid w:val="007F7317"/>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2EF"/>
    <w:rsid w:val="00827A71"/>
    <w:rsid w:val="00827C6F"/>
    <w:rsid w:val="00832052"/>
    <w:rsid w:val="0083419D"/>
    <w:rsid w:val="00834DEE"/>
    <w:rsid w:val="0084307A"/>
    <w:rsid w:val="00852EC2"/>
    <w:rsid w:val="00855526"/>
    <w:rsid w:val="00857383"/>
    <w:rsid w:val="008608BA"/>
    <w:rsid w:val="00860C21"/>
    <w:rsid w:val="00860EF4"/>
    <w:rsid w:val="008638CC"/>
    <w:rsid w:val="00864C26"/>
    <w:rsid w:val="00866F14"/>
    <w:rsid w:val="00873CF7"/>
    <w:rsid w:val="0087444A"/>
    <w:rsid w:val="008755F6"/>
    <w:rsid w:val="00877AC2"/>
    <w:rsid w:val="00880C45"/>
    <w:rsid w:val="00885DFA"/>
    <w:rsid w:val="0088660D"/>
    <w:rsid w:val="00886C7E"/>
    <w:rsid w:val="0089026B"/>
    <w:rsid w:val="0089322F"/>
    <w:rsid w:val="00897165"/>
    <w:rsid w:val="008A029B"/>
    <w:rsid w:val="008A2953"/>
    <w:rsid w:val="008A3018"/>
    <w:rsid w:val="008A75D9"/>
    <w:rsid w:val="008B34AD"/>
    <w:rsid w:val="008C2260"/>
    <w:rsid w:val="008C3CC8"/>
    <w:rsid w:val="008C527E"/>
    <w:rsid w:val="008D0E47"/>
    <w:rsid w:val="008D1F57"/>
    <w:rsid w:val="008E3A59"/>
    <w:rsid w:val="008F335B"/>
    <w:rsid w:val="008F48E0"/>
    <w:rsid w:val="009026C7"/>
    <w:rsid w:val="00903B9B"/>
    <w:rsid w:val="009071B1"/>
    <w:rsid w:val="009072BC"/>
    <w:rsid w:val="00907D1D"/>
    <w:rsid w:val="00910492"/>
    <w:rsid w:val="00911BAC"/>
    <w:rsid w:val="0092190B"/>
    <w:rsid w:val="00921CAE"/>
    <w:rsid w:val="009248D2"/>
    <w:rsid w:val="00925AE9"/>
    <w:rsid w:val="009266C7"/>
    <w:rsid w:val="009313FD"/>
    <w:rsid w:val="009346F5"/>
    <w:rsid w:val="00936105"/>
    <w:rsid w:val="0094086E"/>
    <w:rsid w:val="00940D28"/>
    <w:rsid w:val="009427A4"/>
    <w:rsid w:val="00945564"/>
    <w:rsid w:val="009457D2"/>
    <w:rsid w:val="0094659E"/>
    <w:rsid w:val="00946DD7"/>
    <w:rsid w:val="00950E56"/>
    <w:rsid w:val="00951DE9"/>
    <w:rsid w:val="00953CD0"/>
    <w:rsid w:val="0096171B"/>
    <w:rsid w:val="0096320D"/>
    <w:rsid w:val="00971579"/>
    <w:rsid w:val="00973BA8"/>
    <w:rsid w:val="00975626"/>
    <w:rsid w:val="00976483"/>
    <w:rsid w:val="00981622"/>
    <w:rsid w:val="009855D7"/>
    <w:rsid w:val="00987F32"/>
    <w:rsid w:val="009901DC"/>
    <w:rsid w:val="00990C40"/>
    <w:rsid w:val="00994B6E"/>
    <w:rsid w:val="009A008B"/>
    <w:rsid w:val="009A3C9F"/>
    <w:rsid w:val="009A6045"/>
    <w:rsid w:val="009A749B"/>
    <w:rsid w:val="009A7E1A"/>
    <w:rsid w:val="009B0793"/>
    <w:rsid w:val="009B49DA"/>
    <w:rsid w:val="009B5602"/>
    <w:rsid w:val="009C4B1D"/>
    <w:rsid w:val="009C61D5"/>
    <w:rsid w:val="009C7BDB"/>
    <w:rsid w:val="009D25C1"/>
    <w:rsid w:val="009D318D"/>
    <w:rsid w:val="009D51FB"/>
    <w:rsid w:val="009D64A3"/>
    <w:rsid w:val="009E545E"/>
    <w:rsid w:val="009E6835"/>
    <w:rsid w:val="009E72C2"/>
    <w:rsid w:val="009F0FE1"/>
    <w:rsid w:val="009F3760"/>
    <w:rsid w:val="009F7D91"/>
    <w:rsid w:val="00A0231F"/>
    <w:rsid w:val="00A03A80"/>
    <w:rsid w:val="00A06387"/>
    <w:rsid w:val="00A06955"/>
    <w:rsid w:val="00A075A5"/>
    <w:rsid w:val="00A11BE3"/>
    <w:rsid w:val="00A17E7A"/>
    <w:rsid w:val="00A20C47"/>
    <w:rsid w:val="00A238E2"/>
    <w:rsid w:val="00A24FE4"/>
    <w:rsid w:val="00A2757C"/>
    <w:rsid w:val="00A27965"/>
    <w:rsid w:val="00A35DC0"/>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A78"/>
    <w:rsid w:val="00A80E52"/>
    <w:rsid w:val="00A8101C"/>
    <w:rsid w:val="00A81DBB"/>
    <w:rsid w:val="00A830A2"/>
    <w:rsid w:val="00A83A8E"/>
    <w:rsid w:val="00A872E6"/>
    <w:rsid w:val="00A913F2"/>
    <w:rsid w:val="00A96B36"/>
    <w:rsid w:val="00A96B8D"/>
    <w:rsid w:val="00AA2327"/>
    <w:rsid w:val="00AA2B1B"/>
    <w:rsid w:val="00AB2CB7"/>
    <w:rsid w:val="00AB31E9"/>
    <w:rsid w:val="00AB484A"/>
    <w:rsid w:val="00AB57D2"/>
    <w:rsid w:val="00AB580C"/>
    <w:rsid w:val="00AC525D"/>
    <w:rsid w:val="00AD4202"/>
    <w:rsid w:val="00AD5B75"/>
    <w:rsid w:val="00AD6E36"/>
    <w:rsid w:val="00AE1F84"/>
    <w:rsid w:val="00AE2E0F"/>
    <w:rsid w:val="00AE3060"/>
    <w:rsid w:val="00AE6C58"/>
    <w:rsid w:val="00AF4CD5"/>
    <w:rsid w:val="00AF4E48"/>
    <w:rsid w:val="00AF5766"/>
    <w:rsid w:val="00AF6013"/>
    <w:rsid w:val="00AF6E74"/>
    <w:rsid w:val="00B00889"/>
    <w:rsid w:val="00B0218B"/>
    <w:rsid w:val="00B02CB2"/>
    <w:rsid w:val="00B0550C"/>
    <w:rsid w:val="00B06CA8"/>
    <w:rsid w:val="00B06F07"/>
    <w:rsid w:val="00B0721D"/>
    <w:rsid w:val="00B07CDF"/>
    <w:rsid w:val="00B10062"/>
    <w:rsid w:val="00B126A3"/>
    <w:rsid w:val="00B12E93"/>
    <w:rsid w:val="00B172E9"/>
    <w:rsid w:val="00B20E87"/>
    <w:rsid w:val="00B23434"/>
    <w:rsid w:val="00B24D0B"/>
    <w:rsid w:val="00B25483"/>
    <w:rsid w:val="00B2571E"/>
    <w:rsid w:val="00B37EB2"/>
    <w:rsid w:val="00B41866"/>
    <w:rsid w:val="00B41CFC"/>
    <w:rsid w:val="00B42D8F"/>
    <w:rsid w:val="00B450F6"/>
    <w:rsid w:val="00B46ECD"/>
    <w:rsid w:val="00B471DD"/>
    <w:rsid w:val="00B5109E"/>
    <w:rsid w:val="00B5385D"/>
    <w:rsid w:val="00B54CFD"/>
    <w:rsid w:val="00B553A3"/>
    <w:rsid w:val="00B56B2E"/>
    <w:rsid w:val="00B6480C"/>
    <w:rsid w:val="00B721BC"/>
    <w:rsid w:val="00B74078"/>
    <w:rsid w:val="00B75A48"/>
    <w:rsid w:val="00B87E9A"/>
    <w:rsid w:val="00B9552A"/>
    <w:rsid w:val="00B95922"/>
    <w:rsid w:val="00B97884"/>
    <w:rsid w:val="00BA156B"/>
    <w:rsid w:val="00BB04DC"/>
    <w:rsid w:val="00BB0BA0"/>
    <w:rsid w:val="00BB10A5"/>
    <w:rsid w:val="00BB7919"/>
    <w:rsid w:val="00BC0999"/>
    <w:rsid w:val="00BC1EC9"/>
    <w:rsid w:val="00BD1676"/>
    <w:rsid w:val="00BD2026"/>
    <w:rsid w:val="00BD5C02"/>
    <w:rsid w:val="00BE0926"/>
    <w:rsid w:val="00BE350B"/>
    <w:rsid w:val="00BE4EE5"/>
    <w:rsid w:val="00BE6258"/>
    <w:rsid w:val="00BF0002"/>
    <w:rsid w:val="00BF2C4F"/>
    <w:rsid w:val="00BF3062"/>
    <w:rsid w:val="00C03FA8"/>
    <w:rsid w:val="00C052BD"/>
    <w:rsid w:val="00C061F1"/>
    <w:rsid w:val="00C12BA6"/>
    <w:rsid w:val="00C13EE6"/>
    <w:rsid w:val="00C151EC"/>
    <w:rsid w:val="00C16FA8"/>
    <w:rsid w:val="00C23146"/>
    <w:rsid w:val="00C25767"/>
    <w:rsid w:val="00C26667"/>
    <w:rsid w:val="00C35A70"/>
    <w:rsid w:val="00C3764B"/>
    <w:rsid w:val="00C41A6F"/>
    <w:rsid w:val="00C4285F"/>
    <w:rsid w:val="00C47C11"/>
    <w:rsid w:val="00C5247C"/>
    <w:rsid w:val="00C547E3"/>
    <w:rsid w:val="00C55CE5"/>
    <w:rsid w:val="00C5744C"/>
    <w:rsid w:val="00C602FF"/>
    <w:rsid w:val="00C61A94"/>
    <w:rsid w:val="00C67746"/>
    <w:rsid w:val="00C825E8"/>
    <w:rsid w:val="00C82916"/>
    <w:rsid w:val="00C82F73"/>
    <w:rsid w:val="00C83A77"/>
    <w:rsid w:val="00C84B26"/>
    <w:rsid w:val="00C858C3"/>
    <w:rsid w:val="00C91C90"/>
    <w:rsid w:val="00C920EF"/>
    <w:rsid w:val="00C9346D"/>
    <w:rsid w:val="00CA14FB"/>
    <w:rsid w:val="00CA1F12"/>
    <w:rsid w:val="00CA2FC2"/>
    <w:rsid w:val="00CA51BF"/>
    <w:rsid w:val="00CB1F53"/>
    <w:rsid w:val="00CB403D"/>
    <w:rsid w:val="00CB5384"/>
    <w:rsid w:val="00CB5DEA"/>
    <w:rsid w:val="00CB5E02"/>
    <w:rsid w:val="00CC4BAA"/>
    <w:rsid w:val="00CC61D0"/>
    <w:rsid w:val="00CD047D"/>
    <w:rsid w:val="00CD2D54"/>
    <w:rsid w:val="00CD4662"/>
    <w:rsid w:val="00CD6A6E"/>
    <w:rsid w:val="00CE1880"/>
    <w:rsid w:val="00CE1BDE"/>
    <w:rsid w:val="00CE3DA7"/>
    <w:rsid w:val="00CE5C46"/>
    <w:rsid w:val="00CF3394"/>
    <w:rsid w:val="00CF3BC1"/>
    <w:rsid w:val="00CF3CBB"/>
    <w:rsid w:val="00D00AB2"/>
    <w:rsid w:val="00D03B3F"/>
    <w:rsid w:val="00D042A5"/>
    <w:rsid w:val="00D0468D"/>
    <w:rsid w:val="00D053FC"/>
    <w:rsid w:val="00D06662"/>
    <w:rsid w:val="00D11188"/>
    <w:rsid w:val="00D11BC5"/>
    <w:rsid w:val="00D11D12"/>
    <w:rsid w:val="00D1224B"/>
    <w:rsid w:val="00D124C6"/>
    <w:rsid w:val="00D13DE1"/>
    <w:rsid w:val="00D16490"/>
    <w:rsid w:val="00D201B2"/>
    <w:rsid w:val="00D228BC"/>
    <w:rsid w:val="00D25A36"/>
    <w:rsid w:val="00D26248"/>
    <w:rsid w:val="00D2659C"/>
    <w:rsid w:val="00D268C9"/>
    <w:rsid w:val="00D2693B"/>
    <w:rsid w:val="00D26C10"/>
    <w:rsid w:val="00D32025"/>
    <w:rsid w:val="00D32EAC"/>
    <w:rsid w:val="00D34501"/>
    <w:rsid w:val="00D3572F"/>
    <w:rsid w:val="00D41DF5"/>
    <w:rsid w:val="00D45C3D"/>
    <w:rsid w:val="00D506CA"/>
    <w:rsid w:val="00D51E35"/>
    <w:rsid w:val="00D52C2D"/>
    <w:rsid w:val="00D5602E"/>
    <w:rsid w:val="00D57447"/>
    <w:rsid w:val="00D57BC8"/>
    <w:rsid w:val="00D837C1"/>
    <w:rsid w:val="00D8696A"/>
    <w:rsid w:val="00D87A59"/>
    <w:rsid w:val="00D907C0"/>
    <w:rsid w:val="00D90C85"/>
    <w:rsid w:val="00D9372E"/>
    <w:rsid w:val="00D948EF"/>
    <w:rsid w:val="00D94BB8"/>
    <w:rsid w:val="00DA7ECF"/>
    <w:rsid w:val="00DB0C83"/>
    <w:rsid w:val="00DB552C"/>
    <w:rsid w:val="00DB58D8"/>
    <w:rsid w:val="00DB5AE1"/>
    <w:rsid w:val="00DB5C60"/>
    <w:rsid w:val="00DB7F24"/>
    <w:rsid w:val="00DC1DB8"/>
    <w:rsid w:val="00DC6A4B"/>
    <w:rsid w:val="00DC7782"/>
    <w:rsid w:val="00DD05E7"/>
    <w:rsid w:val="00DD1590"/>
    <w:rsid w:val="00DD449D"/>
    <w:rsid w:val="00DD68D7"/>
    <w:rsid w:val="00DD7AFE"/>
    <w:rsid w:val="00DE1D9D"/>
    <w:rsid w:val="00DE2B3A"/>
    <w:rsid w:val="00DE2DB5"/>
    <w:rsid w:val="00DE41AA"/>
    <w:rsid w:val="00DE583B"/>
    <w:rsid w:val="00DE67B7"/>
    <w:rsid w:val="00DE698B"/>
    <w:rsid w:val="00DF07F3"/>
    <w:rsid w:val="00DF3D45"/>
    <w:rsid w:val="00E10AD3"/>
    <w:rsid w:val="00E12FD4"/>
    <w:rsid w:val="00E213C9"/>
    <w:rsid w:val="00E218EA"/>
    <w:rsid w:val="00E23222"/>
    <w:rsid w:val="00E23223"/>
    <w:rsid w:val="00E2490F"/>
    <w:rsid w:val="00E27CC4"/>
    <w:rsid w:val="00E32F93"/>
    <w:rsid w:val="00E35CBE"/>
    <w:rsid w:val="00E44F31"/>
    <w:rsid w:val="00E5656D"/>
    <w:rsid w:val="00E56AA8"/>
    <w:rsid w:val="00E56F63"/>
    <w:rsid w:val="00E61331"/>
    <w:rsid w:val="00E628B7"/>
    <w:rsid w:val="00E62F9E"/>
    <w:rsid w:val="00E6328D"/>
    <w:rsid w:val="00E667D5"/>
    <w:rsid w:val="00E74335"/>
    <w:rsid w:val="00E74464"/>
    <w:rsid w:val="00E7568D"/>
    <w:rsid w:val="00E77143"/>
    <w:rsid w:val="00E81C80"/>
    <w:rsid w:val="00E857F8"/>
    <w:rsid w:val="00E86AD6"/>
    <w:rsid w:val="00E93720"/>
    <w:rsid w:val="00E9438A"/>
    <w:rsid w:val="00EA4926"/>
    <w:rsid w:val="00EB26B4"/>
    <w:rsid w:val="00EB2E35"/>
    <w:rsid w:val="00EB4542"/>
    <w:rsid w:val="00EB496D"/>
    <w:rsid w:val="00EB56FB"/>
    <w:rsid w:val="00EB5DC5"/>
    <w:rsid w:val="00EB7817"/>
    <w:rsid w:val="00EB7819"/>
    <w:rsid w:val="00EC3318"/>
    <w:rsid w:val="00EC6B75"/>
    <w:rsid w:val="00ED0DE9"/>
    <w:rsid w:val="00ED15C0"/>
    <w:rsid w:val="00ED25EF"/>
    <w:rsid w:val="00ED4E10"/>
    <w:rsid w:val="00ED6054"/>
    <w:rsid w:val="00ED759C"/>
    <w:rsid w:val="00EE0434"/>
    <w:rsid w:val="00EE0FDE"/>
    <w:rsid w:val="00EE126F"/>
    <w:rsid w:val="00EE4A76"/>
    <w:rsid w:val="00EE5118"/>
    <w:rsid w:val="00EE757F"/>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2115"/>
    <w:rsid w:val="00F63266"/>
    <w:rsid w:val="00F66D01"/>
    <w:rsid w:val="00F70E33"/>
    <w:rsid w:val="00F7369A"/>
    <w:rsid w:val="00F73FF0"/>
    <w:rsid w:val="00F74826"/>
    <w:rsid w:val="00F77702"/>
    <w:rsid w:val="00F803EE"/>
    <w:rsid w:val="00F81A78"/>
    <w:rsid w:val="00F85333"/>
    <w:rsid w:val="00F87C74"/>
    <w:rsid w:val="00F90A3D"/>
    <w:rsid w:val="00F94273"/>
    <w:rsid w:val="00F95531"/>
    <w:rsid w:val="00F97024"/>
    <w:rsid w:val="00FA1D40"/>
    <w:rsid w:val="00FA36DD"/>
    <w:rsid w:val="00FA3A99"/>
    <w:rsid w:val="00FB2E92"/>
    <w:rsid w:val="00FB50B2"/>
    <w:rsid w:val="00FB6289"/>
    <w:rsid w:val="00FC0976"/>
    <w:rsid w:val="00FC1D9E"/>
    <w:rsid w:val="00FC21AD"/>
    <w:rsid w:val="00FC5CA0"/>
    <w:rsid w:val="00FC6467"/>
    <w:rsid w:val="00FC6554"/>
    <w:rsid w:val="00FD1351"/>
    <w:rsid w:val="00FE3AA2"/>
    <w:rsid w:val="00FF3B1B"/>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1854"/>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 w:type="character" w:styleId="afff0">
    <w:name w:val="Mention"/>
    <w:basedOn w:val="a4"/>
    <w:uiPriority w:val="99"/>
    <w:unhideWhenUsed/>
    <w:rsid w:val="00515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172762243">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33045330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1074931">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59324714">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D74CC-D00E-43EB-9714-C8883C47C9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E216B-65A0-4BC7-BE0C-14D81405C56E}">
  <ds:schemaRefs>
    <ds:schemaRef ds:uri="http://schemas.microsoft.com/sharepoint/v3/contenttype/forms"/>
  </ds:schemaRefs>
</ds:datastoreItem>
</file>

<file path=customXml/itemProps4.xml><?xml version="1.0" encoding="utf-8"?>
<ds:datastoreItem xmlns:ds="http://schemas.openxmlformats.org/officeDocument/2006/customXml" ds:itemID="{BC61E8F8-A442-41F6-A5D9-B8E6855F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2250</Words>
  <Characters>12825</Characters>
  <Application>Microsoft Office Word</Application>
  <DocSecurity>4</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15045</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Бандакова Екатерина Игоревна</cp:lastModifiedBy>
  <cp:revision>2</cp:revision>
  <cp:lastPrinted>2022-08-09T12:34:00Z</cp:lastPrinted>
  <dcterms:created xsi:type="dcterms:W3CDTF">2022-09-02T13:56:00Z</dcterms:created>
  <dcterms:modified xsi:type="dcterms:W3CDTF">2022-09-02T13:56:00Z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