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C81" w:rsidRPr="00F206E9" w:rsidRDefault="00676C81" w:rsidP="00676C81">
      <w:pPr>
        <w:pStyle w:val="BodyText21"/>
        <w:autoSpaceDE/>
        <w:jc w:val="right"/>
        <w:rPr>
          <w:rFonts w:ascii="Tahoma" w:hAnsi="Tahoma" w:cs="Tahoma"/>
        </w:rPr>
      </w:pPr>
      <w:r w:rsidRPr="00F206E9">
        <w:rPr>
          <w:rFonts w:ascii="Tahoma" w:hAnsi="Tahoma" w:cs="Tahoma"/>
        </w:rPr>
        <w:t>Приложение №1</w:t>
      </w:r>
    </w:p>
    <w:p w:rsidR="00676C81" w:rsidRPr="00F206E9" w:rsidRDefault="00676C81" w:rsidP="00676C81">
      <w:pPr>
        <w:pStyle w:val="a6"/>
        <w:keepNext/>
        <w:widowControl w:val="0"/>
        <w:ind w:left="708" w:right="11" w:firstLine="708"/>
        <w:jc w:val="right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  <w:bCs w:val="0"/>
        </w:rPr>
        <w:t xml:space="preserve">к Правилам организованных торгов </w:t>
      </w:r>
    </w:p>
    <w:p w:rsidR="00676C81" w:rsidRPr="00F206E9" w:rsidRDefault="00676C81" w:rsidP="00676C81">
      <w:pPr>
        <w:pStyle w:val="a6"/>
        <w:keepNext/>
        <w:widowControl w:val="0"/>
        <w:ind w:left="708" w:right="11" w:firstLine="708"/>
        <w:jc w:val="right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  <w:bCs w:val="0"/>
        </w:rPr>
        <w:t>на Срочном рынке ПАО Московская Биржа</w:t>
      </w:r>
    </w:p>
    <w:p w:rsidR="00676C81" w:rsidRPr="00F206E9" w:rsidRDefault="00676C81" w:rsidP="00676C81">
      <w:pPr>
        <w:pStyle w:val="a9"/>
        <w:spacing w:before="240"/>
        <w:ind w:right="-79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F206E9">
        <w:rPr>
          <w:rFonts w:ascii="Tahoma" w:eastAsia="Arial Unicode MS" w:hAnsi="Tahoma" w:cs="Tahoma"/>
          <w:b/>
          <w:bCs/>
          <w:sz w:val="20"/>
          <w:szCs w:val="20"/>
        </w:rPr>
        <w:t xml:space="preserve">МЕТОДИКА </w:t>
      </w:r>
      <w:r w:rsidRPr="00F206E9">
        <w:rPr>
          <w:rFonts w:ascii="Tahoma" w:eastAsia="Arial Unicode MS" w:hAnsi="Tahoma" w:cs="Tahoma"/>
          <w:b/>
          <w:bCs/>
          <w:sz w:val="20"/>
          <w:szCs w:val="20"/>
        </w:rPr>
        <w:br/>
        <w:t xml:space="preserve">ОПРЕДЕЛЕНИЯ РАСЧЕТНОЙ ЦЕНЫ СРОЧНЫХ КОНТРАКТОВ </w:t>
      </w:r>
    </w:p>
    <w:p w:rsidR="00676C81" w:rsidRPr="00F206E9" w:rsidRDefault="00676C81" w:rsidP="00676C81">
      <w:pPr>
        <w:pStyle w:val="a9"/>
        <w:spacing w:before="240"/>
        <w:ind w:right="-79"/>
        <w:rPr>
          <w:rFonts w:ascii="Tahoma" w:eastAsia="Arial Unicode MS" w:hAnsi="Tahoma" w:cs="Tahoma"/>
          <w:b/>
          <w:bCs/>
          <w:sz w:val="20"/>
          <w:szCs w:val="20"/>
        </w:rPr>
      </w:pPr>
      <w:r w:rsidRPr="00F206E9">
        <w:rPr>
          <w:rFonts w:ascii="Tahoma" w:eastAsia="Arial Unicode MS" w:hAnsi="Tahoma" w:cs="Tahoma"/>
          <w:b/>
          <w:bCs/>
          <w:sz w:val="20"/>
          <w:szCs w:val="20"/>
        </w:rPr>
        <w:t>Раздел 1. Общие положения</w:t>
      </w:r>
    </w:p>
    <w:p w:rsidR="00676C81" w:rsidRPr="00F206E9" w:rsidRDefault="00676C81" w:rsidP="00676C81">
      <w:pPr>
        <w:pStyle w:val="a8"/>
        <w:numPr>
          <w:ilvl w:val="0"/>
          <w:numId w:val="3"/>
        </w:numPr>
        <w:spacing w:before="360"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  <w:bCs w:val="0"/>
        </w:rPr>
        <w:t>Настоящая Методика определения расчетной цены срочных контрактов (далее – Методика) устанавливает порядок определения Расчетных цен Срочных контрактов.</w:t>
      </w:r>
    </w:p>
    <w:p w:rsidR="00676C81" w:rsidRPr="00F206E9" w:rsidRDefault="00676C81" w:rsidP="00676C81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  <w:bCs w:val="0"/>
        </w:rPr>
        <w:t xml:space="preserve">Расчетные цены Срочных контрактов определяются в соответствии с настоящей Методикой, если иной порядок их определения не установлен Спецификацией Срочного контракта. </w:t>
      </w:r>
    </w:p>
    <w:p w:rsidR="00676C81" w:rsidRPr="00F206E9" w:rsidRDefault="00676C81" w:rsidP="00676C81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  <w:bCs w:val="0"/>
        </w:rPr>
        <w:t>Расчетные цены Срочных контрактов определяются по итогам дневного и вечернего Расчетных периодов по завершении соответствующего Расчетного периода, в том числе в первый Торговый день, в течение которого может быть заключен Срочный контракт.</w:t>
      </w:r>
    </w:p>
    <w:p w:rsidR="00676C81" w:rsidRPr="00F206E9" w:rsidRDefault="00676C81" w:rsidP="00676C81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</w:rPr>
        <w:t xml:space="preserve">Расчетная цена Срочного контракта округляется по правилам математического округления с точностью, указанной в Спецификации </w:t>
      </w:r>
      <w:r w:rsidRPr="00F206E9">
        <w:rPr>
          <w:rFonts w:ascii="Tahoma" w:hAnsi="Tahoma" w:cs="Tahoma"/>
          <w:b w:val="0"/>
          <w:bCs w:val="0"/>
        </w:rPr>
        <w:t>данного Срочного контракта</w:t>
      </w:r>
      <w:r w:rsidRPr="00F206E9">
        <w:rPr>
          <w:rFonts w:ascii="Tahoma" w:hAnsi="Tahoma" w:cs="Tahoma"/>
          <w:b w:val="0"/>
        </w:rPr>
        <w:t xml:space="preserve"> для минимального шага цены.</w:t>
      </w:r>
    </w:p>
    <w:p w:rsidR="00676C81" w:rsidRPr="00F206E9" w:rsidRDefault="00676C81" w:rsidP="00676C81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  <w:bCs w:val="0"/>
        </w:rPr>
      </w:pPr>
      <w:r w:rsidRPr="00F206E9">
        <w:rPr>
          <w:rFonts w:ascii="Tahoma" w:hAnsi="Tahoma" w:cs="Tahoma"/>
          <w:b w:val="0"/>
        </w:rPr>
        <w:t xml:space="preserve">Если согласно </w:t>
      </w:r>
      <w:r w:rsidRPr="00F206E9">
        <w:rPr>
          <w:rFonts w:ascii="Tahoma" w:hAnsi="Tahoma" w:cs="Tahoma"/>
          <w:b w:val="0"/>
          <w:bCs w:val="0"/>
        </w:rPr>
        <w:t>Методике определения НКО НКЦ (АО) риск-параметров срочного рынка ПАО Московская Биржа</w:t>
      </w:r>
      <w:r w:rsidRPr="00F206E9">
        <w:rPr>
          <w:rFonts w:ascii="Tahoma" w:hAnsi="Tahoma" w:cs="Tahoma"/>
          <w:b w:val="0"/>
        </w:rPr>
        <w:t xml:space="preserve"> в отношении фьючерса установлен признак </w:t>
      </w:r>
      <w:r w:rsidRPr="00F206E9">
        <w:rPr>
          <w:rFonts w:ascii="Times New Roman" w:eastAsiaTheme="minorEastAsia" w:hAnsi="Times New Roman"/>
          <w:b w:val="0"/>
          <w:bCs w:val="0"/>
          <w:sz w:val="24"/>
          <w:szCs w:val="24"/>
        </w:rPr>
        <w:t>MDRule(БА,Num)=</w:t>
      </w:r>
      <w:r w:rsidRPr="00F206E9">
        <w:rPr>
          <w:rFonts w:ascii="Times New Roman" w:eastAsiaTheme="minorEastAsia" w:hAnsi="Times New Roman"/>
          <w:b w:val="0"/>
          <w:bCs w:val="0"/>
          <w:sz w:val="24"/>
          <w:szCs w:val="24"/>
          <w:lang w:val="en-US"/>
        </w:rPr>
        <w:t>N</w:t>
      </w:r>
      <w:r w:rsidRPr="00F206E9">
        <w:rPr>
          <w:rFonts w:ascii="Times New Roman" w:eastAsiaTheme="minorEastAsia" w:hAnsi="Times New Roman"/>
          <w:b w:val="0"/>
          <w:bCs w:val="0"/>
          <w:sz w:val="24"/>
          <w:szCs w:val="24"/>
        </w:rPr>
        <w:t>,</w:t>
      </w:r>
      <w:r w:rsidRPr="00F206E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F206E9">
        <w:rPr>
          <w:rFonts w:ascii="Tahoma" w:hAnsi="Tahoma" w:cs="Tahoma"/>
          <w:b w:val="0"/>
        </w:rPr>
        <w:t>для определения Расчетной цены используются данные о ценах лучшего спроса, лучшего предложения и последней сделки по фьючерсному контракту/акции/иностранной валюте/драгоценному металлу, определяемые из внешних источников данных.</w:t>
      </w:r>
    </w:p>
    <w:p w:rsidR="00676C81" w:rsidRPr="00F206E9" w:rsidRDefault="00676C81" w:rsidP="00676C81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</w:rPr>
      </w:pPr>
      <w:r w:rsidRPr="00F206E9">
        <w:rPr>
          <w:rFonts w:ascii="Tahoma" w:hAnsi="Tahoma" w:cs="Tahoma"/>
          <w:b w:val="0"/>
        </w:rPr>
        <w:t>Расчетная цена опциона принимается равной теоретической цене опциона, определенной в соответствии с Методикой расчета теоретической цены опциона и коэффициента «дельта», рассчитанной Биржей на момент окончания Расчетного периода.</w:t>
      </w:r>
    </w:p>
    <w:p w:rsidR="00676C81" w:rsidRPr="00F206E9" w:rsidRDefault="00676C81" w:rsidP="00676C81">
      <w:pPr>
        <w:pStyle w:val="a8"/>
        <w:numPr>
          <w:ilvl w:val="0"/>
          <w:numId w:val="3"/>
        </w:numPr>
        <w:spacing w:line="276" w:lineRule="auto"/>
        <w:ind w:left="714" w:right="0" w:hanging="357"/>
        <w:rPr>
          <w:rFonts w:ascii="Tahoma" w:hAnsi="Tahoma" w:cs="Tahoma"/>
          <w:b w:val="0"/>
        </w:rPr>
      </w:pPr>
      <w:r w:rsidRPr="00F206E9">
        <w:rPr>
          <w:rFonts w:ascii="Tahoma" w:hAnsi="Tahoma" w:cs="Tahoma"/>
          <w:b w:val="0"/>
        </w:rPr>
        <w:t>Термины, используемые в Методике, понимаются в значениях, установленных законодательством Российской Федерации, Правилами организованных торгов на Срочном рынке ПАО Московская Биржа, Правилами клиринга Клирингового центра, иными внутренними документами ПАО Московская Биржа и Клирингового центра.</w:t>
      </w:r>
    </w:p>
    <w:p w:rsidR="00676C81" w:rsidRPr="00F206E9" w:rsidRDefault="00676C81" w:rsidP="00676C81">
      <w:pPr>
        <w:pStyle w:val="2"/>
        <w:numPr>
          <w:ilvl w:val="0"/>
          <w:numId w:val="0"/>
        </w:numPr>
        <w:ind w:left="-720"/>
        <w:rPr>
          <w:rFonts w:ascii="Tahoma" w:hAnsi="Tahoma" w:cs="Tahoma"/>
          <w:b/>
        </w:rPr>
      </w:pPr>
    </w:p>
    <w:p w:rsidR="00676C81" w:rsidRPr="00F206E9" w:rsidRDefault="00676C81" w:rsidP="00676C81">
      <w:pPr>
        <w:pStyle w:val="2"/>
        <w:numPr>
          <w:ilvl w:val="0"/>
          <w:numId w:val="0"/>
        </w:numPr>
        <w:rPr>
          <w:rFonts w:ascii="Tahoma" w:hAnsi="Tahoma" w:cs="Tahoma"/>
          <w:b/>
        </w:rPr>
      </w:pPr>
      <w:r w:rsidRPr="00F206E9">
        <w:rPr>
          <w:rFonts w:ascii="Tahoma" w:hAnsi="Tahoma" w:cs="Tahoma"/>
          <w:b/>
        </w:rPr>
        <w:t>Раздел 2. Порядок определения расчетной цены фьючерсного контракта</w:t>
      </w:r>
    </w:p>
    <w:p w:rsidR="00676C81" w:rsidRPr="00F206E9" w:rsidRDefault="00676C81" w:rsidP="00676C81">
      <w:pPr>
        <w:pStyle w:val="9"/>
        <w:numPr>
          <w:ilvl w:val="0"/>
          <w:numId w:val="0"/>
        </w:numPr>
        <w:spacing w:before="120" w:line="276" w:lineRule="auto"/>
        <w:ind w:left="714" w:hanging="357"/>
        <w:rPr>
          <w:rFonts w:ascii="Tahoma" w:hAnsi="Tahoma" w:cs="Tahoma"/>
          <w:sz w:val="20"/>
        </w:rPr>
      </w:pPr>
      <w:r w:rsidRPr="00F206E9">
        <w:rPr>
          <w:rFonts w:ascii="Tahoma" w:hAnsi="Tahoma" w:cs="Tahoma"/>
          <w:sz w:val="20"/>
        </w:rPr>
        <w:t>1. В Методике используются следующие основные параметры и их обозначения: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678"/>
        <w:gridCol w:w="4252"/>
      </w:tblGrid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Параметр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Обозначение</w:t>
            </w:r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Номер текущей клиринговой сессии (дневной или вечерней)</w:t>
            </w:r>
          </w:p>
        </w:tc>
        <w:tc>
          <w:tcPr>
            <w:tcW w:w="4252" w:type="dxa"/>
            <w:vAlign w:val="center"/>
          </w:tcPr>
          <w:p w:rsidR="00676C81" w:rsidRPr="00F206E9" w:rsidRDefault="00676C81" w:rsidP="0087362B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i/>
                <w:sz w:val="20"/>
                <w:szCs w:val="20"/>
              </w:rPr>
              <w:t>i</w:t>
            </w:r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Тип клиринговой сессия – дневная или вечерняя. Принимает значения: Icl, </w:t>
            </w: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Ecl</w:t>
            </w:r>
          </w:p>
        </w:tc>
        <w:tc>
          <w:tcPr>
            <w:tcW w:w="4252" w:type="dxa"/>
            <w:vAlign w:val="center"/>
          </w:tcPr>
          <w:p w:rsidR="00676C81" w:rsidRPr="00F206E9" w:rsidRDefault="00676C81" w:rsidP="0087362B">
            <w:pPr>
              <w:jc w:val="center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i/>
                <w:sz w:val="20"/>
                <w:szCs w:val="20"/>
              </w:rPr>
              <w:t>clearing</w:t>
            </w:r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Фьючерсный контракт/акция/иностранная валюта/драгоценный металл</w:t>
            </w:r>
          </w:p>
        </w:tc>
        <w:tc>
          <w:tcPr>
            <w:tcW w:w="4252" w:type="dxa"/>
            <w:vAlign w:val="center"/>
          </w:tcPr>
          <w:p w:rsidR="00676C81" w:rsidRPr="00F206E9" w:rsidRDefault="00676C81" w:rsidP="0087362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Instr</w:t>
            </w:r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Порядковый номер фьючерсного контракта. </w:t>
            </w:r>
          </w:p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Порядковые номера присваиваются для контрактов на один базовый актив по возрастанию даты последнего дня заключения торгов</w:t>
            </w:r>
          </w:p>
        </w:tc>
        <w:tc>
          <w:tcPr>
            <w:tcW w:w="4252" w:type="dxa"/>
            <w:vAlign w:val="center"/>
          </w:tcPr>
          <w:p w:rsidR="00676C81" w:rsidRPr="00F206E9" w:rsidRDefault="00676C81" w:rsidP="0087362B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F206E9">
              <w:rPr>
                <w:rFonts w:ascii="Tahoma" w:eastAsia="Calibri" w:hAnsi="Tahoma" w:cs="Tahoma"/>
                <w:sz w:val="20"/>
                <w:szCs w:val="20"/>
              </w:rPr>
              <w:t>Num</w:t>
            </w:r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Цены лучшего спроса, лучшего предложения и последней сделки по фьючерсному контракту/акции/иностранной валюте/драгоценному металлу, полученные с </w:t>
            </w:r>
            <w:r w:rsidRPr="00F206E9">
              <w:rPr>
                <w:rFonts w:ascii="Tahoma" w:hAnsi="Tahoma" w:cs="Tahoma"/>
                <w:sz w:val="20"/>
                <w:szCs w:val="20"/>
              </w:rPr>
              <w:lastRenderedPageBreak/>
              <w:t>соответствующего Биржевого рынка в момент времени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 xml:space="preserve"> time</m:t>
              </m:r>
            </m:oMath>
            <w:r w:rsidRPr="00F206E9">
              <w:rPr>
                <w:rFonts w:ascii="Tahoma" w:eastAsiaTheme="minorEastAsia" w:hAnsi="Tahoma" w:cs="Tahoma"/>
                <w:sz w:val="20"/>
                <w:szCs w:val="20"/>
              </w:rPr>
              <w:t xml:space="preserve"> в дату 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>date</m:t>
              </m:r>
            </m:oMath>
          </w:p>
        </w:tc>
        <w:tc>
          <w:tcPr>
            <w:tcW w:w="4252" w:type="dxa"/>
            <w:vAlign w:val="center"/>
          </w:tcPr>
          <w:p w:rsidR="00676C81" w:rsidRPr="00F206E9" w:rsidRDefault="00676C81" w:rsidP="008736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>
              <m:r>
                <w:rPr>
                  <w:rFonts w:ascii="Cambria Math" w:hAnsi="Cambria Math" w:cs="Tahoma"/>
                  <w:sz w:val="20"/>
                  <w:szCs w:val="20"/>
                </w:rPr>
                <w:lastRenderedPageBreak/>
                <m:t>Bid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(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date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,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time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,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Instr</m:t>
              </m:r>
            </m:oMath>
            <w:r w:rsidRPr="00F206E9">
              <w:rPr>
                <w:rFonts w:ascii="Tahoma" w:hAnsi="Tahoma" w:cs="Tahoma"/>
                <w:sz w:val="20"/>
                <w:szCs w:val="20"/>
              </w:rPr>
              <w:t>),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w:br/>
              </m:r>
            </m:oMath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Ask</m:t>
                </m:r>
                <m:d>
                  <m:dPr>
                    <m:ctrlPr>
                      <w:rPr>
                        <w:rFonts w:ascii="Cambria Math" w:hAnsi="Cambria Math" w:cs="Tahoma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date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time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Instr</m:t>
                    </m: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:rsidR="00676C81" w:rsidRPr="00F206E9" w:rsidRDefault="00676C81" w:rsidP="008736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Last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(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date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time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Instr)</m:t>
                </m:r>
              </m:oMath>
            </m:oMathPara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«Автоматической загрузки рыночных данных». Принимает значения «Y» и «N».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MDRule(БА,Num)</m:t>
                </m:r>
              </m:oMath>
            </m:oMathPara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Время загрузки рыночных данных для клиринговой сессии.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MDtime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(</m:t>
                </m:r>
                <m:r>
                  <w:rPr>
                    <w:rFonts w:ascii="Cambria Math" w:hAnsi="Cambria Math" w:cs="Tahoma"/>
                  </w:rPr>
                  <m:t>clearing,БА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</w:rPr>
                  <m:t>)</m:t>
                </m:r>
              </m:oMath>
            </m:oMathPara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Частота загрузки рыночных данных.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freq(БА)</m:t>
                </m:r>
              </m:oMath>
            </m:oMathPara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Количество загрузок рыночных данных.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count(БА)</m:t>
                </m:r>
              </m:oMath>
            </m:oMathPara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Фильтрованные рыночные данные для использования в расчетах клиринговой сессии </w:t>
            </w:r>
            <m:oMath>
              <m:r>
                <w:rPr>
                  <w:rFonts w:ascii="Cambria Math" w:hAnsi="Cambria Math" w:cs="Tahoma"/>
                  <w:sz w:val="20"/>
                  <w:szCs w:val="20"/>
                </w:rPr>
                <m:t>i</m:t>
              </m:r>
            </m:oMath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Bid(i,Instr)</m:t>
                </m:r>
              </m:oMath>
            </m:oMathPara>
          </w:p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eastAsiaTheme="minorEastAsi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Ask(i,Instr)</m:t>
                </m:r>
              </m:oMath>
            </m:oMathPara>
          </w:p>
          <w:p w:rsidR="00676C81" w:rsidRPr="00F206E9" w:rsidRDefault="00676C81" w:rsidP="008736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Last(i,Instr)</m:t>
                </m:r>
              </m:oMath>
            </m:oMathPara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  <w:lang w:val="en-US"/>
              </w:rPr>
              <w:t>11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Параметр, определяющий приоритет рыночных данных</w:t>
            </w:r>
          </w:p>
        </w:tc>
        <w:tc>
          <w:tcPr>
            <w:tcW w:w="4252" w:type="dxa"/>
            <w:vAlign w:val="center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 w:cs="Tahoma"/>
                    <w:sz w:val="20"/>
                    <w:szCs w:val="20"/>
                  </w:rPr>
                  <m:t>Spread(БА)</m:t>
                </m:r>
              </m:oMath>
            </m:oMathPara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Ожидаемые дивидендные выплаты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 рублях на 1 </w:t>
            </w:r>
            <w:r w:rsidRPr="00F206E9">
              <w:rPr>
                <w:rFonts w:ascii="Tahoma" w:hAnsi="Tahoma" w:cs="Tahoma"/>
                <w:sz w:val="20"/>
                <w:szCs w:val="20"/>
              </w:rPr>
              <w:t>акци</w:t>
            </w:r>
            <w:r>
              <w:rPr>
                <w:rFonts w:ascii="Tahoma" w:hAnsi="Tahoma" w:cs="Tahoma"/>
                <w:sz w:val="20"/>
                <w:szCs w:val="20"/>
              </w:rPr>
              <w:t>ю</w:t>
            </w:r>
            <w:r w:rsidRPr="00F206E9">
              <w:rPr>
                <w:rFonts w:ascii="Tahoma" w:hAnsi="Tahoma" w:cs="Tahoma"/>
                <w:sz w:val="20"/>
                <w:szCs w:val="20"/>
              </w:rPr>
              <w:t>, являющ</w:t>
            </w:r>
            <w:r>
              <w:rPr>
                <w:rFonts w:ascii="Tahoma" w:hAnsi="Tahoma" w:cs="Tahoma"/>
                <w:sz w:val="20"/>
                <w:szCs w:val="20"/>
              </w:rPr>
              <w:t>ую</w:t>
            </w:r>
            <w:r w:rsidRPr="00F206E9">
              <w:rPr>
                <w:rFonts w:ascii="Tahoma" w:hAnsi="Tahoma" w:cs="Tahoma"/>
                <w:sz w:val="20"/>
                <w:szCs w:val="20"/>
              </w:rPr>
              <w:t>ся базовым активом фьючерсного контракта</w:t>
            </w:r>
          </w:p>
        </w:tc>
        <w:tc>
          <w:tcPr>
            <w:tcW w:w="4252" w:type="dxa"/>
            <w:vAlign w:val="center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Расчетная цена фьючерсного контракта, определенная в ходе клиринговой сессии </w:t>
            </w:r>
            <w:r w:rsidRPr="00F206E9">
              <w:rPr>
                <w:rFonts w:ascii="Tahoma" w:hAnsi="Tahoma" w:cs="Tahoma"/>
                <w:i/>
                <w:sz w:val="20"/>
                <w:szCs w:val="20"/>
              </w:rPr>
              <w:t>i</w:t>
            </w:r>
            <w:r w:rsidRPr="00F206E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P(</w:t>
            </w:r>
            <w:proofErr w:type="gramStart"/>
            <w:r w:rsidRPr="00F206E9">
              <w:rPr>
                <w:rFonts w:ascii="Tahoma" w:hAnsi="Tahoma" w:cs="Tahoma"/>
                <w:sz w:val="20"/>
                <w:szCs w:val="20"/>
              </w:rPr>
              <w:t>i,Num</w:t>
            </w:r>
            <w:proofErr w:type="gramEnd"/>
            <w:r w:rsidRPr="00F206E9">
              <w:rPr>
                <w:rFonts w:ascii="Tahoma" w:hAnsi="Tahoma" w:cs="Tahoma"/>
                <w:sz w:val="20"/>
                <w:szCs w:val="20"/>
              </w:rPr>
              <w:t>,БА)</w:t>
            </w:r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 xml:space="preserve">«Грязная» Расчетная цена, определенная в ходе клиринговой сессии </w:t>
            </w:r>
            <w:r w:rsidRPr="00F206E9">
              <w:rPr>
                <w:rFonts w:ascii="Tahoma" w:hAnsi="Tahoma" w:cs="Tahoma"/>
                <w:i/>
                <w:sz w:val="20"/>
                <w:szCs w:val="20"/>
              </w:rPr>
              <w:t>i</w:t>
            </w:r>
          </w:p>
        </w:tc>
        <w:tc>
          <w:tcPr>
            <w:tcW w:w="4252" w:type="dxa"/>
            <w:vAlign w:val="center"/>
          </w:tcPr>
          <w:p w:rsidR="00676C81" w:rsidRPr="00F206E9" w:rsidRDefault="00676C81" w:rsidP="0087362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P_dirty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i,Num,БА</m:t>
                    </m:r>
                    <m:ctrlPr>
                      <w:rPr>
                        <w:rFonts w:ascii="Cambria Math" w:hAnsi="Cambria Math" w:cs="Tahoma"/>
                        <w:sz w:val="20"/>
                        <w:szCs w:val="20"/>
                      </w:rPr>
                    </m:ctrlPr>
                  </m:e>
                </m:d>
              </m:oMath>
            </m:oMathPara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Предварительное значение Расчетной цены инструмента, полученное из рыночных данных</w:t>
            </w:r>
          </w:p>
        </w:tc>
        <w:tc>
          <w:tcPr>
            <w:tcW w:w="4252" w:type="dxa"/>
            <w:vAlign w:val="center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MD(i,Num,БА)</m:t>
                </m:r>
              </m:oMath>
            </m:oMathPara>
          </w:p>
        </w:tc>
      </w:tr>
      <w:tr w:rsidR="00676C81" w:rsidTr="0087362B"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Предварительное значение Расчетной цены инструмента, полученное на основе рыночных данных с учетом ожидаемых дивидендных выплат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2835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</m:t>
                </m:r>
                <m:sSub>
                  <m:sSubPr>
                    <m:ctrlPr>
                      <w:rPr>
                        <w:rFonts w:ascii="Cambria Math" w:hAnsi="Cambria Math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</w:rPr>
                      <w:softHyphen/>
                    </m:r>
                    <m:r>
                      <w:rPr>
                        <w:rFonts w:ascii="Cambria Math" w:hAnsi="Cambria Math" w:cs="Tahoma"/>
                      </w:rPr>
                      <m:t>_dirty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i,Num,БА</m:t>
                        </m:r>
                        <m:ctrlPr>
                          <w:rPr>
                            <w:rFonts w:ascii="Cambria Math" w:hAnsi="Cambria Math" w:cs="Tahoma"/>
                          </w:rPr>
                        </m:ctrlPr>
                      </m:e>
                    </m:d>
                  </m:e>
                  <m:sub/>
                </m:sSub>
              </m:oMath>
            </m:oMathPara>
          </w:p>
        </w:tc>
      </w:tr>
      <w:tr w:rsidR="00676C81" w:rsidTr="0087362B">
        <w:trPr>
          <w:trHeight w:val="771"/>
        </w:trPr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Теоретическая цена, рассчитанная на основе рыночных данных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MD_theor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i,Num,БА</m:t>
                    </m:r>
                    <m:ctrlPr>
                      <w:rPr>
                        <w:rFonts w:ascii="Cambria Math" w:hAnsi="Cambria Math" w:cs="Tahoma"/>
                      </w:rPr>
                    </m:ctrlPr>
                  </m:e>
                </m:d>
              </m:oMath>
            </m:oMathPara>
          </w:p>
        </w:tc>
      </w:tr>
      <w:tr w:rsidR="00676C81" w:rsidTr="0087362B">
        <w:trPr>
          <w:trHeight w:val="771"/>
        </w:trPr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Приоритет рыночных данных по инструменту. Принимает значения 1 или 2.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eastAsiaTheme="minorEastAsi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MDpriority(i,</m:t>
                </m:r>
              </m:oMath>
            </m:oMathPara>
          </w:p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Instr)</m:t>
                </m:r>
              </m:oMath>
            </m:oMathPara>
          </w:p>
        </w:tc>
      </w:tr>
      <w:tr w:rsidR="00676C81" w:rsidTr="0087362B">
        <w:trPr>
          <w:trHeight w:val="771"/>
        </w:trPr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Время до исполнения фьючерсного контракта с порядковым номером Num в долях от года.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</m:oMath>
            </m:oMathPara>
          </w:p>
        </w:tc>
      </w:tr>
      <w:tr w:rsidR="00676C81" w:rsidTr="0087362B">
        <w:trPr>
          <w:trHeight w:val="771"/>
        </w:trPr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eastAsiaTheme="minorEastAsia" w:hAnsi="Tahoma" w:cs="Tahoma"/>
              </w:rPr>
              <w:t>Коэффициент для перевода из рублей в единицы Расчетной цены фьючерсного контракта.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Points(i,БА)</m:t>
                </m:r>
              </m:oMath>
            </m:oMathPara>
          </w:p>
        </w:tc>
      </w:tr>
      <w:tr w:rsidR="00676C81" w:rsidTr="0087362B">
        <w:trPr>
          <w:trHeight w:val="771"/>
        </w:trPr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  <w:color w:val="000000" w:themeColor="text1"/>
              </w:rPr>
              <w:t xml:space="preserve">Набор ставок процентной кривой в процентах годовых (кривая процентных ставок). 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  <w:color w:val="000000" w:themeColor="text1"/>
                  </w:rPr>
                  <m:t>r(i,m,БА)</m:t>
                </m:r>
              </m:oMath>
            </m:oMathPara>
          </w:p>
        </w:tc>
      </w:tr>
      <w:tr w:rsidR="00676C81" w:rsidTr="0087362B">
        <w:trPr>
          <w:trHeight w:val="771"/>
        </w:trPr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 xml:space="preserve">Процентная ставка, рассчитанная методом интерполяции, для срока </w:t>
            </w:r>
            <m:oMath>
              <m:r>
                <w:rPr>
                  <w:rFonts w:ascii="Cambria Math" w:hAnsi="Cambria Math" w:cs="Tahoma"/>
                </w:rPr>
                <m:t>τ</m:t>
              </m:r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j</m:t>
                  </m:r>
                </m:e>
              </m:d>
            </m:oMath>
            <w:r w:rsidRPr="00F206E9">
              <w:rPr>
                <w:rFonts w:ascii="Tahoma" w:hAnsi="Tahoma" w:cs="Tahoma"/>
              </w:rPr>
              <w:t xml:space="preserve"> и базового актива БА.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both"/>
              <w:rPr>
                <w:rFonts w:ascii="Tahoma" w:hAnsi="Tahoma" w:cs="Tahoma"/>
              </w:rPr>
            </w:pPr>
            <m:oMathPara>
              <m:oMath>
                <m:r>
                  <w:rPr>
                    <w:rFonts w:ascii="Cambria Math" w:hAnsi="Cambria Math" w:cs="Tahoma"/>
                  </w:rPr>
                  <m:t>r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i,τ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,БА</m:t>
                    </m:r>
                  </m:e>
                </m:d>
              </m:oMath>
            </m:oMathPara>
          </w:p>
        </w:tc>
      </w:tr>
      <w:tr w:rsidR="00676C81" w:rsidTr="0087362B">
        <w:trPr>
          <w:trHeight w:val="771"/>
        </w:trPr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выставления ограничения границы Ценового коридора фьючерсных контрактов в пределах положительных значений.</w:t>
            </w:r>
          </w:p>
          <w:p w:rsidR="00676C81" w:rsidRPr="00F206E9" w:rsidRDefault="00676C81" w:rsidP="0087362B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Устанавливается Клиринговым центром для каждого БА.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proofErr w:type="gramStart"/>
            <w:r w:rsidRPr="00F206E9">
              <w:rPr>
                <w:rFonts w:ascii="Tahoma" w:hAnsi="Tahoma" w:cs="Tahoma"/>
              </w:rPr>
              <w:t>NegativePrices(</w:t>
            </w:r>
            <w:proofErr w:type="gramEnd"/>
            <w:r w:rsidRPr="00F206E9">
              <w:rPr>
                <w:rFonts w:ascii="Tahoma" w:hAnsi="Tahoma" w:cs="Tahoma"/>
              </w:rPr>
              <w:t>БА)</w:t>
            </w:r>
          </w:p>
        </w:tc>
      </w:tr>
      <w:tr w:rsidR="00676C81" w:rsidTr="0087362B">
        <w:trPr>
          <w:trHeight w:val="771"/>
        </w:trPr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4678" w:type="dxa"/>
          </w:tcPr>
          <w:p w:rsidR="00676C81" w:rsidRPr="00F206E9" w:rsidRDefault="00676C81" w:rsidP="0087362B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6E9">
              <w:rPr>
                <w:rFonts w:ascii="Tahoma" w:hAnsi="Tahoma" w:cs="Tahoma"/>
                <w:sz w:val="20"/>
                <w:szCs w:val="20"/>
              </w:rPr>
              <w:t>Признак принудительного присвоения фьючерсам признака «Основной фьючерс»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676C81" w:rsidRPr="00F206E9" w:rsidRDefault="00676C81" w:rsidP="0087362B">
            <w:pPr>
              <w:pStyle w:val="af1"/>
              <w:spacing w:line="259" w:lineRule="auto"/>
              <w:ind w:left="0"/>
              <w:jc w:val="both"/>
              <w:rPr>
                <w:rFonts w:ascii="Tahoma" w:hAnsi="Tahoma" w:cs="Tahoma"/>
              </w:rPr>
            </w:pPr>
            <w:r w:rsidRPr="00F206E9">
              <w:rPr>
                <w:rFonts w:ascii="Tahoma" w:hAnsi="Tahoma" w:cs="Tahoma"/>
              </w:rPr>
              <w:t>Устанавливается Клиринговым центром.</w:t>
            </w:r>
          </w:p>
        </w:tc>
        <w:tc>
          <w:tcPr>
            <w:tcW w:w="4252" w:type="dxa"/>
          </w:tcPr>
          <w:p w:rsidR="00676C81" w:rsidRPr="00F206E9" w:rsidRDefault="00676C81" w:rsidP="0087362B">
            <w:pPr>
              <w:pStyle w:val="af1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proofErr w:type="gramStart"/>
            <w:r w:rsidRPr="00F206E9">
              <w:rPr>
                <w:rFonts w:ascii="Tahoma" w:hAnsi="Tahoma" w:cs="Tahoma"/>
              </w:rPr>
              <w:t>AllFirstPriority(</w:t>
            </w:r>
            <w:proofErr w:type="gramEnd"/>
            <w:r w:rsidRPr="00F206E9">
              <w:rPr>
                <w:rFonts w:ascii="Tahoma" w:hAnsi="Tahoma" w:cs="Tahoma"/>
              </w:rPr>
              <w:t>БА)</w:t>
            </w:r>
          </w:p>
        </w:tc>
      </w:tr>
      <w:tr w:rsidR="00676C81" w:rsidTr="0087362B">
        <w:trPr>
          <w:trHeight w:val="771"/>
        </w:trPr>
        <w:tc>
          <w:tcPr>
            <w:tcW w:w="596" w:type="dxa"/>
          </w:tcPr>
          <w:p w:rsidR="00676C81" w:rsidRPr="00F206E9" w:rsidRDefault="00676C81" w:rsidP="0087362B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78" w:type="dxa"/>
          </w:tcPr>
          <w:p w:rsidR="00676C81" w:rsidRDefault="00676C81" w:rsidP="0087362B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Лот фьючерсного контракта (в единицах базового актива).</w:t>
            </w:r>
          </w:p>
          <w:p w:rsidR="00676C81" w:rsidRPr="00730A76" w:rsidRDefault="00676C81" w:rsidP="0087362B">
            <w:pPr>
              <w:spacing w:line="259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Определяется в соответствии со спецификацией. </w:t>
            </w:r>
          </w:p>
        </w:tc>
        <w:tc>
          <w:tcPr>
            <w:tcW w:w="4252" w:type="dxa"/>
          </w:tcPr>
          <w:p w:rsidR="00676C81" w:rsidRPr="00730A76" w:rsidRDefault="00676C81" w:rsidP="0087362B">
            <w:pPr>
              <w:pStyle w:val="af1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  <w:lang w:val="en-US"/>
              </w:rPr>
              <w:t>Lot(</w:t>
            </w:r>
            <w:proofErr w:type="gramEnd"/>
            <w:r>
              <w:rPr>
                <w:rFonts w:ascii="Tahoma" w:hAnsi="Tahoma" w:cs="Tahoma"/>
                <w:lang w:val="en-US"/>
              </w:rPr>
              <w:t xml:space="preserve">Num, </w:t>
            </w:r>
            <w:r>
              <w:rPr>
                <w:rFonts w:ascii="Tahoma" w:hAnsi="Tahoma" w:cs="Tahoma"/>
              </w:rPr>
              <w:t>БА)</w:t>
            </w:r>
          </w:p>
        </w:tc>
      </w:tr>
    </w:tbl>
    <w:p w:rsidR="00676C81" w:rsidRPr="00F206E9" w:rsidRDefault="00676C81" w:rsidP="00676C81">
      <w:pPr>
        <w:rPr>
          <w:rFonts w:ascii="Tahoma" w:hAnsi="Tahoma" w:cs="Tahoma"/>
          <w:sz w:val="20"/>
          <w:szCs w:val="20"/>
        </w:rPr>
      </w:pPr>
    </w:p>
    <w:p w:rsidR="00676C81" w:rsidRPr="00F206E9" w:rsidRDefault="00676C81" w:rsidP="00676C81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206E9">
        <w:rPr>
          <w:rFonts w:ascii="Tahoma" w:hAnsi="Tahoma" w:cs="Tahoma"/>
          <w:sz w:val="20"/>
          <w:szCs w:val="20"/>
        </w:rPr>
        <w:t>Значения параметров № 6 - 9, 11 - 12, 21, 23-24 определяются Биржей на основе значений риск-параметров, определенных в соответствии с Методикой определения НКО НКЦ (АО) риск-параметров срочного рынка ПАО Московская Биржа.</w:t>
      </w:r>
    </w:p>
    <w:p w:rsidR="00676C81" w:rsidRPr="00F206E9" w:rsidRDefault="00676C81" w:rsidP="00676C81">
      <w:pPr>
        <w:spacing w:before="120"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206E9">
        <w:rPr>
          <w:rFonts w:ascii="Tahoma" w:hAnsi="Tahoma" w:cs="Tahoma"/>
          <w:sz w:val="20"/>
          <w:szCs w:val="20"/>
        </w:rPr>
        <w:t>2.</w:t>
      </w:r>
      <w:r w:rsidRPr="00F206E9">
        <w:rPr>
          <w:rFonts w:ascii="Tahoma" w:hAnsi="Tahoma" w:cs="Tahoma"/>
          <w:sz w:val="20"/>
          <w:szCs w:val="20"/>
        </w:rPr>
        <w:tab/>
        <w:t>Порядок расчета Расчетных цен определен в п.п. 3 - 10 настоящего раздела Методики.</w:t>
      </w:r>
    </w:p>
    <w:p w:rsidR="00676C81" w:rsidRPr="00F206E9" w:rsidRDefault="00676C81" w:rsidP="00676C81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  <w:lang w:val="en-US"/>
        </w:rPr>
        <w:t>C</w:t>
      </w:r>
      <w:r w:rsidRPr="00F206E9">
        <w:rPr>
          <w:rFonts w:ascii="Tahoma" w:eastAsiaTheme="minorEastAsia" w:hAnsi="Tahoma" w:cs="Tahoma"/>
        </w:rPr>
        <w:t xml:space="preserve"> целью определения Расчетной цены фьючерсные контракты подразделяются на основные и неосновные фьючерсы: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Фьючерcные контракты, приоритет рыночных данных которых равен 1, являются основными фьючерсами. 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>Фьючерсные контракты, приоритет рыночных данных которых равен 2, являются неосновными фьючерсами.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>Порядок установления приоритета рыночных данных определен п. 4 настоящего раздела Методики.</w:t>
      </w:r>
    </w:p>
    <w:p w:rsidR="00676C81" w:rsidRPr="00F206E9" w:rsidRDefault="00676C81" w:rsidP="00676C81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По фьючерсным контрактам и базовым активам собираются рыночные данные и определяется их приоритет по следующему алгоритму: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>Если признак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MDRule</m:t>
        </m:r>
        <m:r>
          <w:rPr>
            <w:rFonts w:ascii="Cambria Math" w:eastAsiaTheme="minorEastAsia" w:hAnsi="Cambria Math" w:cs="Tahoma"/>
          </w:rPr>
          <m:t>(БА,Num)</m:t>
        </m:r>
      </m:oMath>
      <w:r w:rsidRPr="00F206E9">
        <w:rPr>
          <w:rFonts w:ascii="Tahoma" w:hAnsi="Tahoma" w:cs="Tahoma"/>
        </w:rPr>
        <w:t xml:space="preserve"> </w:t>
      </w:r>
      <w:r w:rsidRPr="00F206E9">
        <w:rPr>
          <w:rFonts w:ascii="Tahoma" w:eastAsiaTheme="minorEastAsia" w:hAnsi="Tahoma" w:cs="Tahoma"/>
        </w:rPr>
        <w:t>установлен «Y», то н</w:t>
      </w:r>
      <w:r w:rsidRPr="00F206E9">
        <w:rPr>
          <w:rFonts w:ascii="Tahoma" w:hAnsi="Tahoma" w:cs="Tahoma"/>
        </w:rPr>
        <w:t>ачиная с момента времени</w:t>
      </w:r>
      <m:oMath>
        <m:r>
          <w:rPr>
            <w:rFonts w:ascii="Cambria Math" w:hAnsi="Cambria Math" w:cs="Tahoma"/>
          </w:rPr>
          <m:t xml:space="preserve"> MDtime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clearing,БА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 каждые  </w:t>
      </w:r>
      <m:oMath>
        <m:r>
          <w:rPr>
            <w:rFonts w:ascii="Cambria Math" w:hAnsi="Cambria Math" w:cs="Tahoma"/>
          </w:rPr>
          <m:t>freq(БА)</m:t>
        </m:r>
      </m:oMath>
      <w:r w:rsidRPr="00F206E9">
        <w:rPr>
          <w:rFonts w:ascii="Tahoma" w:hAnsi="Tahoma" w:cs="Tahoma"/>
        </w:rPr>
        <w:t xml:space="preserve"> секунд </w:t>
      </w:r>
      <m:oMath>
        <m:r>
          <w:rPr>
            <w:rFonts w:ascii="Cambria Math" w:hAnsi="Cambria Math" w:cs="Tahoma"/>
          </w:rPr>
          <m:t xml:space="preserve"> count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БА</m:t>
            </m:r>
          </m:e>
        </m:d>
        <m:r>
          <w:rPr>
            <w:rFonts w:ascii="Cambria Math" w:hAnsi="Cambria Math" w:cs="Tahoma"/>
          </w:rPr>
          <m:t xml:space="preserve"> </m:t>
        </m:r>
      </m:oMath>
      <w:r w:rsidRPr="00F206E9">
        <w:rPr>
          <w:rFonts w:ascii="Tahoma" w:hAnsi="Tahoma" w:cs="Tahoma"/>
        </w:rPr>
        <w:t xml:space="preserve"> раз с Биржевого рынка, на котором осуществляются торги </w:t>
      </w:r>
      <m:oMath>
        <m:r>
          <w:rPr>
            <w:rFonts w:ascii="Cambria Math" w:hAnsi="Cambria Math" w:cs="Tahoma"/>
          </w:rPr>
          <m:t xml:space="preserve"> Instr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ahoma"/>
              </w:rPr>
              <m:t>БА</m:t>
            </m:r>
          </m:e>
        </m:d>
        <m:r>
          <m:rPr>
            <m:sty m:val="p"/>
          </m:rPr>
          <w:rPr>
            <w:rFonts w:ascii="Cambria Math" w:hAnsi="Cambria Math" w:cs="Tahoma"/>
          </w:rPr>
          <m:t>,</m:t>
        </m:r>
      </m:oMath>
      <w:r w:rsidRPr="00F206E9">
        <w:rPr>
          <w:rFonts w:ascii="Tahoma" w:hAnsi="Tahoma" w:cs="Tahoma"/>
        </w:rPr>
        <w:t xml:space="preserve"> заполняются значения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 xml:space="preserve">. 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>Если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MDRule(БА,Num)</m:t>
        </m:r>
      </m:oMath>
      <w:r w:rsidRPr="00F206E9">
        <w:rPr>
          <w:rFonts w:ascii="Tahoma" w:hAnsi="Tahoma" w:cs="Tahoma"/>
        </w:rPr>
        <w:t xml:space="preserve"> </w:t>
      </w:r>
      <w:r w:rsidRPr="00F206E9">
        <w:rPr>
          <w:rFonts w:ascii="Tahoma" w:eastAsiaTheme="minorEastAsia" w:hAnsi="Tahoma" w:cs="Tahoma"/>
        </w:rPr>
        <w:t>установлен «N», то в</w:t>
      </w:r>
      <w:r w:rsidRPr="00F206E9">
        <w:rPr>
          <w:rFonts w:ascii="Tahoma" w:hAnsi="Tahoma" w:cs="Tahoma"/>
        </w:rPr>
        <w:t xml:space="preserve"> момент времени</w:t>
      </w:r>
      <m:oMath>
        <m:r>
          <w:rPr>
            <w:rFonts w:ascii="Cambria Math" w:hAnsi="Cambria Math" w:cs="Tahoma"/>
          </w:rPr>
          <m:t xml:space="preserve"> MDtime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clearing,БА</m:t>
            </m:r>
          </m:e>
        </m:d>
      </m:oMath>
      <w:r w:rsidRPr="00F206E9">
        <w:rPr>
          <w:rFonts w:ascii="Tahoma" w:hAnsi="Tahoma" w:cs="Tahoma"/>
        </w:rPr>
        <w:t xml:space="preserve"> по </w:t>
      </w:r>
      <m:oMath>
        <m:r>
          <w:rPr>
            <w:rFonts w:ascii="Cambria Math" w:hAnsi="Cambria Math" w:cs="Tahoma"/>
          </w:rPr>
          <m:t>Instr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ahoma"/>
              </w:rPr>
              <m:t>БА</m:t>
            </m:r>
          </m:e>
        </m:d>
        <m:r>
          <w:rPr>
            <w:rFonts w:ascii="Cambria Math" w:eastAsiaTheme="minorEastAsia" w:hAnsi="Cambria Math" w:cs="Tahoma"/>
          </w:rPr>
          <m:t xml:space="preserve"> </m:t>
        </m:r>
      </m:oMath>
      <w:r w:rsidRPr="00F206E9">
        <w:rPr>
          <w:rFonts w:ascii="Tahoma" w:eastAsiaTheme="minorEastAsia" w:hAnsi="Tahoma" w:cs="Tahoma"/>
        </w:rPr>
        <w:t>з</w:t>
      </w:r>
      <w:r w:rsidRPr="00F206E9">
        <w:rPr>
          <w:rFonts w:ascii="Tahoma" w:hAnsi="Tahoma" w:cs="Tahoma"/>
        </w:rPr>
        <w:t>начения</w:t>
      </w:r>
      <m:oMath>
        <m:r>
          <w:rPr>
            <w:rFonts w:ascii="Cambria Math" w:hAnsi="Cambria Math" w:cs="Tahoma"/>
          </w:rPr>
          <m:t xml:space="preserve"> 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m:rPr>
            <m:sty m:val="p"/>
          </m:rPr>
          <w:rPr>
            <w:rFonts w:ascii="Cambria Math" w:hAnsi="Cambria Math" w:cs="Tahoma"/>
          </w:rPr>
          <m:t xml:space="preserve">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 xml:space="preserve"> определяются в соответствии с Методикой определения НКО НКЦ (АО) риск-параметров срочного рынкае ПАО Московская Биржа.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hAnsi="Tahoma" w:cs="Tahoma"/>
        </w:rPr>
        <w:t xml:space="preserve">Для каждого фьючерсного контракта </w:t>
      </w:r>
      <w:r w:rsidRPr="00F206E9">
        <w:rPr>
          <w:rFonts w:ascii="Tahoma" w:eastAsiaTheme="minorEastAsia" w:hAnsi="Tahoma" w:cs="Tahoma"/>
        </w:rPr>
        <w:t xml:space="preserve">рассчитываются значения параметров </w:t>
      </w:r>
      <m:oMath>
        <m:r>
          <w:rPr>
            <w:rFonts w:ascii="Cambria Math" w:hAnsi="Cambria Math" w:cs="Tahoma"/>
          </w:rPr>
          <m:t>Bid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i,Instr</m:t>
            </m:r>
          </m:e>
        </m:d>
        <m:r>
          <w:rPr>
            <w:rFonts w:ascii="Cambria Math" w:hAnsi="Cambria Math" w:cs="Tahoma"/>
          </w:rPr>
          <m:t>, Ask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i,Instr</m:t>
            </m:r>
          </m:e>
        </m:d>
        <m:r>
          <w:rPr>
            <w:rFonts w:ascii="Cambria Math" w:hAnsi="Cambria Math" w:cs="Tahoma"/>
          </w:rPr>
          <m:t>, Last(i,Instr)</m:t>
        </m:r>
      </m:oMath>
      <w:r w:rsidRPr="00F206E9">
        <w:rPr>
          <w:rFonts w:ascii="Tahoma" w:eastAsiaTheme="minorEastAsia" w:hAnsi="Tahoma" w:cs="Tahoma"/>
        </w:rPr>
        <w:t xml:space="preserve"> как медианные по каждому из трех массивов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Bid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, </w:t>
      </w:r>
      <m:oMath>
        <m:r>
          <w:rPr>
            <w:rFonts w:ascii="Cambria Math" w:hAnsi="Cambria Math" w:cs="Tahoma"/>
          </w:rPr>
          <m:t>Ask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date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time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Instr)</m:t>
        </m:r>
      </m:oMath>
      <w:r w:rsidRPr="00F206E9">
        <w:rPr>
          <w:rFonts w:ascii="Tahoma" w:hAnsi="Tahoma" w:cs="Tahoma"/>
        </w:rPr>
        <w:t xml:space="preserve">, </w:t>
      </w:r>
      <m:oMath>
        <m:r>
          <w:rPr>
            <w:rFonts w:ascii="Cambria Math" w:hAnsi="Cambria Math" w:cs="Tahoma"/>
          </w:rPr>
          <m:t>Last</m:t>
        </m:r>
        <m:d>
          <m:dPr>
            <m:ctrlPr>
              <w:rPr>
                <w:rFonts w:ascii="Cambria Math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date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time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</m:oMath>
      <w:r w:rsidRPr="00F206E9">
        <w:rPr>
          <w:rFonts w:ascii="Tahoma" w:eastAsiaTheme="minorEastAsia" w:hAnsi="Tahoma" w:cs="Tahoma"/>
        </w:rPr>
        <w:t xml:space="preserve"> без учета пустых элементов. Если все элементы массива пустые, то итоговому результату также присваивается пустое значение.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Для фьючерсов на БА, на котором установлены признаки AllFirstPriority(БА)=Yes, и/или NegativePrices(БА)=Yes значения </w:t>
      </w:r>
      <m:oMath>
        <m:r>
          <w:rPr>
            <w:rFonts w:ascii="Cambria Math" w:hAnsi="Cambria Math" w:cs="Tahoma"/>
          </w:rPr>
          <m:t>Bid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i,Instr</m:t>
            </m:r>
          </m:e>
        </m:d>
        <m:r>
          <w:rPr>
            <w:rFonts w:ascii="Cambria Math" w:hAnsi="Cambria Math" w:cs="Tahoma"/>
          </w:rPr>
          <m:t>, Ask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i,Instr</m:t>
            </m:r>
          </m:e>
        </m:d>
        <m:r>
          <w:rPr>
            <w:rFonts w:ascii="Cambria Math" w:hAnsi="Cambria Math" w:cs="Tahoma"/>
          </w:rPr>
          <m:t>, Last(i,Instr)</m:t>
        </m:r>
      </m:oMath>
      <w:r w:rsidRPr="00F206E9">
        <w:rPr>
          <w:rFonts w:ascii="Tahoma" w:eastAsiaTheme="minorEastAsia" w:hAnsi="Tahoma" w:cs="Tahoma"/>
        </w:rPr>
        <w:t xml:space="preserve"> корректируются в соответствии с Методикой определения НКО НКЦ (АО) риск-параметров срочного рынка ПАО Московская Биржа.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Если все три параметра </w:t>
      </w:r>
      <m:oMath>
        <m:r>
          <w:rPr>
            <w:rFonts w:ascii="Cambria Math" w:hAnsi="Cambria Math" w:cs="Tahoma"/>
          </w:rPr>
          <m:t>Bid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hAnsi="Cambria Math" w:cs="Tahoma"/>
          </w:rPr>
          <m:t xml:space="preserve">, </m:t>
        </m:r>
        <m:r>
          <w:rPr>
            <w:rFonts w:ascii="Cambria Math" w:hAnsi="Cambria Math" w:cs="Tahoma"/>
          </w:rPr>
          <m:t>Ask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hAnsi="Cambria Math" w:cs="Tahoma"/>
          </w:rPr>
          <m:t xml:space="preserve">, </m:t>
        </m:r>
        <m:r>
          <w:rPr>
            <w:rFonts w:ascii="Cambria Math" w:hAnsi="Cambria Math" w:cs="Tahoma"/>
          </w:rPr>
          <m:t>Last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</w:rPr>
          <m:t>i</m:t>
        </m:r>
        <m:r>
          <m:rPr>
            <m:sty m:val="p"/>
          </m:rPr>
          <w:rPr>
            <w:rFonts w:ascii="Cambria Math" w:hAnsi="Cambria Math" w:cs="Tahoma"/>
          </w:rPr>
          <m:t>,</m:t>
        </m:r>
        <m:r>
          <w:rPr>
            <w:rFonts w:ascii="Cambria Math" w:hAnsi="Cambria Math" w:cs="Tahoma"/>
          </w:rPr>
          <m:t>Instr</m:t>
        </m:r>
        <m:r>
          <m:rPr>
            <m:sty m:val="p"/>
          </m:rPr>
          <w:rPr>
            <w:rFonts w:ascii="Cambria Math" w:hAnsi="Cambria Math" w:cs="Tahoma"/>
          </w:rPr>
          <m:t>)</m:t>
        </m:r>
      </m:oMath>
      <w:r w:rsidRPr="00F206E9">
        <w:rPr>
          <w:rFonts w:ascii="Tahoma" w:hAnsi="Tahoma" w:cs="Tahoma"/>
        </w:rPr>
        <w:t xml:space="preserve"> принимают не пустые  значения, и выполняется неравенство:</w:t>
      </w:r>
    </w:p>
    <w:p w:rsidR="00676C81" w:rsidRPr="00F206E9" w:rsidRDefault="00676C81" w:rsidP="00676C81">
      <w:pPr>
        <w:pStyle w:val="af1"/>
        <w:spacing w:before="120"/>
        <w:ind w:left="1800"/>
        <w:jc w:val="both"/>
        <w:rPr>
          <w:rFonts w:ascii="Tahoma" w:eastAsiaTheme="minorEastAsia" w:hAnsi="Tahoma" w:cs="Tahoma"/>
        </w:rPr>
      </w:pPr>
      <m:oMath>
        <m:r>
          <w:rPr>
            <w:rFonts w:ascii="Cambria Math" w:eastAsiaTheme="minorEastAsia" w:hAnsi="Cambria Math" w:cs="Tahoma"/>
          </w:rPr>
          <m:t>2*</m:t>
        </m:r>
        <m:f>
          <m:fPr>
            <m:ctrlPr>
              <w:rPr>
                <w:rFonts w:ascii="Cambria Math" w:eastAsiaTheme="minorEastAsia" w:hAnsi="Cambria Math" w:cs="Tahoma"/>
                <w:i/>
              </w:rPr>
            </m:ctrlPr>
          </m:fPr>
          <m:num>
            <m:r>
              <w:rPr>
                <w:rFonts w:ascii="Cambria Math" w:eastAsiaTheme="minorEastAsia" w:hAnsi="Cambria Math" w:cs="Tahoma"/>
              </w:rPr>
              <m:t>Ask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  <m:r>
              <w:rPr>
                <w:rFonts w:ascii="Cambria Math" w:eastAsiaTheme="minorEastAsia" w:hAnsi="Cambria Math" w:cs="Tahoma"/>
              </w:rPr>
              <m:t>-Bid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</m:num>
          <m:den>
            <m:r>
              <w:rPr>
                <w:rFonts w:ascii="Cambria Math" w:eastAsiaTheme="minorEastAsia" w:hAnsi="Cambria Math" w:cs="Tahoma"/>
              </w:rPr>
              <m:t>abs(Ask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  <m:r>
              <w:rPr>
                <w:rFonts w:ascii="Cambria Math" w:eastAsiaTheme="minorEastAsia" w:hAnsi="Cambria Math" w:cs="Tahoma"/>
              </w:rPr>
              <m:t>)+abs(Bid</m:t>
            </m:r>
            <m:d>
              <m:dPr>
                <m:ctrlPr>
                  <w:rPr>
                    <w:rFonts w:ascii="Cambria Math" w:eastAsiaTheme="minorEastAsia" w:hAnsi="Cambria Math" w:cs="Tahoma"/>
                  </w:rPr>
                </m:ctrlPr>
              </m:dPr>
              <m:e>
                <m:r>
                  <w:rPr>
                    <w:rFonts w:ascii="Cambria Math" w:eastAsiaTheme="minorEastAsia" w:hAnsi="Cambria Math" w:cs="Tahoma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ahoma"/>
                  </w:rPr>
                  <m:t>,</m:t>
                </m:r>
                <m:r>
                  <w:rPr>
                    <w:rFonts w:ascii="Cambria Math" w:eastAsiaTheme="minorEastAsia" w:hAnsi="Cambria Math" w:cs="Tahoma"/>
                  </w:rPr>
                  <m:t>Instr</m:t>
                </m:r>
              </m:e>
            </m:d>
            <m:r>
              <w:rPr>
                <w:rFonts w:ascii="Cambria Math" w:eastAsiaTheme="minorEastAsia" w:hAnsi="Cambria Math" w:cs="Tahoma"/>
              </w:rPr>
              <m:t>)</m:t>
            </m:r>
          </m:den>
        </m:f>
        <m:r>
          <w:rPr>
            <w:rFonts w:ascii="Cambria Math" w:eastAsiaTheme="minorEastAsia" w:hAnsi="Cambria Math" w:cs="Tahoma"/>
          </w:rPr>
          <m:t>≤Spread(БА)∙MR(БА,1)</m:t>
        </m:r>
      </m:oMath>
      <w:r w:rsidRPr="00F206E9">
        <w:rPr>
          <w:rFonts w:ascii="Tahoma" w:eastAsiaTheme="minorEastAsia" w:hAnsi="Tahoma" w:cs="Tahoma"/>
        </w:rPr>
        <w:t>,</w:t>
      </w:r>
    </w:p>
    <w:p w:rsidR="00676C81" w:rsidRPr="00F206E9" w:rsidRDefault="00676C81" w:rsidP="00676C81">
      <w:pPr>
        <w:pStyle w:val="af1"/>
        <w:spacing w:before="120"/>
        <w:ind w:left="1800"/>
        <w:jc w:val="both"/>
        <w:rPr>
          <w:rFonts w:ascii="Tahoma" w:eastAsiaTheme="minorEastAsia" w:hAnsi="Tahoma" w:cs="Tahoma"/>
          <w:i/>
        </w:rPr>
      </w:pPr>
      <w:r w:rsidRPr="00F206E9">
        <w:rPr>
          <w:rFonts w:ascii="Tahoma" w:hAnsi="Tahoma" w:cs="Tahoma"/>
        </w:rPr>
        <w:t xml:space="preserve">или </w:t>
      </w:r>
      <m:oMath>
        <m:r>
          <w:rPr>
            <w:rFonts w:ascii="Cambria Math" w:hAnsi="Cambria Math" w:cs="Tahoma"/>
          </w:rPr>
          <m:t>Ask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w:rPr>
            <w:rFonts w:ascii="Cambria Math" w:hAnsi="Cambria Math" w:cs="Tahoma"/>
          </w:rPr>
          <m:t>=Bid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hAnsi="Cambria Math" w:cs="Tahoma"/>
              </w:rPr>
              <m:t>,</m:t>
            </m:r>
            <m:r>
              <w:rPr>
                <w:rFonts w:ascii="Cambria Math" w:hAnsi="Cambria Math" w:cs="Tahoma"/>
              </w:rPr>
              <m:t>Instr</m:t>
            </m:r>
          </m:e>
        </m:d>
        <m:r>
          <w:rPr>
            <w:rFonts w:ascii="Cambria Math" w:hAnsi="Cambria Math" w:cs="Tahoma"/>
          </w:rPr>
          <m:t>=0</m:t>
        </m:r>
      </m:oMath>
    </w:p>
    <w:p w:rsidR="00676C81" w:rsidRPr="00F206E9" w:rsidRDefault="00676C81" w:rsidP="00676C81">
      <w:pPr>
        <w:spacing w:before="120" w:line="276" w:lineRule="auto"/>
        <w:ind w:left="1092" w:firstLine="708"/>
        <w:jc w:val="both"/>
        <w:rPr>
          <w:rFonts w:ascii="Tahoma" w:eastAsiaTheme="minorEastAsia" w:hAnsi="Tahoma" w:cs="Tahoma"/>
          <w:sz w:val="20"/>
          <w:szCs w:val="20"/>
        </w:rPr>
      </w:pPr>
      <w:r w:rsidRPr="00F206E9">
        <w:rPr>
          <w:rFonts w:ascii="Tahoma" w:eastAsiaTheme="minorEastAsia" w:hAnsi="Tahoma" w:cs="Tahoma"/>
          <w:sz w:val="20"/>
          <w:szCs w:val="20"/>
        </w:rPr>
        <w:t>где abs(x) – модуль числа x,</w:t>
      </w:r>
    </w:p>
    <w:p w:rsidR="00676C81" w:rsidRPr="00F206E9" w:rsidRDefault="00676C81" w:rsidP="00676C81">
      <w:pPr>
        <w:pStyle w:val="af1"/>
        <w:spacing w:before="120"/>
        <w:ind w:left="1800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>то присваивается приоритет, равный 1.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>Иначе приоритет равен 2.</w:t>
      </w:r>
    </w:p>
    <w:p w:rsidR="00676C81" w:rsidRPr="00F206E9" w:rsidRDefault="00676C81" w:rsidP="00676C81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Рассчитываются «грязные» значения Расчетных цен фьючерсов кроме фьючерсов, базовым активом которых является процентная ставка (далее – Фьючерс на процентную ставку), </w:t>
      </w:r>
      <w:r w:rsidRPr="00F206E9">
        <w:rPr>
          <w:rFonts w:ascii="Tahoma" w:eastAsiaTheme="minorEastAsia" w:hAnsi="Tahoma" w:cs="Tahoma"/>
        </w:rPr>
        <w:lastRenderedPageBreak/>
        <w:t xml:space="preserve">определенных в ходе </w:t>
      </w:r>
      <w:r w:rsidRPr="00F206E9">
        <w:rPr>
          <w:rFonts w:ascii="Tahoma" w:hAnsi="Tahoma" w:cs="Tahoma"/>
        </w:rPr>
        <w:t>клиринговой сессии, проведенной по результатам предшествующего Расчетного периода, для всех Num: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 xml:space="preserve">Для фьючерсов на БА, на котором установлен признак </w:t>
      </w:r>
      <w:proofErr w:type="gramStart"/>
      <w:r w:rsidRPr="00F206E9">
        <w:rPr>
          <w:rFonts w:ascii="Tahoma" w:eastAsiaTheme="minorEastAsia" w:hAnsi="Tahoma" w:cs="Tahoma"/>
        </w:rPr>
        <w:t>NegativePrices(</w:t>
      </w:r>
      <w:proofErr w:type="gramEnd"/>
      <w:r w:rsidRPr="00F206E9">
        <w:rPr>
          <w:rFonts w:ascii="Tahoma" w:eastAsiaTheme="minorEastAsia" w:hAnsi="Tahoma" w:cs="Tahoma"/>
        </w:rPr>
        <w:t>БА)=</w:t>
      </w:r>
      <w:r w:rsidRPr="00F206E9">
        <w:rPr>
          <w:rFonts w:ascii="Tahoma" w:eastAsiaTheme="minorEastAsia" w:hAnsi="Tahoma" w:cs="Tahoma"/>
          <w:lang w:val="en-US"/>
        </w:rPr>
        <w:t>No</w:t>
      </w:r>
      <w:r w:rsidRPr="00F206E9">
        <w:rPr>
          <w:rFonts w:ascii="Tahoma" w:eastAsiaTheme="minorEastAsia" w:hAnsi="Tahoma" w:cs="Tahoma"/>
        </w:rPr>
        <w:t>:</w:t>
      </w:r>
    </w:p>
    <w:p w:rsidR="00676C81" w:rsidRPr="00F206E9" w:rsidRDefault="00676C81" w:rsidP="00676C81">
      <w:pPr>
        <w:pStyle w:val="af1"/>
        <w:overflowPunct/>
        <w:autoSpaceDE/>
        <w:autoSpaceDN/>
        <w:adjustRightInd/>
        <w:spacing w:before="120" w:line="276" w:lineRule="auto"/>
        <w:ind w:left="720"/>
        <w:jc w:val="both"/>
        <w:rPr>
          <w:rFonts w:ascii="Tahoma" w:hAnsi="Tahoma" w:cs="Tahoma"/>
        </w:rPr>
      </w:pPr>
    </w:p>
    <w:p w:rsidR="00676C81" w:rsidRPr="00F206E9" w:rsidRDefault="00676C81" w:rsidP="00676C81">
      <w:pPr>
        <w:pStyle w:val="af1"/>
        <w:spacing w:before="120"/>
        <w:ind w:left="252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P_dirty(i-1,Num,БА)</m:t>
        </m:r>
        <m:r>
          <m:rPr>
            <m:sty m:val="p"/>
          </m:rPr>
          <w:rPr>
            <w:rFonts w:ascii="Cambria Math" w:hAnsi="Cambria Math" w:cs="Tahoma"/>
          </w:rPr>
          <m:t>=max⁡(</m:t>
        </m:r>
        <m:r>
          <w:rPr>
            <w:rFonts w:ascii="Cambria Math" w:hAnsi="Cambria Math" w:cs="Tahoma"/>
          </w:rPr>
          <m:t>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i-1,Num,БА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t</m:t>
                </m:r>
              </m:e>
            </m:d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i-1,t,БА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∙t</m:t>
                    </m:r>
                  </m:sup>
                </m:sSup>
              </m:e>
            </m:d>
          </m:e>
        </m:nary>
        <m:r>
          <w:rPr>
            <w:rFonts w:ascii="Cambria Math" w:hAnsi="Cambria Math" w:cs="Tahoma"/>
          </w:rPr>
          <m:t>∙</m:t>
        </m:r>
        <m:r>
          <w:rPr>
            <w:rFonts w:ascii="Cambria Math" w:hAnsi="Cambria Math" w:cs="Tahoma"/>
            <w:lang w:val="en-US"/>
          </w:rPr>
          <m:t>Lot</m:t>
        </m:r>
        <m:r>
          <w:rPr>
            <w:rFonts w:ascii="Cambria Math" w:hAnsi="Cambria Math" w:cs="Tahoma"/>
          </w:rPr>
          <m:t>(</m:t>
        </m:r>
        <m:r>
          <w:rPr>
            <w:rFonts w:ascii="Cambria Math" w:hAnsi="Cambria Math" w:cs="Tahoma"/>
            <w:lang w:val="en-US"/>
          </w:rPr>
          <m:t>Num</m:t>
        </m:r>
        <m:r>
          <w:rPr>
            <w:rFonts w:ascii="Cambria Math" w:hAnsi="Cambria Math" w:cs="Tahoma"/>
          </w:rPr>
          <m:t>, БА);MinStep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</m:e>
        </m:d>
        <m: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 xml:space="preserve">   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 xml:space="preserve">Для Фьючерсов на БА, на котором установлен признак </w:t>
      </w:r>
      <w:proofErr w:type="gramStart"/>
      <w:r w:rsidRPr="00F206E9">
        <w:rPr>
          <w:rFonts w:ascii="Tahoma" w:eastAsiaTheme="minorEastAsia" w:hAnsi="Tahoma" w:cs="Tahoma"/>
        </w:rPr>
        <w:t>NegativePrices(</w:t>
      </w:r>
      <w:proofErr w:type="gramEnd"/>
      <w:r w:rsidRPr="00F206E9">
        <w:rPr>
          <w:rFonts w:ascii="Tahoma" w:eastAsiaTheme="minorEastAsia" w:hAnsi="Tahoma" w:cs="Tahoma"/>
        </w:rPr>
        <w:t>БА)=</w:t>
      </w:r>
      <w:r w:rsidRPr="00F206E9">
        <w:rPr>
          <w:rFonts w:ascii="Tahoma" w:eastAsiaTheme="minorEastAsia" w:hAnsi="Tahoma" w:cs="Tahoma"/>
          <w:lang w:val="en-US"/>
        </w:rPr>
        <w:t>Yes</w:t>
      </w:r>
      <w:r w:rsidRPr="00F206E9">
        <w:rPr>
          <w:rFonts w:ascii="Tahoma" w:eastAsiaTheme="minorEastAsia" w:hAnsi="Tahoma" w:cs="Tahoma"/>
        </w:rPr>
        <w:t>:</w:t>
      </w:r>
    </w:p>
    <w:p w:rsidR="00676C81" w:rsidRPr="00F206E9" w:rsidRDefault="00676C81" w:rsidP="00676C81">
      <w:pPr>
        <w:pStyle w:val="af1"/>
        <w:overflowPunct/>
        <w:autoSpaceDE/>
        <w:autoSpaceDN/>
        <w:adjustRightInd/>
        <w:spacing w:before="120" w:line="276" w:lineRule="auto"/>
        <w:ind w:left="720"/>
        <w:jc w:val="both"/>
        <w:rPr>
          <w:rFonts w:ascii="Tahoma" w:hAnsi="Tahoma" w:cs="Tahoma"/>
        </w:rPr>
      </w:pPr>
    </w:p>
    <w:p w:rsidR="00676C81" w:rsidRPr="00F206E9" w:rsidRDefault="00676C81" w:rsidP="00676C81">
      <w:pPr>
        <w:pStyle w:val="af1"/>
        <w:spacing w:before="120"/>
        <w:ind w:left="252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P_dirty(i-1,Num,БА)</m:t>
        </m:r>
        <m:r>
          <m:rPr>
            <m:sty m:val="p"/>
          </m:rPr>
          <w:rPr>
            <w:rFonts w:ascii="Cambria Math" w:hAnsi="Cambria Math" w:cs="Tahoma"/>
          </w:rPr>
          <m:t>=</m:t>
        </m:r>
        <m:r>
          <w:rPr>
            <w:rFonts w:ascii="Cambria Math" w:hAnsi="Cambria Math" w:cs="Tahoma"/>
          </w:rPr>
          <m:t>P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i-1,Num,БА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CF(t)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</m:t>
                        </m:r>
                        <m:r>
                          <w:rPr>
                            <w:rFonts w:ascii="Cambria Math" w:hAnsi="Cambria Math" w:cs="Tahoma"/>
                            <w:lang w:val="en-US"/>
                          </w:rPr>
                          <m:t>t</m:t>
                        </m:r>
                        <m:r>
                          <w:rPr>
                            <w:rFonts w:ascii="Cambria Math" w:hAnsi="Cambria Math" w:cs="Tahoma"/>
                          </w:rPr>
                          <m:t>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∙t</m:t>
                    </m:r>
                  </m:sup>
                </m:sSup>
              </m:e>
            </m:d>
            <m:r>
              <w:rPr>
                <w:rFonts w:ascii="Cambria Math" w:hAnsi="Cambria Math" w:cs="Tahoma"/>
              </w:rPr>
              <m:t>∙</m:t>
            </m:r>
            <m:r>
              <w:rPr>
                <w:rFonts w:ascii="Cambria Math" w:hAnsi="Cambria Math" w:cs="Tahoma"/>
                <w:lang w:val="en-US"/>
              </w:rPr>
              <m:t>Lot</m:t>
            </m:r>
            <m:r>
              <w:rPr>
                <w:rFonts w:ascii="Cambria Math" w:hAnsi="Cambria Math" w:cs="Tahoma"/>
              </w:rPr>
              <m:t>(</m:t>
            </m:r>
            <m:r>
              <w:rPr>
                <w:rFonts w:ascii="Cambria Math" w:hAnsi="Cambria Math" w:cs="Tahoma"/>
                <w:lang w:val="en-US"/>
              </w:rPr>
              <m:t>Num</m:t>
            </m:r>
            <m:r>
              <w:rPr>
                <w:rFonts w:ascii="Cambria Math" w:hAnsi="Cambria Math" w:cs="Tahoma"/>
              </w:rPr>
              <m:t>, БА)</m:t>
            </m:r>
          </m:e>
        </m:nary>
      </m:oMath>
      <w:r w:rsidRPr="00F206E9">
        <w:rPr>
          <w:rFonts w:ascii="Tahoma" w:eastAsiaTheme="minorEastAsia" w:hAnsi="Tahoma" w:cs="Tahoma"/>
        </w:rPr>
        <w:t xml:space="preserve">   </w:t>
      </w:r>
    </w:p>
    <w:p w:rsidR="00676C81" w:rsidRPr="00F206E9" w:rsidRDefault="00676C81" w:rsidP="00676C81">
      <w:pPr>
        <w:spacing w:before="120" w:line="276" w:lineRule="auto"/>
        <w:ind w:left="708" w:firstLine="708"/>
        <w:jc w:val="both"/>
        <w:rPr>
          <w:rFonts w:ascii="Tahoma" w:eastAsiaTheme="minorEastAsia" w:hAnsi="Tahoma" w:cs="Tahoma"/>
          <w:sz w:val="20"/>
          <w:szCs w:val="20"/>
        </w:rPr>
      </w:pPr>
      <w:r w:rsidRPr="00F206E9">
        <w:rPr>
          <w:rFonts w:ascii="Tahoma" w:eastAsiaTheme="minorEastAsia" w:hAnsi="Tahoma" w:cs="Tahoma"/>
          <w:sz w:val="20"/>
          <w:szCs w:val="20"/>
        </w:rPr>
        <w:t>где</w:t>
      </w:r>
    </w:p>
    <w:p w:rsidR="00676C81" w:rsidRPr="00F206E9" w:rsidRDefault="00676C81" w:rsidP="00676C81">
      <w:pPr>
        <w:spacing w:before="120" w:line="276" w:lineRule="auto"/>
        <w:jc w:val="both"/>
        <w:rPr>
          <w:rFonts w:ascii="Tahoma" w:eastAsiaTheme="minorEastAsia" w:hAnsi="Tahoma" w:cs="Tahoma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 w:cs="Tahoma"/>
              <w:sz w:val="20"/>
              <w:szCs w:val="20"/>
            </w:rPr>
            <m:t>Points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i,БА</m:t>
              </m:r>
            </m:e>
          </m:d>
          <m:r>
            <w:rPr>
              <w:rFonts w:ascii="Cambria Math" w:eastAsiaTheme="minorEastAsia" w:hAnsi="Cambria Math" w:cs="Tahoma"/>
              <w:sz w:val="20"/>
              <w:szCs w:val="20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MinStep(i,1,БА)</m:t>
              </m:r>
            </m:num>
            <m:den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MinStepPrice(i,1,БА)</m:t>
              </m:r>
            </m:den>
          </m:f>
        </m:oMath>
      </m:oMathPara>
    </w:p>
    <w:p w:rsidR="00676C81" w:rsidRPr="00F206E9" w:rsidRDefault="00676C81" w:rsidP="00676C81">
      <w:pPr>
        <w:pStyle w:val="af1"/>
        <w:spacing w:before="120"/>
        <w:ind w:left="180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r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i-1,τ,БА</m:t>
            </m:r>
          </m:e>
        </m:d>
      </m:oMath>
      <w:r w:rsidRPr="00F206E9">
        <w:rPr>
          <w:rFonts w:ascii="Tahoma" w:eastAsiaTheme="minorEastAsia" w:hAnsi="Tahoma" w:cs="Tahoma"/>
        </w:rPr>
        <w:t xml:space="preserve"> – значение ставки на срок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τ</m:t>
        </m:r>
      </m:oMath>
      <w:r w:rsidRPr="00F206E9">
        <w:rPr>
          <w:rFonts w:ascii="Tahoma" w:eastAsiaTheme="minorEastAsia" w:hAnsi="Tahoma" w:cs="Tahoma"/>
        </w:rPr>
        <w:t xml:space="preserve">, определенное в ходе </w:t>
      </w:r>
      <w:r w:rsidRPr="00F206E9">
        <w:rPr>
          <w:rFonts w:ascii="Tahoma" w:hAnsi="Tahoma" w:cs="Tahoma"/>
        </w:rPr>
        <w:t>клиринговой сессии, проведенной по результатам предшествующего Расчетного периода.</w:t>
      </w:r>
    </w:p>
    <w:p w:rsidR="00676C81" w:rsidRPr="00F206E9" w:rsidRDefault="00676C81" w:rsidP="00676C81">
      <w:pPr>
        <w:pStyle w:val="af1"/>
        <w:spacing w:before="120"/>
        <w:ind w:left="2520"/>
        <w:jc w:val="both"/>
        <w:rPr>
          <w:rFonts w:ascii="Tahoma" w:eastAsiaTheme="minorEastAsia" w:hAnsi="Tahoma" w:cs="Tahoma"/>
          <w:iCs/>
        </w:rPr>
      </w:pPr>
    </w:p>
    <w:p w:rsidR="00676C81" w:rsidRPr="00F206E9" w:rsidRDefault="00676C81" w:rsidP="00676C81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Преобразовываются значения Расчетных цен Фьючерсов на процентную ставку, </w:t>
      </w:r>
      <w:r w:rsidRPr="00F206E9">
        <w:rPr>
          <w:rFonts w:ascii="Tahoma" w:eastAsiaTheme="minorEastAsia" w:hAnsi="Tahoma" w:cs="Tahoma"/>
        </w:rPr>
        <w:t xml:space="preserve">определенных в ходе </w:t>
      </w:r>
      <w:r w:rsidRPr="00F206E9">
        <w:rPr>
          <w:rFonts w:ascii="Tahoma" w:hAnsi="Tahoma" w:cs="Tahoma"/>
        </w:rPr>
        <w:t>клиринговой сессии, проведенной по результатам предшествующего Расчетного периода, для всех Num: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цены которых выражены в обратных котировках:</w:t>
      </w:r>
    </w:p>
    <w:p w:rsidR="00676C81" w:rsidRPr="00F206E9" w:rsidRDefault="00676C81" w:rsidP="00676C81">
      <w:pPr>
        <w:pStyle w:val="af1"/>
        <w:spacing w:before="120"/>
        <w:ind w:left="2520"/>
        <w:jc w:val="both"/>
        <w:rPr>
          <w:rFonts w:ascii="Tahoma" w:eastAsiaTheme="minorEastAsia" w:hAnsi="Tahoma" w:cs="Tahoma"/>
          <w:iCs/>
        </w:rPr>
      </w:pPr>
      <m:oMathPara>
        <m:oMath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=1-</m:t>
          </m:r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цены которых выражены в прямых котировках:</w:t>
      </w:r>
    </w:p>
    <w:p w:rsidR="00676C81" w:rsidRPr="00F206E9" w:rsidRDefault="00676C81" w:rsidP="00676C81">
      <w:pPr>
        <w:pStyle w:val="af1"/>
        <w:spacing w:before="120"/>
        <w:ind w:left="2520"/>
        <w:jc w:val="both"/>
        <w:rPr>
          <w:rFonts w:ascii="Tahoma" w:eastAsiaTheme="minorEastAsia" w:hAnsi="Tahoma" w:cs="Tahoma"/>
        </w:rPr>
      </w:pPr>
      <m:oMathPara>
        <m:oMath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</m:t>
          </m:r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i-1,Num,БА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:rsidR="00676C81" w:rsidRPr="00F206E9" w:rsidRDefault="00676C81" w:rsidP="00676C81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«Грязные» Расчетные цены основных фьючерсов, а также фьючерсов на БА, на котором установлены признаки </w:t>
      </w:r>
      <w:proofErr w:type="gramStart"/>
      <w:r w:rsidRPr="00F206E9">
        <w:rPr>
          <w:rFonts w:ascii="Tahoma" w:eastAsiaTheme="minorEastAsia" w:hAnsi="Tahoma" w:cs="Tahoma"/>
        </w:rPr>
        <w:t>AllFirstPriority(</w:t>
      </w:r>
      <w:proofErr w:type="gramEnd"/>
      <w:r w:rsidRPr="00F206E9">
        <w:rPr>
          <w:rFonts w:ascii="Tahoma" w:eastAsiaTheme="minorEastAsia" w:hAnsi="Tahoma" w:cs="Tahoma"/>
        </w:rPr>
        <w:t xml:space="preserve">БА)=Yes, и/или NegativePrices(БА)=Yes, рассчитываются в соответствии с п.п. 7.1 - 7.5 настоящего раздела Методики. 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Рассчитываются величины </w:t>
      </w:r>
      <m:oMath>
        <m:r>
          <w:rPr>
            <w:rFonts w:ascii="Cambria Math" w:eastAsiaTheme="minorEastAsia" w:hAnsi="Cambria Math" w:cs="Tahoma"/>
          </w:rPr>
          <m:t>MD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eastAsiaTheme="minorEastAsia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,</m:t>
            </m:r>
            <m:r>
              <w:rPr>
                <w:rFonts w:ascii="Cambria Math" w:eastAsiaTheme="minorEastAsia" w:hAnsi="Cambria Math" w:cs="Tahoma"/>
              </w:rPr>
              <m:t>Num,БА</m:t>
            </m:r>
          </m:e>
        </m:d>
      </m:oMath>
      <w:r w:rsidRPr="00F206E9">
        <w:rPr>
          <w:rFonts w:ascii="Tahoma" w:eastAsiaTheme="minorEastAsia" w:hAnsi="Tahoma" w:cs="Tahoma"/>
        </w:rPr>
        <w:t xml:space="preserve"> как медианное значение из величин </w:t>
      </w:r>
      <m:oMath>
        <m:r>
          <w:rPr>
            <w:rFonts w:ascii="Cambria Math" w:eastAsiaTheme="minorEastAsia" w:hAnsi="Cambria Math" w:cs="Tahoma"/>
          </w:rPr>
          <m:t>Bid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eastAsiaTheme="minorEastAsia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,</m:t>
            </m:r>
            <m:r>
              <w:rPr>
                <w:rFonts w:ascii="Cambria Math" w:eastAsiaTheme="minorEastAsia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eastAsiaTheme="minorEastAsia" w:hAnsi="Cambria Math" w:cs="Tahoma"/>
          </w:rPr>
          <m:t xml:space="preserve">, </m:t>
        </m:r>
        <m:r>
          <w:rPr>
            <w:rFonts w:ascii="Cambria Math" w:eastAsiaTheme="minorEastAsia" w:hAnsi="Cambria Math" w:cs="Tahoma"/>
          </w:rPr>
          <m:t>Ask</m:t>
        </m:r>
        <m:d>
          <m:dPr>
            <m:ctrlPr>
              <w:rPr>
                <w:rFonts w:ascii="Cambria Math" w:eastAsiaTheme="minorEastAsia" w:hAnsi="Cambria Math" w:cs="Tahoma"/>
              </w:rPr>
            </m:ctrlPr>
          </m:dPr>
          <m:e>
            <m:r>
              <w:rPr>
                <w:rFonts w:ascii="Cambria Math" w:eastAsiaTheme="minorEastAsia" w:hAnsi="Cambria Math" w:cs="Tahoma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Tahoma"/>
              </w:rPr>
              <m:t>,</m:t>
            </m:r>
            <m:r>
              <w:rPr>
                <w:rFonts w:ascii="Cambria Math" w:eastAsiaTheme="minorEastAsia" w:hAnsi="Cambria Math" w:cs="Tahoma"/>
              </w:rPr>
              <m:t>Instr</m:t>
            </m:r>
          </m:e>
        </m:d>
        <m:r>
          <m:rPr>
            <m:sty m:val="p"/>
          </m:rPr>
          <w:rPr>
            <w:rFonts w:ascii="Cambria Math" w:eastAsiaTheme="minorEastAsia" w:hAnsi="Cambria Math" w:cs="Tahoma"/>
          </w:rPr>
          <m:t xml:space="preserve">, </m:t>
        </m:r>
        <m:r>
          <w:rPr>
            <w:rFonts w:ascii="Cambria Math" w:eastAsiaTheme="minorEastAsia" w:hAnsi="Cambria Math" w:cs="Tahoma"/>
          </w:rPr>
          <m:t>Last</m:t>
        </m:r>
        <m:r>
          <m:rPr>
            <m:sty m:val="p"/>
          </m:rPr>
          <w:rPr>
            <w:rFonts w:ascii="Cambria Math" w:eastAsiaTheme="minorEastAsia" w:hAnsi="Cambria Math" w:cs="Tahoma"/>
          </w:rPr>
          <m:t>(</m:t>
        </m:r>
        <m:r>
          <w:rPr>
            <w:rFonts w:ascii="Cambria Math" w:eastAsiaTheme="minorEastAsia" w:hAnsi="Cambria Math" w:cs="Tahoma"/>
          </w:rPr>
          <m:t>i</m:t>
        </m:r>
        <m:r>
          <m:rPr>
            <m:sty m:val="p"/>
          </m:rPr>
          <w:rPr>
            <w:rFonts w:ascii="Cambria Math" w:eastAsiaTheme="minorEastAsia" w:hAnsi="Cambria Math" w:cs="Tahoma"/>
          </w:rPr>
          <m:t>,</m:t>
        </m:r>
        <m:r>
          <w:rPr>
            <w:rFonts w:ascii="Cambria Math" w:eastAsiaTheme="minorEastAsia" w:hAnsi="Cambria Math" w:cs="Tahoma"/>
          </w:rPr>
          <m:t>Instr</m:t>
        </m:r>
        <m:r>
          <m:rPr>
            <m:sty m:val="p"/>
          </m:rPr>
          <w:rPr>
            <w:rFonts w:ascii="Cambria Math" w:eastAsiaTheme="minorEastAsia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>.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Рассчитываются «грязные» значения предварительных значений расчетных цен для фьючерсов, кроме Фьючерсов на процентную ставку:</w:t>
      </w:r>
    </w:p>
    <w:p w:rsidR="00676C81" w:rsidRPr="00F206E9" w:rsidRDefault="00676C81" w:rsidP="00676C81">
      <w:pPr>
        <w:pStyle w:val="af1"/>
        <w:spacing w:before="120"/>
        <w:ind w:left="1800"/>
        <w:jc w:val="center"/>
        <w:rPr>
          <w:rFonts w:ascii="Tahoma" w:eastAsiaTheme="minorEastAsia" w:hAnsi="Tahoma" w:cs="Tahoma"/>
          <w:i/>
        </w:rPr>
      </w:pPr>
      <m:oMath>
        <m:r>
          <w:rPr>
            <w:rFonts w:ascii="Cambria Math" w:hAnsi="Cambria Math" w:cs="Tahoma"/>
          </w:rPr>
          <m:t>M</m:t>
        </m:r>
        <m:sSub>
          <m:sSubPr>
            <m:ctrlPr>
              <w:rPr>
                <w:rFonts w:ascii="Cambria Math" w:hAnsi="Cambria Math" w:cs="Tahoma"/>
                <w:i/>
              </w:rPr>
            </m:ctrlPr>
          </m:sSubPr>
          <m:e>
            <m:r>
              <w:rPr>
                <w:rFonts w:ascii="Cambria Math" w:hAnsi="Cambria Math" w:cs="Tahoma"/>
              </w:rPr>
              <m:t>D</m:t>
            </m:r>
          </m:e>
          <m:sub>
            <m:r>
              <w:rPr>
                <w:rFonts w:ascii="Cambria Math" w:hAnsi="Cambria Math" w:cs="Tahoma"/>
              </w:rPr>
              <m:t>dirty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i,Num,БА</m:t>
                </m:r>
                <m:ctrlPr>
                  <w:rPr>
                    <w:rFonts w:ascii="Cambria Math" w:hAnsi="Cambria Math" w:cs="Tahoma"/>
                  </w:rPr>
                </m:ctrlPr>
              </m:e>
            </m:d>
          </m:sub>
        </m:sSub>
        <m:r>
          <m:rPr>
            <m:sty m:val="p"/>
          </m:rPr>
          <w:rPr>
            <w:rFonts w:ascii="Cambria Math" w:hAnsi="Cambria Math" w:cs="Tahoma"/>
          </w:rPr>
          <m:t>=</m:t>
        </m:r>
        <m:r>
          <w:rPr>
            <w:rFonts w:ascii="Cambria Math" w:hAnsi="Cambria Math" w:cs="Tahoma"/>
          </w:rPr>
          <m:t>MD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</m:e>
        </m:d>
        <m:r>
          <w:rPr>
            <w:rFonts w:ascii="Cambria Math" w:hAnsi="Cambria Math" w:cs="Tahoma"/>
          </w:rPr>
          <m:t>+Points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i,БА</m:t>
            </m:r>
          </m:e>
        </m:d>
        <m:r>
          <w:rPr>
            <w:rFonts w:ascii="Cambria Math" w:hAnsi="Cambria Math" w:cs="Tahoma"/>
          </w:rPr>
          <m:t>∙</m:t>
        </m:r>
        <m:sSup>
          <m:sSupPr>
            <m:ctrlPr>
              <w:rPr>
                <w:rFonts w:ascii="Cambria Math" w:hAnsi="Cambria Math" w:cs="Tahoma"/>
                <w:i/>
                <w:iCs/>
              </w:rPr>
            </m:ctrlPr>
          </m:sSupPr>
          <m:e>
            <m:r>
              <w:rPr>
                <w:rFonts w:ascii="Cambria Math" w:hAnsi="Cambria Math" w:cs="Tahoma"/>
              </w:rPr>
              <m:t>e</m:t>
            </m:r>
          </m:e>
          <m:sup>
            <m:r>
              <w:rPr>
                <w:rFonts w:ascii="Cambria Math" w:hAnsi="Cambria Math" w:cs="Tahoma"/>
              </w:rPr>
              <m:t>r</m:t>
            </m:r>
            <m:d>
              <m:dPr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i-1,τ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Num</m:t>
                    </m:r>
                  </m:e>
                </m:d>
                <m:r>
                  <w:rPr>
                    <w:rFonts w:ascii="Cambria Math" w:hAnsi="Cambria Math" w:cs="Tahoma"/>
                  </w:rPr>
                  <m:t>,БА</m:t>
                </m:r>
              </m:e>
            </m:d>
            <m:r>
              <w:rPr>
                <w:rFonts w:ascii="Cambria Math" w:hAnsi="Cambria Math" w:cs="Tahoma"/>
              </w:rPr>
              <m:t>∙τ</m:t>
            </m:r>
            <m:d>
              <m:dPr>
                <m:ctrlPr>
                  <w:rPr>
                    <w:rFonts w:ascii="Cambria Math" w:hAnsi="Cambria Math" w:cs="Tahoma"/>
                    <w:i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Num</m:t>
                </m:r>
              </m:e>
            </m:d>
          </m:sup>
        </m:sSup>
        <m:r>
          <w:rPr>
            <w:rFonts w:ascii="Cambria Math" w:hAnsi="Cambria Math" w:cs="Tahoma"/>
          </w:rPr>
          <m:t>∙</m:t>
        </m:r>
        <m:nary>
          <m:naryPr>
            <m:chr m:val="∑"/>
            <m:limLoc m:val="undOvr"/>
            <m:ctrlPr>
              <w:rPr>
                <w:rFonts w:ascii="Cambria Math" w:hAnsi="Cambria Math" w:cs="Tahoma"/>
                <w:i/>
                <w:iCs/>
              </w:rPr>
            </m:ctrlPr>
          </m:naryPr>
          <m:sub>
            <m:r>
              <w:rPr>
                <w:rFonts w:ascii="Cambria Math" w:hAnsi="Cambria Math" w:cs="Tahoma"/>
              </w:rPr>
              <m:t>CF(t)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0&lt;t&lt;τ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Num</m:t>
                </m:r>
              </m:e>
            </m:d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 w:cs="Tahoma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 w:cs="Tahoma"/>
                  </w:rPr>
                  <m:t>CF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</w:rPr>
                      <m:t>БА,</m:t>
                    </m:r>
                    <m:r>
                      <w:rPr>
                        <w:rFonts w:ascii="Cambria Math" w:hAnsi="Cambria Math" w:cs="Tahoma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ahoma"/>
                      </w:rPr>
                      <m:t>-r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</w:rPr>
                          <m:t>i-1,t,БА</m:t>
                        </m:r>
                      </m:e>
                    </m:d>
                    <m:r>
                      <w:rPr>
                        <w:rFonts w:ascii="Cambria Math" w:hAnsi="Cambria Math" w:cs="Tahoma"/>
                      </w:rPr>
                      <m:t>∙t</m:t>
                    </m:r>
                  </m:sup>
                </m:sSup>
              </m:e>
            </m:d>
            <m:r>
              <w:rPr>
                <w:rFonts w:ascii="Cambria Math" w:hAnsi="Cambria Math" w:cs="Tahoma"/>
              </w:rPr>
              <m:t>∙</m:t>
            </m:r>
            <m:r>
              <w:rPr>
                <w:rFonts w:ascii="Cambria Math" w:hAnsi="Cambria Math" w:cs="Tahoma"/>
                <w:lang w:val="en-US"/>
              </w:rPr>
              <m:t>Lot</m:t>
            </m:r>
            <m:r>
              <w:rPr>
                <w:rFonts w:ascii="Cambria Math" w:hAnsi="Cambria Math" w:cs="Tahoma"/>
              </w:rPr>
              <m:t>(</m:t>
            </m:r>
            <m:r>
              <w:rPr>
                <w:rFonts w:ascii="Cambria Math" w:hAnsi="Cambria Math" w:cs="Tahoma"/>
                <w:lang w:val="en-US"/>
              </w:rPr>
              <m:t>Num</m:t>
            </m:r>
            <m:r>
              <w:rPr>
                <w:rFonts w:ascii="Cambria Math" w:hAnsi="Cambria Math" w:cs="Tahoma"/>
              </w:rPr>
              <m:t>, БА)</m:t>
            </m:r>
          </m:e>
        </m:nary>
      </m:oMath>
      <w:r w:rsidRPr="00F206E9">
        <w:rPr>
          <w:rFonts w:ascii="Tahoma" w:eastAsiaTheme="minorEastAsia" w:hAnsi="Tahoma" w:cs="Tahoma"/>
          <w:i/>
        </w:rPr>
        <w:t>,</w:t>
      </w:r>
    </w:p>
    <w:p w:rsidR="00676C81" w:rsidRPr="00F206E9" w:rsidRDefault="00676C81" w:rsidP="00676C81">
      <w:pPr>
        <w:pStyle w:val="af1"/>
        <w:spacing w:before="120"/>
        <w:ind w:left="1800"/>
        <w:jc w:val="both"/>
        <w:rPr>
          <w:rFonts w:ascii="Tahoma" w:eastAsiaTheme="minorEastAsia" w:hAnsi="Tahoma" w:cs="Tahoma"/>
        </w:rPr>
      </w:pPr>
      <w:r w:rsidRPr="00F206E9">
        <w:rPr>
          <w:rFonts w:ascii="Tahoma" w:hAnsi="Tahoma" w:cs="Tahoma"/>
        </w:rPr>
        <w:t>где</w:t>
      </w:r>
    </w:p>
    <w:p w:rsidR="00676C81" w:rsidRPr="00F206E9" w:rsidRDefault="00676C81" w:rsidP="00676C81">
      <w:pPr>
        <w:pStyle w:val="af1"/>
        <w:spacing w:before="120"/>
        <w:ind w:left="1800"/>
        <w:jc w:val="both"/>
        <w:rPr>
          <w:rFonts w:ascii="Tahoma" w:eastAsiaTheme="minorEastAsia" w:hAnsi="Tahoma" w:cs="Tahoma"/>
        </w:rPr>
      </w:pPr>
      <m:oMath>
        <m:r>
          <w:rPr>
            <w:rFonts w:ascii="Cambria Math" w:hAnsi="Cambria Math" w:cs="Tahoma"/>
          </w:rPr>
          <m:t>r</m:t>
        </m:r>
        <m:d>
          <m:dPr>
            <m:ctrlPr>
              <w:rPr>
                <w:rFonts w:ascii="Cambria Math" w:hAnsi="Cambria Math" w:cs="Tahoma"/>
                <w:i/>
              </w:rPr>
            </m:ctrlPr>
          </m:dPr>
          <m:e>
            <m:r>
              <w:rPr>
                <w:rFonts w:ascii="Cambria Math" w:hAnsi="Cambria Math" w:cs="Tahoma"/>
              </w:rPr>
              <m:t>i-1,τ,БА</m:t>
            </m:r>
          </m:e>
        </m:d>
      </m:oMath>
      <w:r w:rsidRPr="00F206E9">
        <w:rPr>
          <w:rFonts w:ascii="Tahoma" w:eastAsiaTheme="minorEastAsia" w:hAnsi="Tahoma" w:cs="Tahoma"/>
        </w:rPr>
        <w:t xml:space="preserve"> – значение ставки на срок</w:t>
      </w:r>
      <m:oMath>
        <m:r>
          <w:rPr>
            <w:rFonts w:ascii="Cambria Math" w:eastAsiaTheme="minorEastAsia" w:hAnsi="Cambria Math" w:cs="Tahoma"/>
          </w:rPr>
          <m:t xml:space="preserve"> </m:t>
        </m:r>
        <m:r>
          <w:rPr>
            <w:rFonts w:ascii="Cambria Math" w:hAnsi="Cambria Math" w:cs="Tahoma"/>
          </w:rPr>
          <m:t>τ</m:t>
        </m:r>
      </m:oMath>
      <w:r w:rsidRPr="00F206E9">
        <w:rPr>
          <w:rFonts w:ascii="Tahoma" w:eastAsiaTheme="minorEastAsia" w:hAnsi="Tahoma" w:cs="Tahoma"/>
        </w:rPr>
        <w:t xml:space="preserve">, определенное в ходе </w:t>
      </w:r>
      <w:r w:rsidRPr="00F206E9">
        <w:rPr>
          <w:rFonts w:ascii="Tahoma" w:hAnsi="Tahoma" w:cs="Tahoma"/>
        </w:rPr>
        <w:t>клиринговой сессии, проведенной по результатам предшествующего Расчетного периода</w:t>
      </w:r>
      <w:r w:rsidRPr="00F206E9">
        <w:rPr>
          <w:rFonts w:ascii="Tahoma" w:eastAsiaTheme="minorEastAsia" w:hAnsi="Tahoma" w:cs="Tahoma"/>
        </w:rPr>
        <w:t>,</w:t>
      </w:r>
    </w:p>
    <w:p w:rsidR="00676C81" w:rsidRPr="00F206E9" w:rsidRDefault="00676C81" w:rsidP="00676C81">
      <w:pPr>
        <w:spacing w:before="120" w:line="276" w:lineRule="auto"/>
        <w:jc w:val="both"/>
        <w:rPr>
          <w:rFonts w:ascii="Tahoma" w:hAnsi="Tahoma" w:cs="Tahoma"/>
          <w:i/>
          <w:sz w:val="20"/>
          <w:szCs w:val="20"/>
        </w:rPr>
      </w:pPr>
      <m:oMathPara>
        <m:oMath>
          <m:r>
            <w:rPr>
              <w:rFonts w:ascii="Cambria Math" w:eastAsiaTheme="minorEastAsia" w:hAnsi="Cambria Math" w:cs="Tahoma"/>
              <w:sz w:val="20"/>
              <w:szCs w:val="20"/>
            </w:rPr>
            <m:t>Points</m:t>
          </m:r>
          <m:d>
            <m:dPr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i,БА</m:t>
              </m:r>
            </m:e>
          </m:d>
          <m:r>
            <w:rPr>
              <w:rFonts w:ascii="Cambria Math" w:eastAsiaTheme="minorEastAsia" w:hAnsi="Cambria Math" w:cs="Tahoma"/>
              <w:sz w:val="20"/>
              <w:szCs w:val="20"/>
            </w:rPr>
            <m:t>=</m:t>
          </m:r>
          <m:f>
            <m:fPr>
              <m:type m:val="skw"/>
              <m:ctrlPr>
                <w:rPr>
                  <w:rFonts w:ascii="Cambria Math" w:eastAsiaTheme="minorEastAsia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MinStep(i,1,БА)</m:t>
              </m:r>
            </m:num>
            <m:den>
              <m:r>
                <w:rPr>
                  <w:rFonts w:ascii="Cambria Math" w:eastAsiaTheme="minorEastAsia" w:hAnsi="Cambria Math" w:cs="Tahoma"/>
                  <w:sz w:val="20"/>
                  <w:szCs w:val="20"/>
                </w:rPr>
                <m:t>MinStepPrice(i,1,БА)</m:t>
              </m:r>
            </m:den>
          </m:f>
        </m:oMath>
      </m:oMathPara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Преобразовываются значения рыночных данных для Фьючерсов на процентную ставку:</w:t>
      </w:r>
    </w:p>
    <w:p w:rsidR="00676C81" w:rsidRPr="00F206E9" w:rsidRDefault="00676C81" w:rsidP="00676C81">
      <w:pPr>
        <w:pStyle w:val="af1"/>
        <w:numPr>
          <w:ilvl w:val="2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 цены которых выражены в обратных котировках:</w:t>
      </w:r>
    </w:p>
    <w:p w:rsidR="00676C81" w:rsidRPr="00F206E9" w:rsidRDefault="00676C81" w:rsidP="00676C81">
      <w:pPr>
        <w:pStyle w:val="af1"/>
        <w:spacing w:before="120"/>
        <w:ind w:left="2520"/>
        <w:jc w:val="both"/>
        <w:rPr>
          <w:rFonts w:ascii="Tahoma" w:eastAsiaTheme="minorEastAsia" w:hAnsi="Tahoma" w:cs="Tahoma"/>
          <w:iCs/>
        </w:rPr>
      </w:pPr>
      <m:oMathPara>
        <m:oMath>
          <m:r>
            <w:rPr>
              <w:rFonts w:ascii="Cambria Math" w:hAnsi="Cambria Math" w:cs="Tahoma"/>
            </w:rPr>
            <m:t>MD_dirty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=1-</m:t>
          </m:r>
          <m:r>
            <w:rPr>
              <w:rFonts w:ascii="Cambria Math" w:hAnsi="Cambria Math" w:cs="Tahoma"/>
            </w:rPr>
            <m:t>MD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:rsidR="00676C81" w:rsidRPr="00F206E9" w:rsidRDefault="00676C81" w:rsidP="00676C81">
      <w:pPr>
        <w:pStyle w:val="af1"/>
        <w:numPr>
          <w:ilvl w:val="2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цены которых выражены в прямых котировках:</w:t>
      </w:r>
    </w:p>
    <w:p w:rsidR="00676C81" w:rsidRPr="00F206E9" w:rsidRDefault="00676C81" w:rsidP="00676C81">
      <w:pPr>
        <w:pStyle w:val="af1"/>
        <w:spacing w:before="120"/>
        <w:ind w:left="25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</w:rPr>
            <w:lastRenderedPageBreak/>
            <m:t>MD_dirty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</m:t>
          </m:r>
          <m:r>
            <w:rPr>
              <w:rFonts w:ascii="Cambria Math" w:hAnsi="Cambria Math" w:cs="Tahoma"/>
            </w:rPr>
            <m:t>MD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</m:e>
          </m:d>
          <m:r>
            <w:rPr>
              <w:rFonts w:ascii="Cambria Math" w:hAnsi="Cambria Math" w:cs="Tahoma"/>
            </w:rPr>
            <m:t>/100</m:t>
          </m:r>
        </m:oMath>
      </m:oMathPara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  <w:b/>
        </w:rPr>
      </w:pPr>
      <w:r w:rsidRPr="00F206E9">
        <w:rPr>
          <w:rFonts w:ascii="Tahoma" w:hAnsi="Tahoma" w:cs="Tahoma"/>
        </w:rPr>
        <w:t xml:space="preserve">Для всех Num </w:t>
      </w:r>
      <w:r w:rsidRPr="00F206E9">
        <w:rPr>
          <w:rFonts w:ascii="Tahoma" w:eastAsiaTheme="minorEastAsia" w:hAnsi="Tahoma" w:cs="Tahoma"/>
        </w:rPr>
        <w:t xml:space="preserve">теоретическая цена </w:t>
      </w:r>
      <m:oMath>
        <m:r>
          <w:rPr>
            <w:rFonts w:ascii="Cambria Math" w:hAnsi="Cambria Math" w:cs="Tahoma"/>
          </w:rPr>
          <m:t>MD_theor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  <w:r w:rsidRPr="00F206E9">
        <w:rPr>
          <w:rFonts w:ascii="Tahoma" w:eastAsiaTheme="minorEastAsia" w:hAnsi="Tahoma" w:cs="Tahoma"/>
        </w:rPr>
        <w:t xml:space="preserve">  </w:t>
      </w:r>
      <w:r w:rsidRPr="00F206E9">
        <w:rPr>
          <w:rFonts w:ascii="Tahoma" w:hAnsi="Tahoma" w:cs="Tahoma"/>
        </w:rPr>
        <w:t xml:space="preserve">устанавливается равной </w:t>
      </w:r>
      <m:oMath>
        <m:r>
          <w:rPr>
            <w:rFonts w:ascii="Cambria Math" w:hAnsi="Cambria Math" w:cs="Tahoma"/>
          </w:rPr>
          <m:t>MD_dirty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«Грязная» Расчетная цена </w:t>
      </w:r>
      <m:oMath>
        <m:r>
          <w:rPr>
            <w:rFonts w:ascii="Cambria Math" w:hAnsi="Cambria Math" w:cs="Tahoma"/>
          </w:rPr>
          <m:t>P_dirty(i,БА,</m:t>
        </m:r>
        <m:r>
          <w:rPr>
            <w:rFonts w:ascii="Cambria Math" w:hAnsi="Cambria Math" w:cs="Tahoma"/>
            <w:lang w:val="en-US"/>
          </w:rPr>
          <m:t>Num</m:t>
        </m:r>
        <m:r>
          <w:rPr>
            <w:rFonts w:ascii="Cambria Math" w:hAnsi="Cambria Math" w:cs="Tahoma"/>
          </w:rPr>
          <m:t>)</m:t>
        </m:r>
      </m:oMath>
      <w:r w:rsidRPr="00F206E9">
        <w:rPr>
          <w:rFonts w:ascii="Tahoma" w:eastAsiaTheme="minorEastAsia" w:hAnsi="Tahoma" w:cs="Tahoma"/>
        </w:rPr>
        <w:t>:</w:t>
      </w:r>
    </w:p>
    <w:p w:rsidR="00676C81" w:rsidRPr="00F206E9" w:rsidRDefault="00676C81" w:rsidP="00676C81">
      <w:pPr>
        <w:pStyle w:val="af1"/>
        <w:numPr>
          <w:ilvl w:val="2"/>
          <w:numId w:val="4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EastAsia" w:hAnsi="Tahoma" w:cs="Tahoma"/>
        </w:rPr>
      </w:pPr>
      <w:r w:rsidRPr="00F206E9">
        <w:rPr>
          <w:rFonts w:ascii="Tahoma" w:eastAsiaTheme="minorEastAsia" w:hAnsi="Tahoma" w:cs="Tahoma"/>
        </w:rPr>
        <w:t xml:space="preserve">Устанавливается равной </w:t>
      </w:r>
      <m:oMath>
        <m:r>
          <w:rPr>
            <w:rFonts w:ascii="Cambria Math" w:hAnsi="Cambria Math" w:cs="Tahoma"/>
          </w:rPr>
          <m:t>MD_dirty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  <w:r w:rsidRPr="00F206E9">
        <w:rPr>
          <w:rFonts w:ascii="Tahoma" w:eastAsiaTheme="minorEastAsia" w:hAnsi="Tahoma" w:cs="Tahoma"/>
        </w:rPr>
        <w:t xml:space="preserve"> </w:t>
      </w:r>
      <w:r w:rsidRPr="00F206E9">
        <w:rPr>
          <w:rFonts w:ascii="Tahoma" w:hAnsi="Tahoma" w:cs="Tahoma"/>
        </w:rPr>
        <w:t>для всех Num, кроме фьючерсов на Базовые активы без сбора данных с рынка спот</w:t>
      </w:r>
    </w:p>
    <w:p w:rsidR="00676C81" w:rsidRPr="00F206E9" w:rsidRDefault="00676C81" w:rsidP="00676C81">
      <w:pPr>
        <w:pStyle w:val="af1"/>
        <w:numPr>
          <w:ilvl w:val="2"/>
          <w:numId w:val="4"/>
        </w:numPr>
        <w:overflowPunct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EastAsia" w:hAnsi="Tahoma" w:cs="Tahoma"/>
        </w:rPr>
      </w:pPr>
      <w:r w:rsidRPr="00F206E9">
        <w:rPr>
          <w:rFonts w:ascii="Tahoma" w:hAnsi="Tahoma" w:cs="Tahoma"/>
        </w:rPr>
        <w:t xml:space="preserve">Для фьючерсов на Базовые активы без сбора данных с рынка спот значение </w:t>
      </w:r>
      <w:r w:rsidRPr="00F206E9">
        <w:rPr>
          <w:rFonts w:ascii="Cambria Math" w:hAnsi="Cambria Math" w:cs="Tahoma"/>
          <w:i/>
          <w:iCs/>
        </w:rPr>
        <w:t>P_dirty(</w:t>
      </w:r>
      <w:proofErr w:type="gramStart"/>
      <w:r w:rsidRPr="00F206E9">
        <w:rPr>
          <w:rFonts w:ascii="Cambria Math" w:hAnsi="Cambria Math" w:cs="Tahoma"/>
          <w:i/>
          <w:iCs/>
        </w:rPr>
        <w:t>i,БА</w:t>
      </w:r>
      <w:proofErr w:type="gramEnd"/>
      <w:r w:rsidRPr="00F206E9">
        <w:rPr>
          <w:rFonts w:ascii="Cambria Math" w:hAnsi="Cambria Math" w:cs="Tahoma"/>
          <w:i/>
          <w:iCs/>
        </w:rPr>
        <w:t>,</w:t>
      </w:r>
      <w:r w:rsidRPr="00F206E9">
        <w:rPr>
          <w:rFonts w:ascii="Cambria Math" w:hAnsi="Cambria Math" w:cs="Tahoma"/>
          <w:i/>
          <w:iCs/>
          <w:lang w:val="en-US"/>
        </w:rPr>
        <w:t>Num</w:t>
      </w:r>
      <w:r w:rsidRPr="00F206E9">
        <w:rPr>
          <w:rFonts w:ascii="Cambria Math" w:hAnsi="Cambria Math" w:cs="Tahoma"/>
          <w:i/>
          <w:iCs/>
        </w:rPr>
        <w:t>)</w:t>
      </w:r>
      <w:r w:rsidRPr="00F206E9">
        <w:rPr>
          <w:rFonts w:ascii="Tahoma" w:hAnsi="Tahoma" w:cs="Tahoma"/>
        </w:rPr>
        <w:t xml:space="preserve"> определяется следующим образом:</w:t>
      </w:r>
    </w:p>
    <w:p w:rsidR="00676C81" w:rsidRPr="00F206E9" w:rsidRDefault="00676C81" w:rsidP="00676C81">
      <w:pPr>
        <w:pStyle w:val="af1"/>
        <w:ind w:left="1800"/>
        <w:rPr>
          <w:rFonts w:ascii="Cambria Math" w:hAnsi="Cambria Math" w:cs="Tahoma"/>
        </w:rPr>
      </w:pPr>
      <m:oMath>
        <m:r>
          <m:rPr>
            <m:sty m:val="p"/>
          </m:rPr>
          <w:rPr>
            <w:rFonts w:ascii="Cambria Math" w:hAnsi="Cambria Math" w:cs="Tahoma"/>
          </w:rPr>
          <m:t>P_dirty(i,</m:t>
        </m:r>
        <m:r>
          <m:rPr>
            <m:sty m:val="p"/>
          </m:rPr>
          <w:rPr>
            <w:rFonts w:ascii="Cambria Math" w:hAnsi="Cambria Math" w:cs="Tahoma" w:hint="eastAsia"/>
          </w:rPr>
          <m:t>БА</m:t>
        </m:r>
        <m:r>
          <m:rPr>
            <m:sty m:val="p"/>
          </m:rPr>
          <w:rPr>
            <w:rFonts w:ascii="Cambria Math" w:hAnsi="Cambria Math" w:cs="Tahoma"/>
          </w:rPr>
          <m:t>,0)=</m:t>
        </m:r>
        <m:r>
          <w:rPr>
            <w:rFonts w:ascii="Cambria Math" w:hAnsi="Cambria Math" w:cs="Tahoma"/>
          </w:rPr>
          <m:t>MD_theor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</m:t>
            </m:r>
            <m:r>
              <w:rPr>
                <w:rFonts w:ascii="Cambria Math" w:hAnsi="Cambria Math" w:cs="Tahoma" w:hint="eastAsia"/>
              </w:rPr>
              <m:t>БА</m:t>
            </m:r>
            <m:r>
              <w:rPr>
                <w:rFonts w:ascii="Cambria Math" w:hAnsi="Cambria Math" w:cs="Tahoma"/>
              </w:rPr>
              <m:t>,1</m:t>
            </m:r>
            <m:ctrlPr>
              <w:rPr>
                <w:rFonts w:ascii="Cambria Math" w:hAnsi="Cambria Math" w:cs="Tahoma"/>
              </w:rPr>
            </m:ctrlPr>
          </m:e>
        </m:d>
        <m:r>
          <w:rPr>
            <w:rFonts w:ascii="Cambria Math" w:hAnsi="Cambria Math" w:cs="Tahoma"/>
          </w:rPr>
          <m:t>)</m:t>
        </m:r>
      </m:oMath>
      <w:r w:rsidRPr="00F206E9">
        <w:rPr>
          <w:rFonts w:ascii="Cambria Math" w:hAnsi="Cambria Math" w:cs="Tahoma"/>
        </w:rPr>
        <w:t xml:space="preserve"> ,</w:t>
      </w:r>
    </w:p>
    <w:p w:rsidR="00676C81" w:rsidRPr="00F206E9" w:rsidRDefault="00676C81" w:rsidP="00676C81">
      <w:pPr>
        <w:pStyle w:val="af1"/>
        <w:overflowPunct/>
        <w:autoSpaceDE/>
        <w:autoSpaceDN/>
        <w:adjustRightInd/>
        <w:spacing w:before="120" w:line="276" w:lineRule="auto"/>
        <w:ind w:left="1800"/>
        <w:rPr>
          <w:rFonts w:ascii="Cambria Math" w:hAnsi="Cambria Math" w:cs="Tahoma"/>
        </w:rPr>
      </w:pPr>
      <m:oMath>
        <m:r>
          <m:rPr>
            <m:sty m:val="p"/>
          </m:rPr>
          <w:rPr>
            <w:rFonts w:ascii="Cambria Math" w:hAnsi="Cambria Math" w:cs="Tahoma"/>
          </w:rPr>
          <m:t xml:space="preserve"> P_dirty(i,БА,1)=</m:t>
        </m:r>
        <m:r>
          <w:rPr>
            <w:rFonts w:ascii="Cambria Math" w:hAnsi="Cambria Math" w:cs="Tahoma"/>
          </w:rPr>
          <m:t>MD_theor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</m:t>
            </m:r>
            <m:r>
              <w:rPr>
                <w:rFonts w:ascii="Cambria Math" w:hAnsi="Cambria Math" w:cs="Tahoma" w:hint="eastAsia"/>
              </w:rPr>
              <m:t>БА</m:t>
            </m:r>
            <m:r>
              <w:rPr>
                <w:rFonts w:ascii="Cambria Math" w:hAnsi="Cambria Math" w:cs="Tahoma"/>
              </w:rPr>
              <m:t>,1</m:t>
            </m:r>
            <m:ctrlPr>
              <w:rPr>
                <w:rFonts w:ascii="Cambria Math" w:hAnsi="Cambria Math" w:cs="Tahoma"/>
              </w:rPr>
            </m:ctrlPr>
          </m:e>
        </m:d>
        <m:r>
          <w:rPr>
            <w:rFonts w:ascii="Cambria Math" w:hAnsi="Cambria Math" w:cs="Tahoma"/>
          </w:rPr>
          <m:t>)</m:t>
        </m:r>
      </m:oMath>
      <w:r w:rsidRPr="00F206E9">
        <w:rPr>
          <w:rFonts w:ascii="Cambria Math" w:hAnsi="Cambria Math" w:cs="Tahoma"/>
        </w:rPr>
        <w:t>,</w:t>
      </w:r>
    </w:p>
    <w:p w:rsidR="00676C81" w:rsidRPr="00F206E9" w:rsidRDefault="00676C81" w:rsidP="00676C81">
      <w:pPr>
        <w:pStyle w:val="af1"/>
        <w:overflowPunct/>
        <w:autoSpaceDE/>
        <w:autoSpaceDN/>
        <w:adjustRightInd/>
        <w:spacing w:before="120" w:line="276" w:lineRule="auto"/>
        <w:ind w:left="1800"/>
        <w:rPr>
          <w:rFonts w:ascii="Cambria Math" w:hAnsi="Cambria Math" w:cs="Tahoma"/>
        </w:rPr>
      </w:pPr>
      <m:oMath>
        <m:r>
          <m:rPr>
            <m:sty m:val="p"/>
          </m:rPr>
          <w:rPr>
            <w:rFonts w:ascii="Cambria Math" w:hAnsi="Cambria Math" w:cs="Tahoma"/>
            <w:lang w:val="en-US"/>
          </w:rPr>
          <m:t>P</m:t>
        </m:r>
        <m:r>
          <m:rPr>
            <m:sty m:val="p"/>
          </m:rPr>
          <w:rPr>
            <w:rFonts w:ascii="Cambria Math" w:hAnsi="Cambria Math" w:cs="Tahoma"/>
          </w:rPr>
          <m:t>_</m:t>
        </m:r>
        <m:r>
          <m:rPr>
            <m:sty m:val="p"/>
          </m:rPr>
          <w:rPr>
            <w:rFonts w:ascii="Cambria Math" w:hAnsi="Cambria Math" w:cs="Tahoma"/>
            <w:lang w:val="en-US"/>
          </w:rPr>
          <m:t>dirty</m:t>
        </m:r>
        <m:r>
          <m:rPr>
            <m:sty m:val="p"/>
          </m:rPr>
          <w:rPr>
            <w:rFonts w:ascii="Cambria Math" w:hAnsi="Cambria Math" w:cs="Tahoma"/>
          </w:rPr>
          <m:t>(</m:t>
        </m:r>
        <m:r>
          <m:rPr>
            <m:sty m:val="p"/>
          </m:rPr>
          <w:rPr>
            <w:rFonts w:ascii="Cambria Math" w:hAnsi="Cambria Math" w:cs="Tahoma"/>
            <w:lang w:val="en-US"/>
          </w:rPr>
          <m:t>i</m:t>
        </m:r>
        <m:r>
          <m:rPr>
            <m:sty m:val="p"/>
          </m:rPr>
          <w:rPr>
            <w:rFonts w:ascii="Cambria Math" w:hAnsi="Cambria Math" w:cs="Tahoma"/>
          </w:rPr>
          <m:t>,БА,</m:t>
        </m:r>
        <m:r>
          <m:rPr>
            <m:sty m:val="p"/>
          </m:rPr>
          <w:rPr>
            <w:rFonts w:ascii="Cambria Math" w:hAnsi="Cambria Math" w:cs="Tahoma"/>
            <w:lang w:val="en-US"/>
          </w:rPr>
          <m:t>Num</m:t>
        </m:r>
        <m:r>
          <m:rPr>
            <m:sty m:val="p"/>
          </m:rPr>
          <w:rPr>
            <w:rFonts w:ascii="Cambria Math" w:hAnsi="Cambria Math" w:cs="Tahoma"/>
          </w:rPr>
          <m:t>)=</m:t>
        </m:r>
        <m:r>
          <w:rPr>
            <w:rFonts w:ascii="Cambria Math" w:hAnsi="Cambria Math" w:cs="Tahoma"/>
          </w:rPr>
          <m:t>MD_dirty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</m:t>
            </m:r>
            <m:r>
              <w:rPr>
                <w:rFonts w:ascii="Cambria Math" w:hAnsi="Cambria Math" w:cs="Tahoma" w:hint="eastAsia"/>
              </w:rPr>
              <m:t>БА</m:t>
            </m:r>
            <m:r>
              <w:rPr>
                <w:rFonts w:ascii="Cambria Math" w:hAnsi="Cambria Math" w:cs="Tahoma"/>
              </w:rPr>
              <m:t>,Num</m:t>
            </m:r>
            <m:ctrlPr>
              <w:rPr>
                <w:rFonts w:ascii="Cambria Math" w:hAnsi="Cambria Math" w:cs="Tahoma"/>
              </w:rPr>
            </m:ctrlPr>
          </m:e>
        </m:d>
        <m:r>
          <w:rPr>
            <w:rFonts w:ascii="Cambria Math" w:hAnsi="Cambria Math" w:cs="Tahoma"/>
          </w:rPr>
          <m:t>)</m:t>
        </m:r>
      </m:oMath>
      <w:r w:rsidRPr="00F206E9">
        <w:rPr>
          <w:rFonts w:ascii="Cambria Math" w:hAnsi="Cambria Math" w:cs="Tahoma"/>
        </w:rPr>
        <w:t xml:space="preserve"> для </w:t>
      </w:r>
      <w:r w:rsidRPr="00F206E9">
        <w:rPr>
          <w:rFonts w:ascii="Cambria Math" w:hAnsi="Cambria Math" w:cs="Tahoma"/>
          <w:lang w:val="en-US"/>
        </w:rPr>
        <w:t>Num</w:t>
      </w:r>
      <w:r w:rsidRPr="00F206E9">
        <w:rPr>
          <w:rFonts w:ascii="Cambria Math" w:hAnsi="Cambria Math" w:cs="Tahoma"/>
        </w:rPr>
        <w:t>&gt;1.</w:t>
      </w:r>
    </w:p>
    <w:p w:rsidR="00676C81" w:rsidRPr="00F206E9" w:rsidRDefault="00676C81" w:rsidP="00676C81">
      <w:pPr>
        <w:spacing w:before="120" w:line="276" w:lineRule="auto"/>
        <w:jc w:val="both"/>
        <w:rPr>
          <w:rFonts w:ascii="Tahoma" w:hAnsi="Tahoma" w:cs="Tahoma"/>
          <w:b/>
        </w:rPr>
      </w:pPr>
    </w:p>
    <w:p w:rsidR="00676C81" w:rsidRPr="00F206E9" w:rsidRDefault="00676C81" w:rsidP="00676C81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 xml:space="preserve">«Грязные» Расчетные цены неосновных фьючерсов </w:t>
      </w:r>
      <m:oMath>
        <m:r>
          <w:rPr>
            <w:rFonts w:ascii="Cambria Math" w:hAnsi="Cambria Math" w:cs="Tahoma"/>
          </w:rPr>
          <m:t>P_dirty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i,Num,БА</m:t>
            </m:r>
            <m:ctrlPr>
              <w:rPr>
                <w:rFonts w:ascii="Cambria Math" w:hAnsi="Cambria Math" w:cs="Tahoma"/>
              </w:rPr>
            </m:ctrlPr>
          </m:e>
        </m:d>
      </m:oMath>
      <w:r w:rsidRPr="00F206E9">
        <w:rPr>
          <w:rFonts w:ascii="Tahoma" w:hAnsi="Tahoma" w:cs="Tahoma"/>
        </w:rPr>
        <w:t xml:space="preserve"> рассчитываются</w:t>
      </w:r>
      <w:r w:rsidRPr="00F206E9">
        <w:rPr>
          <w:rFonts w:ascii="Tahoma" w:eastAsiaTheme="minorEastAsia" w:hAnsi="Tahoma" w:cs="Tahoma"/>
        </w:rPr>
        <w:t xml:space="preserve"> по алгоритму, утвержденному Методикой определения НКО НКЦ (АО) риск-параметров срочного рынка ПАО Московская Биржа.</w:t>
      </w:r>
    </w:p>
    <w:p w:rsidR="00676C81" w:rsidRPr="00F206E9" w:rsidRDefault="00676C81" w:rsidP="00676C81">
      <w:pPr>
        <w:pStyle w:val="af1"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Определяются Расчетные цены основных и неосновных фьючерсов: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Фьючерсов, кроме Фьючерсов на процентную ставку:</w:t>
      </w:r>
    </w:p>
    <w:p w:rsidR="00676C81" w:rsidRPr="00F206E9" w:rsidRDefault="00676C81" w:rsidP="00676C81">
      <w:pPr>
        <w:pStyle w:val="af1"/>
        <w:overflowPunct/>
        <w:autoSpaceDE/>
        <w:autoSpaceDN/>
        <w:adjustRightInd/>
        <w:spacing w:before="120" w:line="276" w:lineRule="auto"/>
        <w:ind w:left="1416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 xml:space="preserve">Для Фьючерсов на БА, на котором установлен признак </w:t>
      </w:r>
      <w:proofErr w:type="gramStart"/>
      <w:r w:rsidRPr="00F206E9">
        <w:rPr>
          <w:rFonts w:ascii="Tahoma" w:eastAsiaTheme="minorEastAsia" w:hAnsi="Tahoma" w:cs="Tahoma"/>
        </w:rPr>
        <w:t>NegativePrices(</w:t>
      </w:r>
      <w:proofErr w:type="gramEnd"/>
      <w:r w:rsidRPr="00F206E9">
        <w:rPr>
          <w:rFonts w:ascii="Tahoma" w:eastAsiaTheme="minorEastAsia" w:hAnsi="Tahoma" w:cs="Tahoma"/>
        </w:rPr>
        <w:t>БА)=</w:t>
      </w:r>
      <w:r w:rsidRPr="00F206E9">
        <w:rPr>
          <w:rFonts w:ascii="Tahoma" w:eastAsiaTheme="minorEastAsia" w:hAnsi="Tahoma" w:cs="Tahoma"/>
          <w:lang w:val="en-US"/>
        </w:rPr>
        <w:t>No</w:t>
      </w:r>
      <w:r w:rsidRPr="00F206E9">
        <w:rPr>
          <w:rFonts w:ascii="Tahoma" w:eastAsiaTheme="minorEastAsia" w:hAnsi="Tahoma" w:cs="Tahoma"/>
        </w:rPr>
        <w:t>:</w:t>
      </w:r>
    </w:p>
    <w:p w:rsidR="00676C81" w:rsidRPr="00F206E9" w:rsidRDefault="00676C81" w:rsidP="00676C81">
      <w:pPr>
        <w:pStyle w:val="af1"/>
        <w:spacing w:before="120"/>
        <w:ind w:left="1800" w:right="-275"/>
        <w:jc w:val="center"/>
        <w:rPr>
          <w:rFonts w:ascii="Tahoma" w:eastAsiaTheme="minorEastAsia" w:hAnsi="Tahoma" w:cs="Tahoma"/>
          <w:i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=max⁡{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-Points(i,БА)∙</m:t>
          </m:r>
          <m:sSup>
            <m:sSupPr>
              <m:ctrlPr>
                <w:rPr>
                  <w:rFonts w:ascii="Cambria Math" w:hAnsi="Cambria Math" w:cs="Tahoma"/>
                  <w:i/>
                  <w:iCs/>
                </w:rPr>
              </m:ctrlPr>
            </m:sSupPr>
            <m:e>
              <m:r>
                <w:rPr>
                  <w:rFonts w:ascii="Cambria Math" w:hAnsi="Cambria Math" w:cs="Tahoma"/>
                </w:rPr>
                <m:t>e</m:t>
              </m:r>
            </m:e>
            <m:sup>
              <m:r>
                <w:rPr>
                  <w:rFonts w:ascii="Cambria Math" w:hAnsi="Cambria Math" w:cs="Tahoma"/>
                </w:rPr>
                <m:t>r</m:t>
              </m:r>
              <m:d>
                <m:dPr>
                  <m:ctrlPr>
                    <w:rPr>
                      <w:rFonts w:ascii="Cambria Math" w:hAnsi="Cambria Math" w:cs="Tahoma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i,τ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</w:rPr>
                        <m:t>Num</m:t>
                      </m:r>
                    </m:e>
                  </m:d>
                  <m:r>
                    <w:rPr>
                      <w:rFonts w:ascii="Cambria Math" w:hAnsi="Cambria Math" w:cs="Tahoma"/>
                    </w:rPr>
                    <m:t>,БА</m:t>
                  </m:r>
                </m:e>
              </m:d>
              <m:r>
                <w:rPr>
                  <w:rFonts w:ascii="Cambria Math" w:hAnsi="Cambria Math" w:cs="Tahoma"/>
                </w:rPr>
                <m:t>∙τ</m:t>
              </m:r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Num</m:t>
                  </m:r>
                </m:e>
              </m:d>
            </m:sup>
          </m:sSup>
          <m:r>
            <w:rPr>
              <w:rFonts w:ascii="Cambria Math" w:hAnsi="Cambria Math" w:cs="Tahoma"/>
            </w:rPr>
            <m:t>∙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iCs/>
                </w:rPr>
              </m:ctrlPr>
            </m:naryPr>
            <m:sub>
              <m:r>
                <w:rPr>
                  <w:rFonts w:ascii="Cambria Math" w:hAnsi="Cambria Math" w:cs="Tahoma"/>
                </w:rPr>
                <m:t>CF(t)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0&lt;t&lt;τ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Num</m:t>
                  </m:r>
                </m:e>
              </m:d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CF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</w:rPr>
                        <m:t>БА,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-r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</w:rPr>
                            <m:t>i,t,БА</m:t>
                          </m:r>
                        </m:e>
                      </m:d>
                      <m:r>
                        <w:rPr>
                          <w:rFonts w:ascii="Cambria Math" w:hAnsi="Cambria Math" w:cs="Tahoma"/>
                        </w:rPr>
                        <m:t>∙t</m:t>
                      </m:r>
                    </m:sup>
                  </m:sSup>
                </m:e>
              </m:d>
              <m:r>
                <w:rPr>
                  <w:rFonts w:ascii="Cambria Math" w:hAnsi="Cambria Math" w:cs="Tahoma"/>
                </w:rPr>
                <m:t>∙</m:t>
              </m:r>
              <m:r>
                <w:rPr>
                  <w:rFonts w:ascii="Cambria Math" w:hAnsi="Cambria Math" w:cs="Tahoma"/>
                  <w:lang w:val="en-US"/>
                </w:rPr>
                <m:t xml:space="preserve">Lot(Num, </m:t>
              </m:r>
              <m:r>
                <w:rPr>
                  <w:rFonts w:ascii="Cambria Math" w:hAnsi="Cambria Math" w:cs="Tahoma"/>
                </w:rPr>
                <m:t>БА)</m:t>
              </m:r>
            </m:e>
          </m:nary>
          <m:r>
            <w:rPr>
              <w:rFonts w:ascii="Cambria Math" w:hAnsi="Cambria Math" w:cs="Tahoma"/>
            </w:rPr>
            <m:t>;MinStep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}</m:t>
          </m:r>
        </m:oMath>
      </m:oMathPara>
    </w:p>
    <w:p w:rsidR="00676C81" w:rsidRPr="00F206E9" w:rsidRDefault="00676C81" w:rsidP="00676C81">
      <w:pPr>
        <w:pStyle w:val="af1"/>
        <w:overflowPunct/>
        <w:autoSpaceDE/>
        <w:autoSpaceDN/>
        <w:adjustRightInd/>
        <w:spacing w:before="120" w:line="276" w:lineRule="auto"/>
        <w:ind w:left="1440"/>
        <w:jc w:val="both"/>
        <w:rPr>
          <w:rFonts w:ascii="Tahoma" w:hAnsi="Tahoma" w:cs="Tahoma"/>
        </w:rPr>
      </w:pPr>
      <w:r w:rsidRPr="00F206E9">
        <w:rPr>
          <w:rFonts w:ascii="Tahoma" w:eastAsiaTheme="minorEastAsia" w:hAnsi="Tahoma" w:cs="Tahoma"/>
        </w:rPr>
        <w:t xml:space="preserve">Для Фьючерсов на БА, на котором установлен признак </w:t>
      </w:r>
      <w:proofErr w:type="gramStart"/>
      <w:r w:rsidRPr="00F206E9">
        <w:rPr>
          <w:rFonts w:ascii="Tahoma" w:eastAsiaTheme="minorEastAsia" w:hAnsi="Tahoma" w:cs="Tahoma"/>
        </w:rPr>
        <w:t>NegativePrices(</w:t>
      </w:r>
      <w:proofErr w:type="gramEnd"/>
      <w:r w:rsidRPr="00F206E9">
        <w:rPr>
          <w:rFonts w:ascii="Tahoma" w:eastAsiaTheme="minorEastAsia" w:hAnsi="Tahoma" w:cs="Tahoma"/>
        </w:rPr>
        <w:t>БА)=Yes:</w:t>
      </w:r>
    </w:p>
    <w:p w:rsidR="00676C81" w:rsidRPr="00F206E9" w:rsidRDefault="00676C81" w:rsidP="00676C81">
      <w:pPr>
        <w:pStyle w:val="af1"/>
        <w:spacing w:before="120"/>
        <w:ind w:left="1800"/>
        <w:jc w:val="center"/>
        <w:rPr>
          <w:rFonts w:ascii="Tahoma" w:eastAsiaTheme="minorEastAsia" w:hAnsi="Tahoma" w:cs="Tahoma"/>
          <w:i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-Points(i,БА)∙</m:t>
          </m:r>
          <m:sSup>
            <m:sSupPr>
              <m:ctrlPr>
                <w:rPr>
                  <w:rFonts w:ascii="Cambria Math" w:hAnsi="Cambria Math" w:cs="Tahoma"/>
                  <w:i/>
                  <w:iCs/>
                </w:rPr>
              </m:ctrlPr>
            </m:sSupPr>
            <m:e>
              <m:r>
                <w:rPr>
                  <w:rFonts w:ascii="Cambria Math" w:hAnsi="Cambria Math" w:cs="Tahoma"/>
                </w:rPr>
                <m:t>e</m:t>
              </m:r>
            </m:e>
            <m:sup>
              <m:r>
                <w:rPr>
                  <w:rFonts w:ascii="Cambria Math" w:hAnsi="Cambria Math" w:cs="Tahoma"/>
                </w:rPr>
                <m:t>r</m:t>
              </m:r>
              <m:d>
                <m:dPr>
                  <m:ctrlPr>
                    <w:rPr>
                      <w:rFonts w:ascii="Cambria Math" w:hAnsi="Cambria Math" w:cs="Tahoma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i,τ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</w:rPr>
                        <m:t>Num</m:t>
                      </m:r>
                    </m:e>
                  </m:d>
                  <m:r>
                    <w:rPr>
                      <w:rFonts w:ascii="Cambria Math" w:hAnsi="Cambria Math" w:cs="Tahoma"/>
                    </w:rPr>
                    <m:t>,БА</m:t>
                  </m:r>
                </m:e>
              </m:d>
              <m:r>
                <w:rPr>
                  <w:rFonts w:ascii="Cambria Math" w:hAnsi="Cambria Math" w:cs="Tahoma"/>
                </w:rPr>
                <m:t>∙τ</m:t>
              </m:r>
              <m:d>
                <m:dPr>
                  <m:ctrlPr>
                    <w:rPr>
                      <w:rFonts w:ascii="Cambria Math" w:hAnsi="Cambria Math" w:cs="Tahoma"/>
                      <w:i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Num</m:t>
                  </m:r>
                </m:e>
              </m:d>
            </m:sup>
          </m:sSup>
          <m:r>
            <w:rPr>
              <w:rFonts w:ascii="Cambria Math" w:hAnsi="Cambria Math" w:cs="Tahoma"/>
            </w:rPr>
            <m:t>∙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iCs/>
                </w:rPr>
              </m:ctrlPr>
            </m:naryPr>
            <m:sub>
              <m:r>
                <w:rPr>
                  <w:rFonts w:ascii="Cambria Math" w:hAnsi="Cambria Math" w:cs="Tahoma"/>
                </w:rPr>
                <m:t>CF(t)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0&lt;t&lt;τ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Num</m:t>
                  </m:r>
                </m:e>
              </m:d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 w:cs="Tahoma"/>
                    </w:rPr>
                    <m:t>CF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</w:rPr>
                        <m:t>БА,</m:t>
                      </m:r>
                      <m:r>
                        <w:rPr>
                          <w:rFonts w:ascii="Cambria Math" w:hAnsi="Cambria Math" w:cs="Tahoma"/>
                          <w:lang w:val="en-US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</w:rPr>
                        <m:t>-r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</w:rPr>
                            <m:t>i,t,БА</m:t>
                          </m:r>
                        </m:e>
                      </m:d>
                      <m:r>
                        <w:rPr>
                          <w:rFonts w:ascii="Cambria Math" w:hAnsi="Cambria Math" w:cs="Tahoma"/>
                        </w:rPr>
                        <m:t>∙t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 w:cs="Tahoma"/>
            </w:rPr>
            <m:t>∙</m:t>
          </m:r>
          <m:r>
            <w:rPr>
              <w:rFonts w:ascii="Cambria Math" w:hAnsi="Cambria Math" w:cs="Tahoma"/>
              <w:lang w:val="en-US"/>
            </w:rPr>
            <m:t xml:space="preserve">Lot(Num, </m:t>
          </m:r>
          <m:r>
            <w:rPr>
              <w:rFonts w:ascii="Cambria Math" w:hAnsi="Cambria Math" w:cs="Tahoma"/>
            </w:rPr>
            <m:t>БА)</m:t>
          </m:r>
        </m:oMath>
      </m:oMathPara>
    </w:p>
    <w:p w:rsidR="00676C81" w:rsidRPr="00F206E9" w:rsidRDefault="00676C81" w:rsidP="00676C81">
      <w:pPr>
        <w:pStyle w:val="af1"/>
        <w:spacing w:before="120"/>
        <w:ind w:left="1800"/>
        <w:jc w:val="center"/>
        <w:rPr>
          <w:rFonts w:ascii="Tahoma" w:eastAsiaTheme="minorEastAsia" w:hAnsi="Tahoma" w:cs="Tahoma"/>
          <w:i/>
        </w:rPr>
      </w:pPr>
    </w:p>
    <w:p w:rsidR="00676C81" w:rsidRPr="00F206E9" w:rsidRDefault="00676C81" w:rsidP="00676C81">
      <w:pPr>
        <w:pStyle w:val="af1"/>
        <w:spacing w:before="120"/>
        <w:ind w:left="1800"/>
        <w:rPr>
          <w:rFonts w:ascii="Tahoma" w:eastAsiaTheme="minorEastAsia" w:hAnsi="Tahoma" w:cs="Tahoma"/>
          <w:i/>
          <w:iCs/>
        </w:rPr>
      </w:pPr>
      <w:r w:rsidRPr="00F206E9">
        <w:rPr>
          <w:rFonts w:ascii="Tahoma" w:eastAsiaTheme="minorEastAsia" w:hAnsi="Tahoma" w:cs="Tahoma"/>
        </w:rPr>
        <w:t>Где</w:t>
      </w:r>
      <w:r w:rsidRPr="00F206E9">
        <w:rPr>
          <w:rFonts w:ascii="Tahoma" w:eastAsiaTheme="minorEastAsia" w:hAnsi="Tahoma" w:cs="Tahoma"/>
          <w:i/>
        </w:rPr>
        <w:t xml:space="preserve"> </w:t>
      </w:r>
      <m:oMath>
        <m:r>
          <w:rPr>
            <w:rFonts w:ascii="Cambria Math" w:hAnsi="Cambria Math" w:cs="Tahoma"/>
          </w:rPr>
          <m:t>Fut</m:t>
        </m:r>
        <m:d>
          <m:dPr>
            <m:ctrlPr>
              <w:rPr>
                <w:rFonts w:ascii="Cambria Math" w:hAnsi="Cambria Math" w:cs="Tahoma"/>
                <w:i/>
                <w:iCs/>
              </w:rPr>
            </m:ctrlPr>
          </m:dPr>
          <m:e>
            <m:r>
              <w:rPr>
                <w:rFonts w:ascii="Cambria Math" w:hAnsi="Cambria Math" w:cs="Tahoma"/>
              </w:rPr>
              <m:t>i</m:t>
            </m:r>
          </m:e>
        </m:d>
      </m:oMath>
      <w:r w:rsidRPr="00F206E9">
        <w:rPr>
          <w:rFonts w:ascii="Tahoma" w:eastAsiaTheme="minorEastAsia" w:hAnsi="Tahoma" w:cs="Tahoma"/>
          <w:iCs/>
        </w:rPr>
        <w:t xml:space="preserve"> – фьючерс с порядковым номером </w:t>
      </w:r>
      <w:r w:rsidRPr="00F206E9">
        <w:rPr>
          <w:rFonts w:ascii="Tahoma" w:eastAsiaTheme="minorEastAsia" w:hAnsi="Tahoma" w:cs="Tahoma"/>
          <w:i/>
          <w:iCs/>
        </w:rPr>
        <w:t>Num=j.</w:t>
      </w:r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Фьючерсов на процентную ставку, цены которых выражены в обратных котировках:</w:t>
      </w:r>
    </w:p>
    <w:p w:rsidR="00676C81" w:rsidRPr="00F206E9" w:rsidRDefault="00676C81" w:rsidP="00676C81">
      <w:pPr>
        <w:pStyle w:val="af1"/>
        <w:spacing w:before="120"/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=100∙(1-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w:rPr>
              <w:rFonts w:ascii="Cambria Math" w:hAnsi="Cambria Math" w:cs="Tahoma"/>
            </w:rPr>
            <m:t>)</m:t>
          </m:r>
        </m:oMath>
      </m:oMathPara>
    </w:p>
    <w:p w:rsidR="00676C81" w:rsidRPr="00F206E9" w:rsidRDefault="00676C81" w:rsidP="00676C81">
      <w:pPr>
        <w:pStyle w:val="af1"/>
        <w:numPr>
          <w:ilvl w:val="1"/>
          <w:numId w:val="4"/>
        </w:numPr>
        <w:overflowPunct/>
        <w:autoSpaceDE/>
        <w:autoSpaceDN/>
        <w:adjustRightInd/>
        <w:spacing w:before="120" w:line="276" w:lineRule="auto"/>
        <w:jc w:val="both"/>
        <w:rPr>
          <w:rFonts w:ascii="Tahoma" w:hAnsi="Tahoma" w:cs="Tahoma"/>
        </w:rPr>
      </w:pPr>
      <w:r w:rsidRPr="00F206E9">
        <w:rPr>
          <w:rFonts w:ascii="Tahoma" w:hAnsi="Tahoma" w:cs="Tahoma"/>
        </w:rPr>
        <w:t>Фьючерсов на процентную ставку, цены которых выражены в прямых котировках:</w:t>
      </w:r>
    </w:p>
    <w:p w:rsidR="00676C81" w:rsidRPr="00473412" w:rsidRDefault="00676C81" w:rsidP="00676C81">
      <w:pPr>
        <w:pStyle w:val="af1"/>
        <w:spacing w:before="120"/>
        <w:ind w:left="1800"/>
        <w:jc w:val="center"/>
        <w:rPr>
          <w:rFonts w:ascii="Tahoma" w:eastAsiaTheme="minorEastAsia" w:hAnsi="Tahoma" w:cs="Tahoma"/>
        </w:rPr>
      </w:pPr>
      <m:oMathPara>
        <m:oMath>
          <m:r>
            <w:rPr>
              <w:rFonts w:ascii="Cambria Math" w:hAnsi="Cambria Math" w:cs="Tahoma"/>
            </w:rPr>
            <m:t>P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  <m:r>
            <m:rPr>
              <m:sty m:val="p"/>
            </m:rPr>
            <w:rPr>
              <w:rFonts w:ascii="Cambria Math" w:hAnsi="Cambria Math" w:cs="Tahoma"/>
            </w:rPr>
            <m:t>=100∙</m:t>
          </m:r>
          <m:r>
            <w:rPr>
              <w:rFonts w:ascii="Cambria Math" w:hAnsi="Cambria Math" w:cs="Tahoma"/>
            </w:rPr>
            <m:t>P_dirty</m:t>
          </m:r>
          <m:d>
            <m:dPr>
              <m:ctrlPr>
                <w:rPr>
                  <w:rFonts w:ascii="Cambria Math" w:hAnsi="Cambria Math" w:cs="Tahoma"/>
                  <w:i/>
                  <w:iCs/>
                </w:rPr>
              </m:ctrlPr>
            </m:dPr>
            <m:e>
              <m:r>
                <w:rPr>
                  <w:rFonts w:ascii="Cambria Math" w:hAnsi="Cambria Math" w:cs="Tahoma"/>
                </w:rPr>
                <m:t>i,Num,БА</m:t>
              </m:r>
              <m:ctrlPr>
                <w:rPr>
                  <w:rFonts w:ascii="Cambria Math" w:hAnsi="Cambria Math" w:cs="Tahoma"/>
                </w:rPr>
              </m:ctrlPr>
            </m:e>
          </m:d>
        </m:oMath>
      </m:oMathPara>
    </w:p>
    <w:p w:rsidR="00676C81" w:rsidRPr="00473412" w:rsidRDefault="00676C81" w:rsidP="00676C81">
      <w:pPr>
        <w:pStyle w:val="af1"/>
        <w:ind w:left="1440"/>
        <w:jc w:val="both"/>
        <w:rPr>
          <w:rFonts w:ascii="Tahoma" w:hAnsi="Tahoma" w:cs="Tahoma"/>
        </w:rPr>
      </w:pPr>
    </w:p>
    <w:p w:rsidR="00676C81" w:rsidRPr="00473412" w:rsidRDefault="00676C81" w:rsidP="00676C81">
      <w:pPr>
        <w:pStyle w:val="2"/>
        <w:numPr>
          <w:ilvl w:val="0"/>
          <w:numId w:val="0"/>
        </w:numPr>
        <w:ind w:left="-720"/>
        <w:rPr>
          <w:rFonts w:ascii="Tahoma" w:hAnsi="Tahoma" w:cs="Tahoma"/>
        </w:rPr>
      </w:pPr>
    </w:p>
    <w:p w:rsidR="00676C81" w:rsidRDefault="00676C81" w:rsidP="00676C81"/>
    <w:p w:rsidR="00676C81" w:rsidRDefault="00676C81" w:rsidP="00676C81">
      <w:pPr>
        <w:pStyle w:val="2"/>
        <w:numPr>
          <w:ilvl w:val="0"/>
          <w:numId w:val="0"/>
        </w:numPr>
      </w:pPr>
    </w:p>
    <w:p w:rsidR="00676C81" w:rsidRDefault="00676C81" w:rsidP="00676C81">
      <w:pPr>
        <w:pStyle w:val="2"/>
        <w:numPr>
          <w:ilvl w:val="0"/>
          <w:numId w:val="0"/>
        </w:numPr>
      </w:pPr>
    </w:p>
    <w:p w:rsidR="00676C81" w:rsidRDefault="00676C81" w:rsidP="00676C81">
      <w:pPr>
        <w:pStyle w:val="2"/>
        <w:numPr>
          <w:ilvl w:val="0"/>
          <w:numId w:val="0"/>
        </w:numPr>
      </w:pPr>
    </w:p>
    <w:p w:rsidR="00676C81" w:rsidRDefault="00676C81" w:rsidP="00676C81">
      <w:pPr>
        <w:pStyle w:val="2"/>
        <w:numPr>
          <w:ilvl w:val="0"/>
          <w:numId w:val="0"/>
        </w:numPr>
      </w:pPr>
    </w:p>
    <w:p w:rsidR="00600FA0" w:rsidRDefault="00676C81">
      <w:bookmarkStart w:id="0" w:name="_GoBack"/>
      <w:bookmarkEnd w:id="0"/>
    </w:p>
    <w:sectPr w:rsidR="00600FA0" w:rsidSect="00932163">
      <w:headerReference w:type="default" r:id="rId5"/>
      <w:footerReference w:type="even" r:id="rId6"/>
      <w:footerReference w:type="default" r:id="rId7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1D" w:rsidRDefault="00676C8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C6D1D" w:rsidRDefault="00676C81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1D" w:rsidRPr="00C34B9E" w:rsidRDefault="00676C81">
    <w:pPr>
      <w:pStyle w:val="ae"/>
      <w:framePr w:wrap="around" w:vAnchor="text" w:hAnchor="margin" w:xAlign="right" w:y="1"/>
      <w:rPr>
        <w:rStyle w:val="af0"/>
        <w:rFonts w:ascii="Tahoma" w:hAnsi="Tahoma" w:cs="Tahoma"/>
        <w:sz w:val="20"/>
        <w:szCs w:val="20"/>
      </w:rPr>
    </w:pPr>
    <w:r w:rsidRPr="00C34B9E">
      <w:rPr>
        <w:rStyle w:val="af0"/>
        <w:rFonts w:ascii="Tahoma" w:hAnsi="Tahoma" w:cs="Tahoma"/>
        <w:sz w:val="20"/>
        <w:szCs w:val="20"/>
      </w:rPr>
      <w:fldChar w:fldCharType="begin"/>
    </w:r>
    <w:r w:rsidRPr="00C34B9E">
      <w:rPr>
        <w:rStyle w:val="af0"/>
        <w:rFonts w:ascii="Tahoma" w:hAnsi="Tahoma" w:cs="Tahoma"/>
        <w:sz w:val="20"/>
        <w:szCs w:val="20"/>
      </w:rPr>
      <w:instrText xml:space="preserve">PAGE  </w:instrText>
    </w:r>
    <w:r w:rsidRPr="00C34B9E">
      <w:rPr>
        <w:rStyle w:val="af0"/>
        <w:rFonts w:ascii="Tahoma" w:hAnsi="Tahoma" w:cs="Tahoma"/>
        <w:sz w:val="20"/>
        <w:szCs w:val="20"/>
      </w:rPr>
      <w:fldChar w:fldCharType="separate"/>
    </w:r>
    <w:r>
      <w:rPr>
        <w:rStyle w:val="af0"/>
        <w:rFonts w:ascii="Tahoma" w:hAnsi="Tahoma" w:cs="Tahoma"/>
        <w:noProof/>
        <w:sz w:val="20"/>
        <w:szCs w:val="20"/>
      </w:rPr>
      <w:t>10</w:t>
    </w:r>
    <w:r w:rsidRPr="00C34B9E">
      <w:rPr>
        <w:rStyle w:val="af0"/>
        <w:rFonts w:ascii="Tahoma" w:hAnsi="Tahoma" w:cs="Tahoma"/>
        <w:sz w:val="20"/>
        <w:szCs w:val="20"/>
      </w:rPr>
      <w:fldChar w:fldCharType="end"/>
    </w:r>
  </w:p>
  <w:p w:rsidR="008C6D1D" w:rsidRDefault="00676C81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D1D" w:rsidRPr="00210B85" w:rsidRDefault="00676C81" w:rsidP="00932163">
    <w:pPr>
      <w:pStyle w:val="ac"/>
      <w:pBdr>
        <w:bottom w:val="single" w:sz="4" w:space="1" w:color="auto"/>
      </w:pBdr>
      <w:tabs>
        <w:tab w:val="right" w:pos="8460"/>
      </w:tabs>
      <w:ind w:right="623"/>
      <w:rPr>
        <w:rFonts w:ascii="Tahoma" w:hAnsi="Tahoma" w:cs="Tahoma"/>
        <w:b/>
        <w:iCs/>
        <w:sz w:val="18"/>
        <w:szCs w:val="18"/>
      </w:rPr>
    </w:pPr>
    <w:r w:rsidRPr="00210B85">
      <w:rPr>
        <w:rFonts w:ascii="Tahoma" w:hAnsi="Tahoma" w:cs="Tahoma"/>
        <w:b/>
        <w:iCs/>
        <w:sz w:val="18"/>
        <w:szCs w:val="18"/>
      </w:rPr>
      <w:t xml:space="preserve">Правила </w:t>
    </w:r>
    <w:r>
      <w:rPr>
        <w:rFonts w:ascii="Tahoma" w:hAnsi="Tahoma" w:cs="Tahoma"/>
        <w:b/>
        <w:iCs/>
        <w:sz w:val="18"/>
        <w:szCs w:val="18"/>
      </w:rPr>
      <w:t>организованных торгов</w:t>
    </w:r>
    <w:r w:rsidRPr="00210B85">
      <w:rPr>
        <w:rFonts w:ascii="Tahoma" w:hAnsi="Tahoma" w:cs="Tahoma"/>
        <w:b/>
        <w:iCs/>
        <w:sz w:val="18"/>
        <w:szCs w:val="18"/>
      </w:rPr>
      <w:t xml:space="preserve"> на Срочном рынке </w:t>
    </w:r>
    <w:r>
      <w:rPr>
        <w:rFonts w:ascii="Tahoma" w:hAnsi="Tahoma" w:cs="Tahoma"/>
        <w:b/>
        <w:iCs/>
        <w:sz w:val="18"/>
        <w:szCs w:val="18"/>
      </w:rPr>
      <w:t>П</w:t>
    </w:r>
    <w:r w:rsidRPr="00210B85">
      <w:rPr>
        <w:rFonts w:ascii="Tahoma" w:hAnsi="Tahoma" w:cs="Tahoma"/>
        <w:b/>
        <w:iCs/>
        <w:sz w:val="18"/>
        <w:szCs w:val="18"/>
      </w:rPr>
      <w:t>АО Московская Биржа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43F32"/>
    <w:multiLevelType w:val="multilevel"/>
    <w:tmpl w:val="BBE6DA20"/>
    <w:lvl w:ilvl="0">
      <w:start w:val="1"/>
      <w:numFmt w:val="decimal"/>
      <w:pStyle w:val="9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90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AA12332"/>
    <w:multiLevelType w:val="multilevel"/>
    <w:tmpl w:val="4ABC5D92"/>
    <w:lvl w:ilvl="0">
      <w:start w:val="1"/>
      <w:numFmt w:val="decimal"/>
      <w:pStyle w:val="2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a0"/>
      <w:lvlText w:val="Статья %3."/>
      <w:lvlJc w:val="left"/>
      <w:pPr>
        <w:tabs>
          <w:tab w:val="num" w:pos="3349"/>
        </w:tabs>
        <w:ind w:left="2773" w:hanging="504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Point"/>
      <w:lvlText w:val="%3.%4."/>
      <w:lvlJc w:val="left"/>
      <w:pPr>
        <w:tabs>
          <w:tab w:val="num" w:pos="2917"/>
        </w:tabs>
        <w:ind w:left="2917" w:hanging="648"/>
      </w:pPr>
      <w:rPr>
        <w:rFonts w:ascii="Tahoma" w:hAnsi="Tahoma" w:cs="Tahoma" w:hint="default"/>
        <w:b w:val="0"/>
        <w:sz w:val="20"/>
        <w:szCs w:val="22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4053"/>
        </w:tabs>
        <w:ind w:left="4053" w:hanging="792"/>
      </w:pPr>
      <w:rPr>
        <w:rFonts w:ascii="Tahoma" w:hAnsi="Tahoma" w:cs="Tahoma" w:hint="default"/>
        <w:lang w:val="ru-RU"/>
      </w:rPr>
    </w:lvl>
    <w:lvl w:ilvl="5">
      <w:start w:val="1"/>
      <w:numFmt w:val="lowerLetter"/>
      <w:pStyle w:val="a1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33447BDA"/>
    <w:multiLevelType w:val="multilevel"/>
    <w:tmpl w:val="5B3C5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5B854A25"/>
    <w:multiLevelType w:val="multilevel"/>
    <w:tmpl w:val="DDCA3C7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81"/>
    <w:rsid w:val="00676C81"/>
    <w:rsid w:val="007A4DEF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950A-035C-4B3E-A285-8BBCE653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76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Point">
    <w:name w:val="Point"/>
    <w:qFormat/>
    <w:rsid w:val="00676C81"/>
    <w:pPr>
      <w:numPr>
        <w:ilvl w:val="3"/>
        <w:numId w:val="1"/>
      </w:numPr>
      <w:tabs>
        <w:tab w:val="clear" w:pos="2917"/>
        <w:tab w:val="num" w:pos="4901"/>
      </w:tabs>
      <w:spacing w:before="240" w:after="0" w:line="240" w:lineRule="auto"/>
      <w:ind w:left="4901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oint2">
    <w:name w:val="Point 2"/>
    <w:basedOn w:val="a2"/>
    <w:qFormat/>
    <w:rsid w:val="00676C81"/>
    <w:pPr>
      <w:numPr>
        <w:ilvl w:val="4"/>
        <w:numId w:val="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styleId="a6">
    <w:name w:val="Body Text"/>
    <w:basedOn w:val="a2"/>
    <w:link w:val="a7"/>
    <w:uiPriority w:val="99"/>
    <w:rsid w:val="00676C81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7">
    <w:name w:val="Основной текст Знак"/>
    <w:basedOn w:val="a3"/>
    <w:link w:val="a6"/>
    <w:uiPriority w:val="99"/>
    <w:rsid w:val="00676C81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a8">
    <w:name w:val="Пункт"/>
    <w:basedOn w:val="a9"/>
    <w:qFormat/>
    <w:rsid w:val="00676C81"/>
    <w:pPr>
      <w:tabs>
        <w:tab w:val="num" w:pos="1074"/>
      </w:tabs>
      <w:autoSpaceDE w:val="0"/>
      <w:autoSpaceDN w:val="0"/>
      <w:spacing w:before="120"/>
      <w:ind w:left="1074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styleId="2">
    <w:name w:val="Body Text Indent 2"/>
    <w:basedOn w:val="a2"/>
    <w:link w:val="20"/>
    <w:rsid w:val="00676C81"/>
    <w:pPr>
      <w:numPr>
        <w:numId w:val="1"/>
      </w:numPr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с отступом 2 Знак"/>
    <w:basedOn w:val="a3"/>
    <w:link w:val="2"/>
    <w:rsid w:val="00676C81"/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Body Text Indent"/>
    <w:basedOn w:val="a2"/>
    <w:link w:val="aa"/>
    <w:uiPriority w:val="99"/>
    <w:rsid w:val="00676C81"/>
    <w:pPr>
      <w:numPr>
        <w:ilvl w:val="1"/>
        <w:numId w:val="1"/>
      </w:numPr>
      <w:autoSpaceDE w:val="0"/>
      <w:autoSpaceDN w:val="0"/>
      <w:jc w:val="center"/>
    </w:pPr>
    <w:rPr>
      <w:rFonts w:ascii="Arial" w:hAnsi="Arial"/>
      <w:sz w:val="20"/>
      <w:szCs w:val="20"/>
    </w:rPr>
  </w:style>
  <w:style w:type="character" w:customStyle="1" w:styleId="aa">
    <w:name w:val="Основной текст с отступом Знак"/>
    <w:basedOn w:val="a3"/>
    <w:link w:val="a"/>
    <w:uiPriority w:val="99"/>
    <w:rsid w:val="00676C81"/>
    <w:rPr>
      <w:rFonts w:ascii="Arial" w:eastAsia="Times New Roman" w:hAnsi="Arial" w:cs="Times New Roman"/>
      <w:sz w:val="20"/>
      <w:szCs w:val="20"/>
      <w:lang w:eastAsia="ru-RU"/>
    </w:rPr>
  </w:style>
  <w:style w:type="paragraph" w:styleId="a0">
    <w:name w:val="Block Text"/>
    <w:basedOn w:val="a2"/>
    <w:rsid w:val="00676C81"/>
    <w:pPr>
      <w:widowControl w:val="0"/>
      <w:numPr>
        <w:ilvl w:val="2"/>
        <w:numId w:val="1"/>
      </w:numPr>
      <w:tabs>
        <w:tab w:val="clear" w:pos="3349"/>
        <w:tab w:val="num" w:pos="2215"/>
        <w:tab w:val="left" w:pos="9180"/>
      </w:tabs>
      <w:ind w:left="1639" w:right="175"/>
      <w:jc w:val="both"/>
    </w:pPr>
    <w:rPr>
      <w:rFonts w:ascii="Arial" w:hAnsi="Arial" w:cs="Arial"/>
      <w:color w:val="000000"/>
      <w:sz w:val="20"/>
      <w:szCs w:val="20"/>
    </w:rPr>
  </w:style>
  <w:style w:type="paragraph" w:styleId="a1">
    <w:name w:val="Plain Text"/>
    <w:basedOn w:val="a9"/>
    <w:link w:val="ab"/>
    <w:rsid w:val="00676C81"/>
    <w:pPr>
      <w:numPr>
        <w:ilvl w:val="5"/>
        <w:numId w:val="1"/>
      </w:numPr>
      <w:spacing w:before="100" w:beforeAutospacing="1" w:after="100" w:afterAutospacing="1"/>
      <w:ind w:right="99"/>
      <w:jc w:val="both"/>
    </w:pPr>
    <w:rPr>
      <w:rFonts w:ascii="Arial CYR" w:hAnsi="Arial CYR"/>
      <w:color w:val="000000"/>
      <w:sz w:val="20"/>
      <w:szCs w:val="20"/>
    </w:rPr>
  </w:style>
  <w:style w:type="character" w:customStyle="1" w:styleId="ab">
    <w:name w:val="Текст Знак"/>
    <w:basedOn w:val="a3"/>
    <w:link w:val="a1"/>
    <w:rsid w:val="00676C81"/>
    <w:rPr>
      <w:rFonts w:ascii="Arial CYR" w:eastAsia="Times New Roman" w:hAnsi="Arial CYR" w:cs="Times New Roman"/>
      <w:color w:val="000000"/>
      <w:sz w:val="20"/>
      <w:szCs w:val="20"/>
      <w:lang w:eastAsia="ru-RU"/>
    </w:rPr>
  </w:style>
  <w:style w:type="paragraph" w:styleId="ac">
    <w:name w:val="header"/>
    <w:basedOn w:val="a2"/>
    <w:link w:val="ad"/>
    <w:rsid w:val="00676C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rsid w:val="00676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2"/>
    <w:link w:val="af"/>
    <w:rsid w:val="00676C8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676C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3"/>
    <w:rsid w:val="00676C81"/>
  </w:style>
  <w:style w:type="paragraph" w:styleId="af1">
    <w:name w:val="List Paragraph"/>
    <w:basedOn w:val="a2"/>
    <w:uiPriority w:val="34"/>
    <w:qFormat/>
    <w:rsid w:val="00676C81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9">
    <w:name w:val="Normal (Web)"/>
    <w:basedOn w:val="a2"/>
    <w:unhideWhenUsed/>
    <w:rsid w:val="00676C81"/>
  </w:style>
  <w:style w:type="paragraph" w:customStyle="1" w:styleId="BodyText21">
    <w:name w:val="Body Text 21"/>
    <w:basedOn w:val="a2"/>
    <w:rsid w:val="00676C81"/>
    <w:pPr>
      <w:autoSpaceDE w:val="0"/>
      <w:autoSpaceDN w:val="0"/>
      <w:ind w:left="709" w:hanging="709"/>
      <w:jc w:val="both"/>
    </w:pPr>
    <w:rPr>
      <w:rFonts w:ascii="Arial" w:hAnsi="Arial" w:cs="Arial"/>
      <w:sz w:val="20"/>
      <w:szCs w:val="20"/>
    </w:rPr>
  </w:style>
  <w:style w:type="paragraph" w:customStyle="1" w:styleId="9">
    <w:name w:val="Пункт приложения 9"/>
    <w:basedOn w:val="a2"/>
    <w:qFormat/>
    <w:rsid w:val="00676C81"/>
    <w:pPr>
      <w:numPr>
        <w:numId w:val="2"/>
      </w:numPr>
      <w:tabs>
        <w:tab w:val="left" w:pos="851"/>
      </w:tabs>
      <w:spacing w:before="240"/>
      <w:jc w:val="both"/>
    </w:pPr>
    <w:rPr>
      <w:rFonts w:eastAsia="MS Mincho" w:cs="Arial"/>
      <w:szCs w:val="20"/>
      <w:lang w:eastAsia="en-US"/>
    </w:rPr>
  </w:style>
  <w:style w:type="paragraph" w:customStyle="1" w:styleId="90">
    <w:name w:val="Подпункт приложения 9"/>
    <w:basedOn w:val="a2"/>
    <w:qFormat/>
    <w:rsid w:val="00676C81"/>
    <w:pPr>
      <w:numPr>
        <w:ilvl w:val="1"/>
        <w:numId w:val="2"/>
      </w:numPr>
      <w:tabs>
        <w:tab w:val="left" w:pos="851"/>
      </w:tabs>
      <w:spacing w:before="120"/>
      <w:jc w:val="both"/>
    </w:pPr>
    <w:rPr>
      <w:rFonts w:eastAsia="MS Mincho" w:cs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1798</Words>
  <Characters>10253</Characters>
  <Application>Microsoft Office Word</Application>
  <DocSecurity>0</DocSecurity>
  <Lines>85</Lines>
  <Paragraphs>24</Paragraphs>
  <ScaleCrop>false</ScaleCrop>
  <Company>MOEX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2022-03-18T12:02:00Z</dcterms:created>
  <dcterms:modified xsi:type="dcterms:W3CDTF">2022-03-18T12:03:00Z</dcterms:modified>
</cp:coreProperties>
</file>