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23" w:rsidRPr="00D77318" w:rsidRDefault="00107423" w:rsidP="00107423">
      <w:pPr>
        <w:ind w:left="9912" w:right="-81" w:firstLine="708"/>
        <w:rPr>
          <w:rFonts w:ascii="Tahoma" w:hAnsi="Tahoma" w:cs="Tahoma"/>
          <w:b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/>
          <w:sz w:val="20"/>
          <w:szCs w:val="20"/>
          <w:lang w:val="x-none" w:eastAsia="x-none"/>
        </w:rPr>
        <w:t>APPROVED</w:t>
      </w:r>
    </w:p>
    <w:p w:rsidR="00107423" w:rsidRPr="00D77318" w:rsidRDefault="00107423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by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resolution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the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Executive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Board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</w:p>
    <w:p w:rsidR="00107423" w:rsidRPr="00D77318" w:rsidRDefault="002A5958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the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Public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Joint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Stock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Company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«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Moscow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Exchange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MICEX-RTS»</w:t>
      </w:r>
    </w:p>
    <w:p w:rsidR="00D140B6" w:rsidRDefault="00107423" w:rsidP="00B823DA">
      <w:pPr>
        <w:pStyle w:val="a9"/>
        <w:tabs>
          <w:tab w:val="left" w:pos="4962"/>
        </w:tabs>
        <w:spacing w:after="0"/>
        <w:ind w:left="5670" w:right="-81" w:firstLine="284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proofErr w:type="spellStart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Minutes</w:t>
      </w:r>
      <w:proofErr w:type="spellEnd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bookmarkStart w:id="0" w:name="_GoBack"/>
      <w:proofErr w:type="spellStart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No</w:t>
      </w:r>
      <w:proofErr w:type="spellEnd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140B6">
        <w:rPr>
          <w:rFonts w:ascii="Tahoma" w:hAnsi="Tahoma" w:cs="Tahoma"/>
          <w:bCs/>
          <w:sz w:val="20"/>
          <w:szCs w:val="20"/>
          <w:lang w:eastAsia="x-none"/>
        </w:rPr>
        <w:t>МБ</w:t>
      </w:r>
      <w:r w:rsidR="00D140B6" w:rsidRPr="00B823DA">
        <w:rPr>
          <w:rFonts w:ascii="Tahoma" w:hAnsi="Tahoma" w:cs="Tahoma"/>
          <w:bCs/>
          <w:sz w:val="20"/>
          <w:szCs w:val="20"/>
          <w:lang w:val="en-US" w:eastAsia="x-none"/>
        </w:rPr>
        <w:t>-</w:t>
      </w:r>
      <w:r w:rsidR="00D140B6">
        <w:rPr>
          <w:rFonts w:ascii="Tahoma" w:hAnsi="Tahoma" w:cs="Tahoma"/>
          <w:bCs/>
          <w:sz w:val="20"/>
          <w:szCs w:val="20"/>
          <w:lang w:eastAsia="x-none"/>
        </w:rPr>
        <w:t>П</w:t>
      </w:r>
      <w:r w:rsidR="00D140B6" w:rsidRPr="00B823DA">
        <w:rPr>
          <w:rFonts w:ascii="Tahoma" w:hAnsi="Tahoma" w:cs="Tahoma"/>
          <w:bCs/>
          <w:sz w:val="20"/>
          <w:szCs w:val="20"/>
          <w:lang w:val="en-US" w:eastAsia="x-none"/>
        </w:rPr>
        <w:t>-</w:t>
      </w:r>
      <w:r w:rsidR="00DB3650" w:rsidRPr="00DB3650">
        <w:rPr>
          <w:rFonts w:ascii="Tahoma" w:hAnsi="Tahoma" w:cs="Tahoma"/>
          <w:bCs/>
          <w:sz w:val="20"/>
          <w:szCs w:val="20"/>
          <w:lang w:val="x-none" w:eastAsia="x-none"/>
        </w:rPr>
        <w:t>2019-2843</w:t>
      </w:r>
      <w:r w:rsidR="0036341F"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107423" w:rsidRPr="00D77318" w:rsidRDefault="0036341F" w:rsidP="00B823DA">
      <w:pPr>
        <w:pStyle w:val="a9"/>
        <w:tabs>
          <w:tab w:val="left" w:pos="4962"/>
        </w:tabs>
        <w:spacing w:after="0"/>
        <w:ind w:left="10348" w:right="-81" w:firstLine="284"/>
        <w:rPr>
          <w:rFonts w:ascii="Tahoma" w:hAnsi="Tahoma" w:cs="Tahoma"/>
          <w:bCs/>
          <w:sz w:val="20"/>
          <w:szCs w:val="20"/>
          <w:lang w:val="x-none" w:eastAsia="x-none"/>
        </w:rPr>
      </w:pPr>
      <w:proofErr w:type="spellStart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as</w:t>
      </w:r>
      <w:proofErr w:type="spellEnd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B3650">
        <w:rPr>
          <w:rFonts w:ascii="Tahoma" w:hAnsi="Tahoma" w:cs="Tahoma"/>
          <w:bCs/>
          <w:sz w:val="20"/>
          <w:szCs w:val="20"/>
          <w:lang w:val="en-US" w:eastAsia="x-none"/>
        </w:rPr>
        <w:t>December</w:t>
      </w:r>
      <w:r w:rsidR="00107423"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B3650">
        <w:rPr>
          <w:rFonts w:ascii="Tahoma" w:hAnsi="Tahoma" w:cs="Tahoma"/>
          <w:bCs/>
          <w:sz w:val="20"/>
          <w:szCs w:val="20"/>
          <w:lang w:val="en-US" w:eastAsia="x-none"/>
        </w:rPr>
        <w:t>04</w:t>
      </w:r>
      <w:r w:rsidR="00107423" w:rsidRPr="006D70FE">
        <w:rPr>
          <w:rFonts w:ascii="Tahoma" w:hAnsi="Tahoma" w:cs="Tahoma"/>
          <w:bCs/>
          <w:sz w:val="20"/>
          <w:szCs w:val="20"/>
          <w:lang w:val="x-none" w:eastAsia="x-none"/>
        </w:rPr>
        <w:t>, 201</w:t>
      </w:r>
      <w:r w:rsidRPr="006D70FE">
        <w:rPr>
          <w:rFonts w:ascii="Tahoma" w:hAnsi="Tahoma" w:cs="Tahoma"/>
          <w:bCs/>
          <w:sz w:val="20"/>
          <w:szCs w:val="20"/>
          <w:lang w:val="en-US" w:eastAsia="x-none"/>
        </w:rPr>
        <w:t>9</w:t>
      </w:r>
      <w:bookmarkEnd w:id="0"/>
      <w:r w:rsidR="00107423" w:rsidRPr="006D70FE">
        <w:rPr>
          <w:rFonts w:ascii="Tahoma" w:hAnsi="Tahoma" w:cs="Tahoma"/>
          <w:bCs/>
          <w:sz w:val="20"/>
          <w:szCs w:val="20"/>
          <w:lang w:val="x-none" w:eastAsia="x-none"/>
        </w:rPr>
        <w:t>)</w:t>
      </w:r>
    </w:p>
    <w:p w:rsidR="00B855D6" w:rsidRPr="00107423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x-none"/>
        </w:rPr>
      </w:pPr>
    </w:p>
    <w:p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 w:rsidRPr="00D601DA">
        <w:rPr>
          <w:rFonts w:ascii="Tahoma" w:hAnsi="Tahoma" w:cs="Tahoma"/>
          <w:b/>
          <w:color w:val="auto"/>
          <w:lang w:val="en-US"/>
        </w:rPr>
        <w:t>on</w:t>
      </w:r>
      <w:proofErr w:type="gramEnd"/>
      <w:r w:rsidRPr="00D601DA">
        <w:rPr>
          <w:rFonts w:ascii="Tahoma" w:hAnsi="Tahoma" w:cs="Tahoma"/>
          <w:b/>
          <w:color w:val="auto"/>
          <w:lang w:val="en-US"/>
        </w:rPr>
        <w:t xml:space="preserve">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:rsidTr="00D972EA">
        <w:tc>
          <w:tcPr>
            <w:tcW w:w="709" w:type="dxa"/>
            <w:vAlign w:val="center"/>
          </w:tcPr>
          <w:p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3402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Gazprom ordinary shares </w:t>
            </w:r>
          </w:p>
        </w:tc>
        <w:tc>
          <w:tcPr>
            <w:tcW w:w="1984" w:type="dxa"/>
            <w:vAlign w:val="center"/>
          </w:tcPr>
          <w:p w:rsidR="00107423" w:rsidRPr="00441EDE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 preferred 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107423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Futures-style options on futures on JSC VTB BANK ordinary shares</w:t>
            </w:r>
          </w:p>
        </w:tc>
        <w:tc>
          <w:tcPr>
            <w:tcW w:w="3402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utures on JSC VTB BANK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107423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680703">
        <w:trPr>
          <w:cantSplit/>
          <w:trHeight w:val="567"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68070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5809" w:rsidRPr="00CD2745" w:rsidTr="00D972EA">
        <w:trPr>
          <w:cantSplit/>
        </w:trPr>
        <w:tc>
          <w:tcPr>
            <w:tcW w:w="709" w:type="dxa"/>
            <w:vAlign w:val="center"/>
          </w:tcPr>
          <w:p w:rsidR="00325809" w:rsidRPr="004F5DA5" w:rsidRDefault="00325809" w:rsidP="0032580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25809" w:rsidRPr="00680703" w:rsidRDefault="00325809" w:rsidP="003258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NLMK  ordinary shares</w:t>
            </w:r>
          </w:p>
        </w:tc>
        <w:tc>
          <w:tcPr>
            <w:tcW w:w="3402" w:type="dxa"/>
            <w:vAlign w:val="center"/>
          </w:tcPr>
          <w:p w:rsidR="00325809" w:rsidRPr="00680703" w:rsidRDefault="00325809" w:rsidP="00325809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5809" w:rsidRPr="00CD2745" w:rsidTr="00D972EA">
        <w:trPr>
          <w:cantSplit/>
        </w:trPr>
        <w:tc>
          <w:tcPr>
            <w:tcW w:w="709" w:type="dxa"/>
            <w:vAlign w:val="center"/>
          </w:tcPr>
          <w:p w:rsidR="00325809" w:rsidRPr="004F5DA5" w:rsidRDefault="00325809" w:rsidP="0032580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25809" w:rsidRPr="00680703" w:rsidRDefault="00325809" w:rsidP="003258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ALROSA ordinary shares</w:t>
            </w:r>
          </w:p>
        </w:tc>
        <w:tc>
          <w:tcPr>
            <w:tcW w:w="3402" w:type="dxa"/>
            <w:vAlign w:val="center"/>
          </w:tcPr>
          <w:p w:rsidR="00325809" w:rsidRPr="00680703" w:rsidRDefault="00325809" w:rsidP="00325809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70713" w:rsidRPr="00CD2745" w:rsidTr="00D972EA">
        <w:trPr>
          <w:cantSplit/>
        </w:trPr>
        <w:tc>
          <w:tcPr>
            <w:tcW w:w="709" w:type="dxa"/>
            <w:vAlign w:val="center"/>
          </w:tcPr>
          <w:p w:rsidR="00270713" w:rsidRPr="004F5DA5" w:rsidRDefault="00270713" w:rsidP="002707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70713" w:rsidRPr="00680703" w:rsidRDefault="00270713" w:rsidP="002707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70713" w:rsidRPr="00680703" w:rsidRDefault="00270713" w:rsidP="00270713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F1D08" w:rsidRPr="006D70FE" w:rsidTr="00CE5EA2">
        <w:trPr>
          <w:cantSplit/>
        </w:trPr>
        <w:tc>
          <w:tcPr>
            <w:tcW w:w="709" w:type="dxa"/>
            <w:vAlign w:val="center"/>
          </w:tcPr>
          <w:p w:rsidR="00CF1D08" w:rsidRPr="006D70FE" w:rsidRDefault="00CF1D08" w:rsidP="00CF1D0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F1D08" w:rsidRPr="006D70FE" w:rsidRDefault="00CF1D08" w:rsidP="00CF1D08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Polus  ordinary shares</w:t>
            </w:r>
          </w:p>
        </w:tc>
        <w:tc>
          <w:tcPr>
            <w:tcW w:w="3402" w:type="dxa"/>
            <w:vAlign w:val="center"/>
          </w:tcPr>
          <w:p w:rsidR="00CF1D08" w:rsidRPr="006D70FE" w:rsidRDefault="00CF1D08" w:rsidP="00CF1D08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F1D08" w:rsidRPr="006D70FE" w:rsidTr="00CE5EA2">
        <w:trPr>
          <w:cantSplit/>
        </w:trPr>
        <w:tc>
          <w:tcPr>
            <w:tcW w:w="709" w:type="dxa"/>
            <w:vAlign w:val="center"/>
          </w:tcPr>
          <w:p w:rsidR="00CF1D08" w:rsidRPr="006D70FE" w:rsidRDefault="00CF1D08" w:rsidP="00CF1D0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F1D08" w:rsidRPr="006D70FE" w:rsidRDefault="00CF1D08" w:rsidP="00CF1D08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MMK  ordinary shares</w:t>
            </w:r>
          </w:p>
        </w:tc>
        <w:tc>
          <w:tcPr>
            <w:tcW w:w="3402" w:type="dxa"/>
            <w:vAlign w:val="center"/>
          </w:tcPr>
          <w:p w:rsidR="00CF1D08" w:rsidRPr="006D70FE" w:rsidRDefault="00CF1D08" w:rsidP="00CF1D08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F1D08" w:rsidRPr="006D70FE" w:rsidTr="00CE5EA2">
        <w:trPr>
          <w:cantSplit/>
        </w:trPr>
        <w:tc>
          <w:tcPr>
            <w:tcW w:w="709" w:type="dxa"/>
            <w:vAlign w:val="center"/>
          </w:tcPr>
          <w:p w:rsidR="00CF1D08" w:rsidRPr="006D70FE" w:rsidRDefault="00CF1D08" w:rsidP="00CF1D0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F1D08" w:rsidRPr="006D70FE" w:rsidRDefault="00CF1D08" w:rsidP="00CF1D08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on AFK 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CF1D08" w:rsidRPr="006D70FE" w:rsidRDefault="00CF1D08" w:rsidP="0039106F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39106F"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AFK </w:t>
            </w:r>
            <w:proofErr w:type="spellStart"/>
            <w:r w:rsidR="0039106F" w:rsidRPr="006D70FE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CF1D08" w:rsidRPr="006D70FE" w:rsidRDefault="00CF1D08" w:rsidP="0039106F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</w:rPr>
              <w:t>AF</w:t>
            </w:r>
            <w:r w:rsidR="0039106F" w:rsidRPr="006D70FE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 xml:space="preserve">*xx – futures settlement month, </w:t>
      </w:r>
      <w:proofErr w:type="spellStart"/>
      <w:r w:rsidRPr="006D70FE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6D70FE">
        <w:rPr>
          <w:rFonts w:ascii="Tahoma" w:hAnsi="Tahoma" w:cs="Tahoma"/>
          <w:sz w:val="20"/>
          <w:szCs w:val="22"/>
          <w:lang w:val="en-US"/>
        </w:rPr>
        <w:t xml:space="preserve"> – futures settlement year</w:t>
      </w:r>
    </w:p>
    <w:p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>For example, «GAZR-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3</w:t>
      </w:r>
      <w:r w:rsidRPr="006D70FE">
        <w:rPr>
          <w:rFonts w:ascii="Tahoma" w:hAnsi="Tahoma" w:cs="Tahoma"/>
          <w:sz w:val="20"/>
          <w:szCs w:val="22"/>
          <w:lang w:val="en-US"/>
        </w:rPr>
        <w:t>.1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9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» code means that the futures contract on Gazprom ordinary shares, the underlying asset of the futures-style option, is to </w:t>
      </w:r>
      <w:proofErr w:type="gramStart"/>
      <w:r w:rsidRPr="006D70FE">
        <w:rPr>
          <w:rFonts w:ascii="Tahoma" w:hAnsi="Tahoma" w:cs="Tahoma"/>
          <w:sz w:val="20"/>
          <w:szCs w:val="22"/>
          <w:lang w:val="en-US"/>
        </w:rPr>
        <w:t>be settled</w:t>
      </w:r>
      <w:proofErr w:type="gramEnd"/>
      <w:r w:rsidRPr="006D70FE">
        <w:rPr>
          <w:rFonts w:ascii="Tahoma" w:hAnsi="Tahoma" w:cs="Tahoma"/>
          <w:sz w:val="20"/>
          <w:szCs w:val="22"/>
          <w:lang w:val="en-US"/>
        </w:rPr>
        <w:t xml:space="preserve"> in 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Mar</w:t>
      </w:r>
      <w:r w:rsidR="0039106F" w:rsidRPr="006D70FE">
        <w:rPr>
          <w:rFonts w:ascii="Tahoma" w:hAnsi="Tahoma" w:cs="Tahoma"/>
          <w:sz w:val="20"/>
          <w:szCs w:val="22"/>
        </w:rPr>
        <w:t>с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h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 201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9</w:t>
      </w:r>
    </w:p>
    <w:p w:rsidR="005873F7" w:rsidRPr="00107423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107423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AE" w:rsidRDefault="003563AE" w:rsidP="002F7E61">
      <w:r>
        <w:separator/>
      </w:r>
    </w:p>
  </w:endnote>
  <w:endnote w:type="continuationSeparator" w:id="0">
    <w:p w:rsidR="003563AE" w:rsidRDefault="003563A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3563A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B823DA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3563A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AE" w:rsidRDefault="003563AE" w:rsidP="002F7E61">
      <w:r>
        <w:separator/>
      </w:r>
    </w:p>
  </w:footnote>
  <w:footnote w:type="continuationSeparator" w:id="0">
    <w:p w:rsidR="003563AE" w:rsidRDefault="003563A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:rsidR="003D6387" w:rsidRPr="003467E0" w:rsidRDefault="003D6387" w:rsidP="003D6387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</w:rPr>
    </w:pPr>
    <w:proofErr w:type="gramStart"/>
    <w:r w:rsidRPr="003467E0">
      <w:rPr>
        <w:rFonts w:ascii="Tahoma" w:hAnsi="Tahoma" w:cs="Tahoma"/>
        <w:b/>
      </w:rPr>
      <w:t>on</w:t>
    </w:r>
    <w:proofErr w:type="gramEnd"/>
    <w:r w:rsidRPr="003467E0">
      <w:rPr>
        <w:rFonts w:ascii="Tahoma" w:hAnsi="Tahoma" w:cs="Tahoma"/>
        <w:b/>
      </w:rPr>
      <w:t xml:space="preserve"> deliverable futures contracts for shares of the Russian issuers </w:t>
    </w:r>
  </w:p>
  <w:p w:rsidR="00E22425" w:rsidRPr="003D6387" w:rsidRDefault="00E22425" w:rsidP="003D6387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3003E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70713"/>
    <w:rsid w:val="00282E7E"/>
    <w:rsid w:val="002A5958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563AE"/>
    <w:rsid w:val="0036341F"/>
    <w:rsid w:val="00371C05"/>
    <w:rsid w:val="0038420E"/>
    <w:rsid w:val="0039106F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C3A62"/>
    <w:rsid w:val="004F0D3D"/>
    <w:rsid w:val="004F5DA5"/>
    <w:rsid w:val="004F6B2B"/>
    <w:rsid w:val="00510C43"/>
    <w:rsid w:val="0052138C"/>
    <w:rsid w:val="00544082"/>
    <w:rsid w:val="005873F7"/>
    <w:rsid w:val="00591B10"/>
    <w:rsid w:val="00597534"/>
    <w:rsid w:val="005A1317"/>
    <w:rsid w:val="005A2720"/>
    <w:rsid w:val="005C1276"/>
    <w:rsid w:val="005D520C"/>
    <w:rsid w:val="005E3318"/>
    <w:rsid w:val="00606B3C"/>
    <w:rsid w:val="006137A6"/>
    <w:rsid w:val="00630BA3"/>
    <w:rsid w:val="00651433"/>
    <w:rsid w:val="00680703"/>
    <w:rsid w:val="00682E73"/>
    <w:rsid w:val="00685053"/>
    <w:rsid w:val="00691C54"/>
    <w:rsid w:val="006A32A4"/>
    <w:rsid w:val="006D221D"/>
    <w:rsid w:val="006D70FE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7917"/>
    <w:rsid w:val="008136E3"/>
    <w:rsid w:val="00817B56"/>
    <w:rsid w:val="0083625A"/>
    <w:rsid w:val="00841C6C"/>
    <w:rsid w:val="008A3018"/>
    <w:rsid w:val="008D6680"/>
    <w:rsid w:val="00903EF9"/>
    <w:rsid w:val="0092365E"/>
    <w:rsid w:val="009413C6"/>
    <w:rsid w:val="00945564"/>
    <w:rsid w:val="00956261"/>
    <w:rsid w:val="009603B7"/>
    <w:rsid w:val="00976CA9"/>
    <w:rsid w:val="00984383"/>
    <w:rsid w:val="00984B0A"/>
    <w:rsid w:val="009C2A3E"/>
    <w:rsid w:val="009D2F87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373E"/>
    <w:rsid w:val="00A96B8D"/>
    <w:rsid w:val="00A96C99"/>
    <w:rsid w:val="00AA285C"/>
    <w:rsid w:val="00AC6989"/>
    <w:rsid w:val="00B16BE1"/>
    <w:rsid w:val="00B217B3"/>
    <w:rsid w:val="00B273B1"/>
    <w:rsid w:val="00B471DD"/>
    <w:rsid w:val="00B823DA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1D08"/>
    <w:rsid w:val="00CF3394"/>
    <w:rsid w:val="00D140B6"/>
    <w:rsid w:val="00D5460B"/>
    <w:rsid w:val="00D62142"/>
    <w:rsid w:val="00D77318"/>
    <w:rsid w:val="00D82B6A"/>
    <w:rsid w:val="00D85CCB"/>
    <w:rsid w:val="00D972EA"/>
    <w:rsid w:val="00DB3650"/>
    <w:rsid w:val="00DC0506"/>
    <w:rsid w:val="00DD05E7"/>
    <w:rsid w:val="00DE2B3A"/>
    <w:rsid w:val="00DE357F"/>
    <w:rsid w:val="00DE41AA"/>
    <w:rsid w:val="00DE5161"/>
    <w:rsid w:val="00DF0D15"/>
    <w:rsid w:val="00DF2B1E"/>
    <w:rsid w:val="00E22425"/>
    <w:rsid w:val="00E2797E"/>
    <w:rsid w:val="00E378C5"/>
    <w:rsid w:val="00E43901"/>
    <w:rsid w:val="00E752F1"/>
    <w:rsid w:val="00E83CC8"/>
    <w:rsid w:val="00E8787E"/>
    <w:rsid w:val="00EA10E0"/>
    <w:rsid w:val="00EB2921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F8BE1"/>
  <w15:docId w15:val="{F9237BE1-34E7-4AE4-85DE-D517E07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6807-19FD-4BE2-BA2C-3905A4D3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2014-06-16T08:54:00Z</cp:lastPrinted>
  <dcterms:created xsi:type="dcterms:W3CDTF">2019-12-06T11:15:00Z</dcterms:created>
  <dcterms:modified xsi:type="dcterms:W3CDTF">2019-12-06T11:19:00Z</dcterms:modified>
</cp:coreProperties>
</file>