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519EB" w14:textId="77777777" w:rsidR="007949AF" w:rsidRDefault="007949AF" w:rsidP="009C61D5">
      <w:pPr>
        <w:ind w:left="5812" w:right="-81"/>
        <w:rPr>
          <w:rFonts w:ascii="Tahoma" w:hAnsi="Tahoma" w:cs="Tahoma"/>
          <w:b/>
          <w:sz w:val="20"/>
          <w:szCs w:val="20"/>
          <w:lang w:val="x-none" w:eastAsia="x-none"/>
        </w:rPr>
      </w:pPr>
    </w:p>
    <w:p w14:paraId="4588A4C6" w14:textId="77777777" w:rsidR="001B3B57" w:rsidRDefault="001B3B57" w:rsidP="009C61D5">
      <w:pPr>
        <w:ind w:left="5812" w:right="-81"/>
        <w:rPr>
          <w:rFonts w:ascii="Tahoma" w:hAnsi="Tahoma" w:cs="Tahoma"/>
          <w:b/>
          <w:sz w:val="20"/>
          <w:szCs w:val="20"/>
          <w:lang w:val="x-none" w:eastAsia="x-none"/>
        </w:rPr>
      </w:pPr>
    </w:p>
    <w:p w14:paraId="691149AA" w14:textId="65533E44" w:rsidR="00DE1D9D" w:rsidRPr="00DE583B" w:rsidRDefault="00DE1D9D" w:rsidP="001633B0">
      <w:pPr>
        <w:ind w:right="-81"/>
        <w:rPr>
          <w:rFonts w:ascii="Tahoma" w:hAnsi="Tahoma" w:cs="Tahoma"/>
          <w:b/>
          <w:sz w:val="20"/>
          <w:szCs w:val="20"/>
        </w:rPr>
      </w:pPr>
      <w:r>
        <w:rPr>
          <w:rFonts w:ascii="Tahoma" w:hAnsi="Tahoma"/>
          <w:b/>
          <w:sz w:val="20"/>
        </w:rPr>
        <w:t>APPROVED</w:t>
      </w:r>
    </w:p>
    <w:p w14:paraId="4DAA3FA9" w14:textId="77777777" w:rsidR="001633B0" w:rsidRDefault="00F4784D" w:rsidP="001633B0">
      <w:pPr>
        <w:pStyle w:val="a9"/>
        <w:tabs>
          <w:tab w:val="left" w:pos="5387"/>
          <w:tab w:val="left" w:pos="5812"/>
        </w:tabs>
        <w:spacing w:after="0"/>
        <w:ind w:right="-79"/>
        <w:rPr>
          <w:rFonts w:ascii="Tahoma" w:hAnsi="Tahoma"/>
          <w:sz w:val="20"/>
        </w:rPr>
      </w:pPr>
      <w:r>
        <w:rPr>
          <w:rFonts w:ascii="Tahoma" w:hAnsi="Tahoma"/>
          <w:sz w:val="20"/>
        </w:rPr>
        <w:t>by Public Joint Stock Company</w:t>
      </w:r>
    </w:p>
    <w:p w14:paraId="5743F42B" w14:textId="36BB61F8" w:rsidR="00F4784D" w:rsidRPr="00DE583B" w:rsidRDefault="00F4784D" w:rsidP="001633B0">
      <w:pPr>
        <w:pStyle w:val="a9"/>
        <w:tabs>
          <w:tab w:val="left" w:pos="5387"/>
          <w:tab w:val="left" w:pos="5812"/>
        </w:tabs>
        <w:spacing w:after="0"/>
        <w:ind w:right="-79"/>
        <w:rPr>
          <w:rFonts w:ascii="Tahoma" w:hAnsi="Tahoma" w:cs="Tahoma"/>
          <w:sz w:val="20"/>
          <w:szCs w:val="20"/>
        </w:rPr>
      </w:pPr>
      <w:r>
        <w:rPr>
          <w:rFonts w:ascii="Tahoma" w:hAnsi="Tahoma"/>
          <w:sz w:val="20"/>
        </w:rPr>
        <w:t>Moscow Exchange MICEX-RTS</w:t>
      </w:r>
    </w:p>
    <w:p w14:paraId="64FB07A9" w14:textId="5018002E" w:rsidR="00F4784D" w:rsidRPr="00DE583B" w:rsidRDefault="00F4784D" w:rsidP="001633B0">
      <w:pPr>
        <w:pStyle w:val="a9"/>
        <w:tabs>
          <w:tab w:val="left" w:pos="4962"/>
          <w:tab w:val="left" w:pos="5812"/>
        </w:tabs>
        <w:spacing w:after="0"/>
        <w:ind w:right="27"/>
        <w:rPr>
          <w:rFonts w:ascii="Tahoma" w:hAnsi="Tahoma" w:cs="Tahoma"/>
          <w:sz w:val="20"/>
          <w:szCs w:val="20"/>
        </w:rPr>
      </w:pPr>
      <w:r>
        <w:rPr>
          <w:rFonts w:ascii="Tahoma" w:hAnsi="Tahoma"/>
          <w:sz w:val="20"/>
        </w:rPr>
        <w:t>(Order No. МБ-П-2022-___ dated ____________ 2022)</w:t>
      </w:r>
    </w:p>
    <w:p w14:paraId="0D61C9C5" w14:textId="77777777" w:rsidR="00B471DD" w:rsidRPr="00DE583B" w:rsidRDefault="00B471DD" w:rsidP="00821879">
      <w:pPr>
        <w:tabs>
          <w:tab w:val="left" w:pos="4962"/>
        </w:tabs>
        <w:ind w:left="5103" w:right="-81"/>
        <w:rPr>
          <w:rFonts w:ascii="Tahoma" w:hAnsi="Tahoma" w:cs="Tahoma"/>
          <w:sz w:val="20"/>
          <w:szCs w:val="20"/>
        </w:rPr>
      </w:pPr>
    </w:p>
    <w:p w14:paraId="7B864934" w14:textId="77777777" w:rsidR="00F4784D" w:rsidRPr="00DE583B" w:rsidRDefault="00F4784D" w:rsidP="00821879">
      <w:pPr>
        <w:tabs>
          <w:tab w:val="left" w:pos="4962"/>
        </w:tabs>
        <w:ind w:left="5103" w:right="-81"/>
        <w:rPr>
          <w:rFonts w:ascii="Tahoma" w:hAnsi="Tahoma" w:cs="Tahoma"/>
          <w:sz w:val="20"/>
          <w:szCs w:val="20"/>
        </w:rPr>
      </w:pPr>
    </w:p>
    <w:p w14:paraId="6FD9C895" w14:textId="6C1A3941" w:rsidR="009248D2" w:rsidRPr="00DE583B" w:rsidRDefault="00F11C0C" w:rsidP="009248D2">
      <w:pPr>
        <w:pStyle w:val="a8"/>
        <w:spacing w:before="0" w:after="0"/>
        <w:ind w:right="-6"/>
        <w:jc w:val="center"/>
        <w:rPr>
          <w:rFonts w:ascii="Tahoma" w:eastAsia="Arial Unicode MS" w:hAnsi="Tahoma" w:cs="Tahoma"/>
          <w:b/>
          <w:color w:val="auto"/>
        </w:rPr>
      </w:pPr>
      <w:r>
        <w:rPr>
          <w:rFonts w:ascii="Tahoma" w:hAnsi="Tahoma"/>
          <w:b/>
        </w:rPr>
        <w:t>SPECIFICATION FOR FUTURES CONTRACT ON</w:t>
      </w:r>
      <w:r>
        <w:rPr>
          <w:rFonts w:ascii="Tahoma" w:hAnsi="Tahoma"/>
          <w:b/>
          <w:color w:val="auto"/>
        </w:rPr>
        <w:t xml:space="preserve"> </w:t>
      </w:r>
    </w:p>
    <w:p w14:paraId="1E3A044C" w14:textId="5B942A6E" w:rsidR="005B1E6C" w:rsidRPr="00111C26" w:rsidRDefault="00F40A05">
      <w:pPr>
        <w:pStyle w:val="a8"/>
        <w:spacing w:before="0" w:after="0"/>
        <w:ind w:right="-6"/>
        <w:jc w:val="center"/>
        <w:rPr>
          <w:rFonts w:ascii="Tahoma" w:eastAsia="Arial Unicode MS" w:hAnsi="Tahoma" w:cs="Tahoma"/>
          <w:b/>
          <w:color w:val="auto"/>
        </w:rPr>
      </w:pPr>
      <w:r>
        <w:rPr>
          <w:rFonts w:ascii="Tahoma" w:hAnsi="Tahoma"/>
          <w:b/>
        </w:rPr>
        <w:t>THE RUSSIAN GOVERNMENT BOND INDEX (RGBI)</w:t>
      </w:r>
    </w:p>
    <w:p w14:paraId="32C397E6" w14:textId="77777777" w:rsidR="00292B50" w:rsidRPr="00111C26" w:rsidRDefault="00292B50" w:rsidP="00DE583B">
      <w:pPr>
        <w:pStyle w:val="a8"/>
        <w:spacing w:before="0" w:after="0"/>
        <w:ind w:right="-6"/>
        <w:rPr>
          <w:rFonts w:ascii="Tahoma" w:eastAsia="Arial Unicode MS" w:hAnsi="Tahoma" w:cs="Tahoma"/>
          <w:b/>
          <w:color w:val="auto"/>
        </w:rPr>
      </w:pPr>
    </w:p>
    <w:p w14:paraId="14A7268D" w14:textId="7F9EE393" w:rsidR="00B471DD" w:rsidRPr="00DE583B" w:rsidRDefault="007452E4" w:rsidP="00111C26">
      <w:pPr>
        <w:pStyle w:val="a1"/>
        <w:numPr>
          <w:ilvl w:val="0"/>
          <w:numId w:val="0"/>
        </w:numPr>
        <w:tabs>
          <w:tab w:val="num" w:pos="2268"/>
        </w:tabs>
        <w:ind w:left="284"/>
        <w:rPr>
          <w:rFonts w:ascii="Tahoma" w:hAnsi="Tahoma" w:cs="Tahoma"/>
        </w:rPr>
      </w:pPr>
      <w:r>
        <w:rPr>
          <w:rFonts w:ascii="Tahoma" w:hAnsi="Tahoma"/>
        </w:rPr>
        <w:t>This Specification sets out the standard terms and conditions of the RGBI Futures contract (hereinafter referred to as the Specification).</w:t>
      </w:r>
    </w:p>
    <w:p w14:paraId="6B7EBA73" w14:textId="08907B45" w:rsidR="00651BB4" w:rsidRPr="00DE583B" w:rsidRDefault="00F45CF4" w:rsidP="00111C26">
      <w:pPr>
        <w:pStyle w:val="a1"/>
        <w:numPr>
          <w:ilvl w:val="0"/>
          <w:numId w:val="0"/>
        </w:numPr>
        <w:tabs>
          <w:tab w:val="num" w:pos="2268"/>
        </w:tabs>
        <w:ind w:left="284"/>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w:t>
      </w:r>
      <w:proofErr w:type="gramStart"/>
      <w:r>
        <w:rPr>
          <w:rFonts w:ascii="Tahoma" w:hAnsi="Tahoma"/>
        </w:rPr>
        <w:t>cash-settled</w:t>
      </w:r>
      <w:proofErr w:type="gramEnd"/>
      <w:r>
        <w:rPr>
          <w:rFonts w:ascii="Tahoma" w:hAnsi="Tahoma"/>
        </w:rPr>
        <w:t xml:space="preserve"> RGBI Futures contract (hereinafter the “Contract”) as well as the procedure for such obligations to arise, be changed or terminated. </w:t>
      </w:r>
    </w:p>
    <w:p w14:paraId="7ED2EEE6" w14:textId="708B730C" w:rsidR="00111C26" w:rsidRPr="00111C26" w:rsidRDefault="00311491" w:rsidP="00111C26">
      <w:pPr>
        <w:pStyle w:val="a1"/>
        <w:numPr>
          <w:ilvl w:val="0"/>
          <w:numId w:val="0"/>
        </w:numPr>
        <w:tabs>
          <w:tab w:val="num" w:pos="2268"/>
        </w:tabs>
        <w:ind w:left="284"/>
        <w:rPr>
          <w:rFonts w:ascii="Tahoma" w:hAnsi="Tahoma" w:cs="Tahoma"/>
        </w:rPr>
      </w:pPr>
      <w:r>
        <w:rPr>
          <w:rFonts w:ascii="Tahoma" w:hAnsi="Tahoma"/>
        </w:rPr>
        <w:t>The underlying asset of the Contract is the Russian Government Bond Index (RGBI) calculated by Moscow Exchange (hereinafter the Exchange) in accordance with the methodology approved by the Exchange and registered with the Bank of Russia.</w:t>
      </w:r>
    </w:p>
    <w:p w14:paraId="1EE67CD8" w14:textId="28953304" w:rsidR="00ED15C0" w:rsidRPr="00DE583B" w:rsidRDefault="00ED15C0" w:rsidP="00111C26">
      <w:pPr>
        <w:pStyle w:val="a1"/>
        <w:numPr>
          <w:ilvl w:val="0"/>
          <w:numId w:val="0"/>
        </w:numPr>
        <w:tabs>
          <w:tab w:val="num" w:pos="2268"/>
        </w:tabs>
        <w:ind w:left="284"/>
        <w:rPr>
          <w:rFonts w:ascii="Tahoma" w:hAnsi="Tahoma" w:cs="Tahoma"/>
        </w:rPr>
      </w:pPr>
      <w:r>
        <w:rPr>
          <w:rFonts w:ascii="Tahoma" w:hAnsi="Tahoma"/>
        </w:rPr>
        <w:t xml:space="preserve">Terms and definitions not expressly defined in the Specification shall be understood in accordance with the laws of the Russian Federation, the Trading </w:t>
      </w:r>
      <w:proofErr w:type="gramStart"/>
      <w:r>
        <w:rPr>
          <w:rFonts w:ascii="Tahoma" w:hAnsi="Tahoma"/>
        </w:rPr>
        <w:t>Rules</w:t>
      </w:r>
      <w:proofErr w:type="gramEnd"/>
      <w:r>
        <w:rPr>
          <w:rFonts w:ascii="Tahoma" w:hAnsi="Tahoma"/>
        </w:rPr>
        <w:t xml:space="preserve"> and the Clearing Rules.</w:t>
      </w:r>
    </w:p>
    <w:p w14:paraId="0B501ABA" w14:textId="77777777" w:rsidR="0064425A" w:rsidRPr="00DE583B" w:rsidRDefault="0064425A" w:rsidP="00DE583B">
      <w:pPr>
        <w:pStyle w:val="a0"/>
        <w:rPr>
          <w:rFonts w:ascii="Tahoma" w:hAnsi="Tahoma" w:cs="Tahoma"/>
        </w:rPr>
      </w:pPr>
      <w:proofErr w:type="gramStart"/>
      <w:r>
        <w:rPr>
          <w:rFonts w:ascii="Tahoma" w:hAnsi="Tahoma"/>
        </w:rPr>
        <w:t>Entering into</w:t>
      </w:r>
      <w:proofErr w:type="gramEnd"/>
      <w:r>
        <w:rPr>
          <w:rFonts w:ascii="Tahoma" w:hAnsi="Tahoma"/>
        </w:rPr>
        <w:t xml:space="preserve"> the Contract</w:t>
      </w:r>
    </w:p>
    <w:p w14:paraId="1B1E0426" w14:textId="696C6159" w:rsidR="0064425A" w:rsidRPr="00DE583B" w:rsidRDefault="0064425A" w:rsidP="00DE583B">
      <w:pPr>
        <w:pStyle w:val="a1"/>
        <w:tabs>
          <w:tab w:val="clear" w:pos="786"/>
          <w:tab w:val="num" w:pos="1985"/>
          <w:tab w:val="num" w:pos="2127"/>
        </w:tabs>
        <w:ind w:left="709" w:hanging="425"/>
        <w:rPr>
          <w:rFonts w:ascii="Tahoma" w:hAnsi="Tahoma" w:cs="Tahoma"/>
        </w:rPr>
      </w:pPr>
      <w:r>
        <w:rPr>
          <w:rFonts w:ascii="Tahoma" w:hAnsi="Tahoma"/>
        </w:rPr>
        <w:t>The opportunity to conclude the Contract in the process of trading shall be granted by the Moscow Exchange resolution that shall specify:</w:t>
      </w:r>
    </w:p>
    <w:p w14:paraId="6991F095" w14:textId="77777777" w:rsidR="006A37C8" w:rsidRPr="00DE583B" w:rsidRDefault="006A37C8">
      <w:pPr>
        <w:pStyle w:val="Pointmark"/>
        <w:tabs>
          <w:tab w:val="clear" w:pos="360"/>
          <w:tab w:val="num" w:pos="1260"/>
        </w:tabs>
        <w:autoSpaceDN/>
        <w:spacing w:before="120"/>
        <w:ind w:left="1260"/>
        <w:rPr>
          <w:rFonts w:ascii="Tahoma" w:hAnsi="Tahoma" w:cs="Tahoma"/>
        </w:rPr>
      </w:pPr>
      <w:r>
        <w:rPr>
          <w:rFonts w:ascii="Tahoma" w:hAnsi="Tahoma"/>
        </w:rPr>
        <w:t>Contract code (designation</w:t>
      </w:r>
      <w:proofErr w:type="gramStart"/>
      <w:r>
        <w:rPr>
          <w:rFonts w:ascii="Tahoma" w:hAnsi="Tahoma"/>
        </w:rPr>
        <w:t>);</w:t>
      </w:r>
      <w:proofErr w:type="gramEnd"/>
    </w:p>
    <w:p w14:paraId="1EC7689C" w14:textId="77777777" w:rsidR="006A37C8" w:rsidRPr="00DE583B" w:rsidRDefault="006A37C8">
      <w:pPr>
        <w:pStyle w:val="Pointmark"/>
        <w:tabs>
          <w:tab w:val="clear" w:pos="360"/>
          <w:tab w:val="num" w:pos="1260"/>
        </w:tabs>
        <w:autoSpaceDN/>
        <w:spacing w:before="0"/>
        <w:ind w:left="1259" w:hanging="357"/>
        <w:rPr>
          <w:rFonts w:ascii="Tahoma" w:hAnsi="Tahoma" w:cs="Tahoma"/>
        </w:rPr>
      </w:pPr>
      <w:r>
        <w:rPr>
          <w:rFonts w:ascii="Tahoma" w:hAnsi="Tahoma"/>
        </w:rPr>
        <w:t>First trading day during which the Contract may trade (hereinafter the First Trading Day</w:t>
      </w:r>
      <w:proofErr w:type="gramStart"/>
      <w:r>
        <w:rPr>
          <w:rFonts w:ascii="Tahoma" w:hAnsi="Tahoma"/>
        </w:rPr>
        <w:t>);</w:t>
      </w:r>
      <w:proofErr w:type="gramEnd"/>
    </w:p>
    <w:p w14:paraId="201EAD67" w14:textId="5405111E" w:rsidR="001F0BE3" w:rsidRPr="00DE583B" w:rsidRDefault="006A37C8">
      <w:pPr>
        <w:pStyle w:val="Pointmark"/>
        <w:tabs>
          <w:tab w:val="clear" w:pos="360"/>
          <w:tab w:val="num" w:pos="1260"/>
        </w:tabs>
        <w:autoSpaceDN/>
        <w:spacing w:before="0"/>
        <w:ind w:left="1259" w:hanging="357"/>
        <w:rPr>
          <w:rFonts w:ascii="Tahoma" w:hAnsi="Tahoma" w:cs="Tahoma"/>
        </w:rPr>
      </w:pPr>
      <w:r>
        <w:rPr>
          <w:rFonts w:ascii="Tahoma" w:hAnsi="Tahoma"/>
        </w:rPr>
        <w:t>The time from which the Contract may be executed (hereinafter the Start of Trading</w:t>
      </w:r>
      <w:proofErr w:type="gramStart"/>
      <w:r>
        <w:rPr>
          <w:rFonts w:ascii="Tahoma" w:hAnsi="Tahoma"/>
        </w:rPr>
        <w:t>);</w:t>
      </w:r>
      <w:proofErr w:type="gramEnd"/>
    </w:p>
    <w:p w14:paraId="377594B0" w14:textId="54686B72" w:rsidR="0064425A" w:rsidRPr="00DE583B" w:rsidRDefault="009346F5" w:rsidP="00DE583B">
      <w:pPr>
        <w:pStyle w:val="Pointmark"/>
        <w:tabs>
          <w:tab w:val="clear" w:pos="360"/>
          <w:tab w:val="num" w:pos="1260"/>
        </w:tabs>
        <w:autoSpaceDN/>
        <w:spacing w:before="0"/>
        <w:ind w:left="1259" w:hanging="357"/>
        <w:rPr>
          <w:rFonts w:ascii="Tahoma" w:hAnsi="Tahoma" w:cs="Tahoma"/>
        </w:rPr>
      </w:pPr>
      <w:r>
        <w:rPr>
          <w:rFonts w:ascii="Tahoma" w:hAnsi="Tahoma"/>
        </w:rPr>
        <w:t xml:space="preserve">The last Trading day for the Contract (the “Last Trading Day”). </w:t>
      </w:r>
    </w:p>
    <w:p w14:paraId="34D5E247" w14:textId="070A8EB7" w:rsidR="006A6D3C" w:rsidRPr="00DE583B" w:rsidRDefault="00DE583B" w:rsidP="00DE583B">
      <w:pPr>
        <w:pStyle w:val="a1"/>
        <w:tabs>
          <w:tab w:val="num" w:pos="567"/>
        </w:tabs>
        <w:ind w:left="567" w:hanging="283"/>
        <w:rPr>
          <w:rFonts w:ascii="Tahoma" w:hAnsi="Tahoma" w:cs="Tahoma"/>
        </w:rPr>
      </w:pPr>
      <w:r>
        <w:rPr>
          <w:rFonts w:ascii="Tahoma" w:hAnsi="Tahoma"/>
        </w:rPr>
        <w:t xml:space="preserve"> The Contract code (designation) is formed as follows:</w:t>
      </w:r>
    </w:p>
    <w:p w14:paraId="71BBEB3E" w14:textId="63FED520" w:rsidR="00821879" w:rsidRPr="00DE583B" w:rsidRDefault="00111C26" w:rsidP="00DE583B">
      <w:pPr>
        <w:pStyle w:val="ac"/>
        <w:tabs>
          <w:tab w:val="clear" w:pos="9000"/>
        </w:tabs>
        <w:spacing w:before="120"/>
        <w:rPr>
          <w:rFonts w:ascii="Tahoma" w:hAnsi="Tahoma" w:cs="Tahoma"/>
        </w:rPr>
      </w:pPr>
      <w:r>
        <w:rPr>
          <w:rFonts w:ascii="Tahoma" w:hAnsi="Tahoma"/>
        </w:rPr>
        <w:t>RGBI-&lt;settlement month</w:t>
      </w:r>
      <w:proofErr w:type="gramStart"/>
      <w:r>
        <w:rPr>
          <w:rFonts w:ascii="Tahoma" w:hAnsi="Tahoma"/>
        </w:rPr>
        <w:t>&gt;.&lt;</w:t>
      </w:r>
      <w:proofErr w:type="gramEnd"/>
      <w:r>
        <w:rPr>
          <w:rFonts w:ascii="Tahoma" w:hAnsi="Tahoma"/>
        </w:rPr>
        <w:t>settlement year&gt;.</w:t>
      </w:r>
    </w:p>
    <w:p w14:paraId="1FEECED2" w14:textId="77777777" w:rsidR="006A6D3C" w:rsidRPr="00DE583B" w:rsidRDefault="00CD4662" w:rsidP="00DE583B">
      <w:pPr>
        <w:pStyle w:val="Pointmark"/>
        <w:numPr>
          <w:ilvl w:val="0"/>
          <w:numId w:val="0"/>
        </w:numPr>
        <w:spacing w:before="12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the settlement day.</w:t>
      </w:r>
    </w:p>
    <w:p w14:paraId="1AD471E3" w14:textId="6359A98F" w:rsidR="00821879" w:rsidRPr="00DE583B" w:rsidRDefault="009026C7" w:rsidP="00DE583B">
      <w:pPr>
        <w:pStyle w:val="a1"/>
        <w:tabs>
          <w:tab w:val="num" w:pos="567"/>
        </w:tabs>
        <w:ind w:left="567" w:hanging="283"/>
        <w:jc w:val="left"/>
        <w:rPr>
          <w:rFonts w:ascii="Tahoma" w:hAnsi="Tahoma" w:cs="Tahoma"/>
        </w:rPr>
      </w:pPr>
      <w:r>
        <w:rPr>
          <w:rFonts w:ascii="Tahoma" w:hAnsi="Tahoma"/>
        </w:rPr>
        <w:t xml:space="preserve"> Contract price</w:t>
      </w:r>
    </w:p>
    <w:p w14:paraId="729DB4DD" w14:textId="0124A660" w:rsidR="00111C26" w:rsidRPr="00111C26" w:rsidRDefault="00111C26" w:rsidP="00111C26">
      <w:pPr>
        <w:pStyle w:val="10"/>
        <w:rPr>
          <w:rFonts w:ascii="Tahoma" w:hAnsi="Tahoma" w:cs="Tahoma"/>
        </w:rPr>
      </w:pPr>
      <w:r>
        <w:rPr>
          <w:rFonts w:ascii="Tahoma" w:hAnsi="Tahoma"/>
        </w:rPr>
        <w:t>When orders are submitted and contracts are executed, the Contract price shall be quoted in points as the RGBI value multiplied by 100.</w:t>
      </w:r>
    </w:p>
    <w:p w14:paraId="1F583BE5" w14:textId="62A3905E" w:rsidR="00111C26" w:rsidRPr="00111C26" w:rsidRDefault="00111C26" w:rsidP="00111C26">
      <w:pPr>
        <w:pStyle w:val="10"/>
        <w:rPr>
          <w:rFonts w:ascii="Tahoma" w:hAnsi="Tahoma" w:cs="Tahoma"/>
        </w:rPr>
      </w:pPr>
      <w:r>
        <w:rPr>
          <w:rFonts w:ascii="Tahoma" w:hAnsi="Tahoma"/>
        </w:rPr>
        <w:t xml:space="preserve">A minimum price fluctuation for the Contract (the “tick”) is one point. </w:t>
      </w:r>
    </w:p>
    <w:p w14:paraId="1C1673A2" w14:textId="27005D87" w:rsidR="00111C26" w:rsidRPr="00992166" w:rsidRDefault="00111C26" w:rsidP="00111C26">
      <w:pPr>
        <w:pStyle w:val="10"/>
      </w:pPr>
      <w:r>
        <w:t>The tick value is RUB 1.</w:t>
      </w:r>
    </w:p>
    <w:p w14:paraId="3FB2C59E" w14:textId="09A47599" w:rsidR="00DC1DB8" w:rsidRPr="00DE583B" w:rsidRDefault="00EE126F" w:rsidP="00DE583B">
      <w:pPr>
        <w:pStyle w:val="a1"/>
        <w:tabs>
          <w:tab w:val="num" w:pos="1418"/>
          <w:tab w:val="num" w:pos="2268"/>
        </w:tabs>
        <w:ind w:left="709" w:hanging="425"/>
        <w:rPr>
          <w:rFonts w:ascii="Tahoma" w:hAnsi="Tahoma" w:cs="Tahoma"/>
        </w:rPr>
      </w:pPr>
      <w:r>
        <w:rPr>
          <w:rFonts w:ascii="Tahoma" w:hAnsi="Tahoma"/>
        </w:rPr>
        <w:t xml:space="preserve">The last trading day of the Contract shall be the first working day of March, June, </w:t>
      </w:r>
      <w:proofErr w:type="gramStart"/>
      <w:r>
        <w:rPr>
          <w:rFonts w:ascii="Tahoma" w:hAnsi="Tahoma"/>
        </w:rPr>
        <w:t>September</w:t>
      </w:r>
      <w:proofErr w:type="gramEnd"/>
      <w:r>
        <w:rPr>
          <w:rFonts w:ascii="Tahoma" w:hAnsi="Tahoma"/>
        </w:rPr>
        <w:t xml:space="preserve"> and December of the settlement year. The Exchange shall be entitled, upon agreement with the Clearing Centre, to set another date for the Last Trading Day for the Contract, different from the date determined in accordance with this clause. </w:t>
      </w:r>
    </w:p>
    <w:p w14:paraId="0D63600D" w14:textId="547639E4" w:rsidR="00767E85" w:rsidRDefault="00281ED7" w:rsidP="00767E85">
      <w:pPr>
        <w:pStyle w:val="a1"/>
        <w:tabs>
          <w:tab w:val="num" w:pos="709"/>
        </w:tabs>
        <w:ind w:left="709" w:hanging="425"/>
        <w:rPr>
          <w:rFonts w:ascii="Tahoma" w:hAnsi="Tahoma" w:cs="Tahoma"/>
        </w:rPr>
      </w:pPr>
      <w:r>
        <w:rPr>
          <w:rFonts w:ascii="Tahoma" w:hAnsi="Tahoma"/>
        </w:rPr>
        <w:t xml:space="preserve">The settlement day for the Contract is its last trading day, except to the extent mentioned in Section 6.1 and 6.2 below. </w:t>
      </w:r>
    </w:p>
    <w:p w14:paraId="09D9172F" w14:textId="175904B3" w:rsidR="00767E85" w:rsidRPr="001633B0" w:rsidRDefault="00767E85">
      <w:pPr>
        <w:pStyle w:val="a1"/>
        <w:tabs>
          <w:tab w:val="num" w:pos="709"/>
        </w:tabs>
        <w:ind w:left="709" w:hanging="425"/>
        <w:rPr>
          <w:rFonts w:ascii="Tahoma" w:hAnsi="Tahoma" w:cs="Tahoma"/>
        </w:rPr>
      </w:pPr>
      <w:r>
        <w:rPr>
          <w:rFonts w:ascii="Tahoma" w:hAnsi="Tahoma"/>
        </w:rPr>
        <w:t>The list of dates, which are the last trading and settlement days for the Contracts, shall be published on the Exchange website.</w:t>
      </w:r>
    </w:p>
    <w:p w14:paraId="4D15F362" w14:textId="77777777" w:rsidR="001633B0" w:rsidRPr="00767E85" w:rsidRDefault="001633B0" w:rsidP="001633B0">
      <w:pPr>
        <w:pStyle w:val="a1"/>
        <w:numPr>
          <w:ilvl w:val="0"/>
          <w:numId w:val="0"/>
        </w:numPr>
        <w:tabs>
          <w:tab w:val="num" w:pos="786"/>
        </w:tabs>
        <w:ind w:left="709"/>
        <w:rPr>
          <w:rFonts w:ascii="Tahoma" w:hAnsi="Tahoma" w:cs="Tahoma"/>
        </w:rPr>
      </w:pPr>
    </w:p>
    <w:p w14:paraId="68191507" w14:textId="389E867F" w:rsidR="00DC1DB8" w:rsidRPr="00DE583B" w:rsidRDefault="0064425A" w:rsidP="00DE583B">
      <w:pPr>
        <w:pStyle w:val="a0"/>
        <w:rPr>
          <w:rFonts w:ascii="Tahoma" w:hAnsi="Tahoma" w:cs="Tahoma"/>
        </w:rPr>
      </w:pPr>
      <w:r>
        <w:rPr>
          <w:rFonts w:ascii="Tahoma" w:hAnsi="Tahoma"/>
        </w:rPr>
        <w:lastRenderedPageBreak/>
        <w:t>Obligations under the Contract</w:t>
      </w:r>
    </w:p>
    <w:p w14:paraId="271683F2" w14:textId="4597962A" w:rsidR="00DC1DB8" w:rsidRPr="00DE583B" w:rsidRDefault="006B0BDD" w:rsidP="00DE583B">
      <w:pPr>
        <w:pStyle w:val="a1"/>
        <w:tabs>
          <w:tab w:val="num" w:pos="644"/>
        </w:tabs>
        <w:rPr>
          <w:rFonts w:ascii="Tahoma" w:hAnsi="Tahoma" w:cs="Tahoma"/>
        </w:rPr>
      </w:pPr>
      <w:r>
        <w:rPr>
          <w:rFonts w:ascii="Tahoma" w:hAnsi="Tahoma"/>
        </w:rPr>
        <w:t xml:space="preserve"> Variation Margin obligation.</w:t>
      </w:r>
    </w:p>
    <w:p w14:paraId="52B52C71" w14:textId="42EE6DEE" w:rsidR="00DE698B" w:rsidRPr="00DE583B" w:rsidRDefault="00DF3D45" w:rsidP="00DE583B">
      <w:pPr>
        <w:pStyle w:val="1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11808BE9" w14:textId="4D10739D" w:rsidR="001316FC" w:rsidRPr="00DE583B" w:rsidRDefault="00D32025" w:rsidP="00DE583B">
      <w:pPr>
        <w:pStyle w:val="10"/>
        <w:rPr>
          <w:rFonts w:ascii="Tahoma" w:hAnsi="Tahoma" w:cs="Tahoma"/>
        </w:rPr>
      </w:pPr>
      <w:r>
        <w:rPr>
          <w:rFonts w:ascii="Tahoma" w:hAnsi="Tahoma"/>
        </w:rPr>
        <w:t>Variation margin will be calculated and must be paid during the life of the Contract.</w:t>
      </w:r>
    </w:p>
    <w:p w14:paraId="27E4D827" w14:textId="0919F06F" w:rsidR="00B97884" w:rsidRPr="00DE583B" w:rsidRDefault="001316FC" w:rsidP="00DE583B">
      <w:pPr>
        <w:pStyle w:val="10"/>
        <w:rPr>
          <w:rFonts w:ascii="Tahoma" w:hAnsi="Tahoma" w:cs="Tahoma"/>
        </w:rPr>
      </w:pPr>
      <w:r>
        <w:rPr>
          <w:rFonts w:ascii="Tahoma" w:hAnsi="Tahoma"/>
        </w:rPr>
        <w:t>Variation margin for the Contract is calculated according to the following formulas:</w:t>
      </w:r>
    </w:p>
    <w:p w14:paraId="1A661091" w14:textId="43298BA5" w:rsidR="00DF3D45" w:rsidRPr="00DE583B" w:rsidRDefault="00DF3D45" w:rsidP="00000012">
      <w:pPr>
        <w:pStyle w:val="10"/>
        <w:numPr>
          <w:ilvl w:val="3"/>
          <w:numId w:val="8"/>
        </w:numPr>
        <w:tabs>
          <w:tab w:val="clear" w:pos="2880"/>
          <w:tab w:val="clear" w:pos="9000"/>
          <w:tab w:val="left" w:pos="2410"/>
        </w:tabs>
        <w:ind w:left="2127" w:hanging="709"/>
        <w:rPr>
          <w:rFonts w:ascii="Tahoma" w:hAnsi="Tahoma" w:cs="Tahoma"/>
        </w:rPr>
      </w:pPr>
      <w:bookmarkStart w:id="0" w:name="_Ref249432111"/>
      <w:r>
        <w:rPr>
          <w:rFonts w:ascii="Tahoma" w:hAnsi="Tahoma"/>
        </w:rPr>
        <w:t>During the intraday clearing session:</w:t>
      </w:r>
      <w:bookmarkEnd w:id="0"/>
    </w:p>
    <w:p w14:paraId="5896384E" w14:textId="6F059447" w:rsidR="00DF3D45" w:rsidRPr="00DE583B"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not been calculated before:</w:t>
      </w:r>
    </w:p>
    <w:p w14:paraId="15FAF9EE" w14:textId="77777777" w:rsidR="00DF3D45" w:rsidRPr="00DE583B"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5852E106"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7E8F7A8B"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15D1EC1"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C71C07B"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2F21DE1"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71097E"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4860EEC" w14:textId="77777777" w:rsidR="00DF3D45" w:rsidRPr="00DE583B" w:rsidRDefault="00DF3D45">
      <w:pPr>
        <w:ind w:left="1418"/>
        <w:jc w:val="both"/>
        <w:rPr>
          <w:rFonts w:ascii="Tahoma" w:hAnsi="Tahoma" w:cs="Tahoma"/>
          <w:sz w:val="20"/>
          <w:szCs w:val="20"/>
        </w:rPr>
      </w:pPr>
      <w:r>
        <w:rPr>
          <w:rFonts w:ascii="Tahoma" w:hAnsi="Tahoma"/>
          <w:sz w:val="20"/>
        </w:rPr>
        <w:t>R - the tick.</w:t>
      </w:r>
    </w:p>
    <w:p w14:paraId="35F76002" w14:textId="27FCF1B4" w:rsidR="00DF3D45" w:rsidRPr="00DE583B"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been calculated before:</w:t>
      </w:r>
    </w:p>
    <w:p w14:paraId="6E2AF242" w14:textId="77777777" w:rsidR="00DF3D45" w:rsidRPr="00DE583B"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009CBD66"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181AA96E"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51E29D5B"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DBB7A78"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1C563DFD" w14:textId="77777777" w:rsidR="00DF3D45" w:rsidRPr="00DE583B" w:rsidRDefault="00DF3D45">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394D812"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7031F71D" w14:textId="77777777" w:rsidR="00DF3D45" w:rsidRPr="00DE583B" w:rsidRDefault="00DF3D45">
      <w:pPr>
        <w:ind w:left="1418"/>
        <w:jc w:val="both"/>
        <w:rPr>
          <w:rFonts w:ascii="Tahoma" w:hAnsi="Tahoma" w:cs="Tahoma"/>
          <w:sz w:val="20"/>
          <w:szCs w:val="20"/>
        </w:rPr>
      </w:pPr>
      <w:r>
        <w:rPr>
          <w:rFonts w:ascii="Tahoma" w:hAnsi="Tahoma"/>
          <w:sz w:val="20"/>
        </w:rPr>
        <w:t>R - the tick.</w:t>
      </w:r>
    </w:p>
    <w:p w14:paraId="45056376" w14:textId="7A9BE8B4" w:rsidR="00DF3D45" w:rsidRPr="00DE583B" w:rsidRDefault="00DF3D45" w:rsidP="00384736">
      <w:pPr>
        <w:pStyle w:val="affa"/>
        <w:numPr>
          <w:ilvl w:val="3"/>
          <w:numId w:val="8"/>
        </w:numPr>
        <w:tabs>
          <w:tab w:val="clear" w:pos="2880"/>
          <w:tab w:val="num" w:pos="1701"/>
        </w:tabs>
        <w:autoSpaceDE/>
        <w:autoSpaceDN/>
        <w:spacing w:before="120"/>
        <w:ind w:left="2127" w:hanging="709"/>
        <w:rPr>
          <w:rFonts w:ascii="Tahoma" w:hAnsi="Tahoma" w:cs="Tahoma"/>
          <w:sz w:val="20"/>
          <w:szCs w:val="20"/>
        </w:rPr>
      </w:pPr>
      <w:r>
        <w:rPr>
          <w:rFonts w:ascii="Tahoma" w:hAnsi="Tahoma"/>
          <w:sz w:val="20"/>
        </w:rPr>
        <w:t>During the evening clearing session:</w:t>
      </w:r>
    </w:p>
    <w:p w14:paraId="7AC58579" w14:textId="77777777" w:rsidR="00DF3D45" w:rsidRPr="00DE583B"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has not been calculated before:</w:t>
      </w:r>
    </w:p>
    <w:p w14:paraId="069E6A79" w14:textId="77777777" w:rsidR="00DF3D45" w:rsidRPr="00DE583B"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06674CA6"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3F4219E"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07BA95C6"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Round – mathematical rounding to the specified precision,</w:t>
      </w:r>
    </w:p>
    <w:p w14:paraId="1C108B92"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1C7342F"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1229C83E"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7F3ABD7"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R - the tick.</w:t>
      </w:r>
    </w:p>
    <w:p w14:paraId="0A145597" w14:textId="77777777" w:rsidR="00DF3D45" w:rsidRPr="00DE583B"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49242658" w14:textId="77777777" w:rsidR="00DF3D45" w:rsidRPr="00DE583B" w:rsidRDefault="00DF3D45" w:rsidP="00DE583B">
      <w:pPr>
        <w:tabs>
          <w:tab w:val="left" w:pos="9000"/>
        </w:tabs>
        <w:spacing w:before="120"/>
        <w:ind w:left="1418"/>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ADFE96B"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B0A737B"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AFD05B4"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 xml:space="preserve">VM – variation margin for the Contract as calculated in the evening clearing session for the current trading </w:t>
      </w:r>
      <w:proofErr w:type="gramStart"/>
      <w:r>
        <w:rPr>
          <w:rFonts w:ascii="Tahoma" w:hAnsi="Tahoma"/>
          <w:sz w:val="20"/>
        </w:rPr>
        <w:t>day;</w:t>
      </w:r>
      <w:proofErr w:type="gramEnd"/>
    </w:p>
    <w:p w14:paraId="07D0CA4C" w14:textId="5E029962" w:rsidR="00DF3D45" w:rsidRPr="00DE583B" w:rsidRDefault="00DF3D45">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w:t>
      </w:r>
      <w:proofErr w:type="spellStart"/>
      <w:r>
        <w:rPr>
          <w:rFonts w:ascii="Tahoma" w:hAnsi="Tahoma"/>
          <w:sz w:val="20"/>
        </w:rPr>
        <w:t>the</w:t>
      </w:r>
      <w:proofErr w:type="spellEnd"/>
      <w:r>
        <w:rPr>
          <w:rFonts w:ascii="Tahoma" w:hAnsi="Tahoma"/>
          <w:sz w:val="20"/>
        </w:rPr>
        <w:t xml:space="preserve"> current trading day as per Section 2.1.3.1 above.</w:t>
      </w:r>
    </w:p>
    <w:p w14:paraId="6FED7B7B"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lastRenderedPageBreak/>
        <w:t xml:space="preserve">VM is determined according to the following formulas: </w:t>
      </w:r>
    </w:p>
    <w:p w14:paraId="04A70E88" w14:textId="77777777" w:rsidR="00DF3D45" w:rsidRPr="00DE583B" w:rsidRDefault="00DF3D45" w:rsidP="00DE583B">
      <w:pPr>
        <w:numPr>
          <w:ilvl w:val="0"/>
          <w:numId w:val="23"/>
        </w:numPr>
        <w:tabs>
          <w:tab w:val="left" w:pos="1701"/>
        </w:tabs>
        <w:autoSpaceDE/>
        <w:autoSpaceDN/>
        <w:spacing w:before="120"/>
        <w:ind w:left="1701" w:hanging="283"/>
        <w:rPr>
          <w:rFonts w:ascii="Tahoma" w:hAnsi="Tahoma" w:cs="Tahoma"/>
          <w:sz w:val="20"/>
          <w:szCs w:val="20"/>
        </w:rPr>
      </w:pPr>
      <w:r>
        <w:rPr>
          <w:rFonts w:ascii="Tahoma" w:hAnsi="Tahoma"/>
          <w:sz w:val="20"/>
        </w:rPr>
        <w:t>If the variation margin has not been calculated for the previous trading day in the evening clearing session:</w:t>
      </w:r>
    </w:p>
    <w:p w14:paraId="17E519CD" w14:textId="77777777" w:rsidR="00DF3D45" w:rsidRPr="00DE583B" w:rsidRDefault="00DF3D45" w:rsidP="00821879">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4B1B8F42" w14:textId="77777777" w:rsidR="00DF3D45" w:rsidRPr="00DE583B" w:rsidRDefault="00DF3D45" w:rsidP="00DE583B">
      <w:pPr>
        <w:tabs>
          <w:tab w:val="left" w:pos="1701"/>
          <w:tab w:val="left" w:pos="9000"/>
        </w:tabs>
        <w:spacing w:before="120"/>
        <w:ind w:left="1701"/>
        <w:rPr>
          <w:rFonts w:ascii="Tahoma" w:hAnsi="Tahoma" w:cs="Tahoma"/>
          <w:sz w:val="20"/>
          <w:szCs w:val="20"/>
        </w:rPr>
      </w:pPr>
      <w:r>
        <w:rPr>
          <w:rFonts w:ascii="Tahoma" w:hAnsi="Tahoma"/>
          <w:sz w:val="20"/>
        </w:rPr>
        <w:t>where:</w:t>
      </w:r>
    </w:p>
    <w:p w14:paraId="7B53C33F"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Round – mathematical rounding to the specified precision,</w:t>
      </w:r>
    </w:p>
    <w:p w14:paraId="577633C8"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CAD6F12"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548B0990"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4FAB53F"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R - the tick.</w:t>
      </w:r>
    </w:p>
    <w:p w14:paraId="51082D38" w14:textId="77777777" w:rsidR="00DF3D45" w:rsidRPr="00DE583B" w:rsidRDefault="00DF3D45">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41BB9695" w14:textId="77777777" w:rsidR="00DF3D45" w:rsidRPr="00DE583B"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*Round (W</w:t>
      </w:r>
      <w:r>
        <w:rPr>
          <w:rFonts w:ascii="Tahoma" w:hAnsi="Tahoma"/>
          <w:sz w:val="20"/>
          <w:vertAlign w:val="subscript"/>
        </w:rPr>
        <w:t>2</w:t>
      </w:r>
      <w:r>
        <w:rPr>
          <w:rFonts w:ascii="Tahoma" w:hAnsi="Tahoma"/>
          <w:sz w:val="20"/>
        </w:rPr>
        <w:t xml:space="preserve">/R; 5); 2) – </w:t>
      </w:r>
      <w:proofErr w:type="gramStart"/>
      <w:r>
        <w:rPr>
          <w:rFonts w:ascii="Tahoma" w:hAnsi="Tahoma"/>
          <w:sz w:val="20"/>
        </w:rPr>
        <w:t>Round(</w:t>
      </w:r>
      <w:proofErr w:type="gramEnd"/>
      <w:r>
        <w:rPr>
          <w:rFonts w:ascii="Tahoma" w:hAnsi="Tahoma"/>
          <w:sz w:val="20"/>
        </w:rPr>
        <w:t>SP</w:t>
      </w:r>
      <w:r>
        <w:rPr>
          <w:rFonts w:ascii="Tahoma" w:hAnsi="Tahoma"/>
          <w:sz w:val="20"/>
          <w:vertAlign w:val="subscript"/>
        </w:rPr>
        <w:t>P</w:t>
      </w:r>
      <w:r>
        <w:rPr>
          <w:rFonts w:ascii="Tahoma" w:hAnsi="Tahoma"/>
          <w:sz w:val="20"/>
        </w:rPr>
        <w:t>*Round (W</w:t>
      </w:r>
      <w:r>
        <w:rPr>
          <w:rFonts w:ascii="Tahoma" w:hAnsi="Tahoma"/>
          <w:sz w:val="20"/>
          <w:vertAlign w:val="subscript"/>
        </w:rPr>
        <w:t>2</w:t>
      </w:r>
      <w:r>
        <w:rPr>
          <w:rFonts w:ascii="Tahoma" w:hAnsi="Tahoma"/>
          <w:sz w:val="20"/>
        </w:rPr>
        <w:t>/R; 5);</w:t>
      </w:r>
    </w:p>
    <w:p w14:paraId="548CB8C8" w14:textId="77777777" w:rsidR="00DF3D45" w:rsidRPr="00DE583B"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3599A4A7" w14:textId="77777777" w:rsidR="00DF3D45" w:rsidRPr="00DE583B"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Round – mathematical rounding to the specified precision,</w:t>
      </w:r>
    </w:p>
    <w:p w14:paraId="624E65E5" w14:textId="77777777" w:rsidR="00DF3D45" w:rsidRPr="00DE583B"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4A7EA1D" w14:textId="77777777" w:rsidR="00DF3D45" w:rsidRPr="00DE583B" w:rsidRDefault="00DF3D45" w:rsidP="00DE583B">
      <w:pPr>
        <w:tabs>
          <w:tab w:val="left" w:pos="1701"/>
          <w:tab w:val="left" w:pos="1985"/>
          <w:tab w:val="left" w:pos="9000"/>
        </w:tabs>
        <w:ind w:left="1701"/>
        <w:rPr>
          <w:rFonts w:ascii="Tahoma" w:hAnsi="Tahoma" w:cs="Tahoma"/>
          <w:sz w:val="20"/>
          <w:szCs w:val="20"/>
        </w:rPr>
      </w:pPr>
      <w:proofErr w:type="spellStart"/>
      <w:r>
        <w:rPr>
          <w:rFonts w:ascii="Tahoma" w:hAnsi="Tahoma"/>
          <w:sz w:val="20"/>
        </w:rPr>
        <w:t>SP</w:t>
      </w:r>
      <w:r w:rsidRPr="001633B0">
        <w:rPr>
          <w:rFonts w:ascii="Tahoma" w:hAnsi="Tahoma"/>
          <w:sz w:val="20"/>
          <w:vertAlign w:val="subscript"/>
        </w:rPr>
        <w:t>p</w:t>
      </w:r>
      <w:proofErr w:type="spellEnd"/>
      <w:r>
        <w:rPr>
          <w:rFonts w:ascii="Tahoma" w:hAnsi="Tahoma"/>
          <w:sz w:val="20"/>
        </w:rPr>
        <w:t xml:space="preserve"> – settlement price of the Contract calculated during the previous trading day’s evening clearing session,</w:t>
      </w:r>
    </w:p>
    <w:p w14:paraId="68CD5843" w14:textId="77777777" w:rsidR="00DF3D45" w:rsidRPr="00DE583B"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8BFFAC0" w14:textId="77777777" w:rsidR="00DF3D45" w:rsidRPr="00DE583B"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 - the tick.</w:t>
      </w:r>
    </w:p>
    <w:p w14:paraId="10997A75" w14:textId="4BE99BD7" w:rsidR="00DB5C60" w:rsidRPr="00DE583B" w:rsidRDefault="00DF3D45" w:rsidP="00DB5C60">
      <w:pPr>
        <w:pStyle w:val="10"/>
        <w:rPr>
          <w:rFonts w:ascii="Tahoma" w:hAnsi="Tahoma" w:cs="Tahoma"/>
        </w:rPr>
      </w:pPr>
      <w:r>
        <w:rPr>
          <w:rFonts w:ascii="Tahoma" w:hAnsi="Tahoma"/>
        </w:rPr>
        <w:t>The obligation to pay the variation margin calculated according to the formulas specified in clause 2.1.3 above shall be fulfilled according to the procedure and within the terms established by the Clearing Rules. For this purpose,</w:t>
      </w:r>
    </w:p>
    <w:p w14:paraId="5EFE8958" w14:textId="77777777" w:rsidR="000A455D" w:rsidRPr="00DE583B" w:rsidRDefault="000A455D" w:rsidP="000A455D">
      <w:pPr>
        <w:numPr>
          <w:ilvl w:val="0"/>
          <w:numId w:val="21"/>
        </w:numPr>
        <w:autoSpaceDE/>
        <w:autoSpaceDN/>
        <w:spacing w:before="120"/>
        <w:ind w:left="1701" w:hanging="284"/>
        <w:jc w:val="both"/>
        <w:rPr>
          <w:rFonts w:ascii="Tahoma" w:hAnsi="Tahoma" w:cs="Tahoma"/>
          <w:color w:val="000000"/>
          <w:sz w:val="20"/>
          <w:szCs w:val="20"/>
        </w:rPr>
      </w:pPr>
      <w:r>
        <w:rPr>
          <w:rFonts w:ascii="Tahoma" w:hAnsi="Tahoma"/>
          <w:color w:val="000000"/>
          <w:sz w:val="20"/>
        </w:rPr>
        <w:t xml:space="preserve">if the variation margin is positive, the obligation to pay the variation margin arises for the </w:t>
      </w:r>
      <w:proofErr w:type="gramStart"/>
      <w:r>
        <w:rPr>
          <w:rFonts w:ascii="Tahoma" w:hAnsi="Tahoma"/>
          <w:color w:val="000000"/>
          <w:sz w:val="20"/>
        </w:rPr>
        <w:t>Seller;</w:t>
      </w:r>
      <w:proofErr w:type="gramEnd"/>
    </w:p>
    <w:p w14:paraId="7BA75F43" w14:textId="17EAAEBE" w:rsidR="000A455D" w:rsidRPr="00DE583B" w:rsidRDefault="000A455D" w:rsidP="00DE583B">
      <w:pPr>
        <w:numPr>
          <w:ilvl w:val="0"/>
          <w:numId w:val="21"/>
        </w:numPr>
        <w:autoSpaceDE/>
        <w:autoSpaceDN/>
        <w:spacing w:before="120"/>
        <w:ind w:left="1701" w:hanging="284"/>
        <w:jc w:val="both"/>
        <w:rPr>
          <w:rFonts w:ascii="Tahoma" w:hAnsi="Tahoma" w:cs="Tahoma"/>
        </w:rPr>
      </w:pPr>
      <w:r>
        <w:rPr>
          <w:rFonts w:ascii="Tahoma" w:hAnsi="Tahoma"/>
          <w:color w:val="000000"/>
          <w:sz w:val="20"/>
        </w:rPr>
        <w:t>if the variation margin is negative, the Buyer is obliged to pay the absolute value of the variation margin.</w:t>
      </w:r>
    </w:p>
    <w:p w14:paraId="111948A9" w14:textId="513B1B8D" w:rsidR="00DB5C60" w:rsidRPr="00111C26" w:rsidRDefault="00DB5C60" w:rsidP="00DE583B">
      <w:pPr>
        <w:pStyle w:val="10"/>
        <w:rPr>
          <w:rFonts w:ascii="Tahoma" w:hAnsi="Tahoma" w:cs="Tahoma"/>
        </w:rPr>
      </w:pPr>
      <w:r>
        <w:rPr>
          <w:rFonts w:ascii="Tahoma" w:hAnsi="Tahoma"/>
          <w:color w:val="000000"/>
        </w:rPr>
        <w:t>The settlement price of the Contract is set by the Exchange under the procedure and within the time frames set out in the Trading Rules and Specification.</w:t>
      </w:r>
    </w:p>
    <w:p w14:paraId="014F901E" w14:textId="07D1C42A" w:rsidR="00EB56FB" w:rsidRPr="00DE583B" w:rsidRDefault="0064425A" w:rsidP="00DE583B">
      <w:pPr>
        <w:pStyle w:val="a0"/>
        <w:spacing w:line="360" w:lineRule="auto"/>
        <w:rPr>
          <w:rFonts w:ascii="Tahoma" w:hAnsi="Tahoma" w:cs="Tahoma"/>
        </w:rPr>
      </w:pPr>
      <w:r>
        <w:rPr>
          <w:rFonts w:ascii="Tahoma" w:hAnsi="Tahoma"/>
        </w:rPr>
        <w:t>Expiration settlement obligation</w:t>
      </w:r>
    </w:p>
    <w:p w14:paraId="3F8FE8AD" w14:textId="71C6BB13" w:rsidR="00FF4039" w:rsidRPr="00DE583B" w:rsidRDefault="00FF4039" w:rsidP="00DE583B">
      <w:pPr>
        <w:pStyle w:val="a1"/>
        <w:tabs>
          <w:tab w:val="clear" w:pos="786"/>
          <w:tab w:val="num" w:pos="1701"/>
          <w:tab w:val="num" w:pos="1985"/>
        </w:tabs>
        <w:ind w:left="851" w:hanging="425"/>
        <w:rPr>
          <w:rFonts w:ascii="Tahoma" w:hAnsi="Tahoma" w:cs="Tahoma"/>
        </w:rPr>
      </w:pPr>
      <w:r>
        <w:rPr>
          <w:rFonts w:ascii="Tahoma" w:hAnsi="Tahoma"/>
        </w:rPr>
        <w:t>The obligation to pay the variation margin as determined during the intraday clearing session on the settlement date for the Contract, is the Final Settlement Obligation.</w:t>
      </w:r>
    </w:p>
    <w:p w14:paraId="4C5B0724" w14:textId="732CC527" w:rsidR="00FF4039" w:rsidRPr="00DE583B" w:rsidRDefault="00976483" w:rsidP="00DE583B">
      <w:pPr>
        <w:pStyle w:val="a1"/>
        <w:tabs>
          <w:tab w:val="num" w:pos="1134"/>
        </w:tabs>
        <w:ind w:left="851" w:hanging="425"/>
        <w:rPr>
          <w:rFonts w:ascii="Tahoma" w:hAnsi="Tahoma" w:cs="Tahoma"/>
        </w:rPr>
      </w:pPr>
      <w:r>
        <w:rPr>
          <w:rFonts w:ascii="Tahoma" w:hAnsi="Tahoma"/>
        </w:rPr>
        <w:t xml:space="preserve"> </w:t>
      </w:r>
      <w:proofErr w:type="gramStart"/>
      <w:r>
        <w:rPr>
          <w:rFonts w:ascii="Tahoma" w:hAnsi="Tahoma"/>
        </w:rPr>
        <w:t>For the purpose of</w:t>
      </w:r>
      <w:proofErr w:type="gramEnd"/>
      <w:r>
        <w:rPr>
          <w:rFonts w:ascii="Tahoma" w:hAnsi="Tahoma"/>
        </w:rPr>
        <w:t xml:space="preserve"> determining the Expiration Settlement Obligation, the current Settlement Price of the Contract shall be deemed to be equal to the closing value of the RGBI, which is published on the Moscow Exchange website at </w:t>
      </w:r>
      <w:hyperlink r:id="rId11" w:history="1">
        <w:r>
          <w:rPr>
            <w:rStyle w:val="a7"/>
          </w:rPr>
          <w:t>http://www.moex.com/</w:t>
        </w:r>
      </w:hyperlink>
      <w:r>
        <w:rPr>
          <w:rFonts w:ascii="Tahoma" w:hAnsi="Tahoma"/>
        </w:rPr>
        <w:t xml:space="preserve"> for the preceding trading day, multiplied by 100.</w:t>
      </w:r>
    </w:p>
    <w:p w14:paraId="63FBD3E3" w14:textId="56BB535E" w:rsidR="006A0DD9" w:rsidRPr="00DE583B" w:rsidRDefault="00976483" w:rsidP="00DE583B">
      <w:pPr>
        <w:pStyle w:val="a1"/>
        <w:tabs>
          <w:tab w:val="num" w:pos="1134"/>
        </w:tabs>
        <w:ind w:left="851" w:hanging="425"/>
        <w:rPr>
          <w:rFonts w:ascii="Tahoma" w:hAnsi="Tahoma" w:cs="Tahoma"/>
        </w:rPr>
      </w:pPr>
      <w:r>
        <w:rPr>
          <w:rFonts w:ascii="Tahoma" w:hAnsi="Tahoma"/>
        </w:rPr>
        <w:t xml:space="preserve"> The Settlement Price of the Contract is adjusted to account for the futures contract Settlement Price fluctuation limit, if established by the Exchange upon agreement with the Clearing </w:t>
      </w:r>
      <w:proofErr w:type="spellStart"/>
      <w:r>
        <w:rPr>
          <w:rFonts w:ascii="Tahoma" w:hAnsi="Tahoma"/>
        </w:rPr>
        <w:t>Center</w:t>
      </w:r>
      <w:proofErr w:type="spellEnd"/>
      <w:r>
        <w:rPr>
          <w:rFonts w:ascii="Tahoma" w:hAnsi="Tahoma"/>
        </w:rPr>
        <w:t xml:space="preserve"> under the Settlement Price Methodology for Derivative Contracts constituting the appendix to the Trading Rules.</w:t>
      </w:r>
    </w:p>
    <w:p w14:paraId="66B7AC73" w14:textId="77777777" w:rsidR="00A83A8E" w:rsidRPr="00DE583B" w:rsidRDefault="00A83A8E" w:rsidP="00A83A8E">
      <w:pPr>
        <w:pStyle w:val="affa"/>
        <w:numPr>
          <w:ilvl w:val="0"/>
          <w:numId w:val="1"/>
        </w:numPr>
        <w:tabs>
          <w:tab w:val="left" w:pos="9000"/>
        </w:tabs>
        <w:spacing w:before="240"/>
        <w:ind w:right="57"/>
        <w:jc w:val="both"/>
        <w:rPr>
          <w:rFonts w:ascii="Tahoma" w:hAnsi="Tahoma" w:cs="Tahoma"/>
          <w:b/>
          <w:bCs/>
          <w:vanish/>
          <w:sz w:val="20"/>
          <w:szCs w:val="20"/>
        </w:rPr>
      </w:pPr>
    </w:p>
    <w:p w14:paraId="73210E07" w14:textId="77777777" w:rsidR="00A83A8E" w:rsidRPr="00DE583B" w:rsidRDefault="00A83A8E" w:rsidP="00A83A8E">
      <w:pPr>
        <w:pStyle w:val="affa"/>
        <w:numPr>
          <w:ilvl w:val="1"/>
          <w:numId w:val="1"/>
        </w:numPr>
        <w:tabs>
          <w:tab w:val="left" w:pos="9000"/>
        </w:tabs>
        <w:spacing w:before="120"/>
        <w:jc w:val="both"/>
        <w:rPr>
          <w:rFonts w:ascii="Tahoma" w:hAnsi="Tahoma" w:cs="Tahoma"/>
          <w:vanish/>
          <w:sz w:val="20"/>
          <w:szCs w:val="20"/>
        </w:rPr>
      </w:pPr>
    </w:p>
    <w:p w14:paraId="3FBE0B72" w14:textId="77777777" w:rsidR="00A83A8E" w:rsidRPr="00DE583B" w:rsidRDefault="00A83A8E" w:rsidP="00A83A8E">
      <w:pPr>
        <w:pStyle w:val="affa"/>
        <w:numPr>
          <w:ilvl w:val="1"/>
          <w:numId w:val="1"/>
        </w:numPr>
        <w:tabs>
          <w:tab w:val="left" w:pos="9000"/>
        </w:tabs>
        <w:spacing w:before="120"/>
        <w:jc w:val="both"/>
        <w:rPr>
          <w:rFonts w:ascii="Tahoma" w:hAnsi="Tahoma" w:cs="Tahoma"/>
          <w:vanish/>
          <w:sz w:val="20"/>
          <w:szCs w:val="20"/>
        </w:rPr>
      </w:pPr>
    </w:p>
    <w:p w14:paraId="7B50092D" w14:textId="04C2D6C5" w:rsidR="0064425A" w:rsidRPr="00DE583B" w:rsidRDefault="00BD1676" w:rsidP="00DE583B">
      <w:pPr>
        <w:pStyle w:val="a0"/>
        <w:numPr>
          <w:ilvl w:val="0"/>
          <w:numId w:val="0"/>
        </w:numPr>
        <w:ind w:left="360" w:hanging="360"/>
        <w:rPr>
          <w:rFonts w:ascii="Tahoma" w:hAnsi="Tahoma" w:cs="Tahoma"/>
        </w:rPr>
      </w:pPr>
      <w:r>
        <w:rPr>
          <w:rFonts w:ascii="Tahoma" w:hAnsi="Tahoma"/>
        </w:rPr>
        <w:t>4. Grounds and procedure for termination of obligations under the Contract</w:t>
      </w:r>
    </w:p>
    <w:p w14:paraId="487CFE14" w14:textId="6B352BC7" w:rsidR="0064425A" w:rsidRPr="00737041" w:rsidRDefault="00FF7A9B" w:rsidP="00737041">
      <w:pPr>
        <w:pStyle w:val="a1"/>
        <w:numPr>
          <w:ilvl w:val="1"/>
          <w:numId w:val="34"/>
        </w:numPr>
        <w:tabs>
          <w:tab w:val="num" w:pos="993"/>
        </w:tabs>
        <w:spacing w:before="240" w:after="120"/>
        <w:jc w:val="left"/>
        <w:rPr>
          <w:rFonts w:ascii="Tahoma" w:hAnsi="Tahoma" w:cs="Tahoma"/>
        </w:rPr>
      </w:pPr>
      <w:r>
        <w:rPr>
          <w:rFonts w:ascii="Tahoma" w:hAnsi="Tahoma"/>
        </w:rPr>
        <w:t xml:space="preserve"> Obligations under the Contract are terminated in full upon due performance thereof.</w:t>
      </w:r>
    </w:p>
    <w:p w14:paraId="7E2C337B" w14:textId="35BE490C" w:rsidR="0064425A" w:rsidRPr="00DE583B" w:rsidRDefault="00FF7A9B" w:rsidP="00DE583B">
      <w:pPr>
        <w:pStyle w:val="a1"/>
        <w:tabs>
          <w:tab w:val="num" w:pos="2127"/>
        </w:tabs>
        <w:spacing w:after="120"/>
        <w:ind w:left="851" w:hanging="425"/>
        <w:rPr>
          <w:rFonts w:ascii="Tahoma" w:hAnsi="Tahoma" w:cs="Tahoma"/>
        </w:rPr>
      </w:pPr>
      <w:r>
        <w:rPr>
          <w:rFonts w:ascii="Tahoma" w:hAnsi="Tahoma"/>
        </w:rPr>
        <w:t xml:space="preserve"> A party’s obligations under the Contract will be terminated prior to the final settlement by </w:t>
      </w:r>
      <w:proofErr w:type="gramStart"/>
      <w:r>
        <w:rPr>
          <w:rFonts w:ascii="Tahoma" w:hAnsi="Tahoma"/>
        </w:rPr>
        <w:t>entering into</w:t>
      </w:r>
      <w:proofErr w:type="gramEnd"/>
      <w:r>
        <w:rPr>
          <w:rFonts w:ascii="Tahoma" w:hAnsi="Tahoma"/>
        </w:rPr>
        <w:t xml:space="preserve"> an offsetting Contract with the same Contract code (designation), subject to the procedures and time frames set forth in the Clearing Rules.</w:t>
      </w:r>
    </w:p>
    <w:p w14:paraId="00BFFD4F" w14:textId="5E26E4D2" w:rsidR="0064425A" w:rsidRPr="001633B0" w:rsidRDefault="006D5208" w:rsidP="00DE583B">
      <w:pPr>
        <w:pStyle w:val="a1"/>
        <w:tabs>
          <w:tab w:val="clear" w:pos="9000"/>
          <w:tab w:val="num" w:pos="2127"/>
        </w:tabs>
        <w:spacing w:after="120"/>
        <w:ind w:left="851" w:hanging="425"/>
        <w:rPr>
          <w:rFonts w:ascii="Tahoma" w:hAnsi="Tahoma" w:cs="Tahoma"/>
        </w:rPr>
      </w:pPr>
      <w:r>
        <w:rPr>
          <w:rFonts w:ascii="Tahoma" w:hAnsi="Tahoma"/>
        </w:rPr>
        <w:t xml:space="preserve"> Obligations under the Contract may be terminated on other grounds provided for in the Clearing Rules, in accordance with the procedures set forth thereof.</w:t>
      </w:r>
    </w:p>
    <w:p w14:paraId="15252D8D" w14:textId="77777777" w:rsidR="001633B0" w:rsidRPr="00DE583B" w:rsidRDefault="001633B0" w:rsidP="001633B0">
      <w:pPr>
        <w:pStyle w:val="a0"/>
        <w:numPr>
          <w:ilvl w:val="0"/>
          <w:numId w:val="0"/>
        </w:numPr>
        <w:ind w:left="360"/>
      </w:pPr>
    </w:p>
    <w:p w14:paraId="60656A7B" w14:textId="77777777" w:rsidR="0064425A" w:rsidRPr="00DE583B" w:rsidRDefault="0064425A" w:rsidP="00DE583B">
      <w:pPr>
        <w:pStyle w:val="a0"/>
        <w:spacing w:after="120"/>
        <w:ind w:left="284" w:hanging="284"/>
        <w:jc w:val="left"/>
        <w:rPr>
          <w:rFonts w:ascii="Tahoma" w:hAnsi="Tahoma" w:cs="Tahoma"/>
        </w:rPr>
      </w:pPr>
      <w:r>
        <w:rPr>
          <w:rFonts w:ascii="Tahoma" w:hAnsi="Tahoma"/>
        </w:rPr>
        <w:lastRenderedPageBreak/>
        <w:t>Liability of the parties for failure to perform the obligations under the Contract</w:t>
      </w:r>
    </w:p>
    <w:p w14:paraId="2DB2E606" w14:textId="6634AAA8" w:rsidR="00F457B4" w:rsidRDefault="006D5208" w:rsidP="00DE583B">
      <w:pPr>
        <w:pStyle w:val="a1"/>
        <w:tabs>
          <w:tab w:val="num" w:pos="851"/>
        </w:tabs>
        <w:spacing w:before="240" w:after="120"/>
        <w:ind w:left="851" w:hanging="425"/>
        <w:rPr>
          <w:rFonts w:ascii="Tahoma" w:hAnsi="Tahoma" w:cs="Tahoma"/>
        </w:rPr>
      </w:pPr>
      <w:r>
        <w:rPr>
          <w:rFonts w:ascii="Tahoma" w:hAnsi="Tahoma"/>
        </w:rPr>
        <w:t xml:space="preserve"> Parties to the Contract are liable for non-performance or improper performance of their obligations under the Contract, as provided for in Russian law, Trading Rules and Clearing Rules. </w:t>
      </w:r>
    </w:p>
    <w:p w14:paraId="068DE0A7" w14:textId="77777777" w:rsidR="00111C26" w:rsidRPr="00593E6D" w:rsidRDefault="00111C26" w:rsidP="00111C26">
      <w:pPr>
        <w:pStyle w:val="a0"/>
        <w:numPr>
          <w:ilvl w:val="0"/>
          <w:numId w:val="1"/>
        </w:numPr>
        <w:tabs>
          <w:tab w:val="clear" w:pos="360"/>
          <w:tab w:val="clear" w:pos="9000"/>
          <w:tab w:val="num" w:pos="284"/>
        </w:tabs>
        <w:spacing w:before="120"/>
        <w:ind w:left="284" w:right="0" w:hanging="284"/>
        <w:rPr>
          <w:rFonts w:ascii="Tahoma" w:hAnsi="Tahoma" w:cs="Tahoma"/>
        </w:rPr>
      </w:pPr>
      <w:r>
        <w:rPr>
          <w:rFonts w:ascii="Tahoma" w:hAnsi="Tahoma"/>
        </w:rPr>
        <w:t>Special provisions</w:t>
      </w:r>
    </w:p>
    <w:p w14:paraId="0BF01A4C" w14:textId="0F59148B" w:rsidR="00111C26" w:rsidRPr="00593E6D" w:rsidRDefault="00111C26" w:rsidP="00EA5285">
      <w:pPr>
        <w:pStyle w:val="a1"/>
        <w:numPr>
          <w:ilvl w:val="1"/>
          <w:numId w:val="1"/>
        </w:numPr>
        <w:tabs>
          <w:tab w:val="clear" w:pos="786"/>
          <w:tab w:val="clear" w:pos="9000"/>
          <w:tab w:val="num" w:pos="851"/>
        </w:tabs>
        <w:ind w:left="851" w:hanging="425"/>
        <w:rPr>
          <w:rFonts w:ascii="Tahoma" w:hAnsi="Tahoma" w:cs="Tahoma"/>
        </w:rPr>
      </w:pPr>
      <w:bookmarkStart w:id="1" w:name="_Ref214193958"/>
      <w:r>
        <w:rPr>
          <w:rFonts w:ascii="Tahoma" w:hAnsi="Tahoma"/>
        </w:rPr>
        <w:t>In the event of circumstances that lead to a material change in the settlement terms for the Contract stipulated in the Specification, including in case of suspension/termination of trading in the Contract, the Exchange shall have the right, upon agreement with the Clearing Centre, to take one or more of the following decisions:</w:t>
      </w:r>
      <w:bookmarkEnd w:id="1"/>
    </w:p>
    <w:p w14:paraId="152D8EDC" w14:textId="77777777" w:rsidR="00111C26" w:rsidRPr="00593E6D" w:rsidRDefault="00111C26" w:rsidP="00EA5285">
      <w:pPr>
        <w:pStyle w:val="10"/>
        <w:numPr>
          <w:ilvl w:val="2"/>
          <w:numId w:val="1"/>
        </w:numPr>
        <w:tabs>
          <w:tab w:val="clear" w:pos="720"/>
          <w:tab w:val="clear" w:pos="1418"/>
          <w:tab w:val="clear" w:pos="9000"/>
          <w:tab w:val="num" w:pos="993"/>
          <w:tab w:val="num" w:pos="1135"/>
        </w:tabs>
        <w:ind w:left="1135" w:hanging="283"/>
        <w:rPr>
          <w:rFonts w:ascii="Tahoma" w:hAnsi="Tahoma" w:cs="Tahoma"/>
        </w:rPr>
      </w:pPr>
      <w:r>
        <w:rPr>
          <w:rFonts w:ascii="Tahoma" w:hAnsi="Tahoma"/>
        </w:rPr>
        <w:t xml:space="preserve">change the last trading date for the Contract, </w:t>
      </w:r>
    </w:p>
    <w:p w14:paraId="0FCE38B6" w14:textId="77777777" w:rsidR="00111C26" w:rsidRPr="00593E6D" w:rsidRDefault="00111C26" w:rsidP="00EA5285">
      <w:pPr>
        <w:pStyle w:val="10"/>
        <w:numPr>
          <w:ilvl w:val="2"/>
          <w:numId w:val="1"/>
        </w:numPr>
        <w:tabs>
          <w:tab w:val="clear" w:pos="720"/>
          <w:tab w:val="clear" w:pos="1418"/>
          <w:tab w:val="clear" w:pos="9000"/>
          <w:tab w:val="num" w:pos="993"/>
          <w:tab w:val="num" w:pos="1135"/>
        </w:tabs>
        <w:spacing w:before="0"/>
        <w:ind w:left="1135" w:hanging="283"/>
        <w:rPr>
          <w:rFonts w:ascii="Tahoma" w:hAnsi="Tahoma" w:cs="Tahoma"/>
        </w:rPr>
      </w:pPr>
      <w:r>
        <w:rPr>
          <w:rFonts w:ascii="Tahoma" w:hAnsi="Tahoma"/>
        </w:rPr>
        <w:t xml:space="preserve">change the settlement date for the Contract, </w:t>
      </w:r>
    </w:p>
    <w:p w14:paraId="756246BA" w14:textId="77777777" w:rsidR="00111C26" w:rsidRPr="00593E6D" w:rsidRDefault="00111C26" w:rsidP="00EA5285">
      <w:pPr>
        <w:pStyle w:val="10"/>
        <w:numPr>
          <w:ilvl w:val="2"/>
          <w:numId w:val="1"/>
        </w:numPr>
        <w:tabs>
          <w:tab w:val="clear" w:pos="720"/>
          <w:tab w:val="clear" w:pos="1418"/>
          <w:tab w:val="clear" w:pos="9000"/>
          <w:tab w:val="num" w:pos="2552"/>
        </w:tabs>
        <w:spacing w:before="0"/>
        <w:ind w:left="1418" w:hanging="566"/>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564038A4" w14:textId="77777777" w:rsidR="00111C26" w:rsidRPr="00593E6D" w:rsidRDefault="00111C26" w:rsidP="00EA5285">
      <w:pPr>
        <w:pStyle w:val="10"/>
        <w:numPr>
          <w:ilvl w:val="2"/>
          <w:numId w:val="1"/>
        </w:numPr>
        <w:tabs>
          <w:tab w:val="clear" w:pos="720"/>
          <w:tab w:val="clear" w:pos="1418"/>
          <w:tab w:val="clear" w:pos="9000"/>
          <w:tab w:val="num" w:pos="993"/>
          <w:tab w:val="num" w:pos="1135"/>
        </w:tabs>
        <w:spacing w:before="0"/>
        <w:ind w:left="1135" w:hanging="283"/>
        <w:rPr>
          <w:rFonts w:ascii="Tahoma" w:hAnsi="Tahoma" w:cs="Tahoma"/>
        </w:rPr>
      </w:pPr>
      <w:r>
        <w:rPr>
          <w:rFonts w:ascii="Tahoma" w:hAnsi="Tahoma"/>
        </w:rPr>
        <w:t>undertake other actions provided for in the Trading Rules.</w:t>
      </w:r>
    </w:p>
    <w:p w14:paraId="78C9DB25" w14:textId="77777777" w:rsidR="00111C26" w:rsidRPr="00593E6D" w:rsidRDefault="00111C26" w:rsidP="00EA5285">
      <w:pPr>
        <w:pStyle w:val="a1"/>
        <w:numPr>
          <w:ilvl w:val="1"/>
          <w:numId w:val="1"/>
        </w:numPr>
        <w:tabs>
          <w:tab w:val="clear" w:pos="786"/>
          <w:tab w:val="clear" w:pos="9000"/>
        </w:tabs>
        <w:ind w:left="851" w:hanging="425"/>
        <w:rPr>
          <w:rFonts w:ascii="Tahoma" w:hAnsi="Tahoma" w:cs="Tahoma"/>
        </w:rPr>
      </w:pPr>
      <w:r>
        <w:rPr>
          <w:rFonts w:ascii="Tahoma" w:hAnsi="Tahoma"/>
        </w:rPr>
        <w:t xml:space="preserve">The Exchange shall be entitled upon agreement with the Clearing Centre to change the date of the last trading day and/or the settlement date for the Contract with a certain </w:t>
      </w:r>
      <w:proofErr w:type="gramStart"/>
      <w:r>
        <w:rPr>
          <w:rFonts w:ascii="Tahoma" w:hAnsi="Tahoma"/>
        </w:rPr>
        <w:t>code, or</w:t>
      </w:r>
      <w:proofErr w:type="gramEnd"/>
      <w:r>
        <w:rPr>
          <w:rFonts w:ascii="Tahoma" w:hAnsi="Tahoma"/>
        </w:rPr>
        <w:t xml:space="preserve"> take any other decision(s) provided by section 6.1 of the Specification, if in accordance with the decision of the state body of the Russian Federation the last trading day for the Contract is announced to be a non-business day.</w:t>
      </w:r>
    </w:p>
    <w:p w14:paraId="72E90609" w14:textId="77777777" w:rsidR="00111C26" w:rsidRPr="00593E6D" w:rsidRDefault="00111C26" w:rsidP="00EA5285">
      <w:pPr>
        <w:pStyle w:val="a1"/>
        <w:numPr>
          <w:ilvl w:val="1"/>
          <w:numId w:val="1"/>
        </w:numPr>
        <w:tabs>
          <w:tab w:val="clear" w:pos="786"/>
          <w:tab w:val="clear" w:pos="9000"/>
        </w:tabs>
        <w:spacing w:after="60"/>
        <w:ind w:left="851" w:hanging="425"/>
        <w:rPr>
          <w:rFonts w:ascii="Tahoma" w:hAnsi="Tahoma" w:cs="Tahoma"/>
        </w:rPr>
      </w:pPr>
      <w:r>
        <w:rPr>
          <w:rFonts w:ascii="Tahoma" w:hAnsi="Tahoma"/>
        </w:rPr>
        <w:t xml:space="preserve">Information on the decision(s) taken by the Exchange under clauses 6.1 and/or 6.2 above shall be communicated to the Trading Members by its publication on the Exchange website not less than 3 (three) Trading Days prior to the effective date of the respective decision(s). In case the grounds for decisions provided by clauses 6.1 and/or 6.2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7099812D" w14:textId="77777777" w:rsidR="00111C26" w:rsidRPr="00593E6D" w:rsidRDefault="00111C26" w:rsidP="00EA5285">
      <w:pPr>
        <w:pStyle w:val="a1"/>
        <w:numPr>
          <w:ilvl w:val="1"/>
          <w:numId w:val="1"/>
        </w:numPr>
        <w:tabs>
          <w:tab w:val="clear" w:pos="786"/>
          <w:tab w:val="clear" w:pos="9000"/>
        </w:tabs>
        <w:ind w:left="851" w:hanging="425"/>
        <w:rPr>
          <w:rFonts w:ascii="Tahoma" w:hAnsi="Tahoma" w:cs="Tahoma"/>
        </w:rPr>
      </w:pPr>
      <w:r>
        <w:rPr>
          <w:rFonts w:ascii="Tahoma" w:hAnsi="Tahoma"/>
        </w:rPr>
        <w:t xml:space="preserve">Unless otherwise provided by the Exchange, from the moment of entry into effect of the decision(s) adopted by the Exchange under sections 6.1 and/or 6.2 above, the terms of existing Contracts previously executed are deemed to have been changed accordingly. </w:t>
      </w:r>
    </w:p>
    <w:p w14:paraId="4BFD8991" w14:textId="1CA2F14F" w:rsidR="00111C26" w:rsidRPr="00593E6D" w:rsidRDefault="00111C26" w:rsidP="00EA5285">
      <w:pPr>
        <w:pStyle w:val="a1"/>
        <w:numPr>
          <w:ilvl w:val="1"/>
          <w:numId w:val="1"/>
        </w:numPr>
        <w:tabs>
          <w:tab w:val="clear" w:pos="786"/>
          <w:tab w:val="clear" w:pos="9000"/>
        </w:tabs>
        <w:ind w:left="851" w:hanging="425"/>
        <w:rPr>
          <w:rFonts w:ascii="Tahoma" w:hAnsi="Tahoma" w:cs="Tahoma"/>
        </w:rPr>
      </w:pPr>
      <w:proofErr w:type="gramStart"/>
      <w:r>
        <w:rPr>
          <w:rFonts w:ascii="Tahoma" w:hAnsi="Tahoma"/>
        </w:rPr>
        <w:t>In the event that</w:t>
      </w:r>
      <w:proofErr w:type="gramEnd"/>
      <w:r>
        <w:rPr>
          <w:rFonts w:ascii="Tahoma" w:hAnsi="Tahoma"/>
        </w:rPr>
        <w:t xml:space="preserve"> the RGBI ceases to meet the requirements of the Bank of Russia for the underlying asset of a derivative contract, the terms and conditions of the obligations under the previously executed Contracts shall not be altered. </w:t>
      </w:r>
    </w:p>
    <w:p w14:paraId="58936102" w14:textId="77777777" w:rsidR="00111C26" w:rsidRPr="00593E6D" w:rsidRDefault="00111C26" w:rsidP="00111C26">
      <w:pPr>
        <w:pStyle w:val="a0"/>
        <w:numPr>
          <w:ilvl w:val="0"/>
          <w:numId w:val="1"/>
        </w:numPr>
        <w:shd w:val="clear" w:color="auto" w:fill="FFFFFF"/>
        <w:tabs>
          <w:tab w:val="clear" w:pos="360"/>
          <w:tab w:val="clear" w:pos="9000"/>
          <w:tab w:val="num" w:pos="284"/>
        </w:tabs>
        <w:ind w:left="284" w:right="0" w:hanging="284"/>
        <w:rPr>
          <w:rFonts w:ascii="Tahoma" w:hAnsi="Tahoma" w:cs="Tahoma"/>
        </w:rPr>
      </w:pPr>
      <w:r>
        <w:rPr>
          <w:rFonts w:ascii="Tahoma" w:hAnsi="Tahoma"/>
        </w:rPr>
        <w:t>Amendments and Supplements to the Specification</w:t>
      </w:r>
    </w:p>
    <w:p w14:paraId="28FD61B2" w14:textId="77777777" w:rsidR="00111C26" w:rsidRPr="00593E6D" w:rsidRDefault="00111C26" w:rsidP="00EA5285">
      <w:pPr>
        <w:pStyle w:val="a1"/>
        <w:numPr>
          <w:ilvl w:val="1"/>
          <w:numId w:val="1"/>
        </w:numPr>
        <w:shd w:val="clear" w:color="auto" w:fill="FFFFFF"/>
        <w:tabs>
          <w:tab w:val="clear" w:pos="786"/>
          <w:tab w:val="clear" w:pos="9000"/>
          <w:tab w:val="num" w:pos="851"/>
        </w:tabs>
        <w:spacing w:before="240"/>
        <w:ind w:left="851" w:hanging="425"/>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1B99A695" w14:textId="3B545BAC" w:rsidR="00111C26" w:rsidRPr="00593E6D" w:rsidRDefault="00111C26" w:rsidP="00EA5285">
      <w:pPr>
        <w:pStyle w:val="a1"/>
        <w:numPr>
          <w:ilvl w:val="1"/>
          <w:numId w:val="1"/>
        </w:numPr>
        <w:shd w:val="clear" w:color="auto" w:fill="FFFFFF"/>
        <w:tabs>
          <w:tab w:val="clear" w:pos="786"/>
          <w:tab w:val="clear" w:pos="9000"/>
          <w:tab w:val="num" w:pos="851"/>
        </w:tabs>
        <w:ind w:left="851" w:hanging="425"/>
        <w:rPr>
          <w:rFonts w:ascii="Tahoma" w:hAnsi="Tahoma" w:cs="Tahoma"/>
        </w:rPr>
      </w:pPr>
      <w:r>
        <w:rPr>
          <w:rFonts w:ascii="Tahoma" w:hAnsi="Tahoma"/>
        </w:rPr>
        <w:t xml:space="preserve">Amendments and supplements hereto go into force </w:t>
      </w:r>
      <w:proofErr w:type="gramStart"/>
      <w:r>
        <w:rPr>
          <w:rFonts w:ascii="Tahoma" w:hAnsi="Tahoma"/>
        </w:rPr>
        <w:t>at the moment</w:t>
      </w:r>
      <w:proofErr w:type="gramEnd"/>
      <w:r>
        <w:rPr>
          <w:rFonts w:ascii="Tahoma" w:hAnsi="Tahoma"/>
        </w:rPr>
        <w:t xml:space="preserve"> the Exchange puts into effect the updated Specification, containing such amendments and supplements.</w:t>
      </w:r>
    </w:p>
    <w:p w14:paraId="70986F74" w14:textId="77777777" w:rsidR="00111C26" w:rsidRPr="00593E6D" w:rsidRDefault="00111C26" w:rsidP="00EA5285">
      <w:pPr>
        <w:pStyle w:val="a1"/>
        <w:numPr>
          <w:ilvl w:val="1"/>
          <w:numId w:val="1"/>
        </w:numPr>
        <w:shd w:val="clear" w:color="auto" w:fill="FFFFFF"/>
        <w:tabs>
          <w:tab w:val="clear" w:pos="786"/>
          <w:tab w:val="clear" w:pos="9000"/>
          <w:tab w:val="num" w:pos="851"/>
        </w:tabs>
        <w:ind w:left="851" w:hanging="425"/>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22F8A05D" w14:textId="77777777" w:rsidR="00111C26" w:rsidRPr="00593E6D" w:rsidRDefault="00111C26" w:rsidP="00EA5285">
      <w:pPr>
        <w:pStyle w:val="a1"/>
        <w:numPr>
          <w:ilvl w:val="1"/>
          <w:numId w:val="1"/>
        </w:numPr>
        <w:shd w:val="clear" w:color="auto" w:fill="FFFFFF"/>
        <w:tabs>
          <w:tab w:val="clear" w:pos="786"/>
          <w:tab w:val="clear" w:pos="9000"/>
          <w:tab w:val="num" w:pos="851"/>
        </w:tabs>
        <w:ind w:left="851" w:hanging="425"/>
        <w:rPr>
          <w:rFonts w:ascii="Tahoma" w:hAnsi="Tahoma" w:cs="Tahoma"/>
        </w:rPr>
      </w:pPr>
      <w:r>
        <w:rPr>
          <w:rFonts w:ascii="Tahoma" w:hAnsi="Tahoma"/>
        </w:rPr>
        <w:t>Unless otherwise decided by the Exchange, as soon as any amendments and supplements to the Specification come into force, the terms of existing Contracts previously executed are deemed to have been amended or supplemented accordingly.</w:t>
      </w:r>
    </w:p>
    <w:p w14:paraId="217AD718" w14:textId="722EC023" w:rsidR="00166D3D" w:rsidRPr="00DE583B" w:rsidRDefault="00166D3D" w:rsidP="00111C26">
      <w:pPr>
        <w:pStyle w:val="a1"/>
        <w:numPr>
          <w:ilvl w:val="0"/>
          <w:numId w:val="0"/>
        </w:numPr>
        <w:tabs>
          <w:tab w:val="clear" w:pos="9000"/>
          <w:tab w:val="num" w:pos="851"/>
        </w:tabs>
        <w:spacing w:before="0" w:after="60"/>
        <w:ind w:left="851"/>
        <w:rPr>
          <w:rFonts w:ascii="Tahoma" w:hAnsi="Tahoma" w:cs="Tahoma"/>
        </w:rPr>
      </w:pPr>
    </w:p>
    <w:sectPr w:rsidR="00166D3D" w:rsidRPr="00DE583B" w:rsidSect="006965D8">
      <w:headerReference w:type="default" r:id="rId12"/>
      <w:footerReference w:type="even" r:id="rId13"/>
      <w:footerReference w:type="default" r:id="rId14"/>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F98DC" w14:textId="77777777" w:rsidR="009139E3" w:rsidRDefault="009139E3" w:rsidP="002F7E61">
      <w:r>
        <w:separator/>
      </w:r>
    </w:p>
  </w:endnote>
  <w:endnote w:type="continuationSeparator" w:id="0">
    <w:p w14:paraId="2660EC18" w14:textId="77777777" w:rsidR="009139E3" w:rsidRDefault="009139E3" w:rsidP="002F7E61">
      <w:r>
        <w:continuationSeparator/>
      </w:r>
    </w:p>
  </w:endnote>
  <w:endnote w:type="continuationNotice" w:id="1">
    <w:p w14:paraId="22BF3F42" w14:textId="77777777" w:rsidR="009139E3" w:rsidRDefault="00913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7A938" w14:textId="77777777" w:rsidR="00DD7AFE" w:rsidRDefault="009E545E" w:rsidP="00463EDB">
    <w:pPr>
      <w:pStyle w:val="af2"/>
      <w:framePr w:wrap="around" w:vAnchor="text" w:hAnchor="margin" w:xAlign="right" w:y="1"/>
      <w:rPr>
        <w:rStyle w:val="af4"/>
      </w:rPr>
    </w:pPr>
    <w:r>
      <w:rPr>
        <w:rStyle w:val="af4"/>
      </w:rPr>
      <w:fldChar w:fldCharType="begin"/>
    </w:r>
    <w:r w:rsidR="00DD7AFE">
      <w:rPr>
        <w:rStyle w:val="af4"/>
      </w:rPr>
      <w:instrText xml:space="preserve">PAGE  </w:instrText>
    </w:r>
    <w:r>
      <w:rPr>
        <w:rStyle w:val="af4"/>
      </w:rPr>
      <w:fldChar w:fldCharType="end"/>
    </w:r>
  </w:p>
  <w:p w14:paraId="4813C846" w14:textId="77777777" w:rsidR="00DD7AFE" w:rsidRDefault="00DD7AFE" w:rsidP="00463EDB">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6DF65" w14:textId="77777777" w:rsidR="00DD7AFE" w:rsidRPr="003768A8" w:rsidRDefault="009E545E" w:rsidP="00463EDB">
    <w:pPr>
      <w:pStyle w:val="af2"/>
      <w:framePr w:wrap="around" w:vAnchor="text" w:hAnchor="margin" w:xAlign="right" w:y="1"/>
      <w:rPr>
        <w:rStyle w:val="af4"/>
        <w:rFonts w:ascii="Tahoma" w:hAnsi="Tahoma" w:cs="Tahoma"/>
        <w:sz w:val="20"/>
        <w:szCs w:val="22"/>
      </w:rPr>
    </w:pPr>
    <w:r w:rsidRPr="003768A8">
      <w:rPr>
        <w:rStyle w:val="af4"/>
        <w:rFonts w:ascii="Tahoma" w:hAnsi="Tahoma" w:cs="Tahoma"/>
        <w:sz w:val="20"/>
      </w:rPr>
      <w:fldChar w:fldCharType="begin"/>
    </w:r>
    <w:r w:rsidR="00DD7AFE" w:rsidRPr="003768A8">
      <w:rPr>
        <w:rStyle w:val="af4"/>
        <w:rFonts w:ascii="Tahoma" w:hAnsi="Tahoma" w:cs="Tahoma"/>
        <w:sz w:val="20"/>
      </w:rPr>
      <w:instrText xml:space="preserve">PAGE  </w:instrText>
    </w:r>
    <w:r w:rsidRPr="003768A8">
      <w:rPr>
        <w:rStyle w:val="af4"/>
        <w:rFonts w:ascii="Tahoma" w:hAnsi="Tahoma" w:cs="Tahoma"/>
        <w:sz w:val="20"/>
      </w:rPr>
      <w:fldChar w:fldCharType="separate"/>
    </w:r>
    <w:r w:rsidR="00292B50">
      <w:rPr>
        <w:rStyle w:val="af4"/>
        <w:rFonts w:ascii="Tahoma" w:hAnsi="Tahoma" w:cs="Tahoma"/>
        <w:sz w:val="20"/>
      </w:rPr>
      <w:t>1</w:t>
    </w:r>
    <w:r w:rsidRPr="003768A8">
      <w:rPr>
        <w:rStyle w:val="af4"/>
        <w:rFonts w:ascii="Tahoma" w:hAnsi="Tahoma" w:cs="Tahoma"/>
        <w:sz w:val="20"/>
      </w:rPr>
      <w:fldChar w:fldCharType="end"/>
    </w:r>
  </w:p>
  <w:p w14:paraId="06E50BAC" w14:textId="77777777" w:rsidR="00DD7AFE" w:rsidRDefault="00DD7AFE" w:rsidP="00463EDB">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9CBFD" w14:textId="77777777" w:rsidR="009139E3" w:rsidRDefault="009139E3" w:rsidP="002F7E61">
      <w:r>
        <w:separator/>
      </w:r>
    </w:p>
  </w:footnote>
  <w:footnote w:type="continuationSeparator" w:id="0">
    <w:p w14:paraId="48F14672" w14:textId="77777777" w:rsidR="009139E3" w:rsidRDefault="009139E3" w:rsidP="002F7E61">
      <w:r>
        <w:continuationSeparator/>
      </w:r>
    </w:p>
  </w:footnote>
  <w:footnote w:type="continuationNotice" w:id="1">
    <w:p w14:paraId="06BC5638" w14:textId="77777777" w:rsidR="009139E3" w:rsidRDefault="00913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1AD2" w14:textId="2FA3C032" w:rsidR="00311491" w:rsidRPr="00700AAD" w:rsidRDefault="001633B0" w:rsidP="001633B0">
    <w:pPr>
      <w:pStyle w:val="af6"/>
      <w:rPr>
        <w:rFonts w:ascii="Tahoma" w:hAnsi="Tahoma" w:cs="Tahoma"/>
        <w:b/>
        <w:sz w:val="20"/>
        <w:szCs w:val="20"/>
      </w:rPr>
    </w:pPr>
    <w:r>
      <w:rPr>
        <w:rFonts w:ascii="Tahoma" w:hAnsi="Tahoma"/>
        <w:b/>
        <w:sz w:val="20"/>
      </w:rPr>
      <w:t xml:space="preserve">Russian Government Bond </w:t>
    </w:r>
    <w:r w:rsidR="00311491">
      <w:rPr>
        <w:rFonts w:ascii="Tahoma" w:hAnsi="Tahoma"/>
        <w:b/>
        <w:sz w:val="20"/>
      </w:rPr>
      <w:t xml:space="preserve">Index </w:t>
    </w:r>
    <w:r>
      <w:rPr>
        <w:rFonts w:ascii="Tahoma" w:hAnsi="Tahoma"/>
        <w:b/>
        <w:sz w:val="20"/>
      </w:rPr>
      <w:t xml:space="preserve">(RGBI) </w:t>
    </w:r>
    <w:r w:rsidR="00311491">
      <w:rPr>
        <w:rFonts w:ascii="Tahoma" w:hAnsi="Tahoma"/>
        <w:b/>
        <w:sz w:val="20"/>
      </w:rPr>
      <w:t>Futures contract specification</w:t>
    </w:r>
  </w:p>
  <w:p w14:paraId="3A67C866" w14:textId="6338F417" w:rsidR="00311491" w:rsidRPr="00737041" w:rsidRDefault="00311491" w:rsidP="00311491">
    <w:pPr>
      <w:pStyle w:val="af6"/>
      <w:pBdr>
        <w:bottom w:val="single" w:sz="12" w:space="1" w:color="auto"/>
      </w:pBdr>
      <w:jc w:val="right"/>
      <w:rPr>
        <w:rFonts w:ascii="Tahoma" w:hAnsi="Tahoma" w:cs="Tahoma"/>
        <w:b/>
        <w:sz w:val="20"/>
        <w:szCs w:val="20"/>
      </w:rPr>
    </w:pPr>
  </w:p>
  <w:p w14:paraId="7A9EB3CD" w14:textId="77777777" w:rsidR="00DD7AFE" w:rsidRPr="00B2571E" w:rsidRDefault="00DD7AFE" w:rsidP="007E575F">
    <w:pPr>
      <w:pStyle w:val="af6"/>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E2203"/>
    <w:multiLevelType w:val="hybridMultilevel"/>
    <w:tmpl w:val="095EAF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069D76AF"/>
    <w:multiLevelType w:val="multilevel"/>
    <w:tmpl w:val="D95647E8"/>
    <w:lvl w:ilvl="0">
      <w:start w:val="1"/>
      <w:numFmt w:val="decimal"/>
      <w:pStyle w:val="a"/>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6"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8" w15:restartNumberingAfterBreak="0">
    <w:nsid w:val="2AA12332"/>
    <w:multiLevelType w:val="multilevel"/>
    <w:tmpl w:val="1EB6A2FA"/>
    <w:lvl w:ilvl="0">
      <w:start w:val="1"/>
      <w:numFmt w:val="decimal"/>
      <w:lvlText w:val="РАЗДЕЛ %1."/>
      <w:lvlJc w:val="left"/>
      <w:pPr>
        <w:tabs>
          <w:tab w:val="num" w:pos="360"/>
        </w:tabs>
        <w:ind w:left="-720" w:hanging="360"/>
      </w:pPr>
      <w:rPr>
        <w:rFonts w:hint="default"/>
      </w:rPr>
    </w:lvl>
    <w:lvl w:ilvl="1">
      <w:start w:val="1"/>
      <w:numFmt w:val="decimal"/>
      <w:lvlText w:val="%1.%2."/>
      <w:lvlJc w:val="left"/>
      <w:pPr>
        <w:tabs>
          <w:tab w:val="num" w:pos="1440"/>
        </w:tabs>
        <w:ind w:left="-288" w:hanging="432"/>
      </w:pPr>
      <w:rPr>
        <w:rFonts w:hint="default"/>
      </w:rPr>
    </w:lvl>
    <w:lvl w:ilvl="2">
      <w:start w:val="1"/>
      <w:numFmt w:val="decimal"/>
      <w:lvlRestart w:val="0"/>
      <w:lvlText w:val="Статья %3."/>
      <w:lvlJc w:val="left"/>
      <w:pPr>
        <w:tabs>
          <w:tab w:val="num" w:pos="720"/>
        </w:tabs>
        <w:ind w:left="14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num" w:pos="648"/>
        </w:tabs>
        <w:ind w:left="648" w:hanging="648"/>
      </w:pPr>
      <w:rPr>
        <w:rFonts w:hint="default"/>
      </w:rPr>
    </w:lvl>
    <w:lvl w:ilvl="4">
      <w:start w:val="1"/>
      <w:numFmt w:val="decimal"/>
      <w:lvlText w:val="%3.%4.%5."/>
      <w:lvlJc w:val="left"/>
      <w:pPr>
        <w:tabs>
          <w:tab w:val="num" w:pos="2052"/>
        </w:tabs>
        <w:ind w:left="2052" w:hanging="792"/>
      </w:pPr>
      <w:rPr>
        <w:rFonts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9" w15:restartNumberingAfterBreak="0">
    <w:nsid w:val="2D124F26"/>
    <w:multiLevelType w:val="hybridMultilevel"/>
    <w:tmpl w:val="4E22C8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AF2851"/>
    <w:multiLevelType w:val="multilevel"/>
    <w:tmpl w:val="D0F618A2"/>
    <w:lvl w:ilvl="0">
      <w:start w:val="2"/>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3A116BBF"/>
    <w:multiLevelType w:val="multilevel"/>
    <w:tmpl w:val="0E7638FE"/>
    <w:lvl w:ilvl="0">
      <w:start w:val="1"/>
      <w:numFmt w:val="decimal"/>
      <w:pStyle w:val="a0"/>
      <w:lvlText w:val="%1."/>
      <w:lvlJc w:val="left"/>
      <w:pPr>
        <w:tabs>
          <w:tab w:val="num" w:pos="360"/>
        </w:tabs>
        <w:ind w:left="360" w:hanging="360"/>
      </w:pPr>
      <w:rPr>
        <w:rFonts w:ascii="Tahoma" w:hAnsi="Tahoma" w:cs="Tahoma" w:hint="default"/>
        <w:b/>
        <w:bCs/>
      </w:rPr>
    </w:lvl>
    <w:lvl w:ilvl="1">
      <w:start w:val="1"/>
      <w:numFmt w:val="decimal"/>
      <w:pStyle w:val="a1"/>
      <w:lvlText w:val="%1.%2."/>
      <w:lvlJc w:val="left"/>
      <w:pPr>
        <w:tabs>
          <w:tab w:val="num" w:pos="786"/>
        </w:tabs>
        <w:ind w:left="786" w:hanging="360"/>
      </w:pPr>
      <w:rPr>
        <w:rFonts w:ascii="Tahoma" w:hAnsi="Tahoma" w:cs="Tahoma" w:hint="default"/>
      </w:rPr>
    </w:lvl>
    <w:lvl w:ilvl="2">
      <w:start w:val="1"/>
      <w:numFmt w:val="decimal"/>
      <w:pStyle w:val="10"/>
      <w:lvlText w:val="%1.%2.%3."/>
      <w:lvlJc w:val="left"/>
      <w:pPr>
        <w:tabs>
          <w:tab w:val="num" w:pos="720"/>
        </w:tabs>
        <w:ind w:left="720" w:hanging="720"/>
      </w:pPr>
      <w:rPr>
        <w:rFonts w:ascii="Tahoma" w:hAnsi="Tahoma" w:cs="Tahoma" w:hint="default"/>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2" w15:restartNumberingAfterBreak="0">
    <w:nsid w:val="44BB6E09"/>
    <w:multiLevelType w:val="multilevel"/>
    <w:tmpl w:val="573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46650"/>
    <w:multiLevelType w:val="hybridMultilevel"/>
    <w:tmpl w:val="D3668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B12803"/>
    <w:multiLevelType w:val="multilevel"/>
    <w:tmpl w:val="867A6F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7" w15:restartNumberingAfterBreak="0">
    <w:nsid w:val="5AEB3904"/>
    <w:multiLevelType w:val="hybridMultilevel"/>
    <w:tmpl w:val="17F0A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5CA31141"/>
    <w:multiLevelType w:val="hybridMultilevel"/>
    <w:tmpl w:val="309679D8"/>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20" w15:restartNumberingAfterBreak="0">
    <w:nsid w:val="63451B2D"/>
    <w:multiLevelType w:val="hybridMultilevel"/>
    <w:tmpl w:val="766EF0D0"/>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1" w15:restartNumberingAfterBreak="0">
    <w:nsid w:val="672D6EC0"/>
    <w:multiLevelType w:val="hybridMultilevel"/>
    <w:tmpl w:val="1918FD0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2" w15:restartNumberingAfterBreak="0">
    <w:nsid w:val="6874746F"/>
    <w:multiLevelType w:val="multilevel"/>
    <w:tmpl w:val="925E8A04"/>
    <w:lvl w:ilvl="0">
      <w:start w:val="1"/>
      <w:numFmt w:val="decimal"/>
      <w:pStyle w:val="a2"/>
      <w:lvlText w:val="Раздел %1."/>
      <w:lvlJc w:val="left"/>
      <w:pPr>
        <w:tabs>
          <w:tab w:val="num" w:pos="180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3" w15:restartNumberingAfterBreak="0">
    <w:nsid w:val="6F56152E"/>
    <w:multiLevelType w:val="hybridMultilevel"/>
    <w:tmpl w:val="852A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645FBD"/>
    <w:multiLevelType w:val="hybridMultilevel"/>
    <w:tmpl w:val="A002D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11"/>
    <w:lvlOverride w:ilvl="0">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 w:numId="8">
    <w:abstractNumId w:val="11"/>
  </w:num>
  <w:num w:numId="9">
    <w:abstractNumId w:val="14"/>
  </w:num>
  <w:num w:numId="10">
    <w:abstractNumId w:val="8"/>
  </w:num>
  <w:num w:numId="11">
    <w:abstractNumId w:val="12"/>
  </w:num>
  <w:num w:numId="12">
    <w:abstractNumId w:val="15"/>
  </w:num>
  <w:num w:numId="13">
    <w:abstractNumId w:val="7"/>
  </w:num>
  <w:num w:numId="14">
    <w:abstractNumId w:val="24"/>
  </w:num>
  <w:num w:numId="15">
    <w:abstractNumId w:val="9"/>
  </w:num>
  <w:num w:numId="16">
    <w:abstractNumId w:val="0"/>
  </w:num>
  <w:num w:numId="17">
    <w:abstractNumId w:val="21"/>
  </w:num>
  <w:num w:numId="18">
    <w:abstractNumId w:val="23"/>
  </w:num>
  <w:num w:numId="19">
    <w:abstractNumId w:val="19"/>
  </w:num>
  <w:num w:numId="20">
    <w:abstractNumId w:val="15"/>
  </w:num>
  <w:num w:numId="21">
    <w:abstractNumId w:val="18"/>
  </w:num>
  <w:num w:numId="22">
    <w:abstractNumId w:val="6"/>
  </w:num>
  <w:num w:numId="23">
    <w:abstractNumId w:val="2"/>
  </w:num>
  <w:num w:numId="24">
    <w:abstractNumId w:val="11"/>
    <w:lvlOverride w:ilvl="0">
      <w:startOverride w:val="2"/>
    </w:lvlOverride>
    <w:lvlOverride w:ilvl="1">
      <w:startOverride w:val="2"/>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1"/>
  </w:num>
  <w:num w:numId="28">
    <w:abstractNumId w:val="16"/>
  </w:num>
  <w:num w:numId="29">
    <w:abstractNumId w:val="20"/>
  </w:num>
  <w:num w:numId="30">
    <w:abstractNumId w:val="13"/>
  </w:num>
  <w:num w:numId="31">
    <w:abstractNumId w:val="17"/>
  </w:num>
  <w:num w:numId="32">
    <w:abstractNumId w:val="11"/>
  </w:num>
  <w:num w:numId="33">
    <w:abstractNumId w:val="4"/>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98"/>
    <w:rsid w:val="00000012"/>
    <w:rsid w:val="000062DB"/>
    <w:rsid w:val="00010D7A"/>
    <w:rsid w:val="000153CC"/>
    <w:rsid w:val="00017B4E"/>
    <w:rsid w:val="00017EC1"/>
    <w:rsid w:val="00022699"/>
    <w:rsid w:val="00023289"/>
    <w:rsid w:val="00034F8A"/>
    <w:rsid w:val="0003594B"/>
    <w:rsid w:val="00043B6D"/>
    <w:rsid w:val="000446D5"/>
    <w:rsid w:val="000558D1"/>
    <w:rsid w:val="00057B82"/>
    <w:rsid w:val="00066752"/>
    <w:rsid w:val="00066905"/>
    <w:rsid w:val="00070440"/>
    <w:rsid w:val="0009539C"/>
    <w:rsid w:val="000975C3"/>
    <w:rsid w:val="000A455D"/>
    <w:rsid w:val="000A7E81"/>
    <w:rsid w:val="000B7133"/>
    <w:rsid w:val="000C1F35"/>
    <w:rsid w:val="000E0906"/>
    <w:rsid w:val="000E7DDA"/>
    <w:rsid w:val="000F5F10"/>
    <w:rsid w:val="000F661C"/>
    <w:rsid w:val="00104433"/>
    <w:rsid w:val="001060B5"/>
    <w:rsid w:val="0010758D"/>
    <w:rsid w:val="00110E60"/>
    <w:rsid w:val="00111C26"/>
    <w:rsid w:val="00115554"/>
    <w:rsid w:val="001249B6"/>
    <w:rsid w:val="00125B93"/>
    <w:rsid w:val="001316FC"/>
    <w:rsid w:val="001449CC"/>
    <w:rsid w:val="00145BF6"/>
    <w:rsid w:val="001471A0"/>
    <w:rsid w:val="0014756D"/>
    <w:rsid w:val="001532A3"/>
    <w:rsid w:val="001633B0"/>
    <w:rsid w:val="00164C05"/>
    <w:rsid w:val="00166D3D"/>
    <w:rsid w:val="0017356C"/>
    <w:rsid w:val="001756FF"/>
    <w:rsid w:val="00181492"/>
    <w:rsid w:val="001820D3"/>
    <w:rsid w:val="001832FC"/>
    <w:rsid w:val="001834A6"/>
    <w:rsid w:val="00186372"/>
    <w:rsid w:val="00190D7C"/>
    <w:rsid w:val="00194758"/>
    <w:rsid w:val="001A59A5"/>
    <w:rsid w:val="001A5C5B"/>
    <w:rsid w:val="001A6A0B"/>
    <w:rsid w:val="001B3B57"/>
    <w:rsid w:val="001B6DBE"/>
    <w:rsid w:val="001C080F"/>
    <w:rsid w:val="001D5940"/>
    <w:rsid w:val="001E4FB2"/>
    <w:rsid w:val="001F0BE3"/>
    <w:rsid w:val="001F0ED6"/>
    <w:rsid w:val="001F50F3"/>
    <w:rsid w:val="001F740D"/>
    <w:rsid w:val="0020026C"/>
    <w:rsid w:val="00201C5E"/>
    <w:rsid w:val="002049BC"/>
    <w:rsid w:val="0020583C"/>
    <w:rsid w:val="00216A8E"/>
    <w:rsid w:val="00221EC5"/>
    <w:rsid w:val="0022349A"/>
    <w:rsid w:val="00223B64"/>
    <w:rsid w:val="00224B2C"/>
    <w:rsid w:val="00230645"/>
    <w:rsid w:val="00232B5C"/>
    <w:rsid w:val="00233E34"/>
    <w:rsid w:val="00235246"/>
    <w:rsid w:val="002367FD"/>
    <w:rsid w:val="00252D5C"/>
    <w:rsid w:val="0025441B"/>
    <w:rsid w:val="002549EE"/>
    <w:rsid w:val="00255B75"/>
    <w:rsid w:val="002569BE"/>
    <w:rsid w:val="00260AB5"/>
    <w:rsid w:val="00262409"/>
    <w:rsid w:val="00262FD8"/>
    <w:rsid w:val="00264705"/>
    <w:rsid w:val="00265B8A"/>
    <w:rsid w:val="00267657"/>
    <w:rsid w:val="00270428"/>
    <w:rsid w:val="00270BD3"/>
    <w:rsid w:val="0027302D"/>
    <w:rsid w:val="00273A72"/>
    <w:rsid w:val="00281ED7"/>
    <w:rsid w:val="00284041"/>
    <w:rsid w:val="002846A7"/>
    <w:rsid w:val="0028679C"/>
    <w:rsid w:val="00291D16"/>
    <w:rsid w:val="00292B50"/>
    <w:rsid w:val="00296FF2"/>
    <w:rsid w:val="002A4785"/>
    <w:rsid w:val="002A49BD"/>
    <w:rsid w:val="002B0777"/>
    <w:rsid w:val="002B17D9"/>
    <w:rsid w:val="002C13AD"/>
    <w:rsid w:val="002C21F3"/>
    <w:rsid w:val="002C4AA9"/>
    <w:rsid w:val="002D3444"/>
    <w:rsid w:val="002D72E7"/>
    <w:rsid w:val="002D7C30"/>
    <w:rsid w:val="002E33F0"/>
    <w:rsid w:val="002E3AAE"/>
    <w:rsid w:val="002E4B0E"/>
    <w:rsid w:val="002E5125"/>
    <w:rsid w:val="002E663F"/>
    <w:rsid w:val="002F0CE1"/>
    <w:rsid w:val="002F326E"/>
    <w:rsid w:val="002F6D11"/>
    <w:rsid w:val="002F7E61"/>
    <w:rsid w:val="002F7FA0"/>
    <w:rsid w:val="00302252"/>
    <w:rsid w:val="003042DA"/>
    <w:rsid w:val="003046E6"/>
    <w:rsid w:val="00305F03"/>
    <w:rsid w:val="00306FEF"/>
    <w:rsid w:val="00307888"/>
    <w:rsid w:val="00311491"/>
    <w:rsid w:val="003123ED"/>
    <w:rsid w:val="00313292"/>
    <w:rsid w:val="00314798"/>
    <w:rsid w:val="00315C4A"/>
    <w:rsid w:val="00326ED6"/>
    <w:rsid w:val="003300AF"/>
    <w:rsid w:val="00331D36"/>
    <w:rsid w:val="00333530"/>
    <w:rsid w:val="0033417E"/>
    <w:rsid w:val="00334D49"/>
    <w:rsid w:val="003468D4"/>
    <w:rsid w:val="0035128F"/>
    <w:rsid w:val="0035473B"/>
    <w:rsid w:val="00361216"/>
    <w:rsid w:val="00363074"/>
    <w:rsid w:val="003768A8"/>
    <w:rsid w:val="00376B0E"/>
    <w:rsid w:val="00383B57"/>
    <w:rsid w:val="00384736"/>
    <w:rsid w:val="003971C2"/>
    <w:rsid w:val="003A1EDB"/>
    <w:rsid w:val="003A4281"/>
    <w:rsid w:val="003A4FC3"/>
    <w:rsid w:val="003B57E3"/>
    <w:rsid w:val="003C3ACF"/>
    <w:rsid w:val="003C5B5E"/>
    <w:rsid w:val="003D11F4"/>
    <w:rsid w:val="003D3911"/>
    <w:rsid w:val="003D512B"/>
    <w:rsid w:val="003D5894"/>
    <w:rsid w:val="003D7413"/>
    <w:rsid w:val="003D747E"/>
    <w:rsid w:val="003E031C"/>
    <w:rsid w:val="003E03FA"/>
    <w:rsid w:val="003E0FC4"/>
    <w:rsid w:val="003E1A1C"/>
    <w:rsid w:val="003E217A"/>
    <w:rsid w:val="003E2297"/>
    <w:rsid w:val="003E340C"/>
    <w:rsid w:val="003E7B19"/>
    <w:rsid w:val="003F0702"/>
    <w:rsid w:val="003F38F8"/>
    <w:rsid w:val="0040429B"/>
    <w:rsid w:val="004046E4"/>
    <w:rsid w:val="00404DE6"/>
    <w:rsid w:val="00413554"/>
    <w:rsid w:val="004141A5"/>
    <w:rsid w:val="004147B7"/>
    <w:rsid w:val="00420EF8"/>
    <w:rsid w:val="00424533"/>
    <w:rsid w:val="00424B1E"/>
    <w:rsid w:val="00425ADD"/>
    <w:rsid w:val="00425B4C"/>
    <w:rsid w:val="00432CD4"/>
    <w:rsid w:val="00434D4A"/>
    <w:rsid w:val="004418AE"/>
    <w:rsid w:val="004424D4"/>
    <w:rsid w:val="00450C2D"/>
    <w:rsid w:val="00451CC0"/>
    <w:rsid w:val="004537E3"/>
    <w:rsid w:val="00453E92"/>
    <w:rsid w:val="004575B4"/>
    <w:rsid w:val="0046162E"/>
    <w:rsid w:val="00461F58"/>
    <w:rsid w:val="0046205E"/>
    <w:rsid w:val="004621CB"/>
    <w:rsid w:val="0046308E"/>
    <w:rsid w:val="00463EDB"/>
    <w:rsid w:val="00470614"/>
    <w:rsid w:val="00485C2C"/>
    <w:rsid w:val="00486CF5"/>
    <w:rsid w:val="00486F26"/>
    <w:rsid w:val="00492B21"/>
    <w:rsid w:val="00492EAD"/>
    <w:rsid w:val="004A0BD2"/>
    <w:rsid w:val="004A312F"/>
    <w:rsid w:val="004A562C"/>
    <w:rsid w:val="004A5646"/>
    <w:rsid w:val="004A7EAD"/>
    <w:rsid w:val="004B174E"/>
    <w:rsid w:val="004B2BA3"/>
    <w:rsid w:val="004C1638"/>
    <w:rsid w:val="004C7252"/>
    <w:rsid w:val="004C7FB8"/>
    <w:rsid w:val="004D066B"/>
    <w:rsid w:val="004D550B"/>
    <w:rsid w:val="004F6172"/>
    <w:rsid w:val="00507FA5"/>
    <w:rsid w:val="00514158"/>
    <w:rsid w:val="00514B1D"/>
    <w:rsid w:val="00522D80"/>
    <w:rsid w:val="00522ED5"/>
    <w:rsid w:val="005255C9"/>
    <w:rsid w:val="005302F6"/>
    <w:rsid w:val="00531693"/>
    <w:rsid w:val="005348CC"/>
    <w:rsid w:val="0053755D"/>
    <w:rsid w:val="00543907"/>
    <w:rsid w:val="00547387"/>
    <w:rsid w:val="0055027C"/>
    <w:rsid w:val="00550D12"/>
    <w:rsid w:val="00551143"/>
    <w:rsid w:val="00553236"/>
    <w:rsid w:val="00553790"/>
    <w:rsid w:val="005621E0"/>
    <w:rsid w:val="00563D8B"/>
    <w:rsid w:val="0056532D"/>
    <w:rsid w:val="00580773"/>
    <w:rsid w:val="00582610"/>
    <w:rsid w:val="00582968"/>
    <w:rsid w:val="0058638E"/>
    <w:rsid w:val="005905C4"/>
    <w:rsid w:val="00593CC5"/>
    <w:rsid w:val="0059529A"/>
    <w:rsid w:val="00596D9E"/>
    <w:rsid w:val="00597A3E"/>
    <w:rsid w:val="005A3213"/>
    <w:rsid w:val="005A58E2"/>
    <w:rsid w:val="005B1E6C"/>
    <w:rsid w:val="005B21DD"/>
    <w:rsid w:val="005B4377"/>
    <w:rsid w:val="005C70E2"/>
    <w:rsid w:val="005C7C41"/>
    <w:rsid w:val="005D490C"/>
    <w:rsid w:val="005E1F01"/>
    <w:rsid w:val="005E3B88"/>
    <w:rsid w:val="005E663F"/>
    <w:rsid w:val="005F0683"/>
    <w:rsid w:val="005F40F5"/>
    <w:rsid w:val="005F5736"/>
    <w:rsid w:val="00600519"/>
    <w:rsid w:val="0060081A"/>
    <w:rsid w:val="006022B8"/>
    <w:rsid w:val="00611E08"/>
    <w:rsid w:val="00622038"/>
    <w:rsid w:val="006361EB"/>
    <w:rsid w:val="0064149C"/>
    <w:rsid w:val="0064425A"/>
    <w:rsid w:val="00650E8C"/>
    <w:rsid w:val="00651BB4"/>
    <w:rsid w:val="00651DB0"/>
    <w:rsid w:val="00654B00"/>
    <w:rsid w:val="00657A13"/>
    <w:rsid w:val="00662F75"/>
    <w:rsid w:val="00663B5E"/>
    <w:rsid w:val="00664064"/>
    <w:rsid w:val="006673D9"/>
    <w:rsid w:val="00674DC9"/>
    <w:rsid w:val="00676C3C"/>
    <w:rsid w:val="00680CA1"/>
    <w:rsid w:val="006844D8"/>
    <w:rsid w:val="006867D2"/>
    <w:rsid w:val="00690E9B"/>
    <w:rsid w:val="006965D8"/>
    <w:rsid w:val="006A0DD9"/>
    <w:rsid w:val="006A37C8"/>
    <w:rsid w:val="006A6D3C"/>
    <w:rsid w:val="006B0BDD"/>
    <w:rsid w:val="006B5161"/>
    <w:rsid w:val="006B5D44"/>
    <w:rsid w:val="006C1BF1"/>
    <w:rsid w:val="006C1FE2"/>
    <w:rsid w:val="006C3685"/>
    <w:rsid w:val="006D0CC1"/>
    <w:rsid w:val="006D1F01"/>
    <w:rsid w:val="006D5208"/>
    <w:rsid w:val="006D5543"/>
    <w:rsid w:val="006E3E82"/>
    <w:rsid w:val="006E4896"/>
    <w:rsid w:val="006E4EC0"/>
    <w:rsid w:val="006F1090"/>
    <w:rsid w:val="006F6CE1"/>
    <w:rsid w:val="007028A9"/>
    <w:rsid w:val="007053DD"/>
    <w:rsid w:val="007075D3"/>
    <w:rsid w:val="00707E5F"/>
    <w:rsid w:val="00716203"/>
    <w:rsid w:val="00716C96"/>
    <w:rsid w:val="00721075"/>
    <w:rsid w:val="00724D5E"/>
    <w:rsid w:val="00730EE4"/>
    <w:rsid w:val="00733190"/>
    <w:rsid w:val="00737041"/>
    <w:rsid w:val="00737F89"/>
    <w:rsid w:val="007452E4"/>
    <w:rsid w:val="007466B3"/>
    <w:rsid w:val="007470D2"/>
    <w:rsid w:val="00750004"/>
    <w:rsid w:val="00750B98"/>
    <w:rsid w:val="00752B7D"/>
    <w:rsid w:val="00767AC3"/>
    <w:rsid w:val="00767E85"/>
    <w:rsid w:val="007734F2"/>
    <w:rsid w:val="00774359"/>
    <w:rsid w:val="00775C23"/>
    <w:rsid w:val="00776F72"/>
    <w:rsid w:val="00781054"/>
    <w:rsid w:val="0078221A"/>
    <w:rsid w:val="00782ABD"/>
    <w:rsid w:val="0078739B"/>
    <w:rsid w:val="007875BB"/>
    <w:rsid w:val="00791BE4"/>
    <w:rsid w:val="007949AF"/>
    <w:rsid w:val="0079685C"/>
    <w:rsid w:val="007A042F"/>
    <w:rsid w:val="007A1CDD"/>
    <w:rsid w:val="007A377C"/>
    <w:rsid w:val="007A63DF"/>
    <w:rsid w:val="007A7AFD"/>
    <w:rsid w:val="007B17D0"/>
    <w:rsid w:val="007B1A21"/>
    <w:rsid w:val="007B58D6"/>
    <w:rsid w:val="007C0CC9"/>
    <w:rsid w:val="007C1CBB"/>
    <w:rsid w:val="007C1DAF"/>
    <w:rsid w:val="007C5A0E"/>
    <w:rsid w:val="007C645D"/>
    <w:rsid w:val="007C64C9"/>
    <w:rsid w:val="007C6DF1"/>
    <w:rsid w:val="007D3CB1"/>
    <w:rsid w:val="007D49E9"/>
    <w:rsid w:val="007D4BCE"/>
    <w:rsid w:val="007D6E9D"/>
    <w:rsid w:val="007D7969"/>
    <w:rsid w:val="007E1A61"/>
    <w:rsid w:val="007E1FEA"/>
    <w:rsid w:val="007E3BB6"/>
    <w:rsid w:val="007E575F"/>
    <w:rsid w:val="007E7793"/>
    <w:rsid w:val="007F493A"/>
    <w:rsid w:val="007F591A"/>
    <w:rsid w:val="007F5D3F"/>
    <w:rsid w:val="008001CE"/>
    <w:rsid w:val="00805B81"/>
    <w:rsid w:val="00805BF7"/>
    <w:rsid w:val="008064CB"/>
    <w:rsid w:val="00806EED"/>
    <w:rsid w:val="0081156F"/>
    <w:rsid w:val="00811A12"/>
    <w:rsid w:val="008136E3"/>
    <w:rsid w:val="008143AB"/>
    <w:rsid w:val="00817B6D"/>
    <w:rsid w:val="00821879"/>
    <w:rsid w:val="00822C96"/>
    <w:rsid w:val="00824EBC"/>
    <w:rsid w:val="00826DDE"/>
    <w:rsid w:val="00827C6F"/>
    <w:rsid w:val="00833489"/>
    <w:rsid w:val="00834DEE"/>
    <w:rsid w:val="0084307A"/>
    <w:rsid w:val="00852EC2"/>
    <w:rsid w:val="00857383"/>
    <w:rsid w:val="008608BA"/>
    <w:rsid w:val="00860EF4"/>
    <w:rsid w:val="0087444A"/>
    <w:rsid w:val="008755F6"/>
    <w:rsid w:val="00877AC2"/>
    <w:rsid w:val="00880C45"/>
    <w:rsid w:val="00885DFA"/>
    <w:rsid w:val="0088660D"/>
    <w:rsid w:val="0089026B"/>
    <w:rsid w:val="0089322F"/>
    <w:rsid w:val="00897165"/>
    <w:rsid w:val="008A3018"/>
    <w:rsid w:val="008A75D9"/>
    <w:rsid w:val="008B34AD"/>
    <w:rsid w:val="008C3CC8"/>
    <w:rsid w:val="008D0E47"/>
    <w:rsid w:val="008D1F57"/>
    <w:rsid w:val="008E3A59"/>
    <w:rsid w:val="008F335B"/>
    <w:rsid w:val="008F48E0"/>
    <w:rsid w:val="009026C7"/>
    <w:rsid w:val="009071B1"/>
    <w:rsid w:val="009072BC"/>
    <w:rsid w:val="00910492"/>
    <w:rsid w:val="00911BAC"/>
    <w:rsid w:val="009139E3"/>
    <w:rsid w:val="0092190B"/>
    <w:rsid w:val="00921CAE"/>
    <w:rsid w:val="009248D2"/>
    <w:rsid w:val="00925AE9"/>
    <w:rsid w:val="009313FD"/>
    <w:rsid w:val="009346F5"/>
    <w:rsid w:val="00936105"/>
    <w:rsid w:val="00940D28"/>
    <w:rsid w:val="009427A4"/>
    <w:rsid w:val="00945564"/>
    <w:rsid w:val="009457D2"/>
    <w:rsid w:val="00950E56"/>
    <w:rsid w:val="00951DE9"/>
    <w:rsid w:val="0096320D"/>
    <w:rsid w:val="00973BA8"/>
    <w:rsid w:val="00975626"/>
    <w:rsid w:val="00976483"/>
    <w:rsid w:val="0098108A"/>
    <w:rsid w:val="009855D7"/>
    <w:rsid w:val="009901DC"/>
    <w:rsid w:val="00994B6E"/>
    <w:rsid w:val="009A008B"/>
    <w:rsid w:val="009A3C9F"/>
    <w:rsid w:val="009A6045"/>
    <w:rsid w:val="009A749B"/>
    <w:rsid w:val="009A7E1A"/>
    <w:rsid w:val="009B49DA"/>
    <w:rsid w:val="009B5602"/>
    <w:rsid w:val="009C4B1D"/>
    <w:rsid w:val="009C61D5"/>
    <w:rsid w:val="009C7BDB"/>
    <w:rsid w:val="009D25C1"/>
    <w:rsid w:val="009D51FB"/>
    <w:rsid w:val="009D64A3"/>
    <w:rsid w:val="009E545E"/>
    <w:rsid w:val="009E6835"/>
    <w:rsid w:val="009F0FE1"/>
    <w:rsid w:val="009F3760"/>
    <w:rsid w:val="009F7D91"/>
    <w:rsid w:val="00A0231F"/>
    <w:rsid w:val="00A03A80"/>
    <w:rsid w:val="00A06387"/>
    <w:rsid w:val="00A06955"/>
    <w:rsid w:val="00A075A5"/>
    <w:rsid w:val="00A11BE3"/>
    <w:rsid w:val="00A17E7A"/>
    <w:rsid w:val="00A20C47"/>
    <w:rsid w:val="00A238E2"/>
    <w:rsid w:val="00A24FE4"/>
    <w:rsid w:val="00A27965"/>
    <w:rsid w:val="00A41532"/>
    <w:rsid w:val="00A41EAF"/>
    <w:rsid w:val="00A44B10"/>
    <w:rsid w:val="00A44ECB"/>
    <w:rsid w:val="00A44ED5"/>
    <w:rsid w:val="00A51167"/>
    <w:rsid w:val="00A52476"/>
    <w:rsid w:val="00A52C80"/>
    <w:rsid w:val="00A602E9"/>
    <w:rsid w:val="00A612AF"/>
    <w:rsid w:val="00A63790"/>
    <w:rsid w:val="00A64046"/>
    <w:rsid w:val="00A64750"/>
    <w:rsid w:val="00A67F21"/>
    <w:rsid w:val="00A739C8"/>
    <w:rsid w:val="00A74CF3"/>
    <w:rsid w:val="00A768FB"/>
    <w:rsid w:val="00A80E52"/>
    <w:rsid w:val="00A8101C"/>
    <w:rsid w:val="00A81DBB"/>
    <w:rsid w:val="00A830A2"/>
    <w:rsid w:val="00A83A8E"/>
    <w:rsid w:val="00A872E6"/>
    <w:rsid w:val="00A96B8D"/>
    <w:rsid w:val="00AA2327"/>
    <w:rsid w:val="00AA2B1B"/>
    <w:rsid w:val="00AB31E9"/>
    <w:rsid w:val="00AB484A"/>
    <w:rsid w:val="00AB580C"/>
    <w:rsid w:val="00AD4202"/>
    <w:rsid w:val="00AD5B75"/>
    <w:rsid w:val="00AE1F84"/>
    <w:rsid w:val="00AE2E0F"/>
    <w:rsid w:val="00AE3060"/>
    <w:rsid w:val="00AE6C58"/>
    <w:rsid w:val="00AF343D"/>
    <w:rsid w:val="00AF5766"/>
    <w:rsid w:val="00AF6013"/>
    <w:rsid w:val="00AF6E74"/>
    <w:rsid w:val="00B00889"/>
    <w:rsid w:val="00B0218B"/>
    <w:rsid w:val="00B02CB2"/>
    <w:rsid w:val="00B0550C"/>
    <w:rsid w:val="00B06CA8"/>
    <w:rsid w:val="00B0721D"/>
    <w:rsid w:val="00B07CDF"/>
    <w:rsid w:val="00B10062"/>
    <w:rsid w:val="00B126A3"/>
    <w:rsid w:val="00B12E93"/>
    <w:rsid w:val="00B172E9"/>
    <w:rsid w:val="00B20E87"/>
    <w:rsid w:val="00B23434"/>
    <w:rsid w:val="00B24D0B"/>
    <w:rsid w:val="00B2571E"/>
    <w:rsid w:val="00B41866"/>
    <w:rsid w:val="00B41CFC"/>
    <w:rsid w:val="00B42D8F"/>
    <w:rsid w:val="00B450F6"/>
    <w:rsid w:val="00B46ECD"/>
    <w:rsid w:val="00B471DD"/>
    <w:rsid w:val="00B511FE"/>
    <w:rsid w:val="00B5385D"/>
    <w:rsid w:val="00B54CFD"/>
    <w:rsid w:val="00B553A3"/>
    <w:rsid w:val="00B56B2E"/>
    <w:rsid w:val="00B6480C"/>
    <w:rsid w:val="00B74078"/>
    <w:rsid w:val="00B75A48"/>
    <w:rsid w:val="00B87E9A"/>
    <w:rsid w:val="00B9552A"/>
    <w:rsid w:val="00B95922"/>
    <w:rsid w:val="00B97884"/>
    <w:rsid w:val="00BA156B"/>
    <w:rsid w:val="00BB04DC"/>
    <w:rsid w:val="00BB0BA0"/>
    <w:rsid w:val="00BB10A5"/>
    <w:rsid w:val="00BB7919"/>
    <w:rsid w:val="00BC0999"/>
    <w:rsid w:val="00BC1EC9"/>
    <w:rsid w:val="00BD1676"/>
    <w:rsid w:val="00BD2026"/>
    <w:rsid w:val="00BD5C02"/>
    <w:rsid w:val="00BE350B"/>
    <w:rsid w:val="00BE6258"/>
    <w:rsid w:val="00BF2C4F"/>
    <w:rsid w:val="00BF3062"/>
    <w:rsid w:val="00C03FA8"/>
    <w:rsid w:val="00C052BD"/>
    <w:rsid w:val="00C061F1"/>
    <w:rsid w:val="00C12BA6"/>
    <w:rsid w:val="00C13EE6"/>
    <w:rsid w:val="00C151EC"/>
    <w:rsid w:val="00C16FA8"/>
    <w:rsid w:val="00C23146"/>
    <w:rsid w:val="00C35A70"/>
    <w:rsid w:val="00C3764B"/>
    <w:rsid w:val="00C41A6F"/>
    <w:rsid w:val="00C4285F"/>
    <w:rsid w:val="00C5247C"/>
    <w:rsid w:val="00C547E3"/>
    <w:rsid w:val="00C55CE5"/>
    <w:rsid w:val="00C5744C"/>
    <w:rsid w:val="00C602FF"/>
    <w:rsid w:val="00C61A94"/>
    <w:rsid w:val="00C825E8"/>
    <w:rsid w:val="00C82F73"/>
    <w:rsid w:val="00C83A77"/>
    <w:rsid w:val="00C84B26"/>
    <w:rsid w:val="00C858C3"/>
    <w:rsid w:val="00C85D0A"/>
    <w:rsid w:val="00C91C90"/>
    <w:rsid w:val="00C920EF"/>
    <w:rsid w:val="00CA14FB"/>
    <w:rsid w:val="00CA1F12"/>
    <w:rsid w:val="00CA2FC2"/>
    <w:rsid w:val="00CA51BF"/>
    <w:rsid w:val="00CB1F53"/>
    <w:rsid w:val="00CB403D"/>
    <w:rsid w:val="00CB5DEA"/>
    <w:rsid w:val="00CB5E02"/>
    <w:rsid w:val="00CC4BAA"/>
    <w:rsid w:val="00CD2D54"/>
    <w:rsid w:val="00CD4662"/>
    <w:rsid w:val="00CD6A6E"/>
    <w:rsid w:val="00CE1880"/>
    <w:rsid w:val="00CE1BDE"/>
    <w:rsid w:val="00CE3DA7"/>
    <w:rsid w:val="00CE5C46"/>
    <w:rsid w:val="00CF3394"/>
    <w:rsid w:val="00D00AB2"/>
    <w:rsid w:val="00D02919"/>
    <w:rsid w:val="00D03B3F"/>
    <w:rsid w:val="00D042A5"/>
    <w:rsid w:val="00D0468D"/>
    <w:rsid w:val="00D053FC"/>
    <w:rsid w:val="00D06662"/>
    <w:rsid w:val="00D11188"/>
    <w:rsid w:val="00D11BC5"/>
    <w:rsid w:val="00D11D12"/>
    <w:rsid w:val="00D1224B"/>
    <w:rsid w:val="00D124C6"/>
    <w:rsid w:val="00D13DE1"/>
    <w:rsid w:val="00D201B2"/>
    <w:rsid w:val="00D228BC"/>
    <w:rsid w:val="00D25A36"/>
    <w:rsid w:val="00D2693B"/>
    <w:rsid w:val="00D26C10"/>
    <w:rsid w:val="00D32025"/>
    <w:rsid w:val="00D32EAC"/>
    <w:rsid w:val="00D34501"/>
    <w:rsid w:val="00D3572F"/>
    <w:rsid w:val="00D41DF5"/>
    <w:rsid w:val="00D506CA"/>
    <w:rsid w:val="00D51E35"/>
    <w:rsid w:val="00D52C2D"/>
    <w:rsid w:val="00D5602E"/>
    <w:rsid w:val="00D57447"/>
    <w:rsid w:val="00D57BC8"/>
    <w:rsid w:val="00D837C1"/>
    <w:rsid w:val="00D87A59"/>
    <w:rsid w:val="00D907C0"/>
    <w:rsid w:val="00D90C85"/>
    <w:rsid w:val="00D9372E"/>
    <w:rsid w:val="00D94BB8"/>
    <w:rsid w:val="00DA7ECF"/>
    <w:rsid w:val="00DB0C83"/>
    <w:rsid w:val="00DB552C"/>
    <w:rsid w:val="00DB58D8"/>
    <w:rsid w:val="00DB5AE1"/>
    <w:rsid w:val="00DB5C60"/>
    <w:rsid w:val="00DB7F24"/>
    <w:rsid w:val="00DC1DB8"/>
    <w:rsid w:val="00DC7782"/>
    <w:rsid w:val="00DD05E7"/>
    <w:rsid w:val="00DD1590"/>
    <w:rsid w:val="00DD449D"/>
    <w:rsid w:val="00DD68D7"/>
    <w:rsid w:val="00DD7AFE"/>
    <w:rsid w:val="00DE1D9D"/>
    <w:rsid w:val="00DE2B3A"/>
    <w:rsid w:val="00DE2DB5"/>
    <w:rsid w:val="00DE41AA"/>
    <w:rsid w:val="00DE583B"/>
    <w:rsid w:val="00DE698B"/>
    <w:rsid w:val="00DF07F3"/>
    <w:rsid w:val="00DF3D45"/>
    <w:rsid w:val="00E213C9"/>
    <w:rsid w:val="00E218EA"/>
    <w:rsid w:val="00E23222"/>
    <w:rsid w:val="00E23223"/>
    <w:rsid w:val="00E2490F"/>
    <w:rsid w:val="00E27CC4"/>
    <w:rsid w:val="00E31149"/>
    <w:rsid w:val="00E32F93"/>
    <w:rsid w:val="00E35CBE"/>
    <w:rsid w:val="00E44F31"/>
    <w:rsid w:val="00E5656D"/>
    <w:rsid w:val="00E56AA8"/>
    <w:rsid w:val="00E56F63"/>
    <w:rsid w:val="00E61331"/>
    <w:rsid w:val="00E628B7"/>
    <w:rsid w:val="00E62F9E"/>
    <w:rsid w:val="00E6328D"/>
    <w:rsid w:val="00E667D5"/>
    <w:rsid w:val="00E74335"/>
    <w:rsid w:val="00E7568D"/>
    <w:rsid w:val="00E77143"/>
    <w:rsid w:val="00E81C80"/>
    <w:rsid w:val="00E857F8"/>
    <w:rsid w:val="00E86AD6"/>
    <w:rsid w:val="00E93720"/>
    <w:rsid w:val="00E9438A"/>
    <w:rsid w:val="00EA4926"/>
    <w:rsid w:val="00EA5285"/>
    <w:rsid w:val="00EB26B4"/>
    <w:rsid w:val="00EB2E35"/>
    <w:rsid w:val="00EB4542"/>
    <w:rsid w:val="00EB496D"/>
    <w:rsid w:val="00EB56FB"/>
    <w:rsid w:val="00EB7817"/>
    <w:rsid w:val="00EB7819"/>
    <w:rsid w:val="00EC3318"/>
    <w:rsid w:val="00ED15C0"/>
    <w:rsid w:val="00ED25EF"/>
    <w:rsid w:val="00ED4E10"/>
    <w:rsid w:val="00ED6054"/>
    <w:rsid w:val="00ED759C"/>
    <w:rsid w:val="00EE0434"/>
    <w:rsid w:val="00EE0FDE"/>
    <w:rsid w:val="00EE126F"/>
    <w:rsid w:val="00EE4A76"/>
    <w:rsid w:val="00EE5118"/>
    <w:rsid w:val="00EF0A14"/>
    <w:rsid w:val="00EF297A"/>
    <w:rsid w:val="00EF6144"/>
    <w:rsid w:val="00F01C3E"/>
    <w:rsid w:val="00F028E4"/>
    <w:rsid w:val="00F02DBC"/>
    <w:rsid w:val="00F073F2"/>
    <w:rsid w:val="00F104E4"/>
    <w:rsid w:val="00F10A44"/>
    <w:rsid w:val="00F115C2"/>
    <w:rsid w:val="00F11C0C"/>
    <w:rsid w:val="00F22C33"/>
    <w:rsid w:val="00F24B67"/>
    <w:rsid w:val="00F31360"/>
    <w:rsid w:val="00F3285C"/>
    <w:rsid w:val="00F40A05"/>
    <w:rsid w:val="00F457B4"/>
    <w:rsid w:val="00F45CF4"/>
    <w:rsid w:val="00F45EB6"/>
    <w:rsid w:val="00F4648D"/>
    <w:rsid w:val="00F4784D"/>
    <w:rsid w:val="00F54893"/>
    <w:rsid w:val="00F63266"/>
    <w:rsid w:val="00F66D01"/>
    <w:rsid w:val="00F70E33"/>
    <w:rsid w:val="00F7369A"/>
    <w:rsid w:val="00F77702"/>
    <w:rsid w:val="00F803EE"/>
    <w:rsid w:val="00F81A78"/>
    <w:rsid w:val="00F85333"/>
    <w:rsid w:val="00F90A3D"/>
    <w:rsid w:val="00F94273"/>
    <w:rsid w:val="00F95531"/>
    <w:rsid w:val="00F97024"/>
    <w:rsid w:val="00FA1D40"/>
    <w:rsid w:val="00FA36DD"/>
    <w:rsid w:val="00FB2E92"/>
    <w:rsid w:val="00FB50B2"/>
    <w:rsid w:val="00FC0976"/>
    <w:rsid w:val="00FC1D9E"/>
    <w:rsid w:val="00FC21AD"/>
    <w:rsid w:val="00FC5CA0"/>
    <w:rsid w:val="00FC6467"/>
    <w:rsid w:val="00FC6554"/>
    <w:rsid w:val="00FD1351"/>
    <w:rsid w:val="00FF4039"/>
    <w:rsid w:val="00FF7A9B"/>
    <w:rsid w:val="00FF7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9AF56B"/>
  <w15:chartTrackingRefBased/>
  <w15:docId w15:val="{E71318D0-482A-46A7-AA3D-A8D5611F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14798"/>
    <w:pPr>
      <w:autoSpaceDE w:val="0"/>
      <w:autoSpaceDN w:val="0"/>
    </w:pPr>
    <w:rPr>
      <w:rFonts w:ascii="Times New Roman" w:eastAsia="Times New Roman" w:hAnsi="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nhideWhenUsed/>
    <w:rsid w:val="00314798"/>
    <w:rPr>
      <w:color w:val="0000FF"/>
      <w:u w:val="single"/>
    </w:rPr>
  </w:style>
  <w:style w:type="paragraph" w:styleId="a8">
    <w:name w:val="Normal (Web)"/>
    <w:basedOn w:val="a3"/>
    <w:unhideWhenUsed/>
    <w:rsid w:val="00314798"/>
    <w:pPr>
      <w:spacing w:before="100" w:after="100"/>
    </w:pPr>
    <w:rPr>
      <w:color w:val="000000"/>
      <w:sz w:val="20"/>
      <w:szCs w:val="20"/>
    </w:rPr>
  </w:style>
  <w:style w:type="paragraph" w:styleId="a9">
    <w:name w:val="Body Text"/>
    <w:basedOn w:val="a3"/>
    <w:link w:val="aa"/>
    <w:unhideWhenUsed/>
    <w:rsid w:val="00314798"/>
    <w:pPr>
      <w:spacing w:after="120"/>
    </w:pPr>
  </w:style>
  <w:style w:type="character" w:customStyle="1" w:styleId="aa">
    <w:name w:val="Основной текст Знак"/>
    <w:link w:val="a9"/>
    <w:semiHidden/>
    <w:rsid w:val="00314798"/>
    <w:rPr>
      <w:rFonts w:ascii="Times New Roman" w:eastAsia="Times New Roman" w:hAnsi="Times New Roman" w:cs="Times New Roman"/>
      <w:sz w:val="24"/>
      <w:szCs w:val="24"/>
      <w:lang w:eastAsia="ru-RU"/>
    </w:rPr>
  </w:style>
  <w:style w:type="paragraph" w:customStyle="1" w:styleId="a1">
    <w:name w:val="Подпункт спецификации"/>
    <w:basedOn w:val="ab"/>
    <w:rsid w:val="00314798"/>
    <w:pPr>
      <w:numPr>
        <w:ilvl w:val="1"/>
        <w:numId w:val="8"/>
      </w:numPr>
      <w:tabs>
        <w:tab w:val="left" w:pos="9000"/>
      </w:tabs>
      <w:spacing w:before="120" w:after="0"/>
      <w:jc w:val="both"/>
    </w:pPr>
    <w:rPr>
      <w:rFonts w:ascii="Arial" w:hAnsi="Arial" w:cs="Arial"/>
      <w:sz w:val="20"/>
      <w:szCs w:val="20"/>
    </w:rPr>
  </w:style>
  <w:style w:type="paragraph" w:customStyle="1" w:styleId="a0">
    <w:name w:val="Пункт спецификации"/>
    <w:basedOn w:val="a3"/>
    <w:rsid w:val="00314798"/>
    <w:pPr>
      <w:numPr>
        <w:numId w:val="8"/>
      </w:numPr>
      <w:tabs>
        <w:tab w:val="left" w:pos="9000"/>
      </w:tabs>
      <w:spacing w:before="240"/>
      <w:ind w:right="57"/>
      <w:jc w:val="both"/>
    </w:pPr>
    <w:rPr>
      <w:rFonts w:ascii="Arial" w:hAnsi="Arial" w:cs="Arial"/>
      <w:b/>
      <w:bCs/>
      <w:sz w:val="20"/>
      <w:szCs w:val="20"/>
    </w:rPr>
  </w:style>
  <w:style w:type="paragraph" w:customStyle="1" w:styleId="ac">
    <w:name w:val="Текст таб"/>
    <w:basedOn w:val="a3"/>
    <w:rsid w:val="00314798"/>
    <w:pPr>
      <w:tabs>
        <w:tab w:val="left" w:pos="9000"/>
      </w:tabs>
      <w:spacing w:before="60"/>
      <w:ind w:left="851" w:right="58"/>
      <w:jc w:val="both"/>
    </w:pPr>
    <w:rPr>
      <w:rFonts w:ascii="Arial" w:hAnsi="Arial" w:cs="Arial"/>
      <w:sz w:val="20"/>
      <w:szCs w:val="20"/>
    </w:rPr>
  </w:style>
  <w:style w:type="paragraph" w:customStyle="1" w:styleId="Pointmark">
    <w:name w:val="Point (mark)"/>
    <w:rsid w:val="00314798"/>
    <w:pPr>
      <w:numPr>
        <w:numId w:val="2"/>
      </w:numPr>
      <w:autoSpaceDN w:val="0"/>
      <w:spacing w:before="60"/>
      <w:jc w:val="both"/>
    </w:pPr>
    <w:rPr>
      <w:rFonts w:ascii="Arial" w:eastAsia="Times New Roman" w:hAnsi="Arial" w:cs="Arial"/>
      <w:lang w:eastAsia="en-US"/>
    </w:rPr>
  </w:style>
  <w:style w:type="paragraph" w:customStyle="1" w:styleId="10">
    <w:name w:val="Подпункт спецификации 1"/>
    <w:basedOn w:val="a1"/>
    <w:rsid w:val="00314798"/>
    <w:pPr>
      <w:numPr>
        <w:ilvl w:val="2"/>
      </w:numPr>
      <w:tabs>
        <w:tab w:val="clear" w:pos="720"/>
        <w:tab w:val="num" w:pos="360"/>
        <w:tab w:val="num" w:pos="1418"/>
      </w:tabs>
      <w:ind w:left="1418" w:hanging="567"/>
    </w:pPr>
  </w:style>
  <w:style w:type="paragraph" w:styleId="ad">
    <w:name w:val="Plain Text"/>
    <w:basedOn w:val="ac"/>
    <w:link w:val="ae"/>
    <w:unhideWhenUsed/>
    <w:rsid w:val="00314798"/>
    <w:pPr>
      <w:ind w:left="0"/>
    </w:pPr>
  </w:style>
  <w:style w:type="character" w:customStyle="1" w:styleId="ae">
    <w:name w:val="Текст Знак"/>
    <w:link w:val="ad"/>
    <w:rsid w:val="00314798"/>
    <w:rPr>
      <w:rFonts w:ascii="Arial" w:eastAsia="Times New Roman" w:hAnsi="Arial" w:cs="Arial"/>
      <w:sz w:val="20"/>
      <w:szCs w:val="20"/>
      <w:lang w:val="en-GB" w:eastAsia="ru-RU"/>
    </w:rPr>
  </w:style>
  <w:style w:type="paragraph" w:styleId="ab">
    <w:name w:val="Body Text Indent"/>
    <w:basedOn w:val="a3"/>
    <w:link w:val="af"/>
    <w:unhideWhenUsed/>
    <w:rsid w:val="00314798"/>
    <w:pPr>
      <w:spacing w:after="120"/>
      <w:ind w:left="283"/>
    </w:pPr>
  </w:style>
  <w:style w:type="character" w:customStyle="1" w:styleId="af">
    <w:name w:val="Основной текст с отступом Знак"/>
    <w:link w:val="ab"/>
    <w:uiPriority w:val="99"/>
    <w:semiHidden/>
    <w:rsid w:val="00314798"/>
    <w:rPr>
      <w:rFonts w:ascii="Times New Roman" w:eastAsia="Times New Roman" w:hAnsi="Times New Roman" w:cs="Times New Roman"/>
      <w:sz w:val="24"/>
      <w:szCs w:val="24"/>
      <w:lang w:eastAsia="ru-RU"/>
    </w:rPr>
  </w:style>
  <w:style w:type="paragraph" w:styleId="af0">
    <w:name w:val="List Bullet"/>
    <w:basedOn w:val="a3"/>
    <w:autoRedefine/>
    <w:unhideWhenUsed/>
    <w:rsid w:val="00264705"/>
    <w:pPr>
      <w:ind w:left="708"/>
      <w:jc w:val="both"/>
    </w:pPr>
    <w:rPr>
      <w:rFonts w:ascii="Arial" w:hAnsi="Arial" w:cs="Arial"/>
      <w:sz w:val="20"/>
    </w:rPr>
  </w:style>
  <w:style w:type="paragraph" w:customStyle="1" w:styleId="Texttabtab">
    <w:name w:val="Text tab tab"/>
    <w:basedOn w:val="a3"/>
    <w:rsid w:val="00264705"/>
    <w:pPr>
      <w:autoSpaceDE/>
      <w:spacing w:before="60"/>
      <w:ind w:left="1134"/>
      <w:jc w:val="both"/>
    </w:pPr>
    <w:rPr>
      <w:rFonts w:ascii="Arial" w:hAnsi="Arial" w:cs="Arial"/>
      <w:iCs/>
      <w:sz w:val="20"/>
      <w:szCs w:val="20"/>
    </w:rPr>
  </w:style>
  <w:style w:type="paragraph" w:customStyle="1" w:styleId="a2">
    <w:name w:val="Раздел спецификации"/>
    <w:next w:val="a0"/>
    <w:rsid w:val="00264705"/>
    <w:pPr>
      <w:numPr>
        <w:numId w:val="4"/>
      </w:numPr>
      <w:tabs>
        <w:tab w:val="num" w:pos="709"/>
      </w:tabs>
      <w:autoSpaceDN w:val="0"/>
      <w:spacing w:before="240"/>
      <w:ind w:left="709" w:hanging="709"/>
      <w:jc w:val="both"/>
    </w:pPr>
    <w:rPr>
      <w:rFonts w:ascii="Arial" w:eastAsia="Times New Roman" w:hAnsi="Arial"/>
      <w:b/>
    </w:rPr>
  </w:style>
  <w:style w:type="character" w:customStyle="1" w:styleId="af1">
    <w:name w:val="Основной шрифт"/>
    <w:rsid w:val="002F7E61"/>
  </w:style>
  <w:style w:type="paragraph" w:styleId="af2">
    <w:name w:val="footer"/>
    <w:basedOn w:val="a3"/>
    <w:link w:val="af3"/>
    <w:rsid w:val="002F7E61"/>
    <w:pPr>
      <w:tabs>
        <w:tab w:val="center" w:pos="4153"/>
        <w:tab w:val="right" w:pos="8306"/>
      </w:tabs>
    </w:pPr>
  </w:style>
  <w:style w:type="character" w:customStyle="1" w:styleId="af3">
    <w:name w:val="Нижний колонтитул Знак"/>
    <w:link w:val="af2"/>
    <w:rsid w:val="002F7E61"/>
    <w:rPr>
      <w:rFonts w:ascii="Times New Roman" w:eastAsia="Times New Roman" w:hAnsi="Times New Roman" w:cs="Times New Roman"/>
      <w:sz w:val="24"/>
      <w:szCs w:val="24"/>
      <w:lang w:eastAsia="ru-RU"/>
    </w:rPr>
  </w:style>
  <w:style w:type="character" w:styleId="af4">
    <w:name w:val="page number"/>
    <w:basedOn w:val="a4"/>
    <w:rsid w:val="002F7E61"/>
  </w:style>
  <w:style w:type="paragraph" w:styleId="af5">
    <w:name w:val="Block Text"/>
    <w:basedOn w:val="a3"/>
    <w:rsid w:val="002F7E61"/>
    <w:pPr>
      <w:ind w:left="705" w:right="895" w:hanging="705"/>
    </w:pPr>
    <w:rPr>
      <w:rFonts w:ascii="Arial" w:hAnsi="Arial" w:cs="Arial"/>
      <w:sz w:val="20"/>
      <w:szCs w:val="20"/>
    </w:rPr>
  </w:style>
  <w:style w:type="paragraph" w:styleId="2">
    <w:name w:val="Body Text Indent 2"/>
    <w:basedOn w:val="a3"/>
    <w:link w:val="20"/>
    <w:rsid w:val="002F7E61"/>
    <w:pPr>
      <w:ind w:firstLine="705"/>
    </w:pPr>
    <w:rPr>
      <w:rFonts w:ascii="Arial" w:hAnsi="Arial" w:cs="Arial"/>
      <w:sz w:val="20"/>
      <w:szCs w:val="20"/>
    </w:rPr>
  </w:style>
  <w:style w:type="character" w:customStyle="1" w:styleId="20">
    <w:name w:val="Основной текст с отступом 2 Знак"/>
    <w:link w:val="2"/>
    <w:rsid w:val="002F7E61"/>
    <w:rPr>
      <w:rFonts w:ascii="Arial" w:eastAsia="Times New Roman" w:hAnsi="Arial" w:cs="Arial"/>
      <w:sz w:val="20"/>
      <w:szCs w:val="20"/>
      <w:lang w:eastAsia="ru-RU"/>
    </w:rPr>
  </w:style>
  <w:style w:type="paragraph" w:styleId="3">
    <w:name w:val="Body Text Indent 3"/>
    <w:basedOn w:val="a3"/>
    <w:link w:val="30"/>
    <w:rsid w:val="002F7E61"/>
    <w:pPr>
      <w:tabs>
        <w:tab w:val="num" w:pos="1440"/>
      </w:tabs>
      <w:ind w:left="1440" w:hanging="720"/>
    </w:pPr>
    <w:rPr>
      <w:rFonts w:ascii="Arial" w:hAnsi="Arial" w:cs="Arial"/>
      <w:sz w:val="20"/>
      <w:szCs w:val="20"/>
    </w:rPr>
  </w:style>
  <w:style w:type="character" w:customStyle="1" w:styleId="30">
    <w:name w:val="Основной текст с отступом 3 Знак"/>
    <w:link w:val="3"/>
    <w:rsid w:val="002F7E61"/>
    <w:rPr>
      <w:rFonts w:ascii="Arial" w:eastAsia="Times New Roman" w:hAnsi="Arial" w:cs="Arial"/>
      <w:sz w:val="20"/>
      <w:szCs w:val="20"/>
      <w:lang w:eastAsia="ru-RU"/>
    </w:rPr>
  </w:style>
  <w:style w:type="paragraph" w:customStyle="1" w:styleId="Headright">
    <w:name w:val="Head right"/>
    <w:basedOn w:val="a3"/>
    <w:rsid w:val="002F7E61"/>
    <w:pPr>
      <w:ind w:right="-694"/>
      <w:jc w:val="right"/>
    </w:pPr>
    <w:rPr>
      <w:rFonts w:ascii="Arial" w:hAnsi="Arial" w:cs="Arial"/>
      <w:sz w:val="20"/>
      <w:szCs w:val="20"/>
    </w:rPr>
  </w:style>
  <w:style w:type="paragraph" w:customStyle="1" w:styleId="a">
    <w:name w:val="Пункт регламента"/>
    <w:basedOn w:val="a8"/>
    <w:rsid w:val="002F7E61"/>
    <w:pPr>
      <w:numPr>
        <w:numId w:val="5"/>
      </w:numPr>
      <w:tabs>
        <w:tab w:val="left" w:pos="9000"/>
      </w:tabs>
      <w:spacing w:before="240" w:after="0"/>
      <w:ind w:right="58" w:hanging="720"/>
      <w:jc w:val="both"/>
    </w:pPr>
    <w:rPr>
      <w:color w:val="auto"/>
    </w:rPr>
  </w:style>
  <w:style w:type="paragraph" w:styleId="af6">
    <w:name w:val="header"/>
    <w:basedOn w:val="a3"/>
    <w:link w:val="af7"/>
    <w:rsid w:val="002F7E61"/>
    <w:pPr>
      <w:tabs>
        <w:tab w:val="center" w:pos="4844"/>
        <w:tab w:val="right" w:pos="9689"/>
      </w:tabs>
    </w:pPr>
  </w:style>
  <w:style w:type="character" w:customStyle="1" w:styleId="af7">
    <w:name w:val="Верхний колонтитул Знак"/>
    <w:link w:val="af6"/>
    <w:rsid w:val="002F7E61"/>
    <w:rPr>
      <w:rFonts w:ascii="Times New Roman" w:eastAsia="Times New Roman" w:hAnsi="Times New Roman" w:cs="Times New Roman"/>
      <w:sz w:val="24"/>
      <w:szCs w:val="24"/>
      <w:lang w:eastAsia="ru-RU"/>
    </w:rPr>
  </w:style>
  <w:style w:type="paragraph" w:customStyle="1" w:styleId="ConsNormal">
    <w:name w:val="ConsNormal"/>
    <w:rsid w:val="002F7E61"/>
    <w:pPr>
      <w:autoSpaceDE w:val="0"/>
      <w:autoSpaceDN w:val="0"/>
      <w:adjustRightInd w:val="0"/>
      <w:ind w:right="19772" w:firstLine="720"/>
    </w:pPr>
    <w:rPr>
      <w:rFonts w:ascii="Arial" w:eastAsia="Times New Roman" w:hAnsi="Arial" w:cs="Arial"/>
    </w:rPr>
  </w:style>
  <w:style w:type="paragraph" w:customStyle="1" w:styleId="BalloonText1">
    <w:name w:val="Balloon Text1"/>
    <w:basedOn w:val="a3"/>
    <w:rsid w:val="002F7E61"/>
    <w:rPr>
      <w:rFonts w:ascii="Tahoma" w:hAnsi="Tahoma" w:cs="Tahoma"/>
      <w:sz w:val="16"/>
      <w:szCs w:val="16"/>
    </w:rPr>
  </w:style>
  <w:style w:type="paragraph" w:customStyle="1" w:styleId="af8">
    <w:name w:val="Пункт"/>
    <w:basedOn w:val="a8"/>
    <w:rsid w:val="002F7E61"/>
    <w:pPr>
      <w:tabs>
        <w:tab w:val="num" w:pos="720"/>
      </w:tabs>
      <w:spacing w:before="120" w:after="0"/>
      <w:ind w:left="720" w:right="6" w:hanging="720"/>
      <w:jc w:val="both"/>
    </w:pPr>
    <w:rPr>
      <w:rFonts w:ascii="Arial CYR" w:eastAsia="Arial Unicode MS" w:hAnsi="Arial CYR"/>
    </w:rPr>
  </w:style>
  <w:style w:type="paragraph" w:customStyle="1" w:styleId="af9">
    <w:name w:val="Подпункт"/>
    <w:basedOn w:val="a8"/>
    <w:rsid w:val="002F7E61"/>
    <w:pPr>
      <w:tabs>
        <w:tab w:val="num" w:pos="1080"/>
      </w:tabs>
      <w:spacing w:before="60" w:after="0"/>
      <w:ind w:left="720" w:right="6" w:hanging="720"/>
      <w:jc w:val="both"/>
    </w:pPr>
    <w:rPr>
      <w:rFonts w:ascii="Arial CYR" w:eastAsia="Arial Unicode MS" w:hAnsi="Arial CYR"/>
    </w:rPr>
  </w:style>
  <w:style w:type="paragraph" w:customStyle="1" w:styleId="afa">
    <w:name w:val="Выдержка"/>
    <w:basedOn w:val="a9"/>
    <w:rsid w:val="002F7E61"/>
    <w:pPr>
      <w:tabs>
        <w:tab w:val="num" w:pos="540"/>
      </w:tabs>
      <w:autoSpaceDE/>
      <w:autoSpaceDN/>
      <w:spacing w:after="0"/>
      <w:ind w:left="1416"/>
      <w:jc w:val="both"/>
    </w:pPr>
    <w:rPr>
      <w:rFonts w:ascii="Arial" w:hAnsi="Arial" w:cs="Arial"/>
      <w:color w:val="000080"/>
      <w:sz w:val="20"/>
      <w:szCs w:val="20"/>
    </w:rPr>
  </w:style>
  <w:style w:type="paragraph" w:customStyle="1" w:styleId="ConsNonformat">
    <w:name w:val="ConsNonformat"/>
    <w:rsid w:val="002F7E61"/>
    <w:pPr>
      <w:autoSpaceDE w:val="0"/>
      <w:autoSpaceDN w:val="0"/>
      <w:adjustRightInd w:val="0"/>
      <w:ind w:right="19772"/>
    </w:pPr>
    <w:rPr>
      <w:rFonts w:ascii="Courier New" w:eastAsia="Times New Roman" w:hAnsi="Courier New" w:cs="Courier New"/>
      <w:lang w:eastAsia="en-US"/>
    </w:rPr>
  </w:style>
  <w:style w:type="paragraph" w:customStyle="1" w:styleId="ConsTitle">
    <w:name w:val="ConsTitle"/>
    <w:rsid w:val="002F7E61"/>
    <w:pPr>
      <w:autoSpaceDE w:val="0"/>
      <w:autoSpaceDN w:val="0"/>
      <w:adjustRightInd w:val="0"/>
      <w:ind w:right="19772"/>
    </w:pPr>
    <w:rPr>
      <w:rFonts w:ascii="Arial" w:eastAsia="Times New Roman" w:hAnsi="Arial" w:cs="Arial"/>
      <w:b/>
      <w:bCs/>
      <w:sz w:val="16"/>
      <w:szCs w:val="16"/>
      <w:lang w:eastAsia="en-US"/>
    </w:rPr>
  </w:style>
  <w:style w:type="paragraph" w:customStyle="1" w:styleId="ConsPlusNormal">
    <w:name w:val="ConsPlusNormal"/>
    <w:rsid w:val="002F7E61"/>
    <w:pPr>
      <w:autoSpaceDE w:val="0"/>
      <w:autoSpaceDN w:val="0"/>
      <w:adjustRightInd w:val="0"/>
      <w:ind w:left="1416" w:firstLine="2"/>
      <w:jc w:val="both"/>
    </w:pPr>
    <w:rPr>
      <w:rFonts w:ascii="Arial" w:eastAsia="Times New Roman" w:hAnsi="Arial" w:cs="Arial"/>
    </w:rPr>
  </w:style>
  <w:style w:type="paragraph" w:customStyle="1" w:styleId="ConsPlusNonformat">
    <w:name w:val="ConsPlusNonformat"/>
    <w:rsid w:val="002F7E61"/>
    <w:pPr>
      <w:autoSpaceDE w:val="0"/>
      <w:autoSpaceDN w:val="0"/>
      <w:adjustRightInd w:val="0"/>
    </w:pPr>
    <w:rPr>
      <w:rFonts w:ascii="Courier New" w:eastAsia="Times New Roman" w:hAnsi="Courier New" w:cs="Courier New"/>
    </w:rPr>
  </w:style>
  <w:style w:type="character" w:customStyle="1" w:styleId="rvts48220">
    <w:name w:val="rvts48220"/>
    <w:rsid w:val="002F7E61"/>
    <w:rPr>
      <w:rFonts w:ascii="Arial" w:hAnsi="Arial" w:cs="Arial" w:hint="default"/>
      <w:b w:val="0"/>
      <w:bCs w:val="0"/>
      <w:i w:val="0"/>
      <w:iCs w:val="0"/>
      <w:strike w:val="0"/>
      <w:dstrike w:val="0"/>
      <w:color w:val="000000"/>
      <w:sz w:val="20"/>
      <w:szCs w:val="20"/>
      <w:u w:val="none"/>
      <w:effect w:val="none"/>
    </w:rPr>
  </w:style>
  <w:style w:type="paragraph" w:customStyle="1" w:styleId="1">
    <w:name w:val="Маркированный список 1"/>
    <w:basedOn w:val="af0"/>
    <w:rsid w:val="002F7E61"/>
    <w:pPr>
      <w:numPr>
        <w:numId w:val="6"/>
      </w:numPr>
    </w:pPr>
  </w:style>
  <w:style w:type="character" w:styleId="afb">
    <w:name w:val="FollowedHyperlink"/>
    <w:rsid w:val="002F7E61"/>
    <w:rPr>
      <w:color w:val="800080"/>
      <w:u w:val="single"/>
    </w:rPr>
  </w:style>
  <w:style w:type="paragraph" w:customStyle="1" w:styleId="ConsPlusTitle">
    <w:name w:val="ConsPlusTitle"/>
    <w:rsid w:val="002F7E61"/>
    <w:pPr>
      <w:autoSpaceDE w:val="0"/>
      <w:autoSpaceDN w:val="0"/>
      <w:adjustRightInd w:val="0"/>
    </w:pPr>
    <w:rPr>
      <w:rFonts w:ascii="Arial" w:eastAsia="Times New Roman" w:hAnsi="Arial" w:cs="Arial"/>
      <w:b/>
      <w:bCs/>
    </w:rPr>
  </w:style>
  <w:style w:type="character" w:styleId="afc">
    <w:name w:val="annotation reference"/>
    <w:semiHidden/>
    <w:rsid w:val="002F7E61"/>
    <w:rPr>
      <w:sz w:val="16"/>
      <w:szCs w:val="16"/>
    </w:rPr>
  </w:style>
  <w:style w:type="paragraph" w:styleId="afd">
    <w:name w:val="annotation text"/>
    <w:basedOn w:val="a3"/>
    <w:link w:val="afe"/>
    <w:semiHidden/>
    <w:rsid w:val="002F7E61"/>
    <w:rPr>
      <w:sz w:val="20"/>
      <w:szCs w:val="20"/>
    </w:rPr>
  </w:style>
  <w:style w:type="character" w:customStyle="1" w:styleId="afe">
    <w:name w:val="Текст примечания Знак"/>
    <w:link w:val="afd"/>
    <w:semiHidden/>
    <w:rsid w:val="002F7E61"/>
    <w:rPr>
      <w:rFonts w:ascii="Times New Roman" w:eastAsia="Times New Roman" w:hAnsi="Times New Roman" w:cs="Times New Roman"/>
      <w:sz w:val="20"/>
      <w:szCs w:val="20"/>
      <w:lang w:eastAsia="ru-RU"/>
    </w:rPr>
  </w:style>
  <w:style w:type="paragraph" w:customStyle="1" w:styleId="aff">
    <w:name w:val="Поподпункт спецификации"/>
    <w:basedOn w:val="a1"/>
    <w:rsid w:val="002F7E61"/>
    <w:pPr>
      <w:numPr>
        <w:ilvl w:val="0"/>
        <w:numId w:val="0"/>
      </w:numPr>
      <w:tabs>
        <w:tab w:val="num" w:pos="2520"/>
        <w:tab w:val="num" w:pos="3240"/>
      </w:tabs>
      <w:spacing w:before="0"/>
      <w:ind w:left="1080" w:right="57" w:hanging="720"/>
    </w:pPr>
    <w:rPr>
      <w:rFonts w:ascii="Times New Roman" w:hAnsi="Times New Roman" w:cs="Times New Roman"/>
      <w:sz w:val="24"/>
    </w:rPr>
  </w:style>
  <w:style w:type="paragraph" w:customStyle="1" w:styleId="aff0">
    <w:name w:val="ПоПоподпункт спецификации"/>
    <w:basedOn w:val="aff"/>
    <w:rsid w:val="002F7E61"/>
    <w:pPr>
      <w:tabs>
        <w:tab w:val="num" w:pos="2880"/>
      </w:tabs>
      <w:ind w:left="2880" w:hanging="360"/>
    </w:pPr>
  </w:style>
  <w:style w:type="paragraph" w:styleId="aff1">
    <w:name w:val="Balloon Text"/>
    <w:basedOn w:val="a3"/>
    <w:link w:val="aff2"/>
    <w:semiHidden/>
    <w:rsid w:val="002F7E61"/>
    <w:rPr>
      <w:rFonts w:ascii="Tahoma" w:hAnsi="Tahoma" w:cs="Tahoma"/>
      <w:sz w:val="16"/>
      <w:szCs w:val="16"/>
    </w:rPr>
  </w:style>
  <w:style w:type="character" w:customStyle="1" w:styleId="aff2">
    <w:name w:val="Текст выноски Знак"/>
    <w:link w:val="aff1"/>
    <w:semiHidden/>
    <w:rsid w:val="002F7E61"/>
    <w:rPr>
      <w:rFonts w:ascii="Tahoma" w:eastAsia="Times New Roman" w:hAnsi="Tahoma" w:cs="Tahoma"/>
      <w:sz w:val="16"/>
      <w:szCs w:val="16"/>
      <w:lang w:eastAsia="ru-RU"/>
    </w:rPr>
  </w:style>
  <w:style w:type="paragraph" w:customStyle="1" w:styleId="Point">
    <w:name w:val="Point"/>
    <w:rsid w:val="002F7E61"/>
    <w:pPr>
      <w:numPr>
        <w:ilvl w:val="3"/>
        <w:numId w:val="7"/>
      </w:numPr>
      <w:spacing w:before="240"/>
      <w:jc w:val="both"/>
    </w:pPr>
    <w:rPr>
      <w:rFonts w:ascii="Arial" w:eastAsia="Times New Roman" w:hAnsi="Arial"/>
      <w:lang w:eastAsia="en-US"/>
    </w:rPr>
  </w:style>
  <w:style w:type="paragraph" w:customStyle="1" w:styleId="Point2">
    <w:name w:val="Point 2"/>
    <w:basedOn w:val="a3"/>
    <w:rsid w:val="002F7E61"/>
    <w:pPr>
      <w:numPr>
        <w:ilvl w:val="4"/>
        <w:numId w:val="7"/>
      </w:numPr>
      <w:tabs>
        <w:tab w:val="clear" w:pos="1152"/>
        <w:tab w:val="num" w:pos="720"/>
      </w:tabs>
      <w:autoSpaceDE/>
      <w:autoSpaceDN/>
      <w:spacing w:before="120"/>
      <w:ind w:left="720" w:hanging="720"/>
      <w:jc w:val="both"/>
    </w:pPr>
    <w:rPr>
      <w:rFonts w:ascii="Arial" w:hAnsi="Arial" w:cs="Arial"/>
      <w:sz w:val="20"/>
      <w:szCs w:val="20"/>
    </w:rPr>
  </w:style>
  <w:style w:type="paragraph" w:customStyle="1" w:styleId="Title1">
    <w:name w:val="Title 1"/>
    <w:rsid w:val="002F7E61"/>
    <w:pPr>
      <w:numPr>
        <w:numId w:val="7"/>
      </w:numPr>
      <w:tabs>
        <w:tab w:val="clear" w:pos="360"/>
        <w:tab w:val="num" w:pos="1440"/>
      </w:tabs>
      <w:spacing w:before="240"/>
      <w:ind w:left="1440" w:hanging="1440"/>
    </w:pPr>
    <w:rPr>
      <w:rFonts w:ascii="Arial" w:eastAsia="Times New Roman" w:hAnsi="Arial" w:cs="Arial"/>
      <w:b/>
      <w:bCs/>
      <w:lang w:eastAsia="en-US"/>
    </w:rPr>
  </w:style>
  <w:style w:type="paragraph" w:customStyle="1" w:styleId="Title2">
    <w:name w:val="Title 2"/>
    <w:rsid w:val="002F7E61"/>
    <w:pPr>
      <w:numPr>
        <w:ilvl w:val="1"/>
        <w:numId w:val="7"/>
      </w:numPr>
      <w:tabs>
        <w:tab w:val="clear" w:pos="1440"/>
        <w:tab w:val="num" w:pos="1980"/>
      </w:tabs>
      <w:spacing w:before="240"/>
      <w:ind w:left="1980" w:hanging="1980"/>
      <w:jc w:val="both"/>
    </w:pPr>
    <w:rPr>
      <w:rFonts w:ascii="Arial" w:eastAsia="Times New Roman" w:hAnsi="Arial"/>
      <w:b/>
      <w:lang w:eastAsia="en-US"/>
    </w:rPr>
  </w:style>
  <w:style w:type="paragraph" w:customStyle="1" w:styleId="Title3">
    <w:name w:val="Title 3"/>
    <w:rsid w:val="002F7E61"/>
    <w:pPr>
      <w:numPr>
        <w:ilvl w:val="2"/>
        <w:numId w:val="7"/>
      </w:numPr>
      <w:tabs>
        <w:tab w:val="clear" w:pos="720"/>
        <w:tab w:val="num" w:pos="1440"/>
      </w:tabs>
      <w:spacing w:before="240"/>
      <w:ind w:left="1440" w:hanging="1440"/>
    </w:pPr>
    <w:rPr>
      <w:rFonts w:ascii="Arial" w:eastAsia="Times New Roman" w:hAnsi="Arial"/>
      <w:b/>
      <w:bCs/>
      <w:lang w:eastAsia="en-US"/>
    </w:rPr>
  </w:style>
  <w:style w:type="paragraph" w:customStyle="1" w:styleId="Pointlet">
    <w:name w:val="Point (let)"/>
    <w:basedOn w:val="a3"/>
    <w:rsid w:val="002F7E61"/>
    <w:pPr>
      <w:numPr>
        <w:ilvl w:val="5"/>
        <w:numId w:val="7"/>
      </w:numPr>
      <w:spacing w:before="60"/>
      <w:jc w:val="both"/>
    </w:pPr>
    <w:rPr>
      <w:rFonts w:ascii="Arial" w:hAnsi="Arial" w:cs="Arial"/>
      <w:sz w:val="20"/>
      <w:szCs w:val="20"/>
    </w:rPr>
  </w:style>
  <w:style w:type="paragraph" w:styleId="aff3">
    <w:name w:val="footnote text"/>
    <w:basedOn w:val="a3"/>
    <w:link w:val="aff4"/>
    <w:semiHidden/>
    <w:rsid w:val="002F7E61"/>
    <w:rPr>
      <w:sz w:val="20"/>
      <w:szCs w:val="20"/>
    </w:rPr>
  </w:style>
  <w:style w:type="character" w:customStyle="1" w:styleId="aff4">
    <w:name w:val="Текст сноски Знак"/>
    <w:link w:val="aff3"/>
    <w:semiHidden/>
    <w:rsid w:val="002F7E61"/>
    <w:rPr>
      <w:rFonts w:ascii="Times New Roman" w:eastAsia="Times New Roman" w:hAnsi="Times New Roman" w:cs="Times New Roman"/>
      <w:sz w:val="20"/>
      <w:szCs w:val="20"/>
      <w:lang w:eastAsia="ru-RU"/>
    </w:rPr>
  </w:style>
  <w:style w:type="character" w:styleId="aff5">
    <w:name w:val="footnote reference"/>
    <w:semiHidden/>
    <w:rsid w:val="002F7E61"/>
    <w:rPr>
      <w:vertAlign w:val="superscript"/>
    </w:rPr>
  </w:style>
  <w:style w:type="table" w:styleId="aff6">
    <w:name w:val="Table Grid"/>
    <w:basedOn w:val="a5"/>
    <w:rsid w:val="002F7E61"/>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d"/>
    <w:next w:val="afd"/>
    <w:link w:val="aff8"/>
    <w:rsid w:val="002F7E61"/>
    <w:rPr>
      <w:b/>
      <w:bCs/>
    </w:rPr>
  </w:style>
  <w:style w:type="character" w:customStyle="1" w:styleId="aff8">
    <w:name w:val="Тема примечания Знак"/>
    <w:link w:val="aff7"/>
    <w:rsid w:val="002F7E61"/>
    <w:rPr>
      <w:rFonts w:ascii="Times New Roman" w:eastAsia="Times New Roman" w:hAnsi="Times New Roman" w:cs="Times New Roman"/>
      <w:b/>
      <w:bCs/>
      <w:sz w:val="20"/>
      <w:szCs w:val="20"/>
      <w:lang w:eastAsia="ru-RU"/>
    </w:rPr>
  </w:style>
  <w:style w:type="paragraph" w:styleId="aff9">
    <w:name w:val="Revision"/>
    <w:hidden/>
    <w:uiPriority w:val="99"/>
    <w:semiHidden/>
    <w:rsid w:val="002F7E61"/>
    <w:rPr>
      <w:rFonts w:ascii="Times New Roman" w:eastAsia="Times New Roman" w:hAnsi="Times New Roman"/>
      <w:sz w:val="24"/>
      <w:szCs w:val="24"/>
    </w:rPr>
  </w:style>
  <w:style w:type="paragraph" w:styleId="affa">
    <w:name w:val="List Paragraph"/>
    <w:basedOn w:val="a3"/>
    <w:uiPriority w:val="34"/>
    <w:qFormat/>
    <w:rsid w:val="002F7E61"/>
    <w:pPr>
      <w:ind w:left="708"/>
    </w:pPr>
  </w:style>
  <w:style w:type="paragraph" w:customStyle="1" w:styleId="11">
    <w:name w:val="Пункт 1"/>
    <w:basedOn w:val="ad"/>
    <w:rsid w:val="00B471DD"/>
    <w:pPr>
      <w:tabs>
        <w:tab w:val="clear" w:pos="9000"/>
        <w:tab w:val="num" w:pos="900"/>
      </w:tabs>
      <w:autoSpaceDE/>
      <w:autoSpaceDN/>
      <w:spacing w:before="120"/>
      <w:ind w:left="896" w:right="57" w:hanging="539"/>
    </w:pPr>
    <w:rPr>
      <w:rFonts w:ascii="Arial CYR" w:eastAsia="Arial Unicode MS" w:hAnsi="Arial CYR" w:cs="Arial CYR"/>
      <w:color w:val="000000"/>
    </w:rPr>
  </w:style>
  <w:style w:type="paragraph" w:customStyle="1" w:styleId="21">
    <w:name w:val="Пункт 2"/>
    <w:basedOn w:val="11"/>
    <w:rsid w:val="00B471DD"/>
    <w:pPr>
      <w:tabs>
        <w:tab w:val="clear" w:pos="900"/>
        <w:tab w:val="num" w:pos="1418"/>
      </w:tabs>
      <w:ind w:left="1418" w:hanging="567"/>
    </w:pPr>
  </w:style>
  <w:style w:type="paragraph" w:customStyle="1" w:styleId="affb">
    <w:name w:val="Пункт перечисление"/>
    <w:basedOn w:val="Pointmark"/>
    <w:rsid w:val="00B471DD"/>
    <w:pPr>
      <w:numPr>
        <w:numId w:val="0"/>
      </w:numPr>
      <w:tabs>
        <w:tab w:val="num" w:pos="1260"/>
      </w:tabs>
      <w:autoSpaceDN/>
      <w:ind w:left="1260" w:hanging="357"/>
    </w:pPr>
  </w:style>
  <w:style w:type="paragraph" w:customStyle="1" w:styleId="Default">
    <w:name w:val="Default"/>
    <w:rsid w:val="00600519"/>
    <w:pPr>
      <w:autoSpaceDE w:val="0"/>
      <w:autoSpaceDN w:val="0"/>
      <w:adjustRightInd w:val="0"/>
    </w:pPr>
    <w:rPr>
      <w:rFonts w:ascii="Times New Roman" w:hAnsi="Times New Roman"/>
      <w:color w:val="000000"/>
      <w:sz w:val="24"/>
      <w:szCs w:val="24"/>
      <w:lang w:eastAsia="en-US"/>
    </w:rPr>
  </w:style>
  <w:style w:type="paragraph" w:customStyle="1" w:styleId="12">
    <w:name w:val="пункт1"/>
    <w:basedOn w:val="2"/>
    <w:rsid w:val="003971C2"/>
    <w:pPr>
      <w:tabs>
        <w:tab w:val="num" w:pos="2052"/>
      </w:tabs>
      <w:autoSpaceDE/>
      <w:autoSpaceDN/>
      <w:spacing w:before="100" w:beforeAutospacing="1" w:after="100" w:afterAutospacing="1"/>
      <w:ind w:left="2052" w:hanging="792"/>
      <w:jc w:val="both"/>
    </w:pPr>
    <w:rPr>
      <w:rFonts w:cs="Times New Roman"/>
      <w:lang w:eastAsia="x-none"/>
    </w:rPr>
  </w:style>
  <w:style w:type="character" w:styleId="affc">
    <w:name w:val="Unresolved Mention"/>
    <w:basedOn w:val="a4"/>
    <w:uiPriority w:val="99"/>
    <w:semiHidden/>
    <w:unhideWhenUsed/>
    <w:rsid w:val="00514158"/>
    <w:rPr>
      <w:color w:val="605E5C"/>
      <w:shd w:val="clear" w:color="auto" w:fill="E1DFDD"/>
    </w:rPr>
  </w:style>
  <w:style w:type="paragraph" w:styleId="affd">
    <w:name w:val="endnote text"/>
    <w:basedOn w:val="a3"/>
    <w:link w:val="affe"/>
    <w:uiPriority w:val="99"/>
    <w:semiHidden/>
    <w:unhideWhenUsed/>
    <w:rsid w:val="00514158"/>
    <w:rPr>
      <w:sz w:val="20"/>
      <w:szCs w:val="20"/>
    </w:rPr>
  </w:style>
  <w:style w:type="character" w:customStyle="1" w:styleId="affe">
    <w:name w:val="Текст концевой сноски Знак"/>
    <w:basedOn w:val="a4"/>
    <w:link w:val="affd"/>
    <w:uiPriority w:val="99"/>
    <w:semiHidden/>
    <w:rsid w:val="00514158"/>
    <w:rPr>
      <w:rFonts w:ascii="Times New Roman" w:eastAsia="Times New Roman" w:hAnsi="Times New Roman"/>
    </w:rPr>
  </w:style>
  <w:style w:type="character" w:styleId="afff">
    <w:name w:val="endnote reference"/>
    <w:basedOn w:val="a4"/>
    <w:uiPriority w:val="99"/>
    <w:semiHidden/>
    <w:unhideWhenUsed/>
    <w:rsid w:val="005141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8307">
      <w:bodyDiv w:val="1"/>
      <w:marLeft w:val="0"/>
      <w:marRight w:val="0"/>
      <w:marTop w:val="0"/>
      <w:marBottom w:val="0"/>
      <w:divBdr>
        <w:top w:val="none" w:sz="0" w:space="0" w:color="auto"/>
        <w:left w:val="none" w:sz="0" w:space="0" w:color="auto"/>
        <w:bottom w:val="none" w:sz="0" w:space="0" w:color="auto"/>
        <w:right w:val="none" w:sz="0" w:space="0" w:color="auto"/>
      </w:divBdr>
    </w:div>
    <w:div w:id="156003219">
      <w:bodyDiv w:val="1"/>
      <w:marLeft w:val="0"/>
      <w:marRight w:val="0"/>
      <w:marTop w:val="0"/>
      <w:marBottom w:val="0"/>
      <w:divBdr>
        <w:top w:val="none" w:sz="0" w:space="0" w:color="auto"/>
        <w:left w:val="none" w:sz="0" w:space="0" w:color="auto"/>
        <w:bottom w:val="none" w:sz="0" w:space="0" w:color="auto"/>
        <w:right w:val="none" w:sz="0" w:space="0" w:color="auto"/>
      </w:divBdr>
    </w:div>
    <w:div w:id="203566830">
      <w:bodyDiv w:val="1"/>
      <w:marLeft w:val="0"/>
      <w:marRight w:val="0"/>
      <w:marTop w:val="0"/>
      <w:marBottom w:val="0"/>
      <w:divBdr>
        <w:top w:val="none" w:sz="0" w:space="0" w:color="auto"/>
        <w:left w:val="none" w:sz="0" w:space="0" w:color="auto"/>
        <w:bottom w:val="none" w:sz="0" w:space="0" w:color="auto"/>
        <w:right w:val="none" w:sz="0" w:space="0" w:color="auto"/>
      </w:divBdr>
    </w:div>
    <w:div w:id="216596654">
      <w:bodyDiv w:val="1"/>
      <w:marLeft w:val="0"/>
      <w:marRight w:val="0"/>
      <w:marTop w:val="0"/>
      <w:marBottom w:val="0"/>
      <w:divBdr>
        <w:top w:val="none" w:sz="0" w:space="0" w:color="auto"/>
        <w:left w:val="none" w:sz="0" w:space="0" w:color="auto"/>
        <w:bottom w:val="none" w:sz="0" w:space="0" w:color="auto"/>
        <w:right w:val="none" w:sz="0" w:space="0" w:color="auto"/>
      </w:divBdr>
    </w:div>
    <w:div w:id="217866081">
      <w:bodyDiv w:val="1"/>
      <w:marLeft w:val="0"/>
      <w:marRight w:val="0"/>
      <w:marTop w:val="0"/>
      <w:marBottom w:val="0"/>
      <w:divBdr>
        <w:top w:val="none" w:sz="0" w:space="0" w:color="auto"/>
        <w:left w:val="none" w:sz="0" w:space="0" w:color="auto"/>
        <w:bottom w:val="none" w:sz="0" w:space="0" w:color="auto"/>
        <w:right w:val="none" w:sz="0" w:space="0" w:color="auto"/>
      </w:divBdr>
    </w:div>
    <w:div w:id="245774026">
      <w:bodyDiv w:val="1"/>
      <w:marLeft w:val="0"/>
      <w:marRight w:val="0"/>
      <w:marTop w:val="0"/>
      <w:marBottom w:val="0"/>
      <w:divBdr>
        <w:top w:val="none" w:sz="0" w:space="0" w:color="auto"/>
        <w:left w:val="none" w:sz="0" w:space="0" w:color="auto"/>
        <w:bottom w:val="none" w:sz="0" w:space="0" w:color="auto"/>
        <w:right w:val="none" w:sz="0" w:space="0" w:color="auto"/>
      </w:divBdr>
    </w:div>
    <w:div w:id="245848418">
      <w:bodyDiv w:val="1"/>
      <w:marLeft w:val="0"/>
      <w:marRight w:val="0"/>
      <w:marTop w:val="0"/>
      <w:marBottom w:val="0"/>
      <w:divBdr>
        <w:top w:val="none" w:sz="0" w:space="0" w:color="auto"/>
        <w:left w:val="none" w:sz="0" w:space="0" w:color="auto"/>
        <w:bottom w:val="none" w:sz="0" w:space="0" w:color="auto"/>
        <w:right w:val="none" w:sz="0" w:space="0" w:color="auto"/>
      </w:divBdr>
    </w:div>
    <w:div w:id="275910393">
      <w:bodyDiv w:val="1"/>
      <w:marLeft w:val="0"/>
      <w:marRight w:val="0"/>
      <w:marTop w:val="0"/>
      <w:marBottom w:val="0"/>
      <w:divBdr>
        <w:top w:val="none" w:sz="0" w:space="0" w:color="auto"/>
        <w:left w:val="none" w:sz="0" w:space="0" w:color="auto"/>
        <w:bottom w:val="none" w:sz="0" w:space="0" w:color="auto"/>
        <w:right w:val="none" w:sz="0" w:space="0" w:color="auto"/>
      </w:divBdr>
    </w:div>
    <w:div w:id="294873798">
      <w:bodyDiv w:val="1"/>
      <w:marLeft w:val="0"/>
      <w:marRight w:val="0"/>
      <w:marTop w:val="0"/>
      <w:marBottom w:val="0"/>
      <w:divBdr>
        <w:top w:val="none" w:sz="0" w:space="0" w:color="auto"/>
        <w:left w:val="none" w:sz="0" w:space="0" w:color="auto"/>
        <w:bottom w:val="none" w:sz="0" w:space="0" w:color="auto"/>
        <w:right w:val="none" w:sz="0" w:space="0" w:color="auto"/>
      </w:divBdr>
    </w:div>
    <w:div w:id="420179212">
      <w:bodyDiv w:val="1"/>
      <w:marLeft w:val="0"/>
      <w:marRight w:val="0"/>
      <w:marTop w:val="0"/>
      <w:marBottom w:val="0"/>
      <w:divBdr>
        <w:top w:val="none" w:sz="0" w:space="0" w:color="auto"/>
        <w:left w:val="none" w:sz="0" w:space="0" w:color="auto"/>
        <w:bottom w:val="none" w:sz="0" w:space="0" w:color="auto"/>
        <w:right w:val="none" w:sz="0" w:space="0" w:color="auto"/>
      </w:divBdr>
    </w:div>
    <w:div w:id="509374682">
      <w:bodyDiv w:val="1"/>
      <w:marLeft w:val="0"/>
      <w:marRight w:val="0"/>
      <w:marTop w:val="0"/>
      <w:marBottom w:val="0"/>
      <w:divBdr>
        <w:top w:val="none" w:sz="0" w:space="0" w:color="auto"/>
        <w:left w:val="none" w:sz="0" w:space="0" w:color="auto"/>
        <w:bottom w:val="none" w:sz="0" w:space="0" w:color="auto"/>
        <w:right w:val="none" w:sz="0" w:space="0" w:color="auto"/>
      </w:divBdr>
    </w:div>
    <w:div w:id="530076403">
      <w:bodyDiv w:val="1"/>
      <w:marLeft w:val="0"/>
      <w:marRight w:val="0"/>
      <w:marTop w:val="0"/>
      <w:marBottom w:val="0"/>
      <w:divBdr>
        <w:top w:val="none" w:sz="0" w:space="0" w:color="auto"/>
        <w:left w:val="none" w:sz="0" w:space="0" w:color="auto"/>
        <w:bottom w:val="none" w:sz="0" w:space="0" w:color="auto"/>
        <w:right w:val="none" w:sz="0" w:space="0" w:color="auto"/>
      </w:divBdr>
    </w:div>
    <w:div w:id="738211729">
      <w:bodyDiv w:val="1"/>
      <w:marLeft w:val="0"/>
      <w:marRight w:val="0"/>
      <w:marTop w:val="0"/>
      <w:marBottom w:val="0"/>
      <w:divBdr>
        <w:top w:val="none" w:sz="0" w:space="0" w:color="auto"/>
        <w:left w:val="none" w:sz="0" w:space="0" w:color="auto"/>
        <w:bottom w:val="none" w:sz="0" w:space="0" w:color="auto"/>
        <w:right w:val="none" w:sz="0" w:space="0" w:color="auto"/>
      </w:divBdr>
    </w:div>
    <w:div w:id="767846503">
      <w:bodyDiv w:val="1"/>
      <w:marLeft w:val="0"/>
      <w:marRight w:val="0"/>
      <w:marTop w:val="0"/>
      <w:marBottom w:val="0"/>
      <w:divBdr>
        <w:top w:val="none" w:sz="0" w:space="0" w:color="auto"/>
        <w:left w:val="none" w:sz="0" w:space="0" w:color="auto"/>
        <w:bottom w:val="none" w:sz="0" w:space="0" w:color="auto"/>
        <w:right w:val="none" w:sz="0" w:space="0" w:color="auto"/>
      </w:divBdr>
    </w:div>
    <w:div w:id="786004179">
      <w:bodyDiv w:val="1"/>
      <w:marLeft w:val="0"/>
      <w:marRight w:val="0"/>
      <w:marTop w:val="0"/>
      <w:marBottom w:val="0"/>
      <w:divBdr>
        <w:top w:val="none" w:sz="0" w:space="0" w:color="auto"/>
        <w:left w:val="none" w:sz="0" w:space="0" w:color="auto"/>
        <w:bottom w:val="none" w:sz="0" w:space="0" w:color="auto"/>
        <w:right w:val="none" w:sz="0" w:space="0" w:color="auto"/>
      </w:divBdr>
    </w:div>
    <w:div w:id="812404467">
      <w:bodyDiv w:val="1"/>
      <w:marLeft w:val="0"/>
      <w:marRight w:val="0"/>
      <w:marTop w:val="0"/>
      <w:marBottom w:val="0"/>
      <w:divBdr>
        <w:top w:val="none" w:sz="0" w:space="0" w:color="auto"/>
        <w:left w:val="none" w:sz="0" w:space="0" w:color="auto"/>
        <w:bottom w:val="none" w:sz="0" w:space="0" w:color="auto"/>
        <w:right w:val="none" w:sz="0" w:space="0" w:color="auto"/>
      </w:divBdr>
    </w:div>
    <w:div w:id="878978260">
      <w:bodyDiv w:val="1"/>
      <w:marLeft w:val="0"/>
      <w:marRight w:val="0"/>
      <w:marTop w:val="0"/>
      <w:marBottom w:val="0"/>
      <w:divBdr>
        <w:top w:val="none" w:sz="0" w:space="0" w:color="auto"/>
        <w:left w:val="none" w:sz="0" w:space="0" w:color="auto"/>
        <w:bottom w:val="none" w:sz="0" w:space="0" w:color="auto"/>
        <w:right w:val="none" w:sz="0" w:space="0" w:color="auto"/>
      </w:divBdr>
    </w:div>
    <w:div w:id="915431191">
      <w:bodyDiv w:val="1"/>
      <w:marLeft w:val="0"/>
      <w:marRight w:val="0"/>
      <w:marTop w:val="0"/>
      <w:marBottom w:val="0"/>
      <w:divBdr>
        <w:top w:val="none" w:sz="0" w:space="0" w:color="auto"/>
        <w:left w:val="none" w:sz="0" w:space="0" w:color="auto"/>
        <w:bottom w:val="none" w:sz="0" w:space="0" w:color="auto"/>
        <w:right w:val="none" w:sz="0" w:space="0" w:color="auto"/>
      </w:divBdr>
    </w:div>
    <w:div w:id="1007754251">
      <w:bodyDiv w:val="1"/>
      <w:marLeft w:val="0"/>
      <w:marRight w:val="0"/>
      <w:marTop w:val="0"/>
      <w:marBottom w:val="0"/>
      <w:divBdr>
        <w:top w:val="none" w:sz="0" w:space="0" w:color="auto"/>
        <w:left w:val="none" w:sz="0" w:space="0" w:color="auto"/>
        <w:bottom w:val="none" w:sz="0" w:space="0" w:color="auto"/>
        <w:right w:val="none" w:sz="0" w:space="0" w:color="auto"/>
      </w:divBdr>
    </w:div>
    <w:div w:id="1023017437">
      <w:bodyDiv w:val="1"/>
      <w:marLeft w:val="0"/>
      <w:marRight w:val="0"/>
      <w:marTop w:val="0"/>
      <w:marBottom w:val="0"/>
      <w:divBdr>
        <w:top w:val="none" w:sz="0" w:space="0" w:color="auto"/>
        <w:left w:val="none" w:sz="0" w:space="0" w:color="auto"/>
        <w:bottom w:val="none" w:sz="0" w:space="0" w:color="auto"/>
        <w:right w:val="none" w:sz="0" w:space="0" w:color="auto"/>
      </w:divBdr>
    </w:div>
    <w:div w:id="1075126195">
      <w:bodyDiv w:val="1"/>
      <w:marLeft w:val="0"/>
      <w:marRight w:val="0"/>
      <w:marTop w:val="0"/>
      <w:marBottom w:val="0"/>
      <w:divBdr>
        <w:top w:val="none" w:sz="0" w:space="0" w:color="auto"/>
        <w:left w:val="none" w:sz="0" w:space="0" w:color="auto"/>
        <w:bottom w:val="none" w:sz="0" w:space="0" w:color="auto"/>
        <w:right w:val="none" w:sz="0" w:space="0" w:color="auto"/>
      </w:divBdr>
    </w:div>
    <w:div w:id="1224297296">
      <w:bodyDiv w:val="1"/>
      <w:marLeft w:val="0"/>
      <w:marRight w:val="0"/>
      <w:marTop w:val="0"/>
      <w:marBottom w:val="0"/>
      <w:divBdr>
        <w:top w:val="none" w:sz="0" w:space="0" w:color="auto"/>
        <w:left w:val="none" w:sz="0" w:space="0" w:color="auto"/>
        <w:bottom w:val="none" w:sz="0" w:space="0" w:color="auto"/>
        <w:right w:val="none" w:sz="0" w:space="0" w:color="auto"/>
      </w:divBdr>
    </w:div>
    <w:div w:id="1272396671">
      <w:bodyDiv w:val="1"/>
      <w:marLeft w:val="0"/>
      <w:marRight w:val="0"/>
      <w:marTop w:val="0"/>
      <w:marBottom w:val="0"/>
      <w:divBdr>
        <w:top w:val="none" w:sz="0" w:space="0" w:color="auto"/>
        <w:left w:val="none" w:sz="0" w:space="0" w:color="auto"/>
        <w:bottom w:val="none" w:sz="0" w:space="0" w:color="auto"/>
        <w:right w:val="none" w:sz="0" w:space="0" w:color="auto"/>
      </w:divBdr>
    </w:div>
    <w:div w:id="1326974492">
      <w:bodyDiv w:val="1"/>
      <w:marLeft w:val="0"/>
      <w:marRight w:val="0"/>
      <w:marTop w:val="0"/>
      <w:marBottom w:val="0"/>
      <w:divBdr>
        <w:top w:val="none" w:sz="0" w:space="0" w:color="auto"/>
        <w:left w:val="none" w:sz="0" w:space="0" w:color="auto"/>
        <w:bottom w:val="none" w:sz="0" w:space="0" w:color="auto"/>
        <w:right w:val="none" w:sz="0" w:space="0" w:color="auto"/>
      </w:divBdr>
    </w:div>
    <w:div w:id="1348365839">
      <w:bodyDiv w:val="1"/>
      <w:marLeft w:val="0"/>
      <w:marRight w:val="0"/>
      <w:marTop w:val="0"/>
      <w:marBottom w:val="0"/>
      <w:divBdr>
        <w:top w:val="none" w:sz="0" w:space="0" w:color="auto"/>
        <w:left w:val="none" w:sz="0" w:space="0" w:color="auto"/>
        <w:bottom w:val="none" w:sz="0" w:space="0" w:color="auto"/>
        <w:right w:val="none" w:sz="0" w:space="0" w:color="auto"/>
      </w:divBdr>
    </w:div>
    <w:div w:id="1379278531">
      <w:bodyDiv w:val="1"/>
      <w:marLeft w:val="0"/>
      <w:marRight w:val="0"/>
      <w:marTop w:val="0"/>
      <w:marBottom w:val="0"/>
      <w:divBdr>
        <w:top w:val="none" w:sz="0" w:space="0" w:color="auto"/>
        <w:left w:val="none" w:sz="0" w:space="0" w:color="auto"/>
        <w:bottom w:val="none" w:sz="0" w:space="0" w:color="auto"/>
        <w:right w:val="none" w:sz="0" w:space="0" w:color="auto"/>
      </w:divBdr>
    </w:div>
    <w:div w:id="1422919165">
      <w:bodyDiv w:val="1"/>
      <w:marLeft w:val="0"/>
      <w:marRight w:val="0"/>
      <w:marTop w:val="0"/>
      <w:marBottom w:val="0"/>
      <w:divBdr>
        <w:top w:val="none" w:sz="0" w:space="0" w:color="auto"/>
        <w:left w:val="none" w:sz="0" w:space="0" w:color="auto"/>
        <w:bottom w:val="none" w:sz="0" w:space="0" w:color="auto"/>
        <w:right w:val="none" w:sz="0" w:space="0" w:color="auto"/>
      </w:divBdr>
    </w:div>
    <w:div w:id="1442143958">
      <w:bodyDiv w:val="1"/>
      <w:marLeft w:val="0"/>
      <w:marRight w:val="0"/>
      <w:marTop w:val="0"/>
      <w:marBottom w:val="0"/>
      <w:divBdr>
        <w:top w:val="none" w:sz="0" w:space="0" w:color="auto"/>
        <w:left w:val="none" w:sz="0" w:space="0" w:color="auto"/>
        <w:bottom w:val="none" w:sz="0" w:space="0" w:color="auto"/>
        <w:right w:val="none" w:sz="0" w:space="0" w:color="auto"/>
      </w:divBdr>
    </w:div>
    <w:div w:id="1475559956">
      <w:bodyDiv w:val="1"/>
      <w:marLeft w:val="0"/>
      <w:marRight w:val="0"/>
      <w:marTop w:val="0"/>
      <w:marBottom w:val="0"/>
      <w:divBdr>
        <w:top w:val="none" w:sz="0" w:space="0" w:color="auto"/>
        <w:left w:val="none" w:sz="0" w:space="0" w:color="auto"/>
        <w:bottom w:val="none" w:sz="0" w:space="0" w:color="auto"/>
        <w:right w:val="none" w:sz="0" w:space="0" w:color="auto"/>
      </w:divBdr>
    </w:div>
    <w:div w:id="1509440843">
      <w:bodyDiv w:val="1"/>
      <w:marLeft w:val="0"/>
      <w:marRight w:val="0"/>
      <w:marTop w:val="0"/>
      <w:marBottom w:val="0"/>
      <w:divBdr>
        <w:top w:val="none" w:sz="0" w:space="0" w:color="auto"/>
        <w:left w:val="none" w:sz="0" w:space="0" w:color="auto"/>
        <w:bottom w:val="none" w:sz="0" w:space="0" w:color="auto"/>
        <w:right w:val="none" w:sz="0" w:space="0" w:color="auto"/>
      </w:divBdr>
    </w:div>
    <w:div w:id="1611816282">
      <w:bodyDiv w:val="1"/>
      <w:marLeft w:val="0"/>
      <w:marRight w:val="0"/>
      <w:marTop w:val="0"/>
      <w:marBottom w:val="0"/>
      <w:divBdr>
        <w:top w:val="none" w:sz="0" w:space="0" w:color="auto"/>
        <w:left w:val="none" w:sz="0" w:space="0" w:color="auto"/>
        <w:bottom w:val="none" w:sz="0" w:space="0" w:color="auto"/>
        <w:right w:val="none" w:sz="0" w:space="0" w:color="auto"/>
      </w:divBdr>
    </w:div>
    <w:div w:id="1621035722">
      <w:bodyDiv w:val="1"/>
      <w:marLeft w:val="0"/>
      <w:marRight w:val="0"/>
      <w:marTop w:val="0"/>
      <w:marBottom w:val="0"/>
      <w:divBdr>
        <w:top w:val="none" w:sz="0" w:space="0" w:color="auto"/>
        <w:left w:val="none" w:sz="0" w:space="0" w:color="auto"/>
        <w:bottom w:val="none" w:sz="0" w:space="0" w:color="auto"/>
        <w:right w:val="none" w:sz="0" w:space="0" w:color="auto"/>
      </w:divBdr>
    </w:div>
    <w:div w:id="1653757443">
      <w:bodyDiv w:val="1"/>
      <w:marLeft w:val="0"/>
      <w:marRight w:val="0"/>
      <w:marTop w:val="0"/>
      <w:marBottom w:val="0"/>
      <w:divBdr>
        <w:top w:val="none" w:sz="0" w:space="0" w:color="auto"/>
        <w:left w:val="none" w:sz="0" w:space="0" w:color="auto"/>
        <w:bottom w:val="none" w:sz="0" w:space="0" w:color="auto"/>
        <w:right w:val="none" w:sz="0" w:space="0" w:color="auto"/>
      </w:divBdr>
    </w:div>
    <w:div w:id="1778020889">
      <w:bodyDiv w:val="1"/>
      <w:marLeft w:val="0"/>
      <w:marRight w:val="0"/>
      <w:marTop w:val="0"/>
      <w:marBottom w:val="0"/>
      <w:divBdr>
        <w:top w:val="none" w:sz="0" w:space="0" w:color="auto"/>
        <w:left w:val="none" w:sz="0" w:space="0" w:color="auto"/>
        <w:bottom w:val="none" w:sz="0" w:space="0" w:color="auto"/>
        <w:right w:val="none" w:sz="0" w:space="0" w:color="auto"/>
      </w:divBdr>
    </w:div>
    <w:div w:id="1795057299">
      <w:bodyDiv w:val="1"/>
      <w:marLeft w:val="0"/>
      <w:marRight w:val="0"/>
      <w:marTop w:val="0"/>
      <w:marBottom w:val="0"/>
      <w:divBdr>
        <w:top w:val="none" w:sz="0" w:space="0" w:color="auto"/>
        <w:left w:val="none" w:sz="0" w:space="0" w:color="auto"/>
        <w:bottom w:val="none" w:sz="0" w:space="0" w:color="auto"/>
        <w:right w:val="none" w:sz="0" w:space="0" w:color="auto"/>
      </w:divBdr>
    </w:div>
    <w:div w:id="1802264137">
      <w:bodyDiv w:val="1"/>
      <w:marLeft w:val="0"/>
      <w:marRight w:val="0"/>
      <w:marTop w:val="0"/>
      <w:marBottom w:val="0"/>
      <w:divBdr>
        <w:top w:val="none" w:sz="0" w:space="0" w:color="auto"/>
        <w:left w:val="none" w:sz="0" w:space="0" w:color="auto"/>
        <w:bottom w:val="none" w:sz="0" w:space="0" w:color="auto"/>
        <w:right w:val="none" w:sz="0" w:space="0" w:color="auto"/>
      </w:divBdr>
    </w:div>
    <w:div w:id="1810248600">
      <w:bodyDiv w:val="1"/>
      <w:marLeft w:val="0"/>
      <w:marRight w:val="0"/>
      <w:marTop w:val="0"/>
      <w:marBottom w:val="0"/>
      <w:divBdr>
        <w:top w:val="none" w:sz="0" w:space="0" w:color="auto"/>
        <w:left w:val="none" w:sz="0" w:space="0" w:color="auto"/>
        <w:bottom w:val="none" w:sz="0" w:space="0" w:color="auto"/>
        <w:right w:val="none" w:sz="0" w:space="0" w:color="auto"/>
      </w:divBdr>
    </w:div>
    <w:div w:id="1861163730">
      <w:bodyDiv w:val="1"/>
      <w:marLeft w:val="0"/>
      <w:marRight w:val="0"/>
      <w:marTop w:val="0"/>
      <w:marBottom w:val="0"/>
      <w:divBdr>
        <w:top w:val="none" w:sz="0" w:space="0" w:color="auto"/>
        <w:left w:val="none" w:sz="0" w:space="0" w:color="auto"/>
        <w:bottom w:val="none" w:sz="0" w:space="0" w:color="auto"/>
        <w:right w:val="none" w:sz="0" w:space="0" w:color="auto"/>
      </w:divBdr>
    </w:div>
    <w:div w:id="1880583938">
      <w:bodyDiv w:val="1"/>
      <w:marLeft w:val="0"/>
      <w:marRight w:val="0"/>
      <w:marTop w:val="0"/>
      <w:marBottom w:val="0"/>
      <w:divBdr>
        <w:top w:val="none" w:sz="0" w:space="0" w:color="auto"/>
        <w:left w:val="none" w:sz="0" w:space="0" w:color="auto"/>
        <w:bottom w:val="none" w:sz="0" w:space="0" w:color="auto"/>
        <w:right w:val="none" w:sz="0" w:space="0" w:color="auto"/>
      </w:divBdr>
    </w:div>
    <w:div w:id="2029796736">
      <w:bodyDiv w:val="1"/>
      <w:marLeft w:val="0"/>
      <w:marRight w:val="0"/>
      <w:marTop w:val="0"/>
      <w:marBottom w:val="0"/>
      <w:divBdr>
        <w:top w:val="none" w:sz="0" w:space="0" w:color="auto"/>
        <w:left w:val="none" w:sz="0" w:space="0" w:color="auto"/>
        <w:bottom w:val="none" w:sz="0" w:space="0" w:color="auto"/>
        <w:right w:val="none" w:sz="0" w:space="0" w:color="auto"/>
      </w:divBdr>
    </w:div>
    <w:div w:id="2033339297">
      <w:bodyDiv w:val="1"/>
      <w:marLeft w:val="0"/>
      <w:marRight w:val="0"/>
      <w:marTop w:val="0"/>
      <w:marBottom w:val="0"/>
      <w:divBdr>
        <w:top w:val="none" w:sz="0" w:space="0" w:color="auto"/>
        <w:left w:val="none" w:sz="0" w:space="0" w:color="auto"/>
        <w:bottom w:val="none" w:sz="0" w:space="0" w:color="auto"/>
        <w:right w:val="none" w:sz="0" w:space="0" w:color="auto"/>
      </w:divBdr>
    </w:div>
    <w:div w:id="2051492961">
      <w:bodyDiv w:val="1"/>
      <w:marLeft w:val="0"/>
      <w:marRight w:val="0"/>
      <w:marTop w:val="0"/>
      <w:marBottom w:val="0"/>
      <w:divBdr>
        <w:top w:val="none" w:sz="0" w:space="0" w:color="auto"/>
        <w:left w:val="none" w:sz="0" w:space="0" w:color="auto"/>
        <w:bottom w:val="none" w:sz="0" w:space="0" w:color="auto"/>
        <w:right w:val="none" w:sz="0" w:space="0" w:color="auto"/>
      </w:divBdr>
    </w:div>
    <w:div w:id="20733874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ex.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4D74CC-D00E-43EB-9714-C8883C47C9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30582-ED6C-4AEF-AA5A-B6532BC59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BCE79-79C0-4188-BED7-111B7DC83B23}">
  <ds:schemaRefs>
    <ds:schemaRef ds:uri="http://schemas.openxmlformats.org/officeDocument/2006/bibliography"/>
  </ds:schemaRefs>
</ds:datastoreItem>
</file>

<file path=customXml/itemProps4.xml><?xml version="1.0" encoding="utf-8"?>
<ds:datastoreItem xmlns:ds="http://schemas.openxmlformats.org/officeDocument/2006/customXml" ds:itemID="{0F4E216B-65A0-4BC7-BE0C-14D81405C5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1564</Words>
  <Characters>9780</Characters>
  <Application>Microsoft Office Word</Application>
  <DocSecurity>0</DocSecurity>
  <Lines>222</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11255</CharactersWithSpaces>
  <SharedDoc>false</SharedDoc>
  <HLinks>
    <vt:vector size="12" baseType="variant">
      <vt:variant>
        <vt:i4>5767234</vt:i4>
      </vt:variant>
      <vt:variant>
        <vt:i4>6</vt:i4>
      </vt:variant>
      <vt:variant>
        <vt:i4>0</vt:i4>
      </vt:variant>
      <vt:variant>
        <vt:i4>5</vt:i4>
      </vt:variant>
      <vt:variant>
        <vt:lpwstr>http://www.nyse.com/</vt:lpwstr>
      </vt:variant>
      <vt:variant>
        <vt:lpwstr/>
      </vt:variant>
      <vt:variant>
        <vt:i4>5767234</vt:i4>
      </vt:variant>
      <vt:variant>
        <vt:i4>3</vt:i4>
      </vt:variant>
      <vt:variant>
        <vt:i4>0</vt:i4>
      </vt:variant>
      <vt:variant>
        <vt:i4>5</vt:i4>
      </vt:variant>
      <vt:variant>
        <vt:lpwstr>http://www.nyse.com/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Татьяна</dc:creator>
  <cp:keywords/>
  <cp:lastModifiedBy>Лошкарева Кристина Викторовна</cp:lastModifiedBy>
  <cp:revision>5</cp:revision>
  <cp:lastPrinted>2020-02-26T09:42:00Z</cp:lastPrinted>
  <dcterms:created xsi:type="dcterms:W3CDTF">2022-01-28T09:14:00Z</dcterms:created>
  <dcterms:modified xsi:type="dcterms:W3CDTF">2022-02-25T11:56:00Z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0x010100B775DA8E0BF19748BB24D462BA49B2B8</vt:lpwstr>
  </property>
</Properties>
</file>