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D6959" w14:textId="788BF22C" w:rsidR="00E13995" w:rsidRPr="00F53868" w:rsidRDefault="005B7D82" w:rsidP="005B7D82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jc w:val="center"/>
        <w:rPr>
          <w:sz w:val="28"/>
          <w:szCs w:val="28"/>
        </w:rPr>
      </w:pPr>
      <w:r w:rsidRPr="00F53868">
        <w:rPr>
          <w:sz w:val="28"/>
          <w:szCs w:val="28"/>
        </w:rPr>
        <w:t>Описание и</w:t>
      </w:r>
      <w:r w:rsidR="00E13995" w:rsidRPr="00F53868">
        <w:rPr>
          <w:sz w:val="28"/>
          <w:szCs w:val="28"/>
        </w:rPr>
        <w:t>зменени</w:t>
      </w:r>
      <w:r w:rsidRPr="00F53868">
        <w:rPr>
          <w:sz w:val="28"/>
          <w:szCs w:val="28"/>
        </w:rPr>
        <w:t>й</w:t>
      </w:r>
      <w:r w:rsidR="00E13995" w:rsidRPr="00F53868">
        <w:rPr>
          <w:sz w:val="28"/>
          <w:szCs w:val="28"/>
        </w:rPr>
        <w:t xml:space="preserve"> в схем</w:t>
      </w:r>
      <w:r w:rsidR="00FB63AB">
        <w:rPr>
          <w:sz w:val="28"/>
          <w:szCs w:val="28"/>
        </w:rPr>
        <w:t>е</w:t>
      </w:r>
      <w:r w:rsidR="00E13995" w:rsidRPr="00F53868">
        <w:rPr>
          <w:sz w:val="28"/>
          <w:szCs w:val="28"/>
        </w:rPr>
        <w:t xml:space="preserve"> взимания ДКС</w:t>
      </w:r>
      <w:r w:rsidR="00AC2C36">
        <w:rPr>
          <w:sz w:val="28"/>
          <w:szCs w:val="28"/>
        </w:rPr>
        <w:t xml:space="preserve"> с </w:t>
      </w:r>
      <w:r w:rsidR="00857E81">
        <w:rPr>
          <w:sz w:val="28"/>
          <w:szCs w:val="28"/>
        </w:rPr>
        <w:t>14</w:t>
      </w:r>
      <w:r w:rsidR="00AC2C36">
        <w:rPr>
          <w:sz w:val="28"/>
          <w:szCs w:val="28"/>
        </w:rPr>
        <w:t>.</w:t>
      </w:r>
      <w:r w:rsidR="00857E81">
        <w:rPr>
          <w:sz w:val="28"/>
          <w:szCs w:val="28"/>
        </w:rPr>
        <w:t>11</w:t>
      </w:r>
      <w:r w:rsidR="00AC2C36">
        <w:rPr>
          <w:sz w:val="28"/>
          <w:szCs w:val="28"/>
        </w:rPr>
        <w:t>.22</w:t>
      </w:r>
    </w:p>
    <w:p w14:paraId="065F55A0" w14:textId="77777777" w:rsidR="003B2658" w:rsidRPr="00CD3735" w:rsidRDefault="00F34C41" w:rsidP="003B2658">
      <w:pPr>
        <w:pStyle w:val="Title3"/>
        <w:tabs>
          <w:tab w:val="clear" w:pos="2411"/>
          <w:tab w:val="num" w:pos="1418"/>
        </w:tabs>
        <w:spacing w:before="240"/>
        <w:ind w:left="1418"/>
      </w:pPr>
      <w:r>
        <w:t>Текущая схема начисления ДКС</w:t>
      </w:r>
    </w:p>
    <w:p w14:paraId="1264A0E3" w14:textId="0EF76019" w:rsidR="00262A03" w:rsidRDefault="005B7D82" w:rsidP="00F53868">
      <w:pPr>
        <w:pStyle w:val="a8"/>
        <w:numPr>
          <w:ilvl w:val="1"/>
          <w:numId w:val="3"/>
        </w:numPr>
        <w:spacing w:before="60"/>
        <w:ind w:left="567" w:hanging="567"/>
        <w:contextualSpacing w:val="0"/>
      </w:pPr>
      <w:r w:rsidRPr="003B2658">
        <w:t xml:space="preserve">ДКС начисляется каждому Участнику торгов (УТ) или конечному клиенту УТ в размере </w:t>
      </w:r>
      <w:r w:rsidRPr="00F34C41">
        <w:rPr>
          <w:b/>
        </w:rPr>
        <w:t>0,1 руб.</w:t>
      </w:r>
      <w:r w:rsidRPr="003B2658">
        <w:t xml:space="preserve"> за каждую заявку, </w:t>
      </w:r>
      <w:r w:rsidRPr="00F53868">
        <w:rPr>
          <w:b/>
          <w:u w:val="single"/>
        </w:rPr>
        <w:t>не</w:t>
      </w:r>
      <w:r w:rsidR="009407E0">
        <w:rPr>
          <w:b/>
          <w:u w:val="single"/>
        </w:rPr>
        <w:t xml:space="preserve"> </w:t>
      </w:r>
      <w:r w:rsidRPr="00F53868">
        <w:rPr>
          <w:b/>
          <w:u w:val="single"/>
        </w:rPr>
        <w:t xml:space="preserve">компенсированную </w:t>
      </w:r>
      <w:r w:rsidR="00857E81">
        <w:rPr>
          <w:b/>
          <w:u w:val="single"/>
        </w:rPr>
        <w:t>оборотом</w:t>
      </w:r>
      <w:r w:rsidRPr="003B2658">
        <w:t xml:space="preserve"> </w:t>
      </w:r>
      <w:r w:rsidR="00186DE3">
        <w:t>по</w:t>
      </w:r>
      <w:r w:rsidRPr="003B2658">
        <w:t xml:space="preserve"> сделк</w:t>
      </w:r>
      <w:r w:rsidR="00186DE3">
        <w:t>ам</w:t>
      </w:r>
      <w:r w:rsidR="00F06281">
        <w:t xml:space="preserve">, </w:t>
      </w:r>
      <w:r w:rsidR="00F027A6" w:rsidRPr="003B2658">
        <w:t xml:space="preserve">независимо был УТ или его клиент </w:t>
      </w:r>
      <w:proofErr w:type="spellStart"/>
      <w:r w:rsidR="00F027A6" w:rsidRPr="003B2658">
        <w:t>мейкером</w:t>
      </w:r>
      <w:proofErr w:type="spellEnd"/>
      <w:r w:rsidR="00F027A6" w:rsidRPr="003B2658">
        <w:t xml:space="preserve"> или </w:t>
      </w:r>
      <w:proofErr w:type="spellStart"/>
      <w:r w:rsidR="00F027A6" w:rsidRPr="003B2658">
        <w:t>тейкером</w:t>
      </w:r>
      <w:proofErr w:type="spellEnd"/>
      <w:r w:rsidR="00F027A6" w:rsidRPr="003B2658">
        <w:t xml:space="preserve"> в сделках</w:t>
      </w:r>
      <w:r w:rsidR="005D2CB8">
        <w:t>.</w:t>
      </w:r>
    </w:p>
    <w:p w14:paraId="0613231D" w14:textId="5E4F8EF3" w:rsidR="00BC6B32" w:rsidRDefault="00BC6B32" w:rsidP="00F53868">
      <w:pPr>
        <w:pStyle w:val="a8"/>
        <w:numPr>
          <w:ilvl w:val="1"/>
          <w:numId w:val="3"/>
        </w:numPr>
        <w:spacing w:before="60"/>
        <w:ind w:left="567" w:hanging="567"/>
        <w:contextualSpacing w:val="0"/>
      </w:pPr>
      <w:r w:rsidRPr="003B2658">
        <w:t xml:space="preserve">В расчете ДКС участвуют безадресные заявки (сделки) по инструментам </w:t>
      </w:r>
      <w:r w:rsidRPr="003B2658">
        <w:rPr>
          <w:b/>
        </w:rPr>
        <w:t>СПОТ</w:t>
      </w:r>
      <w:r w:rsidRPr="003B2658">
        <w:t xml:space="preserve"> в основн</w:t>
      </w:r>
      <w:r>
        <w:t xml:space="preserve">ых </w:t>
      </w:r>
      <w:r w:rsidRPr="003B2658">
        <w:t>режимах</w:t>
      </w:r>
      <w:r>
        <w:t xml:space="preserve"> </w:t>
      </w:r>
      <w:r w:rsidRPr="00F34C41">
        <w:rPr>
          <w:b/>
        </w:rPr>
        <w:t>(</w:t>
      </w:r>
      <w:r w:rsidRPr="00F34C41">
        <w:rPr>
          <w:b/>
          <w:lang w:val="en-US"/>
        </w:rPr>
        <w:t>CETS</w:t>
      </w:r>
      <w:r w:rsidRPr="00F34C41">
        <w:rPr>
          <w:b/>
        </w:rPr>
        <w:t xml:space="preserve">, </w:t>
      </w:r>
      <w:r w:rsidRPr="00F34C41">
        <w:rPr>
          <w:b/>
          <w:lang w:val="en-US"/>
        </w:rPr>
        <w:t>SDBP</w:t>
      </w:r>
      <w:r w:rsidRPr="00F34C41">
        <w:rPr>
          <w:b/>
        </w:rPr>
        <w:t>)</w:t>
      </w:r>
      <w:r w:rsidRPr="003B2658">
        <w:t xml:space="preserve">. </w:t>
      </w:r>
      <w:r w:rsidR="00393DA8">
        <w:t>При этом</w:t>
      </w:r>
      <w:r w:rsidR="00393DA8" w:rsidRPr="00393DA8">
        <w:t xml:space="preserve"> исключаются заявки и сделки по инструментам пары BYNRUB (BYNRUB_TOD, BYNRUB_TOM)).</w:t>
      </w:r>
      <w:r w:rsidR="00393DA8">
        <w:t xml:space="preserve"> </w:t>
      </w:r>
      <w:r w:rsidRPr="003B2658">
        <w:t xml:space="preserve">В случае </w:t>
      </w:r>
      <w:r w:rsidR="0054749E">
        <w:t>подачи</w:t>
      </w:r>
      <w:r w:rsidRPr="003B2658">
        <w:t xml:space="preserve"> заявок </w:t>
      </w:r>
      <w:proofErr w:type="spellStart"/>
      <w:r w:rsidRPr="00F34C41">
        <w:rPr>
          <w:b/>
        </w:rPr>
        <w:t>маркет-мейкерами</w:t>
      </w:r>
      <w:proofErr w:type="spellEnd"/>
      <w:r w:rsidRPr="003B2658">
        <w:t xml:space="preserve"> количество заявок, принимаемых к учету при расчете ДКС, </w:t>
      </w:r>
      <w:r w:rsidRPr="00F34C41">
        <w:rPr>
          <w:b/>
        </w:rPr>
        <w:t>уменьшается в 2 раза</w:t>
      </w:r>
      <w:r w:rsidRPr="003B2658">
        <w:t>.</w:t>
      </w:r>
    </w:p>
    <w:p w14:paraId="6D5A3399" w14:textId="77777777" w:rsidR="0027766B" w:rsidRPr="003B2658" w:rsidRDefault="0027766B" w:rsidP="0027766B">
      <w:pPr>
        <w:pStyle w:val="a8"/>
        <w:numPr>
          <w:ilvl w:val="1"/>
          <w:numId w:val="3"/>
        </w:numPr>
        <w:spacing w:before="60"/>
        <w:ind w:left="567" w:hanging="567"/>
        <w:contextualSpacing w:val="0"/>
      </w:pPr>
      <w:r w:rsidRPr="00E2572A">
        <w:t xml:space="preserve">ДКС рассчитывается при количестве заявок в день свыше </w:t>
      </w:r>
      <w:r w:rsidRPr="002E0932">
        <w:rPr>
          <w:b/>
        </w:rPr>
        <w:t>10 000</w:t>
      </w:r>
      <w:r w:rsidRPr="00E2572A">
        <w:t xml:space="preserve">, ДКС может быть начислен при количестве заявок в день свыше </w:t>
      </w:r>
      <w:r w:rsidRPr="002E0932">
        <w:rPr>
          <w:b/>
        </w:rPr>
        <w:t>30 000</w:t>
      </w:r>
      <w:r w:rsidRPr="00E2572A">
        <w:t xml:space="preserve">, ДКС не взимается при начислении </w:t>
      </w:r>
      <w:r w:rsidRPr="002E0932">
        <w:rPr>
          <w:b/>
        </w:rPr>
        <w:t>в первый раз</w:t>
      </w:r>
      <w:r w:rsidRPr="00E2572A">
        <w:t>, в расчете ДКС не участвуют заявки и сделки рынка драгметаллов.</w:t>
      </w:r>
      <w:r>
        <w:t xml:space="preserve"> </w:t>
      </w:r>
      <w:r w:rsidRPr="003B2658">
        <w:t xml:space="preserve">Максимальная сумма ДКС – </w:t>
      </w:r>
      <w:r w:rsidRPr="00F34C41">
        <w:rPr>
          <w:b/>
        </w:rPr>
        <w:t>300 </w:t>
      </w:r>
      <w:r>
        <w:rPr>
          <w:b/>
        </w:rPr>
        <w:t xml:space="preserve">тыс. </w:t>
      </w:r>
      <w:r w:rsidRPr="00F34C41">
        <w:rPr>
          <w:b/>
        </w:rPr>
        <w:t>руб.</w:t>
      </w:r>
      <w:r w:rsidRPr="003B2658">
        <w:t xml:space="preserve"> за день торгов.</w:t>
      </w:r>
    </w:p>
    <w:p w14:paraId="2E243F58" w14:textId="1D2E5355" w:rsidR="00393DA8" w:rsidRPr="00393DA8" w:rsidRDefault="00393DA8" w:rsidP="00393DA8">
      <w:pPr>
        <w:pStyle w:val="a8"/>
        <w:numPr>
          <w:ilvl w:val="1"/>
          <w:numId w:val="3"/>
        </w:numPr>
        <w:spacing w:before="60"/>
        <w:ind w:left="567" w:hanging="567"/>
        <w:contextualSpacing w:val="0"/>
      </w:pPr>
      <w:r w:rsidRPr="00393DA8">
        <w:t>Если участник за день торгов заключил безадресных сделок спот на сумму</w:t>
      </w:r>
      <w:r w:rsidR="0027766B">
        <w:t>,</w:t>
      </w:r>
      <w:r w:rsidRPr="00393DA8">
        <w:t xml:space="preserve"> превышающ</w:t>
      </w:r>
      <w:r w:rsidR="0027766B">
        <w:t>ую</w:t>
      </w:r>
      <w:r w:rsidRPr="00393DA8">
        <w:t xml:space="preserve"> определенный процент от рынка (устанавливается на уровне </w:t>
      </w:r>
      <w:r w:rsidRPr="00393DA8">
        <w:rPr>
          <w:b/>
        </w:rPr>
        <w:t>3%</w:t>
      </w:r>
      <w:r w:rsidRPr="00393DA8">
        <w:t xml:space="preserve">), то он освобождается от уплаты ДКС </w:t>
      </w:r>
      <w:r w:rsidRPr="00393DA8">
        <w:rPr>
          <w:b/>
          <w:u w:val="single"/>
        </w:rPr>
        <w:t>независимо от кол-ва поданных заявок</w:t>
      </w:r>
      <w:r w:rsidRPr="00393DA8">
        <w:t>.</w:t>
      </w:r>
    </w:p>
    <w:p w14:paraId="494B3B1F" w14:textId="77777777" w:rsidR="00E13995" w:rsidRPr="000F0CE3" w:rsidRDefault="008A4AB5" w:rsidP="00F53868">
      <w:pPr>
        <w:pStyle w:val="a8"/>
        <w:numPr>
          <w:ilvl w:val="1"/>
          <w:numId w:val="3"/>
        </w:numPr>
        <w:spacing w:before="60"/>
        <w:ind w:left="567" w:hanging="567"/>
        <w:contextualSpacing w:val="0"/>
      </w:pPr>
      <w:r w:rsidRPr="000F0CE3">
        <w:t>Ф</w:t>
      </w:r>
      <w:r w:rsidR="00E13995" w:rsidRPr="000F0CE3">
        <w:t>ормул</w:t>
      </w:r>
      <w:r w:rsidRPr="000F0CE3">
        <w:t>а</w:t>
      </w:r>
      <w:r w:rsidR="00E13995" w:rsidRPr="000F0CE3">
        <w:t xml:space="preserve"> расчета ДКС:</w:t>
      </w:r>
    </w:p>
    <w:p w14:paraId="51356C4A" w14:textId="4895C1F7" w:rsidR="00E2572A" w:rsidRPr="00E2572A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spacing w:before="240" w:after="240"/>
        <w:jc w:val="left"/>
        <w:rPr>
          <w:lang w:val="en-US"/>
        </w:rPr>
      </w:pPr>
      <w:r w:rsidRPr="00E2572A">
        <w:rPr>
          <w:lang w:val="en-US"/>
        </w:rPr>
        <w:t>DKS = ЕСЛИ (T ≥ D*R; 0; min (300 000; max (NUM_ORDERS – round(T*K); 0) *М))</w:t>
      </w:r>
      <w:r w:rsidRPr="00E2572A">
        <w:rPr>
          <w:b w:val="0"/>
          <w:lang w:val="en-US"/>
        </w:rPr>
        <w:t>, где</w:t>
      </w:r>
    </w:p>
    <w:p w14:paraId="7DA11237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spacing w:before="80" w:after="80"/>
        <w:jc w:val="left"/>
        <w:rPr>
          <w:sz w:val="22"/>
          <w:szCs w:val="22"/>
        </w:rPr>
      </w:pPr>
      <w:r w:rsidRPr="005F0A32">
        <w:rPr>
          <w:sz w:val="22"/>
          <w:szCs w:val="22"/>
          <w:lang w:val="en-US"/>
        </w:rPr>
        <w:t>NUM</w:t>
      </w:r>
      <w:r w:rsidRPr="005F0A32">
        <w:rPr>
          <w:sz w:val="22"/>
          <w:szCs w:val="22"/>
        </w:rPr>
        <w:t>_</w:t>
      </w:r>
      <w:r w:rsidRPr="005F0A32">
        <w:rPr>
          <w:sz w:val="22"/>
          <w:szCs w:val="22"/>
          <w:lang w:val="en-US"/>
        </w:rPr>
        <w:t>ORDERS</w:t>
      </w:r>
      <w:r w:rsidRPr="005F0A32">
        <w:rPr>
          <w:sz w:val="22"/>
          <w:szCs w:val="22"/>
        </w:rPr>
        <w:t xml:space="preserve"> = </w:t>
      </w:r>
      <w:r w:rsidRPr="005F0A32">
        <w:rPr>
          <w:sz w:val="22"/>
          <w:szCs w:val="22"/>
          <w:lang w:val="en-US"/>
        </w:rPr>
        <w:t>ORDERS</w:t>
      </w:r>
      <w:r w:rsidRPr="005F0A32">
        <w:rPr>
          <w:sz w:val="22"/>
          <w:szCs w:val="22"/>
        </w:rPr>
        <w:t xml:space="preserve">1 * </w:t>
      </w:r>
      <w:r w:rsidRPr="005F0A32">
        <w:rPr>
          <w:sz w:val="22"/>
          <w:szCs w:val="22"/>
          <w:lang w:val="en-US"/>
        </w:rPr>
        <w:t>L</w:t>
      </w:r>
      <w:r w:rsidRPr="005F0A32">
        <w:rPr>
          <w:sz w:val="22"/>
          <w:szCs w:val="22"/>
        </w:rPr>
        <w:t xml:space="preserve">1 + </w:t>
      </w:r>
      <w:r w:rsidRPr="005F0A32">
        <w:rPr>
          <w:sz w:val="22"/>
          <w:szCs w:val="22"/>
          <w:lang w:val="en-US"/>
        </w:rPr>
        <w:t>ORDERS</w:t>
      </w:r>
      <w:r w:rsidRPr="005F0A32">
        <w:rPr>
          <w:sz w:val="22"/>
          <w:szCs w:val="22"/>
        </w:rPr>
        <w:t xml:space="preserve">2 * </w:t>
      </w:r>
      <w:r w:rsidRPr="005F0A32">
        <w:rPr>
          <w:sz w:val="22"/>
          <w:szCs w:val="22"/>
          <w:lang w:val="en-US"/>
        </w:rPr>
        <w:t>L</w:t>
      </w:r>
      <w:r w:rsidRPr="005F0A32">
        <w:rPr>
          <w:sz w:val="22"/>
          <w:szCs w:val="22"/>
        </w:rPr>
        <w:t xml:space="preserve">2 </w:t>
      </w:r>
      <w:r w:rsidRPr="005F0A32">
        <w:rPr>
          <w:b w:val="0"/>
          <w:sz w:val="22"/>
          <w:szCs w:val="22"/>
        </w:rPr>
        <w:t>– количество заявок УТ или его клиентов, учитываемых при расчете ДКС, где:</w:t>
      </w:r>
    </w:p>
    <w:p w14:paraId="2744BA66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>ORDERS1</w:t>
      </w:r>
      <w:r w:rsidRPr="005F0A32">
        <w:rPr>
          <w:b w:val="0"/>
          <w:sz w:val="22"/>
          <w:szCs w:val="22"/>
        </w:rPr>
        <w:t xml:space="preserve"> – количество заявок (кроме заявок на заключение адресных сделок и безадресных сделок типа всем или заявок на заключение сделок своп, своп контрактов, поставочных фьючерсов, а также заявок на заключение адресных и безадресных сделок спот по инструментам пары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 xml:space="preserve"> (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TOD</w:t>
      </w:r>
      <w:r w:rsidRPr="005F0A32">
        <w:rPr>
          <w:b w:val="0"/>
          <w:sz w:val="22"/>
          <w:szCs w:val="22"/>
        </w:rPr>
        <w:t xml:space="preserve">,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TOM</w:t>
      </w:r>
      <w:r w:rsidRPr="005F0A32">
        <w:rPr>
          <w:b w:val="0"/>
          <w:sz w:val="22"/>
          <w:szCs w:val="22"/>
        </w:rPr>
        <w:t xml:space="preserve">)), поданных УТ или его клиентом по соответствующим уникальным кодам в течение торгового дня, по инструментам, в отношении которых УТ или его клиент не является </w:t>
      </w:r>
      <w:proofErr w:type="spellStart"/>
      <w:r w:rsidRPr="005F0A32">
        <w:rPr>
          <w:b w:val="0"/>
          <w:sz w:val="22"/>
          <w:szCs w:val="22"/>
        </w:rPr>
        <w:t>маркет-мейкером</w:t>
      </w:r>
      <w:proofErr w:type="spellEnd"/>
      <w:r w:rsidRPr="005F0A32">
        <w:rPr>
          <w:b w:val="0"/>
          <w:sz w:val="22"/>
          <w:szCs w:val="22"/>
        </w:rPr>
        <w:t xml:space="preserve"> (в расчет принимаются заявки, у которых поле </w:t>
      </w:r>
      <w:proofErr w:type="spellStart"/>
      <w:r w:rsidRPr="005F0A32">
        <w:rPr>
          <w:sz w:val="22"/>
          <w:szCs w:val="22"/>
        </w:rPr>
        <w:t>IsActualMM</w:t>
      </w:r>
      <w:proofErr w:type="spellEnd"/>
      <w:r w:rsidRPr="005F0A32">
        <w:rPr>
          <w:sz w:val="22"/>
          <w:szCs w:val="22"/>
        </w:rPr>
        <w:t xml:space="preserve"> пустое</w:t>
      </w:r>
      <w:r w:rsidRPr="005F0A32">
        <w:rPr>
          <w:b w:val="0"/>
          <w:sz w:val="22"/>
          <w:szCs w:val="22"/>
        </w:rPr>
        <w:t xml:space="preserve">); </w:t>
      </w:r>
    </w:p>
    <w:p w14:paraId="12AF9C9F" w14:textId="7858BC82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>ORDERS2</w:t>
      </w:r>
      <w:r w:rsidRPr="005F0A32">
        <w:rPr>
          <w:b w:val="0"/>
          <w:sz w:val="22"/>
          <w:szCs w:val="22"/>
        </w:rPr>
        <w:t xml:space="preserve"> – количество заявок (кроме заявок на заключение адресных сделок и безадресных сделок типа всем или заявок на заключение сделок своп, своп контрактов, поставочных фьючерсов, а также заявок на заключение адресных и безадресных сделок спот по инструментам пары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 xml:space="preserve"> (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TOD</w:t>
      </w:r>
      <w:r w:rsidRPr="005F0A32">
        <w:rPr>
          <w:b w:val="0"/>
          <w:sz w:val="22"/>
          <w:szCs w:val="22"/>
        </w:rPr>
        <w:t xml:space="preserve">,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TOM</w:t>
      </w:r>
      <w:r w:rsidRPr="005F0A32">
        <w:rPr>
          <w:b w:val="0"/>
          <w:sz w:val="22"/>
          <w:szCs w:val="22"/>
        </w:rPr>
        <w:t xml:space="preserve">)), поданных УТ или его клиентом по соответствующим уникальным кодам в течение торгового дня, по инструментам, в отношении которых УТ или его клиент является </w:t>
      </w:r>
      <w:proofErr w:type="spellStart"/>
      <w:r w:rsidRPr="005F0A32">
        <w:rPr>
          <w:b w:val="0"/>
          <w:sz w:val="22"/>
          <w:szCs w:val="22"/>
        </w:rPr>
        <w:t>маркет-мейкером</w:t>
      </w:r>
      <w:proofErr w:type="spellEnd"/>
      <w:r w:rsidRPr="005F0A32">
        <w:rPr>
          <w:b w:val="0"/>
          <w:sz w:val="22"/>
          <w:szCs w:val="22"/>
        </w:rPr>
        <w:t xml:space="preserve"> (в расчет принимаются заявки, у которых поле </w:t>
      </w:r>
      <w:proofErr w:type="spellStart"/>
      <w:r w:rsidRPr="005F0A32">
        <w:rPr>
          <w:sz w:val="22"/>
          <w:szCs w:val="22"/>
        </w:rPr>
        <w:t>IsActualMM</w:t>
      </w:r>
      <w:proofErr w:type="spellEnd"/>
      <w:r w:rsidRPr="005F0A32">
        <w:rPr>
          <w:sz w:val="22"/>
          <w:szCs w:val="22"/>
        </w:rPr>
        <w:t xml:space="preserve"> = “Y”</w:t>
      </w:r>
      <w:r>
        <w:rPr>
          <w:sz w:val="22"/>
          <w:szCs w:val="22"/>
        </w:rPr>
        <w:t xml:space="preserve"> </w:t>
      </w:r>
      <w:r w:rsidRPr="00E2572A">
        <w:rPr>
          <w:b w:val="0"/>
          <w:sz w:val="22"/>
          <w:szCs w:val="22"/>
        </w:rPr>
        <w:t xml:space="preserve">или </w:t>
      </w:r>
      <w:r>
        <w:rPr>
          <w:sz w:val="22"/>
          <w:szCs w:val="22"/>
        </w:rPr>
        <w:t xml:space="preserve">= </w:t>
      </w:r>
      <w:r w:rsidRPr="00E2572A">
        <w:rPr>
          <w:sz w:val="22"/>
          <w:szCs w:val="22"/>
        </w:rPr>
        <w:t>“</w:t>
      </w:r>
      <w:r>
        <w:rPr>
          <w:sz w:val="22"/>
          <w:szCs w:val="22"/>
          <w:lang w:val="en-US"/>
        </w:rPr>
        <w:t>M</w:t>
      </w:r>
      <w:r w:rsidRPr="00E2572A">
        <w:rPr>
          <w:sz w:val="22"/>
          <w:szCs w:val="22"/>
        </w:rPr>
        <w:t>”</w:t>
      </w:r>
      <w:r w:rsidRPr="005F0A32">
        <w:rPr>
          <w:b w:val="0"/>
          <w:sz w:val="22"/>
          <w:szCs w:val="22"/>
        </w:rPr>
        <w:t xml:space="preserve">); </w:t>
      </w:r>
    </w:p>
    <w:p w14:paraId="761830C3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>L1 –</w:t>
      </w:r>
      <w:r w:rsidRPr="005F0A32">
        <w:rPr>
          <w:b w:val="0"/>
          <w:sz w:val="22"/>
          <w:szCs w:val="22"/>
        </w:rPr>
        <w:t xml:space="preserve"> коэффициент ликвидности актива, устанавливается равным </w:t>
      </w:r>
      <w:r w:rsidRPr="005F0A32">
        <w:rPr>
          <w:sz w:val="22"/>
          <w:szCs w:val="22"/>
        </w:rPr>
        <w:t xml:space="preserve">1 (единице) </w:t>
      </w:r>
      <w:r w:rsidRPr="005F0A32">
        <w:rPr>
          <w:b w:val="0"/>
          <w:sz w:val="22"/>
          <w:szCs w:val="22"/>
        </w:rPr>
        <w:t xml:space="preserve">- по инструментам, по которым УТ </w:t>
      </w:r>
      <w:r w:rsidRPr="005F0A32">
        <w:rPr>
          <w:sz w:val="22"/>
          <w:szCs w:val="22"/>
        </w:rPr>
        <w:t xml:space="preserve">не является </w:t>
      </w:r>
      <w:proofErr w:type="spellStart"/>
      <w:r w:rsidRPr="005F0A32">
        <w:rPr>
          <w:sz w:val="22"/>
          <w:szCs w:val="22"/>
        </w:rPr>
        <w:t>маркет-мейкером</w:t>
      </w:r>
      <w:proofErr w:type="spellEnd"/>
      <w:r w:rsidRPr="005F0A32">
        <w:rPr>
          <w:b w:val="0"/>
          <w:sz w:val="22"/>
          <w:szCs w:val="22"/>
        </w:rPr>
        <w:t xml:space="preserve">; </w:t>
      </w:r>
    </w:p>
    <w:p w14:paraId="1913A11A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>L2 –</w:t>
      </w:r>
      <w:r w:rsidRPr="005F0A32">
        <w:rPr>
          <w:b w:val="0"/>
          <w:sz w:val="22"/>
          <w:szCs w:val="22"/>
        </w:rPr>
        <w:t xml:space="preserve"> коэффициент ликвидности актива, устанавливается равным </w:t>
      </w:r>
      <w:r w:rsidRPr="005F0A32">
        <w:rPr>
          <w:sz w:val="22"/>
          <w:szCs w:val="22"/>
        </w:rPr>
        <w:t>0,5 (пять десятых)</w:t>
      </w:r>
      <w:r w:rsidRPr="005F0A32">
        <w:rPr>
          <w:b w:val="0"/>
          <w:sz w:val="22"/>
          <w:szCs w:val="22"/>
        </w:rPr>
        <w:t xml:space="preserve"> – по инструментам, по которым УТ </w:t>
      </w:r>
      <w:r w:rsidRPr="005F0A32">
        <w:rPr>
          <w:sz w:val="22"/>
          <w:szCs w:val="22"/>
        </w:rPr>
        <w:t xml:space="preserve">является </w:t>
      </w:r>
      <w:proofErr w:type="spellStart"/>
      <w:r w:rsidRPr="005F0A32">
        <w:rPr>
          <w:sz w:val="22"/>
          <w:szCs w:val="22"/>
        </w:rPr>
        <w:t>маркет-мейкером</w:t>
      </w:r>
      <w:proofErr w:type="spellEnd"/>
      <w:r w:rsidRPr="005F0A32">
        <w:rPr>
          <w:b w:val="0"/>
          <w:sz w:val="22"/>
          <w:szCs w:val="22"/>
        </w:rPr>
        <w:t xml:space="preserve">; </w:t>
      </w:r>
    </w:p>
    <w:p w14:paraId="21182A74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spacing w:before="80" w:after="80"/>
        <w:jc w:val="left"/>
        <w:rPr>
          <w:b w:val="0"/>
          <w:sz w:val="22"/>
          <w:szCs w:val="22"/>
        </w:rPr>
      </w:pPr>
      <w:r w:rsidRPr="005F0A32">
        <w:rPr>
          <w:sz w:val="22"/>
          <w:szCs w:val="22"/>
          <w:lang w:val="en-US"/>
        </w:rPr>
        <w:t>T</w:t>
      </w:r>
      <w:r w:rsidRPr="005F0A32">
        <w:rPr>
          <w:sz w:val="22"/>
          <w:szCs w:val="22"/>
        </w:rPr>
        <w:t>*</w:t>
      </w:r>
      <w:r w:rsidRPr="005F0A32">
        <w:rPr>
          <w:sz w:val="22"/>
          <w:szCs w:val="22"/>
          <w:lang w:val="en-US"/>
        </w:rPr>
        <w:t>K</w:t>
      </w:r>
      <w:r w:rsidRPr="005F0A32">
        <w:rPr>
          <w:b w:val="0"/>
          <w:sz w:val="22"/>
          <w:szCs w:val="22"/>
        </w:rPr>
        <w:t xml:space="preserve"> – количество заявок, компенсированных объемом заключенных сделок</w:t>
      </w:r>
      <w:r w:rsidRPr="005F0A32">
        <w:rPr>
          <w:sz w:val="22"/>
          <w:szCs w:val="22"/>
        </w:rPr>
        <w:t xml:space="preserve"> УТ или его клиентом</w:t>
      </w:r>
      <w:r w:rsidRPr="005F0A32">
        <w:rPr>
          <w:b w:val="0"/>
          <w:sz w:val="22"/>
          <w:szCs w:val="22"/>
        </w:rPr>
        <w:t>, пересчитанным в рубли, где:</w:t>
      </w:r>
    </w:p>
    <w:p w14:paraId="37216CF9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>Т –</w:t>
      </w:r>
      <w:r w:rsidRPr="005F0A32">
        <w:rPr>
          <w:b w:val="0"/>
          <w:sz w:val="22"/>
          <w:szCs w:val="22"/>
        </w:rPr>
        <w:t xml:space="preserve"> суммарный оборот </w:t>
      </w:r>
      <w:r w:rsidRPr="005F0A32">
        <w:rPr>
          <w:sz w:val="22"/>
          <w:szCs w:val="22"/>
        </w:rPr>
        <w:t>УТ или его клиента</w:t>
      </w:r>
      <w:r w:rsidRPr="005F0A32">
        <w:rPr>
          <w:b w:val="0"/>
          <w:sz w:val="22"/>
          <w:szCs w:val="22"/>
        </w:rPr>
        <w:t xml:space="preserve"> в рублях (с точностью до копеек) по сделкам, не являющимися адресными сделками, в т.ч. сделками фикс (инструменты </w:t>
      </w:r>
      <w:r w:rsidRPr="005F0A32">
        <w:rPr>
          <w:b w:val="0"/>
          <w:sz w:val="22"/>
          <w:szCs w:val="22"/>
          <w:lang w:val="en-US"/>
        </w:rPr>
        <w:t>FIX</w:t>
      </w:r>
      <w:r w:rsidRPr="005F0A32">
        <w:rPr>
          <w:b w:val="0"/>
          <w:sz w:val="22"/>
          <w:szCs w:val="22"/>
        </w:rPr>
        <w:t xml:space="preserve">0 в режимах </w:t>
      </w:r>
      <w:r w:rsidRPr="005F0A32">
        <w:rPr>
          <w:b w:val="0"/>
          <w:sz w:val="22"/>
          <w:szCs w:val="22"/>
          <w:lang w:val="en-US"/>
        </w:rPr>
        <w:t>FIXS</w:t>
      </w:r>
      <w:r w:rsidRPr="005F0A32">
        <w:rPr>
          <w:b w:val="0"/>
          <w:sz w:val="22"/>
          <w:szCs w:val="22"/>
        </w:rPr>
        <w:t xml:space="preserve"> и </w:t>
      </w:r>
      <w:r w:rsidRPr="005F0A32">
        <w:rPr>
          <w:b w:val="0"/>
          <w:sz w:val="22"/>
          <w:szCs w:val="22"/>
          <w:lang w:val="en-US"/>
        </w:rPr>
        <w:t>FIXN</w:t>
      </w:r>
      <w:r w:rsidRPr="005F0A32">
        <w:rPr>
          <w:b w:val="0"/>
          <w:sz w:val="22"/>
          <w:szCs w:val="22"/>
        </w:rPr>
        <w:t xml:space="preserve">) и средневзвешенными сделками (инструменты </w:t>
      </w:r>
      <w:r w:rsidRPr="005F0A32">
        <w:rPr>
          <w:b w:val="0"/>
          <w:sz w:val="22"/>
          <w:szCs w:val="22"/>
          <w:lang w:val="en-US"/>
        </w:rPr>
        <w:t>WAP</w:t>
      </w:r>
      <w:r w:rsidRPr="005F0A32">
        <w:rPr>
          <w:b w:val="0"/>
          <w:sz w:val="22"/>
          <w:szCs w:val="22"/>
        </w:rPr>
        <w:t xml:space="preserve">0, </w:t>
      </w:r>
      <w:r w:rsidRPr="005F0A32">
        <w:rPr>
          <w:b w:val="0"/>
          <w:sz w:val="22"/>
          <w:szCs w:val="22"/>
          <w:lang w:val="en-US"/>
        </w:rPr>
        <w:t>WAPV</w:t>
      </w:r>
      <w:r w:rsidRPr="005F0A32">
        <w:rPr>
          <w:b w:val="0"/>
          <w:sz w:val="22"/>
          <w:szCs w:val="22"/>
        </w:rPr>
        <w:t xml:space="preserve"> в режимах </w:t>
      </w:r>
      <w:r w:rsidRPr="005F0A32">
        <w:rPr>
          <w:b w:val="0"/>
          <w:sz w:val="22"/>
          <w:szCs w:val="22"/>
          <w:lang w:val="en-US"/>
        </w:rPr>
        <w:t>WAPS</w:t>
      </w:r>
      <w:r w:rsidRPr="005F0A32">
        <w:rPr>
          <w:b w:val="0"/>
          <w:sz w:val="22"/>
          <w:szCs w:val="22"/>
        </w:rPr>
        <w:t xml:space="preserve"> и </w:t>
      </w:r>
      <w:r w:rsidRPr="005F0A32">
        <w:rPr>
          <w:b w:val="0"/>
          <w:sz w:val="22"/>
          <w:szCs w:val="22"/>
          <w:lang w:val="en-US"/>
        </w:rPr>
        <w:t>WAPN</w:t>
      </w:r>
      <w:r w:rsidRPr="005F0A32">
        <w:rPr>
          <w:b w:val="0"/>
          <w:sz w:val="22"/>
          <w:szCs w:val="22"/>
        </w:rPr>
        <w:t xml:space="preserve">), безадресными сделками типа всем, сделками своп, своп контрактами, поставочными фьючерсами, а также адресными и безадресными сделками спот по инструментам пары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 xml:space="preserve"> (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TOD</w:t>
      </w:r>
      <w:r w:rsidRPr="005F0A32">
        <w:rPr>
          <w:b w:val="0"/>
          <w:sz w:val="22"/>
          <w:szCs w:val="22"/>
        </w:rPr>
        <w:t xml:space="preserve">,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TOM</w:t>
      </w:r>
      <w:r w:rsidRPr="005F0A32">
        <w:rPr>
          <w:b w:val="0"/>
          <w:sz w:val="22"/>
          <w:szCs w:val="22"/>
        </w:rPr>
        <w:t xml:space="preserve">), заключенным УТ или его клиентом. Оборот по парам, в которых нет рублей, рассчитывается путем умножения объема сделки в сопряженной валюте на курс Банка России по этой валюте к рублю, установленный на день торгов (например, для пары </w:t>
      </w:r>
      <w:r w:rsidRPr="005F0A32">
        <w:rPr>
          <w:b w:val="0"/>
          <w:sz w:val="22"/>
          <w:szCs w:val="22"/>
          <w:lang w:val="en-US"/>
        </w:rPr>
        <w:t>EURUSD</w:t>
      </w:r>
      <w:r w:rsidRPr="005F0A32">
        <w:rPr>
          <w:b w:val="0"/>
          <w:sz w:val="22"/>
          <w:szCs w:val="22"/>
        </w:rPr>
        <w:t xml:space="preserve"> – объем сделки в </w:t>
      </w:r>
      <w:r w:rsidRPr="005F0A32">
        <w:rPr>
          <w:b w:val="0"/>
          <w:sz w:val="22"/>
          <w:szCs w:val="22"/>
          <w:lang w:val="en-US"/>
        </w:rPr>
        <w:t>USD</w:t>
      </w:r>
      <w:r w:rsidRPr="005F0A32">
        <w:rPr>
          <w:b w:val="0"/>
          <w:sz w:val="22"/>
          <w:szCs w:val="22"/>
        </w:rPr>
        <w:t xml:space="preserve"> умножается на курс </w:t>
      </w:r>
      <w:proofErr w:type="spellStart"/>
      <w:r w:rsidRPr="005F0A32">
        <w:rPr>
          <w:b w:val="0"/>
          <w:sz w:val="22"/>
          <w:szCs w:val="22"/>
        </w:rPr>
        <w:t>руб</w:t>
      </w:r>
      <w:proofErr w:type="spellEnd"/>
      <w:r w:rsidRPr="005F0A32">
        <w:rPr>
          <w:b w:val="0"/>
          <w:sz w:val="22"/>
          <w:szCs w:val="22"/>
        </w:rPr>
        <w:t>/</w:t>
      </w:r>
      <w:proofErr w:type="spellStart"/>
      <w:r w:rsidRPr="005F0A32">
        <w:rPr>
          <w:b w:val="0"/>
          <w:sz w:val="22"/>
          <w:szCs w:val="22"/>
          <w:lang w:val="en-US"/>
        </w:rPr>
        <w:t>usd</w:t>
      </w:r>
      <w:proofErr w:type="spellEnd"/>
      <w:r w:rsidRPr="005F0A32">
        <w:rPr>
          <w:b w:val="0"/>
          <w:sz w:val="22"/>
          <w:szCs w:val="22"/>
        </w:rPr>
        <w:t xml:space="preserve"> Банка России); </w:t>
      </w:r>
    </w:p>
    <w:p w14:paraId="185E5537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  <w:lang w:val="en-US"/>
        </w:rPr>
        <w:t>D</w:t>
      </w:r>
      <w:r w:rsidRPr="005F0A32">
        <w:rPr>
          <w:sz w:val="22"/>
          <w:szCs w:val="22"/>
        </w:rPr>
        <w:t xml:space="preserve"> –</w:t>
      </w:r>
      <w:r w:rsidRPr="005F0A32">
        <w:rPr>
          <w:b w:val="0"/>
          <w:sz w:val="22"/>
          <w:szCs w:val="22"/>
        </w:rPr>
        <w:t xml:space="preserve"> суммарный оборот </w:t>
      </w:r>
      <w:r w:rsidRPr="005F0A32">
        <w:rPr>
          <w:sz w:val="22"/>
          <w:szCs w:val="22"/>
        </w:rPr>
        <w:t>по всему рынку</w:t>
      </w:r>
      <w:r w:rsidRPr="005F0A32">
        <w:rPr>
          <w:b w:val="0"/>
          <w:sz w:val="22"/>
          <w:szCs w:val="22"/>
        </w:rPr>
        <w:t xml:space="preserve"> в рублях (с точностью до копеек) по сделкам, не являющимися </w:t>
      </w:r>
      <w:r w:rsidRPr="005F0A32">
        <w:rPr>
          <w:b w:val="0"/>
          <w:sz w:val="22"/>
          <w:szCs w:val="22"/>
        </w:rPr>
        <w:lastRenderedPageBreak/>
        <w:t xml:space="preserve">адресными сделками, в т.ч. сделками фикс (инструменты </w:t>
      </w:r>
      <w:r w:rsidRPr="005F0A32">
        <w:rPr>
          <w:b w:val="0"/>
          <w:sz w:val="22"/>
          <w:szCs w:val="22"/>
          <w:lang w:val="en-US"/>
        </w:rPr>
        <w:t>FIX</w:t>
      </w:r>
      <w:r w:rsidRPr="005F0A32">
        <w:rPr>
          <w:b w:val="0"/>
          <w:sz w:val="22"/>
          <w:szCs w:val="22"/>
        </w:rPr>
        <w:t xml:space="preserve">0 в режимах </w:t>
      </w:r>
      <w:r w:rsidRPr="005F0A32">
        <w:rPr>
          <w:b w:val="0"/>
          <w:sz w:val="22"/>
          <w:szCs w:val="22"/>
          <w:lang w:val="en-US"/>
        </w:rPr>
        <w:t>FIXS</w:t>
      </w:r>
      <w:r w:rsidRPr="005F0A32">
        <w:rPr>
          <w:b w:val="0"/>
          <w:sz w:val="22"/>
          <w:szCs w:val="22"/>
        </w:rPr>
        <w:t xml:space="preserve"> и </w:t>
      </w:r>
      <w:r w:rsidRPr="005F0A32">
        <w:rPr>
          <w:b w:val="0"/>
          <w:sz w:val="22"/>
          <w:szCs w:val="22"/>
          <w:lang w:val="en-US"/>
        </w:rPr>
        <w:t>FIXN</w:t>
      </w:r>
      <w:r w:rsidRPr="005F0A32">
        <w:rPr>
          <w:b w:val="0"/>
          <w:sz w:val="22"/>
          <w:szCs w:val="22"/>
        </w:rPr>
        <w:t xml:space="preserve">) и средневзвешенными сделками (инструменты </w:t>
      </w:r>
      <w:r w:rsidRPr="005F0A32">
        <w:rPr>
          <w:b w:val="0"/>
          <w:sz w:val="22"/>
          <w:szCs w:val="22"/>
          <w:lang w:val="en-US"/>
        </w:rPr>
        <w:t>WAP</w:t>
      </w:r>
      <w:r w:rsidRPr="005F0A32">
        <w:rPr>
          <w:b w:val="0"/>
          <w:sz w:val="22"/>
          <w:szCs w:val="22"/>
        </w:rPr>
        <w:t xml:space="preserve">0, </w:t>
      </w:r>
      <w:r w:rsidRPr="005F0A32">
        <w:rPr>
          <w:b w:val="0"/>
          <w:sz w:val="22"/>
          <w:szCs w:val="22"/>
          <w:lang w:val="en-US"/>
        </w:rPr>
        <w:t>WAPV</w:t>
      </w:r>
      <w:r w:rsidRPr="005F0A32">
        <w:rPr>
          <w:b w:val="0"/>
          <w:sz w:val="22"/>
          <w:szCs w:val="22"/>
        </w:rPr>
        <w:t xml:space="preserve"> в режимах </w:t>
      </w:r>
      <w:r w:rsidRPr="005F0A32">
        <w:rPr>
          <w:b w:val="0"/>
          <w:sz w:val="22"/>
          <w:szCs w:val="22"/>
          <w:lang w:val="en-US"/>
        </w:rPr>
        <w:t>WAPS</w:t>
      </w:r>
      <w:r w:rsidRPr="005F0A32">
        <w:rPr>
          <w:b w:val="0"/>
          <w:sz w:val="22"/>
          <w:szCs w:val="22"/>
        </w:rPr>
        <w:t xml:space="preserve"> и </w:t>
      </w:r>
      <w:r w:rsidRPr="005F0A32">
        <w:rPr>
          <w:b w:val="0"/>
          <w:sz w:val="22"/>
          <w:szCs w:val="22"/>
          <w:lang w:val="en-US"/>
        </w:rPr>
        <w:t>WAPN</w:t>
      </w:r>
      <w:r w:rsidRPr="005F0A32">
        <w:rPr>
          <w:b w:val="0"/>
          <w:sz w:val="22"/>
          <w:szCs w:val="22"/>
        </w:rPr>
        <w:t xml:space="preserve">), безадресными сделками типа всем, сделками своп, своп контрактами, поставочными фьючерсами, а также адресными и безадресными сделками спот по инструментам пары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 xml:space="preserve"> (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TOD</w:t>
      </w:r>
      <w:r w:rsidRPr="005F0A32">
        <w:rPr>
          <w:b w:val="0"/>
          <w:sz w:val="22"/>
          <w:szCs w:val="22"/>
        </w:rPr>
        <w:t xml:space="preserve">, </w:t>
      </w:r>
      <w:r w:rsidRPr="005F0A32">
        <w:rPr>
          <w:b w:val="0"/>
          <w:sz w:val="22"/>
          <w:szCs w:val="22"/>
          <w:lang w:val="en-US"/>
        </w:rPr>
        <w:t>BYNRUB</w:t>
      </w:r>
      <w:r w:rsidRPr="005F0A32">
        <w:rPr>
          <w:b w:val="0"/>
          <w:sz w:val="22"/>
          <w:szCs w:val="22"/>
        </w:rPr>
        <w:t>_</w:t>
      </w:r>
      <w:r w:rsidRPr="005F0A32">
        <w:rPr>
          <w:b w:val="0"/>
          <w:sz w:val="22"/>
          <w:szCs w:val="22"/>
          <w:lang w:val="en-US"/>
        </w:rPr>
        <w:t>TOM</w:t>
      </w:r>
      <w:r w:rsidRPr="005F0A32">
        <w:rPr>
          <w:b w:val="0"/>
          <w:sz w:val="22"/>
          <w:szCs w:val="22"/>
        </w:rPr>
        <w:t xml:space="preserve">), заключенным всеми УТ и их клиентами. Оборот по парам, в которых нет рублей, рассчитывается путем умножения объема сделки в сопряженной валюте на курс Банка России по этой валюте к рублю, установленный на день торгов (например, для пары </w:t>
      </w:r>
      <w:r w:rsidRPr="005F0A32">
        <w:rPr>
          <w:b w:val="0"/>
          <w:sz w:val="22"/>
          <w:szCs w:val="22"/>
          <w:lang w:val="en-US"/>
        </w:rPr>
        <w:t>EURUSD</w:t>
      </w:r>
      <w:r w:rsidRPr="005F0A32">
        <w:rPr>
          <w:b w:val="0"/>
          <w:sz w:val="22"/>
          <w:szCs w:val="22"/>
        </w:rPr>
        <w:t xml:space="preserve"> – объем сделки в </w:t>
      </w:r>
      <w:r w:rsidRPr="005F0A32">
        <w:rPr>
          <w:b w:val="0"/>
          <w:sz w:val="22"/>
          <w:szCs w:val="22"/>
          <w:lang w:val="en-US"/>
        </w:rPr>
        <w:t>USD</w:t>
      </w:r>
      <w:r w:rsidRPr="005F0A32">
        <w:rPr>
          <w:b w:val="0"/>
          <w:sz w:val="22"/>
          <w:szCs w:val="22"/>
        </w:rPr>
        <w:t xml:space="preserve"> умножается на курс </w:t>
      </w:r>
      <w:proofErr w:type="spellStart"/>
      <w:r w:rsidRPr="005F0A32">
        <w:rPr>
          <w:b w:val="0"/>
          <w:sz w:val="22"/>
          <w:szCs w:val="22"/>
        </w:rPr>
        <w:t>руб</w:t>
      </w:r>
      <w:proofErr w:type="spellEnd"/>
      <w:r w:rsidRPr="005F0A32">
        <w:rPr>
          <w:b w:val="0"/>
          <w:sz w:val="22"/>
          <w:szCs w:val="22"/>
        </w:rPr>
        <w:t>/</w:t>
      </w:r>
      <w:proofErr w:type="spellStart"/>
      <w:r w:rsidRPr="005F0A32">
        <w:rPr>
          <w:b w:val="0"/>
          <w:sz w:val="22"/>
          <w:szCs w:val="22"/>
          <w:lang w:val="en-US"/>
        </w:rPr>
        <w:t>usd</w:t>
      </w:r>
      <w:proofErr w:type="spellEnd"/>
      <w:r w:rsidRPr="005F0A32">
        <w:rPr>
          <w:b w:val="0"/>
          <w:sz w:val="22"/>
          <w:szCs w:val="22"/>
        </w:rPr>
        <w:t xml:space="preserve"> Банка России); </w:t>
      </w:r>
    </w:p>
    <w:p w14:paraId="75F7E0C4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  <w:lang w:val="en-US"/>
        </w:rPr>
        <w:t>R</w:t>
      </w:r>
      <w:r w:rsidRPr="005F0A32">
        <w:rPr>
          <w:sz w:val="22"/>
          <w:szCs w:val="22"/>
        </w:rPr>
        <w:t xml:space="preserve"> </w:t>
      </w:r>
      <w:r w:rsidRPr="005F0A32">
        <w:rPr>
          <w:b w:val="0"/>
          <w:sz w:val="22"/>
          <w:szCs w:val="22"/>
        </w:rPr>
        <w:t xml:space="preserve">– процент оборота сделок по рынку, при котором участник освобождается от уплаты ДКС, устанавливается равным </w:t>
      </w:r>
      <w:r w:rsidRPr="005F0A32">
        <w:rPr>
          <w:sz w:val="22"/>
          <w:szCs w:val="22"/>
        </w:rPr>
        <w:t>3% (три процента)</w:t>
      </w:r>
      <w:r w:rsidRPr="005F0A32">
        <w:rPr>
          <w:b w:val="0"/>
          <w:sz w:val="22"/>
          <w:szCs w:val="22"/>
        </w:rPr>
        <w:t>;</w:t>
      </w:r>
    </w:p>
    <w:p w14:paraId="4176AB7A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 xml:space="preserve">K </w:t>
      </w:r>
      <w:r w:rsidRPr="005F0A32">
        <w:rPr>
          <w:b w:val="0"/>
          <w:sz w:val="22"/>
          <w:szCs w:val="22"/>
        </w:rPr>
        <w:t xml:space="preserve">– коэффициент учета оборота по сделкам на расчет ДКС, составляет </w:t>
      </w:r>
      <w:r w:rsidRPr="005F0A32">
        <w:rPr>
          <w:sz w:val="22"/>
          <w:szCs w:val="22"/>
        </w:rPr>
        <w:t>0,02% (две сотых процента)</w:t>
      </w:r>
      <w:r w:rsidRPr="005F0A32">
        <w:rPr>
          <w:b w:val="0"/>
          <w:sz w:val="22"/>
          <w:szCs w:val="22"/>
        </w:rPr>
        <w:t xml:space="preserve">; </w:t>
      </w:r>
    </w:p>
    <w:p w14:paraId="009D2CEF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5F0A32">
        <w:rPr>
          <w:sz w:val="22"/>
          <w:szCs w:val="22"/>
        </w:rPr>
        <w:t>М –</w:t>
      </w:r>
      <w:r w:rsidRPr="005F0A32">
        <w:rPr>
          <w:b w:val="0"/>
          <w:sz w:val="22"/>
          <w:szCs w:val="22"/>
        </w:rPr>
        <w:t xml:space="preserve"> коэффициент стоимости ДКС, устанавливается равным </w:t>
      </w:r>
      <w:r w:rsidRPr="005F0A32">
        <w:rPr>
          <w:sz w:val="22"/>
          <w:szCs w:val="22"/>
        </w:rPr>
        <w:t>0,1 (одна десятая), руб.</w:t>
      </w:r>
      <w:r w:rsidRPr="005F0A32">
        <w:rPr>
          <w:b w:val="0"/>
          <w:sz w:val="22"/>
          <w:szCs w:val="22"/>
        </w:rPr>
        <w:t xml:space="preserve">; </w:t>
      </w:r>
    </w:p>
    <w:p w14:paraId="2B28D8E0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proofErr w:type="spellStart"/>
      <w:r w:rsidRPr="005F0A32">
        <w:rPr>
          <w:sz w:val="22"/>
          <w:szCs w:val="22"/>
        </w:rPr>
        <w:t>min</w:t>
      </w:r>
      <w:proofErr w:type="spellEnd"/>
      <w:r w:rsidRPr="005F0A32">
        <w:rPr>
          <w:sz w:val="22"/>
          <w:szCs w:val="22"/>
        </w:rPr>
        <w:t xml:space="preserve"> ()</w:t>
      </w:r>
      <w:r w:rsidRPr="005F0A32">
        <w:rPr>
          <w:b w:val="0"/>
          <w:sz w:val="22"/>
          <w:szCs w:val="22"/>
        </w:rPr>
        <w:t xml:space="preserve"> – функция выбора наименьшего численного значения; </w:t>
      </w:r>
    </w:p>
    <w:p w14:paraId="5914E3D0" w14:textId="77777777" w:rsidR="00E2572A" w:rsidRPr="005F0A32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proofErr w:type="spellStart"/>
      <w:r w:rsidRPr="005F0A32">
        <w:rPr>
          <w:sz w:val="22"/>
          <w:szCs w:val="22"/>
        </w:rPr>
        <w:t>max</w:t>
      </w:r>
      <w:proofErr w:type="spellEnd"/>
      <w:r w:rsidRPr="005F0A32">
        <w:rPr>
          <w:sz w:val="22"/>
          <w:szCs w:val="22"/>
        </w:rPr>
        <w:t xml:space="preserve"> ()</w:t>
      </w:r>
      <w:r w:rsidRPr="005F0A32">
        <w:rPr>
          <w:b w:val="0"/>
          <w:sz w:val="22"/>
          <w:szCs w:val="22"/>
        </w:rPr>
        <w:t xml:space="preserve"> – функция выбора наибольшего численного значения; </w:t>
      </w:r>
    </w:p>
    <w:p w14:paraId="14D71B96" w14:textId="641841BD" w:rsidR="00E13995" w:rsidRDefault="00E2572A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proofErr w:type="spellStart"/>
      <w:r w:rsidRPr="005F0A32">
        <w:rPr>
          <w:sz w:val="22"/>
          <w:szCs w:val="22"/>
        </w:rPr>
        <w:t>round</w:t>
      </w:r>
      <w:proofErr w:type="spellEnd"/>
      <w:r w:rsidRPr="005F0A32">
        <w:rPr>
          <w:sz w:val="22"/>
          <w:szCs w:val="22"/>
        </w:rPr>
        <w:t xml:space="preserve"> ()</w:t>
      </w:r>
      <w:r w:rsidRPr="005F0A32">
        <w:rPr>
          <w:b w:val="0"/>
          <w:sz w:val="22"/>
          <w:szCs w:val="22"/>
        </w:rPr>
        <w:t xml:space="preserve"> – функция математического округления до целых</w:t>
      </w:r>
      <w:r w:rsidR="0091001D" w:rsidRPr="009A6CDB">
        <w:rPr>
          <w:b w:val="0"/>
          <w:sz w:val="22"/>
          <w:szCs w:val="22"/>
        </w:rPr>
        <w:t>.</w:t>
      </w:r>
    </w:p>
    <w:p w14:paraId="119EE5AD" w14:textId="17DDD48C" w:rsidR="00AB4236" w:rsidRDefault="00AB4236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</w:p>
    <w:p w14:paraId="342FC944" w14:textId="68798082" w:rsidR="00AB4236" w:rsidRDefault="00AB4236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color w:val="0070C0"/>
          <w:sz w:val="22"/>
          <w:szCs w:val="22"/>
        </w:rPr>
      </w:pPr>
      <w:r w:rsidRPr="00AB4236">
        <w:rPr>
          <w:color w:val="0070C0"/>
          <w:sz w:val="22"/>
          <w:szCs w:val="22"/>
          <w:u w:val="single"/>
        </w:rPr>
        <w:t>Пример:</w:t>
      </w:r>
      <w:r w:rsidRPr="00AB4236">
        <w:rPr>
          <w:b w:val="0"/>
          <w:color w:val="0070C0"/>
          <w:sz w:val="22"/>
          <w:szCs w:val="22"/>
        </w:rPr>
        <w:t xml:space="preserve"> Количество заявок, компенсированных объемом заключенных </w:t>
      </w:r>
      <w:r>
        <w:rPr>
          <w:b w:val="0"/>
          <w:color w:val="0070C0"/>
          <w:sz w:val="22"/>
          <w:szCs w:val="22"/>
        </w:rPr>
        <w:t xml:space="preserve">УТ </w:t>
      </w:r>
      <w:r w:rsidRPr="00AB4236">
        <w:rPr>
          <w:b w:val="0"/>
          <w:color w:val="0070C0"/>
          <w:sz w:val="22"/>
          <w:szCs w:val="22"/>
        </w:rPr>
        <w:t xml:space="preserve">сделок, рассчитывается по </w:t>
      </w:r>
      <w:r>
        <w:rPr>
          <w:b w:val="0"/>
          <w:color w:val="0070C0"/>
          <w:sz w:val="22"/>
          <w:szCs w:val="22"/>
        </w:rPr>
        <w:t xml:space="preserve">вышеприведенной </w:t>
      </w:r>
      <w:r w:rsidRPr="00AB4236">
        <w:rPr>
          <w:b w:val="0"/>
          <w:color w:val="0070C0"/>
          <w:sz w:val="22"/>
          <w:szCs w:val="22"/>
        </w:rPr>
        <w:t xml:space="preserve">формуле </w:t>
      </w:r>
      <w:r>
        <w:rPr>
          <w:b w:val="0"/>
          <w:color w:val="0070C0"/>
          <w:sz w:val="22"/>
          <w:szCs w:val="22"/>
        </w:rPr>
        <w:t>(</w:t>
      </w:r>
      <w:r w:rsidRPr="00AB4236">
        <w:rPr>
          <w:color w:val="0070C0"/>
          <w:sz w:val="22"/>
          <w:szCs w:val="22"/>
          <w:lang w:val="en-US"/>
        </w:rPr>
        <w:t>T</w:t>
      </w:r>
      <w:r w:rsidRPr="00AB4236">
        <w:rPr>
          <w:color w:val="0070C0"/>
          <w:sz w:val="22"/>
          <w:szCs w:val="22"/>
        </w:rPr>
        <w:t>*</w:t>
      </w:r>
      <w:r w:rsidRPr="00AB4236">
        <w:rPr>
          <w:color w:val="0070C0"/>
          <w:sz w:val="22"/>
          <w:szCs w:val="22"/>
          <w:lang w:val="en-US"/>
        </w:rPr>
        <w:t>K</w:t>
      </w:r>
      <w:r w:rsidRPr="00AB4236">
        <w:rPr>
          <w:b w:val="0"/>
          <w:color w:val="0070C0"/>
          <w:sz w:val="22"/>
          <w:szCs w:val="22"/>
        </w:rPr>
        <w:t xml:space="preserve">), т.е. каждые 100 000 руб. оборота сделок </w:t>
      </w:r>
      <w:r>
        <w:rPr>
          <w:b w:val="0"/>
          <w:color w:val="0070C0"/>
          <w:sz w:val="22"/>
          <w:szCs w:val="22"/>
        </w:rPr>
        <w:t xml:space="preserve">этого </w:t>
      </w:r>
      <w:r w:rsidRPr="00AB4236">
        <w:rPr>
          <w:b w:val="0"/>
          <w:color w:val="0070C0"/>
          <w:sz w:val="22"/>
          <w:szCs w:val="22"/>
        </w:rPr>
        <w:t xml:space="preserve">УТ </w:t>
      </w:r>
      <w:r>
        <w:rPr>
          <w:b w:val="0"/>
          <w:color w:val="0070C0"/>
          <w:sz w:val="22"/>
          <w:szCs w:val="22"/>
        </w:rPr>
        <w:t xml:space="preserve">будут </w:t>
      </w:r>
      <w:r w:rsidRPr="00AB4236">
        <w:rPr>
          <w:b w:val="0"/>
          <w:color w:val="0070C0"/>
          <w:sz w:val="22"/>
          <w:szCs w:val="22"/>
        </w:rPr>
        <w:t>компенсир</w:t>
      </w:r>
      <w:r>
        <w:rPr>
          <w:b w:val="0"/>
          <w:color w:val="0070C0"/>
          <w:sz w:val="22"/>
          <w:szCs w:val="22"/>
        </w:rPr>
        <w:t>овать</w:t>
      </w:r>
      <w:r w:rsidRPr="00AB4236">
        <w:rPr>
          <w:b w:val="0"/>
          <w:color w:val="0070C0"/>
          <w:sz w:val="22"/>
          <w:szCs w:val="22"/>
        </w:rPr>
        <w:t xml:space="preserve"> 20 выставленных </w:t>
      </w:r>
      <w:r>
        <w:rPr>
          <w:b w:val="0"/>
          <w:color w:val="0070C0"/>
          <w:sz w:val="22"/>
          <w:szCs w:val="22"/>
        </w:rPr>
        <w:t xml:space="preserve">им </w:t>
      </w:r>
      <w:r w:rsidRPr="00AB4236">
        <w:rPr>
          <w:b w:val="0"/>
          <w:color w:val="0070C0"/>
          <w:sz w:val="22"/>
          <w:szCs w:val="22"/>
        </w:rPr>
        <w:t>заявок (100 000 * 0,02% = 20).</w:t>
      </w:r>
    </w:p>
    <w:p w14:paraId="7D457F36" w14:textId="77777777" w:rsidR="00976379" w:rsidRDefault="00976379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color w:val="0070C0"/>
          <w:sz w:val="22"/>
          <w:szCs w:val="22"/>
        </w:rPr>
      </w:pPr>
    </w:p>
    <w:p w14:paraId="5F2FA110" w14:textId="3936CD1C" w:rsidR="001A1217" w:rsidRPr="00976379" w:rsidRDefault="00976379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i/>
          <w:color w:val="0070C0"/>
          <w:sz w:val="22"/>
          <w:szCs w:val="22"/>
        </w:rPr>
      </w:pPr>
      <w:r w:rsidRPr="00976379">
        <w:rPr>
          <w:b w:val="0"/>
          <w:i/>
          <w:color w:val="0070C0"/>
          <w:sz w:val="22"/>
          <w:szCs w:val="22"/>
          <w:u w:val="single"/>
        </w:rPr>
        <w:t>Примечание.</w:t>
      </w:r>
      <w:r>
        <w:rPr>
          <w:b w:val="0"/>
          <w:i/>
          <w:color w:val="0070C0"/>
          <w:sz w:val="22"/>
          <w:szCs w:val="22"/>
        </w:rPr>
        <w:t xml:space="preserve"> </w:t>
      </w:r>
      <w:r w:rsidR="00AB4236" w:rsidRPr="00976379">
        <w:rPr>
          <w:b w:val="0"/>
          <w:i/>
          <w:color w:val="0070C0"/>
          <w:sz w:val="22"/>
          <w:szCs w:val="22"/>
        </w:rPr>
        <w:t xml:space="preserve">При расчете ДКС по схеме </w:t>
      </w:r>
      <w:r w:rsidR="00AB4236" w:rsidRPr="00976379">
        <w:rPr>
          <w:b w:val="0"/>
          <w:i/>
          <w:color w:val="0070C0"/>
          <w:sz w:val="22"/>
          <w:szCs w:val="22"/>
          <w:u w:val="single"/>
        </w:rPr>
        <w:t>до 01.08.22</w:t>
      </w:r>
      <w:r w:rsidR="00AB4236" w:rsidRPr="00976379">
        <w:rPr>
          <w:b w:val="0"/>
          <w:i/>
          <w:color w:val="0070C0"/>
          <w:sz w:val="22"/>
          <w:szCs w:val="22"/>
        </w:rPr>
        <w:t xml:space="preserve"> примерно</w:t>
      </w:r>
      <w:r>
        <w:rPr>
          <w:b w:val="0"/>
          <w:i/>
          <w:color w:val="0070C0"/>
          <w:sz w:val="22"/>
          <w:szCs w:val="22"/>
        </w:rPr>
        <w:t xml:space="preserve"> </w:t>
      </w:r>
      <w:r w:rsidR="00AB4236" w:rsidRPr="00976379">
        <w:rPr>
          <w:b w:val="0"/>
          <w:i/>
          <w:color w:val="0070C0"/>
          <w:sz w:val="22"/>
          <w:szCs w:val="22"/>
        </w:rPr>
        <w:t xml:space="preserve">такое же кол-во заявок компенсировалось комиссией, вычисленной от сопоставимого оборота: ставка комиссии = 0,0015%, оборот </w:t>
      </w:r>
      <w:r>
        <w:rPr>
          <w:b w:val="0"/>
          <w:i/>
          <w:color w:val="0070C0"/>
          <w:sz w:val="22"/>
          <w:szCs w:val="22"/>
        </w:rPr>
        <w:t xml:space="preserve">= </w:t>
      </w:r>
      <w:r w:rsidR="00AB4236" w:rsidRPr="00976379">
        <w:rPr>
          <w:b w:val="0"/>
          <w:i/>
          <w:color w:val="0070C0"/>
          <w:sz w:val="22"/>
          <w:szCs w:val="22"/>
        </w:rPr>
        <w:t>100 000 руб., комиссия = 100 000*0,0015% = 1,5 ру</w:t>
      </w:r>
      <w:r w:rsidR="005B618F" w:rsidRPr="00976379">
        <w:rPr>
          <w:b w:val="0"/>
          <w:i/>
          <w:color w:val="0070C0"/>
          <w:sz w:val="22"/>
          <w:szCs w:val="22"/>
        </w:rPr>
        <w:t>б. В зависимости от объема заявок УТ, по которым были заключены его сделки, каждый 1 руб. комиссии покрывал от 4 до 20 выставленных заявок (в среднем ~14 заявок</w:t>
      </w:r>
      <w:r>
        <w:rPr>
          <w:b w:val="0"/>
          <w:i/>
          <w:color w:val="0070C0"/>
          <w:sz w:val="22"/>
          <w:szCs w:val="22"/>
        </w:rPr>
        <w:t xml:space="preserve"> на 1 руб.</w:t>
      </w:r>
      <w:r w:rsidR="005B618F" w:rsidRPr="00976379">
        <w:rPr>
          <w:b w:val="0"/>
          <w:i/>
          <w:color w:val="0070C0"/>
          <w:sz w:val="22"/>
          <w:szCs w:val="22"/>
        </w:rPr>
        <w:t xml:space="preserve">). </w:t>
      </w:r>
    </w:p>
    <w:p w14:paraId="1843EBB2" w14:textId="37E5108C" w:rsidR="00AB4236" w:rsidRPr="00976379" w:rsidRDefault="005B618F" w:rsidP="00E2572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i/>
          <w:color w:val="0070C0"/>
          <w:sz w:val="22"/>
          <w:szCs w:val="22"/>
        </w:rPr>
      </w:pPr>
      <w:r w:rsidRPr="00976379">
        <w:rPr>
          <w:b w:val="0"/>
          <w:i/>
          <w:color w:val="0070C0"/>
          <w:sz w:val="22"/>
          <w:szCs w:val="22"/>
        </w:rPr>
        <w:t xml:space="preserve">Если бы старая схема расчета ДКС была применена к новой ставке комиссии </w:t>
      </w:r>
      <w:r w:rsidRPr="00976379">
        <w:rPr>
          <w:b w:val="0"/>
          <w:i/>
          <w:color w:val="0070C0"/>
          <w:sz w:val="22"/>
          <w:szCs w:val="22"/>
          <w:u w:val="single"/>
        </w:rPr>
        <w:t>с 01.08.22</w:t>
      </w:r>
      <w:r w:rsidRPr="00976379">
        <w:rPr>
          <w:b w:val="0"/>
          <w:i/>
          <w:color w:val="0070C0"/>
          <w:sz w:val="22"/>
          <w:szCs w:val="22"/>
        </w:rPr>
        <w:t xml:space="preserve"> = 0,002</w:t>
      </w:r>
      <w:r w:rsidR="00B83D45">
        <w:rPr>
          <w:b w:val="0"/>
          <w:i/>
          <w:color w:val="0070C0"/>
          <w:sz w:val="22"/>
          <w:szCs w:val="22"/>
        </w:rPr>
        <w:t>2</w:t>
      </w:r>
      <w:r w:rsidRPr="00976379">
        <w:rPr>
          <w:b w:val="0"/>
          <w:i/>
          <w:color w:val="0070C0"/>
          <w:sz w:val="22"/>
          <w:szCs w:val="22"/>
        </w:rPr>
        <w:t>5%</w:t>
      </w:r>
      <w:r w:rsidR="00B83D45" w:rsidRPr="00B83D45">
        <w:rPr>
          <w:b w:val="0"/>
          <w:i/>
          <w:color w:val="0070C0"/>
          <w:sz w:val="22"/>
          <w:szCs w:val="22"/>
        </w:rPr>
        <w:t xml:space="preserve"> </w:t>
      </w:r>
      <w:r w:rsidR="00B83D45">
        <w:rPr>
          <w:b w:val="0"/>
          <w:i/>
          <w:color w:val="0070C0"/>
          <w:sz w:val="22"/>
          <w:szCs w:val="22"/>
        </w:rPr>
        <w:t xml:space="preserve">(рассчитана как средняя величина между </w:t>
      </w:r>
      <w:proofErr w:type="spellStart"/>
      <w:r w:rsidR="00B83D45">
        <w:rPr>
          <w:b w:val="0"/>
          <w:i/>
          <w:color w:val="0070C0"/>
          <w:sz w:val="22"/>
          <w:szCs w:val="22"/>
        </w:rPr>
        <w:t>тейкерской</w:t>
      </w:r>
      <w:proofErr w:type="spellEnd"/>
      <w:r w:rsidR="00B83D45">
        <w:rPr>
          <w:b w:val="0"/>
          <w:i/>
          <w:color w:val="0070C0"/>
          <w:sz w:val="22"/>
          <w:szCs w:val="22"/>
        </w:rPr>
        <w:t xml:space="preserve"> ставкой = 0,0045% и </w:t>
      </w:r>
      <w:proofErr w:type="spellStart"/>
      <w:r w:rsidR="00B83D45">
        <w:rPr>
          <w:b w:val="0"/>
          <w:i/>
          <w:color w:val="0070C0"/>
          <w:sz w:val="22"/>
          <w:szCs w:val="22"/>
        </w:rPr>
        <w:t>мейкерской</w:t>
      </w:r>
      <w:proofErr w:type="spellEnd"/>
      <w:r w:rsidR="00B83D45">
        <w:rPr>
          <w:b w:val="0"/>
          <w:i/>
          <w:color w:val="0070C0"/>
          <w:sz w:val="22"/>
          <w:szCs w:val="22"/>
        </w:rPr>
        <w:t xml:space="preserve"> = 0% </w:t>
      </w:r>
      <w:r w:rsidRPr="00976379">
        <w:rPr>
          <w:b w:val="0"/>
          <w:i/>
          <w:color w:val="0070C0"/>
          <w:sz w:val="22"/>
          <w:szCs w:val="22"/>
        </w:rPr>
        <w:t>), то каждый 1 руб. этой новой комиссии как раз покрывал бы ~21 заявку (соотношение новой и старой комиссии 0,002</w:t>
      </w:r>
      <w:r w:rsidR="00B83D45">
        <w:rPr>
          <w:b w:val="0"/>
          <w:i/>
          <w:color w:val="0070C0"/>
          <w:sz w:val="22"/>
          <w:szCs w:val="22"/>
        </w:rPr>
        <w:t>2</w:t>
      </w:r>
      <w:bookmarkStart w:id="0" w:name="_GoBack"/>
      <w:bookmarkEnd w:id="0"/>
      <w:r w:rsidRPr="00976379">
        <w:rPr>
          <w:b w:val="0"/>
          <w:i/>
          <w:color w:val="0070C0"/>
          <w:sz w:val="22"/>
          <w:szCs w:val="22"/>
        </w:rPr>
        <w:t>5%/0,0015% = 1,5; число заявок</w:t>
      </w:r>
      <w:r w:rsidR="001A1217" w:rsidRPr="00976379">
        <w:rPr>
          <w:b w:val="0"/>
          <w:i/>
          <w:color w:val="0070C0"/>
          <w:sz w:val="22"/>
          <w:szCs w:val="22"/>
        </w:rPr>
        <w:t>,</w:t>
      </w:r>
      <w:r w:rsidRPr="00976379">
        <w:rPr>
          <w:b w:val="0"/>
          <w:i/>
          <w:color w:val="0070C0"/>
          <w:sz w:val="22"/>
          <w:szCs w:val="22"/>
        </w:rPr>
        <w:t xml:space="preserve"> покрытых 1 руб. новой комиссии </w:t>
      </w:r>
      <w:r w:rsidR="00976379" w:rsidRPr="00976379">
        <w:rPr>
          <w:b w:val="0"/>
          <w:i/>
          <w:color w:val="0070C0"/>
          <w:sz w:val="22"/>
          <w:szCs w:val="22"/>
        </w:rPr>
        <w:t>~</w:t>
      </w:r>
      <w:r w:rsidRPr="00976379">
        <w:rPr>
          <w:b w:val="0"/>
          <w:i/>
          <w:color w:val="0070C0"/>
          <w:sz w:val="22"/>
          <w:szCs w:val="22"/>
        </w:rPr>
        <w:t xml:space="preserve"> 14*1,5 = 21 заявка)</w:t>
      </w:r>
      <w:r w:rsidR="001A1217" w:rsidRPr="00976379">
        <w:rPr>
          <w:b w:val="0"/>
          <w:i/>
          <w:color w:val="0070C0"/>
          <w:sz w:val="22"/>
          <w:szCs w:val="22"/>
        </w:rPr>
        <w:t>.</w:t>
      </w:r>
    </w:p>
    <w:p w14:paraId="1B4A15B2" w14:textId="77777777" w:rsidR="00F53868" w:rsidRPr="00CD3735" w:rsidRDefault="00F53868" w:rsidP="00F53868">
      <w:pPr>
        <w:pStyle w:val="Title3"/>
        <w:tabs>
          <w:tab w:val="clear" w:pos="2411"/>
          <w:tab w:val="num" w:pos="1418"/>
        </w:tabs>
        <w:spacing w:before="240"/>
        <w:ind w:left="1418"/>
      </w:pPr>
      <w:r>
        <w:t>Новая схема начисления ДКС</w:t>
      </w:r>
    </w:p>
    <w:p w14:paraId="4A4FF777" w14:textId="77777777" w:rsidR="00E2572A" w:rsidRPr="00E2572A" w:rsidRDefault="00E2572A" w:rsidP="00E2572A">
      <w:pPr>
        <w:pStyle w:val="a8"/>
        <w:numPr>
          <w:ilvl w:val="1"/>
          <w:numId w:val="4"/>
        </w:numPr>
        <w:spacing w:before="60"/>
        <w:ind w:left="567" w:hanging="567"/>
        <w:contextualSpacing w:val="0"/>
      </w:pPr>
      <w:r w:rsidRPr="00E2572A">
        <w:t xml:space="preserve">В целях снижения нагрузки на Торговую систему и минимизации объемов формируемой и пересылаемой информации по непроизводительным заявкам в расчет ДКС </w:t>
      </w:r>
      <w:r w:rsidRPr="002E0932">
        <w:rPr>
          <w:b/>
          <w:u w:val="single"/>
        </w:rPr>
        <w:t xml:space="preserve">вводится пороговое значение </w:t>
      </w:r>
      <w:proofErr w:type="spellStart"/>
      <w:r w:rsidRPr="002E0932">
        <w:rPr>
          <w:b/>
          <w:u w:val="single"/>
        </w:rPr>
        <w:t>нетарифицируемого</w:t>
      </w:r>
      <w:proofErr w:type="spellEnd"/>
      <w:r w:rsidRPr="002E0932">
        <w:rPr>
          <w:b/>
          <w:u w:val="single"/>
        </w:rPr>
        <w:t xml:space="preserve"> количества заявок</w:t>
      </w:r>
      <w:r w:rsidRPr="00E2572A">
        <w:t xml:space="preserve">, при котором участник, заключивший за день торгов безадресных спот сделок на сумму, равную или превышающую определенный процент от дневного оборота безадресных спот сделок по всему рынку, освобождается от уплаты ДКС. В случае превышения данного порогового значения </w:t>
      </w:r>
      <w:proofErr w:type="spellStart"/>
      <w:r w:rsidRPr="00E2572A">
        <w:t>нетарифицируемого</w:t>
      </w:r>
      <w:proofErr w:type="spellEnd"/>
      <w:r w:rsidRPr="00E2572A">
        <w:t xml:space="preserve"> количества заявок участник, несмотря на превышение процента от дневного оборота, платит за каждую заявку, непокрытую оборотом его сделок.</w:t>
      </w:r>
    </w:p>
    <w:p w14:paraId="78D578FA" w14:textId="77777777" w:rsidR="00E2572A" w:rsidRPr="00E2572A" w:rsidRDefault="00E2572A" w:rsidP="00E2572A">
      <w:pPr>
        <w:pStyle w:val="a8"/>
        <w:numPr>
          <w:ilvl w:val="1"/>
          <w:numId w:val="4"/>
        </w:numPr>
        <w:spacing w:before="60"/>
        <w:ind w:left="567" w:hanging="567"/>
        <w:contextualSpacing w:val="0"/>
      </w:pPr>
      <w:r w:rsidRPr="00E2572A">
        <w:t>Для участников, заключивших за день торгов безадресных спот сделок на сумму, меньшую определенного процента от дневного оборота безадресных спот сделок по всему рынку, действует прежний порядок взимания ДКС - участник платит за каждую заявку, непокрытую оборотом его сделок.</w:t>
      </w:r>
    </w:p>
    <w:p w14:paraId="330385BA" w14:textId="308F0C7A" w:rsidR="005D5481" w:rsidRPr="00E2572A" w:rsidRDefault="00E2572A" w:rsidP="00E2572A">
      <w:pPr>
        <w:pStyle w:val="a8"/>
        <w:numPr>
          <w:ilvl w:val="1"/>
          <w:numId w:val="4"/>
        </w:numPr>
        <w:spacing w:before="60"/>
        <w:ind w:left="567" w:hanging="567"/>
        <w:contextualSpacing w:val="0"/>
      </w:pPr>
      <w:r w:rsidRPr="009B2C11">
        <w:rPr>
          <w:sz w:val="22"/>
          <w:szCs w:val="22"/>
          <w:u w:val="single"/>
        </w:rPr>
        <w:t>Максимальная величина ДКС, взимаемая по соответствующему уникальному коду за день,</w:t>
      </w:r>
      <w:r w:rsidRPr="00E2572A">
        <w:rPr>
          <w:sz w:val="22"/>
          <w:szCs w:val="22"/>
        </w:rPr>
        <w:t xml:space="preserve"> </w:t>
      </w:r>
      <w:r w:rsidRPr="00E83D42">
        <w:rPr>
          <w:sz w:val="22"/>
          <w:szCs w:val="22"/>
          <w:u w:val="single"/>
        </w:rPr>
        <w:t xml:space="preserve">увеличивается с </w:t>
      </w:r>
      <w:r w:rsidRPr="00E83D42">
        <w:rPr>
          <w:b/>
          <w:sz w:val="22"/>
          <w:szCs w:val="22"/>
          <w:u w:val="single"/>
        </w:rPr>
        <w:t>300 000 руб.</w:t>
      </w:r>
      <w:r w:rsidRPr="00E83D42">
        <w:rPr>
          <w:sz w:val="22"/>
          <w:szCs w:val="22"/>
          <w:u w:val="single"/>
        </w:rPr>
        <w:t xml:space="preserve"> до </w:t>
      </w:r>
      <w:r w:rsidRPr="00E83D42">
        <w:rPr>
          <w:b/>
          <w:sz w:val="22"/>
          <w:szCs w:val="22"/>
          <w:u w:val="single"/>
        </w:rPr>
        <w:t>3 000 000 руб</w:t>
      </w:r>
      <w:r w:rsidR="005D5481" w:rsidRPr="00E83D42">
        <w:rPr>
          <w:u w:val="single"/>
        </w:rPr>
        <w:t>.</w:t>
      </w:r>
      <w:r w:rsidR="005D5481" w:rsidRPr="00E2572A">
        <w:t xml:space="preserve"> </w:t>
      </w:r>
    </w:p>
    <w:p w14:paraId="292DEF70" w14:textId="6BC3CAEA" w:rsidR="00F53868" w:rsidRDefault="00E2572A" w:rsidP="00F60FAA">
      <w:pPr>
        <w:pStyle w:val="a8"/>
        <w:numPr>
          <w:ilvl w:val="1"/>
          <w:numId w:val="4"/>
        </w:numPr>
        <w:spacing w:before="60"/>
        <w:ind w:left="567" w:hanging="567"/>
        <w:contextualSpacing w:val="0"/>
      </w:pPr>
      <w:r w:rsidRPr="00E2572A">
        <w:t xml:space="preserve">Другие параметры и порядок расчета ДКС </w:t>
      </w:r>
      <w:r w:rsidRPr="002E0932">
        <w:rPr>
          <w:b/>
        </w:rPr>
        <w:t>не изменяются</w:t>
      </w:r>
      <w:r w:rsidRPr="00E2572A">
        <w:t xml:space="preserve">: ДКС рассчитывается при количестве заявок в день свыше </w:t>
      </w:r>
      <w:r w:rsidRPr="002E0932">
        <w:rPr>
          <w:b/>
        </w:rPr>
        <w:t>10 000</w:t>
      </w:r>
      <w:r w:rsidRPr="00E2572A">
        <w:t xml:space="preserve">, ДКС может быть начислен при количестве заявок в день свыше </w:t>
      </w:r>
      <w:r w:rsidRPr="002E0932">
        <w:rPr>
          <w:b/>
        </w:rPr>
        <w:t>30 000</w:t>
      </w:r>
      <w:r w:rsidRPr="00E2572A">
        <w:t xml:space="preserve">, ДКС не взимается при начислении </w:t>
      </w:r>
      <w:r w:rsidRPr="002E0932">
        <w:rPr>
          <w:b/>
        </w:rPr>
        <w:t>в первый раз</w:t>
      </w:r>
      <w:r w:rsidRPr="00E2572A">
        <w:t>, в расчете ДКС не участвуют заявки и сделки рынка драгметаллов.</w:t>
      </w:r>
      <w:r w:rsidR="002E0932">
        <w:t xml:space="preserve"> Кроме того, </w:t>
      </w:r>
      <w:r w:rsidR="002E0932" w:rsidRPr="00A87BE4">
        <w:rPr>
          <w:sz w:val="22"/>
          <w:szCs w:val="22"/>
        </w:rPr>
        <w:t xml:space="preserve">«Отчет по обязательствам Участника торгов ЕТС по Дополнительному Комиссионному Сбору (ДКС)» </w:t>
      </w:r>
      <w:r w:rsidR="00A87BE4" w:rsidRPr="00A87BE4">
        <w:rPr>
          <w:sz w:val="22"/>
          <w:szCs w:val="22"/>
        </w:rPr>
        <w:t>(</w:t>
      </w:r>
      <w:r w:rsidR="002E0932" w:rsidRPr="00A87BE4">
        <w:rPr>
          <w:b/>
          <w:sz w:val="22"/>
          <w:szCs w:val="22"/>
          <w:lang w:val="en-US"/>
        </w:rPr>
        <w:t>CUX</w:t>
      </w:r>
      <w:r w:rsidR="002E0932" w:rsidRPr="00A87BE4">
        <w:rPr>
          <w:b/>
          <w:sz w:val="22"/>
          <w:szCs w:val="22"/>
        </w:rPr>
        <w:t>16</w:t>
      </w:r>
      <w:r w:rsidR="00A87BE4" w:rsidRPr="00A87BE4">
        <w:rPr>
          <w:sz w:val="22"/>
          <w:szCs w:val="22"/>
        </w:rPr>
        <w:t>)</w:t>
      </w:r>
      <w:r w:rsidR="002E0932">
        <w:rPr>
          <w:sz w:val="22"/>
          <w:szCs w:val="22"/>
        </w:rPr>
        <w:t xml:space="preserve"> </w:t>
      </w:r>
      <w:r>
        <w:t xml:space="preserve">также </w:t>
      </w:r>
      <w:r w:rsidR="00B172F8" w:rsidRPr="002E0932">
        <w:rPr>
          <w:b/>
        </w:rPr>
        <w:t>не меня</w:t>
      </w:r>
      <w:r w:rsidR="002E0932">
        <w:rPr>
          <w:b/>
        </w:rPr>
        <w:t>е</w:t>
      </w:r>
      <w:r w:rsidR="00B172F8" w:rsidRPr="002E0932">
        <w:rPr>
          <w:b/>
        </w:rPr>
        <w:t>тся</w:t>
      </w:r>
      <w:r w:rsidR="00875B6B">
        <w:t>:</w:t>
      </w:r>
    </w:p>
    <w:p w14:paraId="0C35BCF0" w14:textId="77777777" w:rsidR="002E0932" w:rsidRPr="002E0932" w:rsidRDefault="002E0932" w:rsidP="002E0932">
      <w:pPr>
        <w:pStyle w:val="a8"/>
        <w:numPr>
          <w:ilvl w:val="1"/>
          <w:numId w:val="4"/>
        </w:numPr>
        <w:spacing w:before="60"/>
        <w:ind w:left="567" w:hanging="567"/>
        <w:contextualSpacing w:val="0"/>
      </w:pPr>
      <w:bookmarkStart w:id="1" w:name="_Hlk116406523"/>
      <w:r w:rsidRPr="002E0932">
        <w:lastRenderedPageBreak/>
        <w:t xml:space="preserve">В формулу расчета ДКС добавляется проверка на </w:t>
      </w:r>
      <w:proofErr w:type="spellStart"/>
      <w:r w:rsidRPr="002E0932">
        <w:t>непревышение</w:t>
      </w:r>
      <w:proofErr w:type="spellEnd"/>
      <w:r w:rsidRPr="002E0932">
        <w:t xml:space="preserve"> значения </w:t>
      </w:r>
      <w:proofErr w:type="spellStart"/>
      <w:r w:rsidRPr="002E0932">
        <w:t>нетарифицируемого</w:t>
      </w:r>
      <w:proofErr w:type="spellEnd"/>
      <w:r w:rsidRPr="002E0932">
        <w:t xml:space="preserve"> количества заявок при достижении участником определенного процента от дневного оборота безадресных спот сделок по всему рынку:</w:t>
      </w:r>
    </w:p>
    <w:p w14:paraId="049DEE93" w14:textId="2EAEFFB3" w:rsidR="002E0932" w:rsidRPr="002E0932" w:rsidRDefault="002E0932" w:rsidP="0087255A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spacing w:before="240" w:after="240"/>
        <w:ind w:left="-284"/>
        <w:jc w:val="center"/>
        <w:rPr>
          <w:sz w:val="22"/>
          <w:szCs w:val="22"/>
        </w:rPr>
      </w:pPr>
      <w:r w:rsidRPr="002E0932">
        <w:rPr>
          <w:sz w:val="22"/>
          <w:szCs w:val="22"/>
          <w:lang w:val="en-US"/>
        </w:rPr>
        <w:t>DKS</w:t>
      </w:r>
      <w:r w:rsidRPr="002E0932">
        <w:rPr>
          <w:sz w:val="22"/>
          <w:szCs w:val="22"/>
        </w:rPr>
        <w:t xml:space="preserve"> = ЕСЛИ (</w:t>
      </w:r>
      <w:r w:rsidRPr="002E0932">
        <w:rPr>
          <w:sz w:val="22"/>
          <w:szCs w:val="22"/>
          <w:lang w:val="en-US"/>
        </w:rPr>
        <w:t>T</w:t>
      </w:r>
      <w:r w:rsidRPr="002E0932">
        <w:rPr>
          <w:sz w:val="22"/>
          <w:szCs w:val="22"/>
        </w:rPr>
        <w:t xml:space="preserve"> ≥ </w:t>
      </w:r>
      <w:r w:rsidRPr="002E0932">
        <w:rPr>
          <w:sz w:val="22"/>
          <w:szCs w:val="22"/>
          <w:lang w:val="en-US"/>
        </w:rPr>
        <w:t>D</w:t>
      </w:r>
      <w:r w:rsidRPr="002E0932">
        <w:rPr>
          <w:sz w:val="22"/>
          <w:szCs w:val="22"/>
        </w:rPr>
        <w:t>*</w:t>
      </w:r>
      <w:proofErr w:type="gramStart"/>
      <w:r w:rsidRPr="002E0932">
        <w:rPr>
          <w:sz w:val="22"/>
          <w:szCs w:val="22"/>
          <w:lang w:val="en-US"/>
        </w:rPr>
        <w:t>R</w:t>
      </w:r>
      <w:r w:rsidRPr="002E0932">
        <w:rPr>
          <w:sz w:val="22"/>
          <w:szCs w:val="22"/>
        </w:rPr>
        <w:t xml:space="preserve">;  </w:t>
      </w:r>
      <w:r w:rsidRPr="002E0932">
        <w:rPr>
          <w:sz w:val="22"/>
          <w:szCs w:val="22"/>
          <w:lang w:val="en-US"/>
        </w:rPr>
        <w:t>min</w:t>
      </w:r>
      <w:proofErr w:type="gramEnd"/>
      <w:r w:rsidRPr="002E0932">
        <w:rPr>
          <w:sz w:val="22"/>
          <w:szCs w:val="22"/>
        </w:rPr>
        <w:t xml:space="preserve"> (3 млн руб.; </w:t>
      </w:r>
      <w:r w:rsidRPr="002E0932">
        <w:rPr>
          <w:sz w:val="22"/>
          <w:szCs w:val="22"/>
          <w:lang w:val="en-US"/>
        </w:rPr>
        <w:t>max</w:t>
      </w:r>
      <w:r w:rsidRPr="002E0932">
        <w:rPr>
          <w:sz w:val="22"/>
          <w:szCs w:val="22"/>
        </w:rPr>
        <w:t xml:space="preserve"> (</w:t>
      </w:r>
      <w:r w:rsidRPr="002E0932">
        <w:rPr>
          <w:sz w:val="22"/>
          <w:szCs w:val="22"/>
          <w:lang w:val="en-US"/>
        </w:rPr>
        <w:t>NUM</w:t>
      </w:r>
      <w:r w:rsidRPr="002E0932">
        <w:rPr>
          <w:sz w:val="22"/>
          <w:szCs w:val="22"/>
        </w:rPr>
        <w:t>_</w:t>
      </w:r>
      <w:r w:rsidRPr="002E0932">
        <w:rPr>
          <w:sz w:val="22"/>
          <w:szCs w:val="22"/>
          <w:lang w:val="en-US"/>
        </w:rPr>
        <w:t>ORDERS</w:t>
      </w:r>
      <w:r w:rsidRPr="002E0932">
        <w:rPr>
          <w:sz w:val="22"/>
          <w:szCs w:val="22"/>
        </w:rPr>
        <w:t xml:space="preserve"> – 3 млн шт. – </w:t>
      </w:r>
      <w:r w:rsidRPr="002E0932">
        <w:rPr>
          <w:sz w:val="22"/>
          <w:szCs w:val="22"/>
          <w:lang w:val="en-US"/>
        </w:rPr>
        <w:t>round</w:t>
      </w:r>
      <w:r w:rsidRPr="002E0932">
        <w:rPr>
          <w:sz w:val="22"/>
          <w:szCs w:val="22"/>
        </w:rPr>
        <w:t xml:space="preserve"> (</w:t>
      </w:r>
      <w:r w:rsidRPr="002E0932">
        <w:rPr>
          <w:sz w:val="22"/>
          <w:szCs w:val="22"/>
          <w:lang w:val="en-US"/>
        </w:rPr>
        <w:t>T</w:t>
      </w:r>
      <w:r w:rsidRPr="002E0932">
        <w:rPr>
          <w:sz w:val="22"/>
          <w:szCs w:val="22"/>
        </w:rPr>
        <w:t>*</w:t>
      </w:r>
      <w:r w:rsidRPr="002E0932">
        <w:rPr>
          <w:sz w:val="22"/>
          <w:szCs w:val="22"/>
          <w:lang w:val="en-US"/>
        </w:rPr>
        <w:t>K</w:t>
      </w:r>
      <w:r w:rsidRPr="002E0932">
        <w:rPr>
          <w:sz w:val="22"/>
          <w:szCs w:val="22"/>
        </w:rPr>
        <w:t xml:space="preserve">); 0) *М); </w:t>
      </w:r>
      <w:r w:rsidRPr="002E0932">
        <w:rPr>
          <w:sz w:val="22"/>
          <w:szCs w:val="22"/>
          <w:lang w:val="en-US"/>
        </w:rPr>
        <w:t>min</w:t>
      </w:r>
      <w:r w:rsidRPr="002E0932">
        <w:rPr>
          <w:sz w:val="22"/>
          <w:szCs w:val="22"/>
        </w:rPr>
        <w:t xml:space="preserve"> (3 млн руб.; </w:t>
      </w:r>
      <w:r w:rsidRPr="002E0932">
        <w:rPr>
          <w:sz w:val="22"/>
          <w:szCs w:val="22"/>
          <w:lang w:val="en-US"/>
        </w:rPr>
        <w:t>max</w:t>
      </w:r>
      <w:r w:rsidRPr="002E0932">
        <w:rPr>
          <w:sz w:val="22"/>
          <w:szCs w:val="22"/>
        </w:rPr>
        <w:t xml:space="preserve"> (</w:t>
      </w:r>
      <w:r w:rsidRPr="002E0932">
        <w:rPr>
          <w:sz w:val="22"/>
          <w:szCs w:val="22"/>
          <w:lang w:val="en-US"/>
        </w:rPr>
        <w:t>NUM</w:t>
      </w:r>
      <w:r w:rsidRPr="002E0932">
        <w:rPr>
          <w:sz w:val="22"/>
          <w:szCs w:val="22"/>
        </w:rPr>
        <w:t>_</w:t>
      </w:r>
      <w:r w:rsidRPr="002E0932">
        <w:rPr>
          <w:sz w:val="22"/>
          <w:szCs w:val="22"/>
          <w:lang w:val="en-US"/>
        </w:rPr>
        <w:t>ORDERS</w:t>
      </w:r>
      <w:r w:rsidRPr="002E0932">
        <w:rPr>
          <w:sz w:val="22"/>
          <w:szCs w:val="22"/>
        </w:rPr>
        <w:t xml:space="preserve"> – </w:t>
      </w:r>
      <w:r w:rsidRPr="002E0932">
        <w:rPr>
          <w:sz w:val="22"/>
          <w:szCs w:val="22"/>
          <w:lang w:val="en-US"/>
        </w:rPr>
        <w:t>round</w:t>
      </w:r>
      <w:r w:rsidRPr="002E0932">
        <w:rPr>
          <w:sz w:val="22"/>
          <w:szCs w:val="22"/>
        </w:rPr>
        <w:t xml:space="preserve"> (</w:t>
      </w:r>
      <w:r w:rsidRPr="002E0932">
        <w:rPr>
          <w:sz w:val="22"/>
          <w:szCs w:val="22"/>
          <w:lang w:val="en-US"/>
        </w:rPr>
        <w:t>T</w:t>
      </w:r>
      <w:r w:rsidRPr="002E0932">
        <w:rPr>
          <w:sz w:val="22"/>
          <w:szCs w:val="22"/>
        </w:rPr>
        <w:t>*</w:t>
      </w:r>
      <w:r w:rsidRPr="002E0932">
        <w:rPr>
          <w:sz w:val="22"/>
          <w:szCs w:val="22"/>
          <w:lang w:val="en-US"/>
        </w:rPr>
        <w:t>K</w:t>
      </w:r>
      <w:r w:rsidRPr="002E0932">
        <w:rPr>
          <w:sz w:val="22"/>
          <w:szCs w:val="22"/>
        </w:rPr>
        <w:t>); 0) *М))</w:t>
      </w:r>
      <w:r w:rsidRPr="002E0932">
        <w:rPr>
          <w:b w:val="0"/>
          <w:sz w:val="22"/>
          <w:szCs w:val="22"/>
        </w:rPr>
        <w:t>, где:</w:t>
      </w:r>
    </w:p>
    <w:p w14:paraId="39D63766" w14:textId="0A944348" w:rsidR="002E0932" w:rsidRPr="003416D4" w:rsidRDefault="002E0932" w:rsidP="002E0932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3416D4">
        <w:rPr>
          <w:sz w:val="22"/>
          <w:szCs w:val="22"/>
        </w:rPr>
        <w:t>3 млн руб. –</w:t>
      </w:r>
      <w:r w:rsidRPr="003416D4">
        <w:rPr>
          <w:b w:val="0"/>
          <w:sz w:val="22"/>
          <w:szCs w:val="22"/>
        </w:rPr>
        <w:t xml:space="preserve"> максимальная величина ДКС, взимаемая </w:t>
      </w:r>
      <w:bookmarkStart w:id="2" w:name="_Hlk116406295"/>
      <w:r w:rsidRPr="003416D4">
        <w:rPr>
          <w:b w:val="0"/>
          <w:sz w:val="22"/>
          <w:szCs w:val="22"/>
        </w:rPr>
        <w:t>по соответствующему уникальному коду за день</w:t>
      </w:r>
      <w:bookmarkEnd w:id="2"/>
      <w:r w:rsidRPr="003416D4">
        <w:rPr>
          <w:b w:val="0"/>
          <w:sz w:val="22"/>
          <w:szCs w:val="22"/>
        </w:rPr>
        <w:t>, руб.;</w:t>
      </w:r>
    </w:p>
    <w:bookmarkEnd w:id="1"/>
    <w:p w14:paraId="6A180E28" w14:textId="2D6E430C" w:rsidR="002E0932" w:rsidRDefault="002E0932" w:rsidP="002E0932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 w:rsidRPr="003416D4">
        <w:rPr>
          <w:sz w:val="22"/>
          <w:szCs w:val="22"/>
        </w:rPr>
        <w:t xml:space="preserve">3 млн шт. </w:t>
      </w:r>
      <w:r w:rsidRPr="003416D4">
        <w:rPr>
          <w:b w:val="0"/>
          <w:sz w:val="22"/>
          <w:szCs w:val="22"/>
        </w:rPr>
        <w:t>– максимальное количество бесплатных заявок по соответствующему уникальному коду за день, предоставляемое для участника, в случае достижения им процента оборота сделок по рынку, при котором этот участник освобождается от уплаты ДКС, шт.;</w:t>
      </w:r>
    </w:p>
    <w:p w14:paraId="7A0EDC3A" w14:textId="45E91C5D" w:rsidR="002E0932" w:rsidRPr="005F0A32" w:rsidRDefault="002E0932" w:rsidP="002E0932">
      <w:pPr>
        <w:pStyle w:val="Title1"/>
        <w:keepNext w:val="0"/>
        <w:keepLines w:val="0"/>
        <w:pageBreakBefore w:val="0"/>
        <w:widowControl w:val="0"/>
        <w:numPr>
          <w:ilvl w:val="0"/>
          <w:numId w:val="0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Остальные переменные и значения коэффициентов аналогичны действующей схеме.</w:t>
      </w:r>
    </w:p>
    <w:p w14:paraId="7BCB9044" w14:textId="367A02FB" w:rsidR="00BD2DA1" w:rsidRPr="00CD3735" w:rsidRDefault="0042175A" w:rsidP="00BD2DA1">
      <w:pPr>
        <w:pStyle w:val="Title3"/>
        <w:tabs>
          <w:tab w:val="clear" w:pos="2411"/>
          <w:tab w:val="num" w:pos="1418"/>
        </w:tabs>
        <w:spacing w:before="240"/>
        <w:ind w:left="1418"/>
      </w:pPr>
      <w:r>
        <w:t>Резюме и с</w:t>
      </w:r>
      <w:r w:rsidR="00BD2DA1">
        <w:t xml:space="preserve">равнение результатов расчета ДКС по </w:t>
      </w:r>
      <w:r w:rsidR="005E0CC5">
        <w:t xml:space="preserve">прежней </w:t>
      </w:r>
      <w:r w:rsidR="00BD2DA1">
        <w:t>и новой схемам</w:t>
      </w:r>
      <w:r w:rsidR="00BD2DA1" w:rsidRPr="00CD3735">
        <w:t xml:space="preserve"> </w:t>
      </w:r>
    </w:p>
    <w:p w14:paraId="6A098FF6" w14:textId="55D8B4F5" w:rsidR="002E0932" w:rsidRPr="00D2152D" w:rsidRDefault="002E0932" w:rsidP="00DA056A">
      <w:pPr>
        <w:pStyle w:val="a8"/>
        <w:numPr>
          <w:ilvl w:val="1"/>
          <w:numId w:val="7"/>
        </w:numPr>
        <w:spacing w:before="60"/>
        <w:ind w:left="567" w:hanging="567"/>
        <w:rPr>
          <w:color w:val="0070C0"/>
        </w:rPr>
      </w:pPr>
      <w:r w:rsidRPr="00D2152D">
        <w:rPr>
          <w:color w:val="0070C0"/>
        </w:rPr>
        <w:t>В с</w:t>
      </w:r>
      <w:r w:rsidR="007824ED" w:rsidRPr="00D2152D">
        <w:rPr>
          <w:color w:val="0070C0"/>
        </w:rPr>
        <w:t>хем</w:t>
      </w:r>
      <w:r w:rsidRPr="00D2152D">
        <w:rPr>
          <w:color w:val="0070C0"/>
        </w:rPr>
        <w:t>у</w:t>
      </w:r>
      <w:r w:rsidR="007824ED" w:rsidRPr="00D2152D">
        <w:rPr>
          <w:color w:val="0070C0"/>
        </w:rPr>
        <w:t xml:space="preserve"> взимания </w:t>
      </w:r>
      <w:r w:rsidRPr="00D2152D">
        <w:rPr>
          <w:color w:val="0070C0"/>
        </w:rPr>
        <w:t xml:space="preserve">ДКС вводится </w:t>
      </w:r>
      <w:proofErr w:type="spellStart"/>
      <w:r w:rsidRPr="00D2152D">
        <w:rPr>
          <w:color w:val="0070C0"/>
        </w:rPr>
        <w:t>нетарифицируемое</w:t>
      </w:r>
      <w:proofErr w:type="spellEnd"/>
      <w:r w:rsidRPr="00D2152D">
        <w:rPr>
          <w:color w:val="0070C0"/>
        </w:rPr>
        <w:t xml:space="preserve"> количество заявок (</w:t>
      </w:r>
      <w:r w:rsidRPr="00D2152D">
        <w:rPr>
          <w:b/>
          <w:color w:val="0070C0"/>
        </w:rPr>
        <w:t>3 </w:t>
      </w:r>
      <w:r w:rsidR="00D11440" w:rsidRPr="00D2152D">
        <w:rPr>
          <w:b/>
          <w:color w:val="0070C0"/>
        </w:rPr>
        <w:t>млн шт.</w:t>
      </w:r>
      <w:r w:rsidRPr="00D2152D">
        <w:rPr>
          <w:color w:val="0070C0"/>
        </w:rPr>
        <w:t xml:space="preserve">) для </w:t>
      </w:r>
      <w:r w:rsidR="00F818A5" w:rsidRPr="00D2152D">
        <w:rPr>
          <w:color w:val="0070C0"/>
        </w:rPr>
        <w:t>УТ</w:t>
      </w:r>
      <w:r w:rsidRPr="00D2152D">
        <w:rPr>
          <w:color w:val="0070C0"/>
        </w:rPr>
        <w:t>, превысивших своими сделками 3% общего оборота сделок</w:t>
      </w:r>
      <w:r w:rsidR="00D11440" w:rsidRPr="00D2152D">
        <w:rPr>
          <w:color w:val="0070C0"/>
        </w:rPr>
        <w:t xml:space="preserve"> спот</w:t>
      </w:r>
      <w:r w:rsidRPr="00D2152D">
        <w:rPr>
          <w:color w:val="0070C0"/>
        </w:rPr>
        <w:t xml:space="preserve"> за день. </w:t>
      </w:r>
      <w:r w:rsidR="00263C8A" w:rsidRPr="00D2152D">
        <w:rPr>
          <w:color w:val="0070C0"/>
        </w:rPr>
        <w:t xml:space="preserve">Это означает, что все заявки в количестве, превышающем 3 млн шт., будут тарифицироваться по действующей ставке 0,1 руб. за каждую, при любой доле в общем обороте спот </w:t>
      </w:r>
      <w:r w:rsidR="00263C8A" w:rsidRPr="00D2152D">
        <w:rPr>
          <w:b/>
          <w:color w:val="0070C0"/>
        </w:rPr>
        <w:t>≥3%.</w:t>
      </w:r>
      <w:r w:rsidR="00263C8A" w:rsidRPr="00D2152D">
        <w:rPr>
          <w:color w:val="0070C0"/>
        </w:rPr>
        <w:t xml:space="preserve">   </w:t>
      </w:r>
    </w:p>
    <w:p w14:paraId="7A63878B" w14:textId="11C1715D" w:rsidR="00F53868" w:rsidRPr="00D2152D" w:rsidRDefault="00263C8A" w:rsidP="009F65A8">
      <w:pPr>
        <w:pStyle w:val="a8"/>
        <w:numPr>
          <w:ilvl w:val="1"/>
          <w:numId w:val="7"/>
        </w:numPr>
        <w:spacing w:before="60"/>
        <w:ind w:left="567" w:hanging="567"/>
        <w:rPr>
          <w:color w:val="0070C0"/>
        </w:rPr>
      </w:pPr>
      <w:r w:rsidRPr="00D2152D">
        <w:rPr>
          <w:color w:val="0070C0"/>
        </w:rPr>
        <w:t>Таким образом</w:t>
      </w:r>
      <w:r w:rsidR="00F818A5" w:rsidRPr="00D2152D">
        <w:rPr>
          <w:color w:val="0070C0"/>
        </w:rPr>
        <w:t>,</w:t>
      </w:r>
      <w:r w:rsidRPr="00D2152D">
        <w:rPr>
          <w:color w:val="0070C0"/>
        </w:rPr>
        <w:t xml:space="preserve"> с</w:t>
      </w:r>
      <w:r w:rsidR="008852ED" w:rsidRPr="00D2152D">
        <w:rPr>
          <w:color w:val="0070C0"/>
        </w:rPr>
        <w:t>умма ДКС, начисленная по</w:t>
      </w:r>
      <w:r w:rsidR="00156ACF" w:rsidRPr="00D2152D">
        <w:rPr>
          <w:color w:val="0070C0"/>
        </w:rPr>
        <w:t xml:space="preserve"> новой схеме</w:t>
      </w:r>
      <w:r w:rsidR="008852ED" w:rsidRPr="00D2152D">
        <w:rPr>
          <w:color w:val="0070C0"/>
        </w:rPr>
        <w:t xml:space="preserve">, </w:t>
      </w:r>
      <w:r w:rsidR="008852ED" w:rsidRPr="00D2152D">
        <w:rPr>
          <w:b/>
          <w:color w:val="0070C0"/>
        </w:rPr>
        <w:t>увеличивается</w:t>
      </w:r>
      <w:r w:rsidR="00156ACF" w:rsidRPr="00D2152D">
        <w:rPr>
          <w:color w:val="0070C0"/>
        </w:rPr>
        <w:t xml:space="preserve"> по сравнению с действующей схемой</w:t>
      </w:r>
      <w:r w:rsidR="002E0932" w:rsidRPr="00D2152D">
        <w:rPr>
          <w:color w:val="0070C0"/>
        </w:rPr>
        <w:t xml:space="preserve"> </w:t>
      </w:r>
      <w:r w:rsidR="002E0932" w:rsidRPr="00D2152D">
        <w:rPr>
          <w:b/>
          <w:color w:val="0070C0"/>
        </w:rPr>
        <w:t xml:space="preserve">только для </w:t>
      </w:r>
      <w:r w:rsidR="00F818A5" w:rsidRPr="00D2152D">
        <w:rPr>
          <w:b/>
          <w:color w:val="0070C0"/>
        </w:rPr>
        <w:t>УТ</w:t>
      </w:r>
      <w:r w:rsidR="002E0932" w:rsidRPr="00D2152D">
        <w:rPr>
          <w:b/>
          <w:color w:val="0070C0"/>
        </w:rPr>
        <w:t>, превы</w:t>
      </w:r>
      <w:r w:rsidR="00D11440" w:rsidRPr="00D2152D">
        <w:rPr>
          <w:b/>
          <w:color w:val="0070C0"/>
        </w:rPr>
        <w:t>шающих</w:t>
      </w:r>
      <w:r w:rsidR="002E0932" w:rsidRPr="00D2152D">
        <w:rPr>
          <w:b/>
          <w:color w:val="0070C0"/>
        </w:rPr>
        <w:t xml:space="preserve"> </w:t>
      </w:r>
      <w:r w:rsidR="00D11440" w:rsidRPr="00D2152D">
        <w:rPr>
          <w:b/>
          <w:color w:val="0070C0"/>
        </w:rPr>
        <w:t xml:space="preserve">3 млн </w:t>
      </w:r>
      <w:r w:rsidR="002E0932" w:rsidRPr="00D2152D">
        <w:rPr>
          <w:b/>
          <w:color w:val="0070C0"/>
        </w:rPr>
        <w:t>заявок</w:t>
      </w:r>
      <w:r w:rsidR="00D11440" w:rsidRPr="00D2152D">
        <w:rPr>
          <w:b/>
          <w:color w:val="0070C0"/>
        </w:rPr>
        <w:t xml:space="preserve"> в день</w:t>
      </w:r>
      <w:r w:rsidR="00D11440" w:rsidRPr="00D2152D">
        <w:rPr>
          <w:color w:val="0070C0"/>
        </w:rPr>
        <w:t xml:space="preserve"> и при этом не увеличивающих свои обороты по сделкам</w:t>
      </w:r>
      <w:r w:rsidR="00BC18A3" w:rsidRPr="00D2152D">
        <w:rPr>
          <w:color w:val="0070C0"/>
        </w:rPr>
        <w:t>.</w:t>
      </w:r>
    </w:p>
    <w:p w14:paraId="03B19314" w14:textId="2DF2F684" w:rsidR="00F818A5" w:rsidRPr="00D2152D" w:rsidRDefault="00F818A5" w:rsidP="00F818A5">
      <w:pPr>
        <w:pStyle w:val="a8"/>
        <w:numPr>
          <w:ilvl w:val="1"/>
          <w:numId w:val="7"/>
        </w:numPr>
        <w:spacing w:before="60"/>
        <w:ind w:left="567" w:hanging="567"/>
        <w:rPr>
          <w:color w:val="0070C0"/>
        </w:rPr>
      </w:pPr>
      <w:r w:rsidRPr="00D2152D">
        <w:rPr>
          <w:color w:val="0070C0"/>
        </w:rPr>
        <w:t xml:space="preserve">Максимальная величина ДКС </w:t>
      </w:r>
      <w:r w:rsidRPr="00D2152D">
        <w:rPr>
          <w:color w:val="0070C0"/>
          <w:sz w:val="22"/>
          <w:szCs w:val="22"/>
        </w:rPr>
        <w:t xml:space="preserve">увеличивается с </w:t>
      </w:r>
      <w:r w:rsidRPr="00D2152D">
        <w:rPr>
          <w:b/>
          <w:color w:val="0070C0"/>
          <w:sz w:val="22"/>
          <w:szCs w:val="22"/>
        </w:rPr>
        <w:t>300 тыс. руб.</w:t>
      </w:r>
      <w:r w:rsidRPr="00D2152D">
        <w:rPr>
          <w:color w:val="0070C0"/>
          <w:sz w:val="22"/>
          <w:szCs w:val="22"/>
        </w:rPr>
        <w:t xml:space="preserve"> до </w:t>
      </w:r>
      <w:r w:rsidRPr="00D2152D">
        <w:rPr>
          <w:b/>
          <w:color w:val="0070C0"/>
          <w:sz w:val="22"/>
          <w:szCs w:val="22"/>
        </w:rPr>
        <w:t>3 млн руб</w:t>
      </w:r>
      <w:r w:rsidRPr="00D2152D">
        <w:rPr>
          <w:color w:val="0070C0"/>
        </w:rPr>
        <w:t xml:space="preserve">. Т.е. ранее УТ, выставивший свыше 3 млн заявок и не заключивший при этом никаких сделок, платил максимум ДКС 300 тыс. руб. В новой схеме максимум ДКС увеличен в 10 раз – для УТ сумма ДКС перестает увеличиваться при </w:t>
      </w:r>
      <w:r w:rsidR="005E0A6F" w:rsidRPr="00D2152D">
        <w:rPr>
          <w:color w:val="0070C0"/>
        </w:rPr>
        <w:t xml:space="preserve">выставлении </w:t>
      </w:r>
      <w:r w:rsidR="00D2152D">
        <w:rPr>
          <w:color w:val="0070C0"/>
        </w:rPr>
        <w:t xml:space="preserve">им </w:t>
      </w:r>
      <w:r w:rsidR="005E0A6F" w:rsidRPr="00D2152D">
        <w:rPr>
          <w:color w:val="0070C0"/>
        </w:rPr>
        <w:t xml:space="preserve">числа заявок </w:t>
      </w:r>
      <w:r w:rsidR="00D2152D" w:rsidRPr="00976379">
        <w:rPr>
          <w:color w:val="0070C0"/>
        </w:rPr>
        <w:t>&gt;</w:t>
      </w:r>
      <w:r w:rsidR="005E0A6F" w:rsidRPr="00D2152D">
        <w:rPr>
          <w:color w:val="0070C0"/>
        </w:rPr>
        <w:t>30 млн ш</w:t>
      </w:r>
      <w:r w:rsidR="00D2152D">
        <w:rPr>
          <w:color w:val="0070C0"/>
        </w:rPr>
        <w:t>т</w:t>
      </w:r>
      <w:r w:rsidRPr="00D2152D">
        <w:rPr>
          <w:color w:val="0070C0"/>
        </w:rPr>
        <w:t>.</w:t>
      </w:r>
    </w:p>
    <w:sectPr w:rsidR="00F818A5" w:rsidRPr="00D2152D" w:rsidSect="001A0E91">
      <w:footerReference w:type="default" r:id="rId7"/>
      <w:pgSz w:w="11906" w:h="16838"/>
      <w:pgMar w:top="1276" w:right="1134" w:bottom="1134" w:left="1135" w:header="709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D49AC" w14:textId="77777777" w:rsidR="00FC15C5" w:rsidRDefault="00FC15C5" w:rsidP="00E13995">
      <w:pPr>
        <w:spacing w:after="0" w:line="240" w:lineRule="auto"/>
      </w:pPr>
      <w:r>
        <w:separator/>
      </w:r>
    </w:p>
  </w:endnote>
  <w:endnote w:type="continuationSeparator" w:id="0">
    <w:p w14:paraId="51D4A86C" w14:textId="77777777" w:rsidR="00FC15C5" w:rsidRDefault="00FC15C5" w:rsidP="00E1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4103295"/>
      <w:docPartObj>
        <w:docPartGallery w:val="Page Numbers (Bottom of Page)"/>
        <w:docPartUnique/>
      </w:docPartObj>
    </w:sdtPr>
    <w:sdtEndPr/>
    <w:sdtContent>
      <w:p w14:paraId="2AC00F41" w14:textId="56D5D5C1" w:rsidR="001A0E91" w:rsidRDefault="001A0E9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E378E" w14:textId="77777777" w:rsidR="00BF3B4E" w:rsidRDefault="00BF3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AFF94" w14:textId="77777777" w:rsidR="00FC15C5" w:rsidRDefault="00FC15C5" w:rsidP="00E13995">
      <w:pPr>
        <w:spacing w:after="0" w:line="240" w:lineRule="auto"/>
      </w:pPr>
      <w:r>
        <w:separator/>
      </w:r>
    </w:p>
  </w:footnote>
  <w:footnote w:type="continuationSeparator" w:id="0">
    <w:p w14:paraId="166AAAE2" w14:textId="77777777" w:rsidR="00FC15C5" w:rsidRDefault="00FC15C5" w:rsidP="00E13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6FF"/>
    <w:multiLevelType w:val="singleLevel"/>
    <w:tmpl w:val="EA181712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1" w15:restartNumberingAfterBreak="0">
    <w:nsid w:val="2C271E4A"/>
    <w:multiLevelType w:val="multilevel"/>
    <w:tmpl w:val="A96AE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4A5129"/>
    <w:multiLevelType w:val="multilevel"/>
    <w:tmpl w:val="8DFC84E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Point"/>
      <w:lvlText w:val="ПОДРАЗДЕЛ %1-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411"/>
        </w:tabs>
        <w:ind w:left="2411" w:hanging="1418"/>
      </w:pPr>
      <w:rPr>
        <w:rFonts w:hint="default"/>
        <w:b/>
        <w:sz w:val="24"/>
      </w:rPr>
    </w:lvl>
    <w:lvl w:ilvl="3">
      <w:start w:val="1"/>
      <w:numFmt w:val="decimal"/>
      <w:pStyle w:val="Point"/>
      <w:isLgl/>
      <w:lvlText w:val="%4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3" w15:restartNumberingAfterBreak="0">
    <w:nsid w:val="57C56364"/>
    <w:multiLevelType w:val="multilevel"/>
    <w:tmpl w:val="73CAA7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5A6C1DB9"/>
    <w:multiLevelType w:val="multilevel"/>
    <w:tmpl w:val="CD06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3190761"/>
    <w:multiLevelType w:val="multilevel"/>
    <w:tmpl w:val="A30803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69134CDC"/>
    <w:multiLevelType w:val="hybridMultilevel"/>
    <w:tmpl w:val="B13CDD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73C0CE3"/>
    <w:multiLevelType w:val="multilevel"/>
    <w:tmpl w:val="A780507E"/>
    <w:lvl w:ilvl="0">
      <w:start w:val="1"/>
      <w:numFmt w:val="decimal"/>
      <w:suff w:val="nothing"/>
      <w:lvlText w:val="Приложение № %1"/>
      <w:lvlJc w:val="righ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1"/>
      <w:lvlText w:val="Приложение %2."/>
      <w:lvlJc w:val="left"/>
      <w:pPr>
        <w:tabs>
          <w:tab w:val="num" w:pos="8789"/>
        </w:tabs>
        <w:ind w:left="8789" w:hanging="851"/>
      </w:pPr>
      <w:rPr>
        <w:rFonts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5"/>
    <w:rsid w:val="00003954"/>
    <w:rsid w:val="00052E9A"/>
    <w:rsid w:val="00066907"/>
    <w:rsid w:val="00072A1A"/>
    <w:rsid w:val="000A1B1E"/>
    <w:rsid w:val="000A7E7D"/>
    <w:rsid w:val="000E32D2"/>
    <w:rsid w:val="000E5BC3"/>
    <w:rsid w:val="000F0CE3"/>
    <w:rsid w:val="00101B10"/>
    <w:rsid w:val="0010765C"/>
    <w:rsid w:val="00140144"/>
    <w:rsid w:val="001430E1"/>
    <w:rsid w:val="00151047"/>
    <w:rsid w:val="00156ACF"/>
    <w:rsid w:val="00161B6B"/>
    <w:rsid w:val="00182FA0"/>
    <w:rsid w:val="00186DE3"/>
    <w:rsid w:val="001A0E91"/>
    <w:rsid w:val="001A1217"/>
    <w:rsid w:val="001A6391"/>
    <w:rsid w:val="001B000C"/>
    <w:rsid w:val="001B6C87"/>
    <w:rsid w:val="001C2AF5"/>
    <w:rsid w:val="001C6DEB"/>
    <w:rsid w:val="001F19DE"/>
    <w:rsid w:val="001F29CC"/>
    <w:rsid w:val="00262A03"/>
    <w:rsid w:val="00263C8A"/>
    <w:rsid w:val="0027766B"/>
    <w:rsid w:val="002B2806"/>
    <w:rsid w:val="002D7FEE"/>
    <w:rsid w:val="002E0932"/>
    <w:rsid w:val="002E0A0A"/>
    <w:rsid w:val="002F1D5F"/>
    <w:rsid w:val="00336F67"/>
    <w:rsid w:val="00346907"/>
    <w:rsid w:val="00347CE4"/>
    <w:rsid w:val="00351290"/>
    <w:rsid w:val="00362767"/>
    <w:rsid w:val="00376D41"/>
    <w:rsid w:val="00393DA8"/>
    <w:rsid w:val="003B2658"/>
    <w:rsid w:val="003D23B9"/>
    <w:rsid w:val="003E1AE1"/>
    <w:rsid w:val="0042175A"/>
    <w:rsid w:val="004476A8"/>
    <w:rsid w:val="00474F22"/>
    <w:rsid w:val="004872FF"/>
    <w:rsid w:val="004A099A"/>
    <w:rsid w:val="004B11E6"/>
    <w:rsid w:val="004C0F2B"/>
    <w:rsid w:val="004E6A8E"/>
    <w:rsid w:val="004F3D0D"/>
    <w:rsid w:val="005159E2"/>
    <w:rsid w:val="0054749E"/>
    <w:rsid w:val="005B4328"/>
    <w:rsid w:val="005B57D8"/>
    <w:rsid w:val="005B618F"/>
    <w:rsid w:val="005B7D82"/>
    <w:rsid w:val="005D2BE7"/>
    <w:rsid w:val="005D2CB8"/>
    <w:rsid w:val="005D5481"/>
    <w:rsid w:val="005E0A6F"/>
    <w:rsid w:val="005E0CC5"/>
    <w:rsid w:val="005E64DD"/>
    <w:rsid w:val="005F78FB"/>
    <w:rsid w:val="006074DC"/>
    <w:rsid w:val="00611314"/>
    <w:rsid w:val="006218E2"/>
    <w:rsid w:val="006311EC"/>
    <w:rsid w:val="00642D86"/>
    <w:rsid w:val="00663D91"/>
    <w:rsid w:val="0066483B"/>
    <w:rsid w:val="006807B9"/>
    <w:rsid w:val="00686671"/>
    <w:rsid w:val="006A6BFC"/>
    <w:rsid w:val="006A70E8"/>
    <w:rsid w:val="006C75C8"/>
    <w:rsid w:val="00741308"/>
    <w:rsid w:val="0078154B"/>
    <w:rsid w:val="007824ED"/>
    <w:rsid w:val="00797D8A"/>
    <w:rsid w:val="007D73D0"/>
    <w:rsid w:val="007E7E1C"/>
    <w:rsid w:val="007F33CC"/>
    <w:rsid w:val="00810442"/>
    <w:rsid w:val="00830131"/>
    <w:rsid w:val="00841F2F"/>
    <w:rsid w:val="00857E81"/>
    <w:rsid w:val="0087255A"/>
    <w:rsid w:val="00875B6B"/>
    <w:rsid w:val="00881FA4"/>
    <w:rsid w:val="008852ED"/>
    <w:rsid w:val="008A4AB5"/>
    <w:rsid w:val="008A7C59"/>
    <w:rsid w:val="008E5C2C"/>
    <w:rsid w:val="008F3CBF"/>
    <w:rsid w:val="008F4E4E"/>
    <w:rsid w:val="0091001D"/>
    <w:rsid w:val="0091612C"/>
    <w:rsid w:val="009407E0"/>
    <w:rsid w:val="00941B57"/>
    <w:rsid w:val="00945316"/>
    <w:rsid w:val="009502D5"/>
    <w:rsid w:val="00972EF1"/>
    <w:rsid w:val="00976379"/>
    <w:rsid w:val="0099341A"/>
    <w:rsid w:val="009A6CDB"/>
    <w:rsid w:val="009B183E"/>
    <w:rsid w:val="009B2C11"/>
    <w:rsid w:val="009C7809"/>
    <w:rsid w:val="009D6B68"/>
    <w:rsid w:val="009F65A8"/>
    <w:rsid w:val="009F76B5"/>
    <w:rsid w:val="00A015FE"/>
    <w:rsid w:val="00A15ED7"/>
    <w:rsid w:val="00A407DA"/>
    <w:rsid w:val="00A44AE6"/>
    <w:rsid w:val="00A60947"/>
    <w:rsid w:val="00A616B0"/>
    <w:rsid w:val="00A73084"/>
    <w:rsid w:val="00A87BE4"/>
    <w:rsid w:val="00AB4236"/>
    <w:rsid w:val="00AC2C36"/>
    <w:rsid w:val="00AE12E4"/>
    <w:rsid w:val="00AE1779"/>
    <w:rsid w:val="00AE49C0"/>
    <w:rsid w:val="00AF2724"/>
    <w:rsid w:val="00B1043B"/>
    <w:rsid w:val="00B172F8"/>
    <w:rsid w:val="00B4027E"/>
    <w:rsid w:val="00B83D45"/>
    <w:rsid w:val="00BC145B"/>
    <w:rsid w:val="00BC18A3"/>
    <w:rsid w:val="00BC550B"/>
    <w:rsid w:val="00BC6B32"/>
    <w:rsid w:val="00BD2DA1"/>
    <w:rsid w:val="00BE2B93"/>
    <w:rsid w:val="00BF3B4E"/>
    <w:rsid w:val="00C24C49"/>
    <w:rsid w:val="00CA4B9C"/>
    <w:rsid w:val="00CA589D"/>
    <w:rsid w:val="00CB3146"/>
    <w:rsid w:val="00D11440"/>
    <w:rsid w:val="00D2152D"/>
    <w:rsid w:val="00D223B6"/>
    <w:rsid w:val="00D44E3A"/>
    <w:rsid w:val="00D65BF0"/>
    <w:rsid w:val="00D85BDF"/>
    <w:rsid w:val="00D95A45"/>
    <w:rsid w:val="00DA056A"/>
    <w:rsid w:val="00DB1E6F"/>
    <w:rsid w:val="00DF56C8"/>
    <w:rsid w:val="00E13995"/>
    <w:rsid w:val="00E2572A"/>
    <w:rsid w:val="00E4685F"/>
    <w:rsid w:val="00E765EC"/>
    <w:rsid w:val="00E83D42"/>
    <w:rsid w:val="00EA2845"/>
    <w:rsid w:val="00EC10B7"/>
    <w:rsid w:val="00F027A6"/>
    <w:rsid w:val="00F06281"/>
    <w:rsid w:val="00F15FB4"/>
    <w:rsid w:val="00F32569"/>
    <w:rsid w:val="00F34C41"/>
    <w:rsid w:val="00F41922"/>
    <w:rsid w:val="00F521FB"/>
    <w:rsid w:val="00F53868"/>
    <w:rsid w:val="00F5491F"/>
    <w:rsid w:val="00F818A5"/>
    <w:rsid w:val="00F97320"/>
    <w:rsid w:val="00FB63AB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470E78"/>
  <w15:chartTrackingRefBased/>
  <w15:docId w15:val="{8F90A2EE-B094-4D4A-8511-C6142BFC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995"/>
  </w:style>
  <w:style w:type="paragraph" w:styleId="10">
    <w:name w:val="heading 1"/>
    <w:basedOn w:val="a"/>
    <w:next w:val="a"/>
    <w:link w:val="11"/>
    <w:uiPriority w:val="9"/>
    <w:qFormat/>
    <w:rsid w:val="00AE12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link w:val="Point1"/>
    <w:qFormat/>
    <w:rsid w:val="00E13995"/>
    <w:pPr>
      <w:numPr>
        <w:ilvl w:val="3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 1"/>
    <w:qFormat/>
    <w:rsid w:val="00E13995"/>
    <w:pPr>
      <w:keepNext/>
      <w:keepLines/>
      <w:pageBreakBefore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3">
    <w:name w:val="Title 3"/>
    <w:basedOn w:val="a"/>
    <w:qFormat/>
    <w:rsid w:val="00E13995"/>
    <w:pPr>
      <w:keepNext/>
      <w:keepLines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int2">
    <w:name w:val="Point 2"/>
    <w:basedOn w:val="Point"/>
    <w:qFormat/>
    <w:rsid w:val="00E13995"/>
    <w:pPr>
      <w:numPr>
        <w:ilvl w:val="4"/>
      </w:numPr>
    </w:pPr>
  </w:style>
  <w:style w:type="character" w:customStyle="1" w:styleId="Point1">
    <w:name w:val="Point Знак1"/>
    <w:link w:val="Point"/>
    <w:rsid w:val="00E13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E1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13995"/>
  </w:style>
  <w:style w:type="paragraph" w:styleId="a5">
    <w:name w:val="footnote text"/>
    <w:basedOn w:val="a"/>
    <w:link w:val="a6"/>
    <w:unhideWhenUsed/>
    <w:rsid w:val="00E1399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13995"/>
    <w:rPr>
      <w:sz w:val="20"/>
      <w:szCs w:val="20"/>
    </w:rPr>
  </w:style>
  <w:style w:type="character" w:styleId="a7">
    <w:name w:val="footnote reference"/>
    <w:basedOn w:val="a0"/>
    <w:unhideWhenUsed/>
    <w:rsid w:val="00E13995"/>
    <w:rPr>
      <w:vertAlign w:val="superscript"/>
    </w:rPr>
  </w:style>
  <w:style w:type="paragraph" w:styleId="a8">
    <w:name w:val="List Paragraph"/>
    <w:basedOn w:val="a"/>
    <w:uiPriority w:val="34"/>
    <w:qFormat/>
    <w:rsid w:val="003B265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E12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center">
    <w:name w:val="Head center"/>
    <w:basedOn w:val="a"/>
    <w:qFormat/>
    <w:rsid w:val="00AE12E4"/>
    <w:pPr>
      <w:keepLines/>
      <w:tabs>
        <w:tab w:val="right" w:pos="9356"/>
      </w:tabs>
      <w:spacing w:after="0" w:line="240" w:lineRule="auto"/>
      <w:ind w:left="142"/>
      <w:jc w:val="center"/>
    </w:pPr>
    <w:rPr>
      <w:rFonts w:ascii="Times New Roman" w:eastAsia="Times New Roman" w:hAnsi="Times New Roman" w:cs="Arial"/>
      <w:b/>
      <w:bCs/>
      <w:noProof/>
      <w:sz w:val="32"/>
      <w:szCs w:val="24"/>
      <w:lang w:eastAsia="ru-RU"/>
    </w:rPr>
  </w:style>
  <w:style w:type="paragraph" w:customStyle="1" w:styleId="1">
    <w:name w:val="Заголовок 1 Приложения"/>
    <w:basedOn w:val="10"/>
    <w:next w:val="a"/>
    <w:rsid w:val="00AE12E4"/>
    <w:pPr>
      <w:keepNext w:val="0"/>
      <w:keepLines w:val="0"/>
      <w:pageBreakBefore/>
      <w:numPr>
        <w:ilvl w:val="1"/>
        <w:numId w:val="10"/>
      </w:numPr>
      <w:tabs>
        <w:tab w:val="clear" w:pos="8789"/>
        <w:tab w:val="num" w:pos="360"/>
        <w:tab w:val="num" w:pos="1080"/>
      </w:tabs>
      <w:autoSpaceDE w:val="0"/>
      <w:autoSpaceDN w:val="0"/>
      <w:spacing w:before="0" w:line="240" w:lineRule="auto"/>
      <w:ind w:left="0" w:firstLine="0"/>
      <w:jc w:val="right"/>
    </w:pPr>
    <w:rPr>
      <w:rFonts w:ascii="Times New Roman" w:eastAsia="Times New Roman" w:hAnsi="Times New Roman" w:cs="Times New Roman"/>
      <w:b/>
      <w:noProof/>
      <w:color w:val="auto"/>
      <w:sz w:val="24"/>
      <w:szCs w:val="28"/>
      <w:lang w:val="x-none" w:eastAsia="x-none" w:bidi="en-US"/>
    </w:rPr>
  </w:style>
  <w:style w:type="paragraph" w:customStyle="1" w:styleId="Pointmark">
    <w:name w:val="Point (mark)"/>
    <w:qFormat/>
    <w:rsid w:val="00AE12E4"/>
    <w:pPr>
      <w:numPr>
        <w:numId w:val="11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</w:rPr>
  </w:style>
  <w:style w:type="paragraph" w:styleId="2">
    <w:name w:val="Body Text 2"/>
    <w:basedOn w:val="a"/>
    <w:link w:val="20"/>
    <w:rsid w:val="00AE12E4"/>
    <w:pPr>
      <w:tabs>
        <w:tab w:val="right" w:pos="9356"/>
      </w:tabs>
      <w:autoSpaceDE w:val="0"/>
      <w:autoSpaceDN w:val="0"/>
      <w:spacing w:after="120" w:line="480" w:lineRule="auto"/>
      <w:ind w:left="142"/>
      <w:jc w:val="both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E12E4"/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110">
    <w:name w:val="Без интервала11"/>
    <w:rsid w:val="00AE12E4"/>
    <w:pPr>
      <w:spacing w:before="60" w:after="60" w:line="276" w:lineRule="auto"/>
      <w:jc w:val="both"/>
    </w:pPr>
    <w:rPr>
      <w:rFonts w:ascii="Franklin Gothic Book" w:eastAsia="Times New Roman" w:hAnsi="Franklin Gothic Book" w:cs="Times New Roman"/>
      <w:lang w:val="en-US"/>
    </w:rPr>
  </w:style>
  <w:style w:type="character" w:customStyle="1" w:styleId="11">
    <w:name w:val="Заголовок 1 Знак"/>
    <w:basedOn w:val="a0"/>
    <w:link w:val="10"/>
    <w:uiPriority w:val="9"/>
    <w:rsid w:val="00AE1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52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OfficeProPlus2019x32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Седельников Дмитрий Геннадьевич</dc:creator>
  <cp:keywords/>
  <dc:description/>
  <cp:lastModifiedBy>Седельников Дмитрий Геннадьевич</cp:lastModifiedBy>
  <cp:revision>3</cp:revision>
  <dcterms:created xsi:type="dcterms:W3CDTF">2022-11-11T07:53:00Z</dcterms:created>
  <dcterms:modified xsi:type="dcterms:W3CDTF">2022-11-11T08:28:00Z</dcterms:modified>
</cp:coreProperties>
</file>