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17" w:rsidRPr="006A7779" w:rsidRDefault="007B4217" w:rsidP="007B4217">
      <w:pPr>
        <w:pStyle w:val="a9"/>
        <w:rPr>
          <w:b/>
        </w:rPr>
      </w:pPr>
      <w:r w:rsidRPr="006A7779">
        <w:rPr>
          <w:b/>
        </w:rPr>
        <w:t>Приложение № 11</w:t>
      </w:r>
    </w:p>
    <w:p w:rsidR="007B4217" w:rsidRPr="00745D34" w:rsidRDefault="007B4217" w:rsidP="007B4217">
      <w:pPr>
        <w:pStyle w:val="a9"/>
      </w:pPr>
      <w:bookmarkStart w:id="0" w:name="_GoBack"/>
      <w:bookmarkEnd w:id="0"/>
      <w:r w:rsidRPr="00745D34">
        <w:t xml:space="preserve">к Правилам клиринга ЗАО АКБ «Национальный </w:t>
      </w:r>
      <w:r w:rsidRPr="00745D34">
        <w:br/>
        <w:t>Клиринговый Центр» на срочном рынке</w:t>
      </w:r>
    </w:p>
    <w:p w:rsidR="007B4217" w:rsidRPr="00745D34" w:rsidRDefault="007B4217" w:rsidP="007B4217">
      <w:pPr>
        <w:pStyle w:val="aa"/>
      </w:pPr>
      <w:r w:rsidRPr="00745D34">
        <w:t>МЕТОДИКА РАСЧЕТА РАЗМЕРА ВЗНОСА В ГАРАНТИЙНЫЙ ФОНД</w:t>
      </w:r>
    </w:p>
    <w:p w:rsidR="007B4217" w:rsidRPr="00745D34" w:rsidRDefault="007B4217" w:rsidP="007B4217">
      <w:pPr>
        <w:pStyle w:val="a"/>
        <w:numPr>
          <w:ilvl w:val="0"/>
          <w:numId w:val="4"/>
        </w:numPr>
      </w:pPr>
      <w:r w:rsidRPr="00745D34">
        <w:t>Общие положения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В соответствии с настоящей методикой Клиринговый центр производит расчет размера взноса в Гарантийный фонд в отношении каждой Расчетной фирмы, зарегистрированной Участником клиринга (далее – Размер взноса), устанавливает величины параметров, необходимые для данного расчета.</w:t>
      </w:r>
    </w:p>
    <w:p w:rsidR="007B4217" w:rsidRPr="00745D34" w:rsidRDefault="007B4217" w:rsidP="007B4217">
      <w:pPr>
        <w:pStyle w:val="a"/>
      </w:pPr>
      <w:r w:rsidRPr="00745D34">
        <w:t>Категории Расчетных фирм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Клиринговый центр устанавливает следующие категории Расчетных фирм:</w:t>
      </w:r>
    </w:p>
    <w:tbl>
      <w:tblPr>
        <w:tblW w:w="7796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7"/>
        <w:gridCol w:w="851"/>
        <w:gridCol w:w="850"/>
        <w:gridCol w:w="851"/>
        <w:gridCol w:w="850"/>
        <w:gridCol w:w="993"/>
        <w:gridCol w:w="992"/>
        <w:gridCol w:w="992"/>
      </w:tblGrid>
      <w:tr w:rsidR="007B4217" w:rsidRPr="00745D34" w:rsidTr="00A315E8">
        <w:trPr>
          <w:trHeight w:val="129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Категория</w:t>
            </w:r>
          </w:p>
        </w:tc>
        <w:tc>
          <w:tcPr>
            <w:tcW w:w="6379" w:type="dxa"/>
            <w:gridSpan w:val="7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Доступ к Рынкам</w:t>
            </w:r>
          </w:p>
        </w:tc>
      </w:tr>
      <w:tr w:rsidR="007B4217" w:rsidRPr="00745D34" w:rsidTr="00A315E8">
        <w:trPr>
          <w:trHeight w:val="129"/>
        </w:trPr>
        <w:tc>
          <w:tcPr>
            <w:tcW w:w="1417" w:type="dxa"/>
            <w:vMerge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1</w:t>
            </w:r>
          </w:p>
        </w:tc>
        <w:tc>
          <w:tcPr>
            <w:tcW w:w="850" w:type="dxa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</w:rPr>
            </w:pPr>
            <w:r w:rsidRPr="00745D34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ind w:right="96"/>
              <w:jc w:val="center"/>
              <w:rPr>
                <w:b/>
                <w:szCs w:val="24"/>
                <w:lang w:val="en-US"/>
              </w:rPr>
            </w:pPr>
            <w:r w:rsidRPr="00745D34">
              <w:rPr>
                <w:b/>
                <w:szCs w:val="24"/>
                <w:lang w:val="en-US"/>
              </w:rPr>
              <w:t>7</w:t>
            </w:r>
          </w:p>
        </w:tc>
      </w:tr>
      <w:tr w:rsidR="007B4217" w:rsidRPr="00745D34" w:rsidTr="00A315E8">
        <w:tc>
          <w:tcPr>
            <w:tcW w:w="1417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center"/>
              <w:rPr>
                <w:b/>
                <w:szCs w:val="24"/>
                <w:lang w:val="en-US"/>
              </w:rPr>
            </w:pPr>
            <w:r w:rsidRPr="00745D34"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850" w:type="dxa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</w:tr>
      <w:tr w:rsidR="007B4217" w:rsidRPr="00745D34" w:rsidTr="00A315E8">
        <w:tc>
          <w:tcPr>
            <w:tcW w:w="1417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center"/>
              <w:rPr>
                <w:b/>
                <w:color w:val="000000"/>
                <w:szCs w:val="24"/>
                <w:lang w:val="en-US"/>
              </w:rPr>
            </w:pPr>
            <w:r w:rsidRPr="00745D34">
              <w:rPr>
                <w:b/>
                <w:color w:val="000000"/>
                <w:szCs w:val="24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right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right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</w:tr>
      <w:tr w:rsidR="007B4217" w:rsidRPr="00745D34" w:rsidTr="00A315E8">
        <w:tc>
          <w:tcPr>
            <w:tcW w:w="1417" w:type="dxa"/>
            <w:shd w:val="clear" w:color="auto" w:fill="auto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center"/>
              <w:rPr>
                <w:b/>
                <w:szCs w:val="24"/>
                <w:lang w:val="en-US"/>
              </w:rPr>
            </w:pPr>
            <w:r w:rsidRPr="00745D34">
              <w:rPr>
                <w:b/>
                <w:szCs w:val="24"/>
                <w:lang w:val="en-US"/>
              </w:rPr>
              <w:t>III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right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right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B4217" w:rsidRPr="00745D34" w:rsidRDefault="007B4217" w:rsidP="00A315E8">
            <w:pPr>
              <w:pStyle w:val="Point"/>
              <w:numPr>
                <w:ilvl w:val="0"/>
                <w:numId w:val="0"/>
              </w:numPr>
              <w:spacing w:after="120"/>
              <w:jc w:val="right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  <w:tc>
          <w:tcPr>
            <w:tcW w:w="992" w:type="dxa"/>
            <w:vAlign w:val="center"/>
          </w:tcPr>
          <w:p w:rsidR="007B4217" w:rsidRPr="00745D34" w:rsidRDefault="007B4217" w:rsidP="00A315E8">
            <w:pPr>
              <w:jc w:val="right"/>
            </w:pPr>
            <w:r w:rsidRPr="00745D34">
              <w:sym w:font="Symbol" w:char="F0D6"/>
            </w:r>
          </w:p>
        </w:tc>
      </w:tr>
    </w:tbl>
    <w:p w:rsidR="007B4217" w:rsidRPr="00745D34" w:rsidRDefault="007B4217" w:rsidP="007B4217">
      <w:pPr>
        <w:pStyle w:val="a7"/>
      </w:pPr>
      <w:r w:rsidRPr="00745D34">
        <w:t xml:space="preserve">где </w:t>
      </w:r>
    </w:p>
    <w:p w:rsidR="007B4217" w:rsidRPr="00745D34" w:rsidRDefault="007B4217" w:rsidP="007B4217">
      <w:pPr>
        <w:pStyle w:val="a7"/>
      </w:pPr>
      <w:r w:rsidRPr="00745D34">
        <w:t>Рынок - рынок \ режим торгов \ типы сделок</w:t>
      </w:r>
    </w:p>
    <w:p w:rsidR="007B4217" w:rsidRPr="00745D34" w:rsidRDefault="007B4217" w:rsidP="007B4217">
      <w:pPr>
        <w:pStyle w:val="a7"/>
      </w:pPr>
      <w:r w:rsidRPr="00745D34">
        <w:t>1 -</w:t>
      </w:r>
      <w:r w:rsidRPr="00745D34">
        <w:tab/>
        <w:t xml:space="preserve">Фондовый рынок Секции срочного рынка </w:t>
      </w:r>
    </w:p>
    <w:p w:rsidR="007B4217" w:rsidRPr="00745D34" w:rsidRDefault="007B4217" w:rsidP="007B4217">
      <w:pPr>
        <w:pStyle w:val="a7"/>
      </w:pPr>
      <w:r w:rsidRPr="00745D34">
        <w:t>2 -</w:t>
      </w:r>
      <w:r w:rsidRPr="00745D34">
        <w:tab/>
      </w:r>
      <w:r>
        <w:t>С</w:t>
      </w:r>
      <w:r w:rsidRPr="00745D34">
        <w:t>ектор</w:t>
      </w:r>
      <w:r>
        <w:t xml:space="preserve"> рынка </w:t>
      </w:r>
      <w:r w:rsidRPr="00745D34">
        <w:rPr>
          <w:lang w:val="en-US"/>
        </w:rPr>
        <w:t>Standard</w:t>
      </w:r>
      <w:r>
        <w:t xml:space="preserve"> ЗАО «ФБ ММВБ»</w:t>
      </w:r>
    </w:p>
    <w:p w:rsidR="007B4217" w:rsidRPr="00745D34" w:rsidRDefault="007B4217" w:rsidP="007B4217">
      <w:pPr>
        <w:pStyle w:val="a7"/>
      </w:pPr>
      <w:r w:rsidRPr="00745D34">
        <w:t>3 -</w:t>
      </w:r>
      <w:r w:rsidRPr="00745D34">
        <w:tab/>
        <w:t xml:space="preserve">Денежный рынок Секции срочного рынка </w:t>
      </w:r>
    </w:p>
    <w:p w:rsidR="007B4217" w:rsidRPr="00745D34" w:rsidRDefault="007B4217" w:rsidP="007B4217">
      <w:pPr>
        <w:pStyle w:val="a7"/>
      </w:pPr>
      <w:r w:rsidRPr="00745D34">
        <w:t>4 -</w:t>
      </w:r>
      <w:r w:rsidRPr="00745D34">
        <w:tab/>
        <w:t xml:space="preserve">Товарный рынок Секции срочного рынка </w:t>
      </w:r>
    </w:p>
    <w:p w:rsidR="007B4217" w:rsidRPr="00745D34" w:rsidRDefault="007B4217" w:rsidP="007B4217">
      <w:pPr>
        <w:pStyle w:val="a7"/>
      </w:pPr>
      <w:r w:rsidRPr="00745D34">
        <w:t>5</w:t>
      </w:r>
      <w:r w:rsidRPr="00745D34">
        <w:rPr>
          <w:snapToGrid w:val="0"/>
        </w:rPr>
        <w:t xml:space="preserve"> -</w:t>
      </w:r>
      <w:r w:rsidRPr="00745D34">
        <w:rPr>
          <w:snapToGrid w:val="0"/>
        </w:rPr>
        <w:tab/>
      </w:r>
      <w:r w:rsidRPr="00745D34">
        <w:t>Секция срочного рынка ОАО «</w:t>
      </w:r>
      <w:proofErr w:type="spellStart"/>
      <w:r w:rsidRPr="00745D34">
        <w:t>Мосэнергобиржа</w:t>
      </w:r>
      <w:proofErr w:type="spellEnd"/>
      <w:r w:rsidRPr="00745D34">
        <w:t>»</w:t>
      </w:r>
    </w:p>
    <w:p w:rsidR="007B4217" w:rsidRPr="00745D34" w:rsidRDefault="007B4217" w:rsidP="007B4217">
      <w:pPr>
        <w:pStyle w:val="a7"/>
      </w:pPr>
      <w:r w:rsidRPr="00745D34">
        <w:t>6 -</w:t>
      </w:r>
      <w:r w:rsidRPr="00745D34">
        <w:tab/>
        <w:t>Секция срочного рынка ОАО «Санкт-Петербургская биржа»</w:t>
      </w:r>
    </w:p>
    <w:p w:rsidR="007B4217" w:rsidRPr="00745D34" w:rsidRDefault="007B4217" w:rsidP="007B4217">
      <w:pPr>
        <w:pStyle w:val="a7"/>
      </w:pPr>
      <w:r w:rsidRPr="00745D34">
        <w:t>7 -</w:t>
      </w:r>
      <w:r w:rsidRPr="00745D34">
        <w:tab/>
        <w:t>Секция стандартных контрактов на зерновые, зернобобовые и технические культуры ЗАО «Национальная товарная биржа»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После внесения взноса в Гарантийный фонд в порядке, установленном Правилами клиринга, в размере, установленном настоящей методикой, Клиринговый центр может осуществлять клиринг по сделкам, заключенным с указанием кода Расчетной фирмы на Рынках, отмеченных знаком «</w:t>
      </w:r>
      <w:r w:rsidRPr="00745D34">
        <w:rPr>
          <w:b/>
          <w:szCs w:val="24"/>
        </w:rPr>
        <w:sym w:font="Symbol" w:char="F0D6"/>
      </w:r>
      <w:r w:rsidRPr="00745D34">
        <w:rPr>
          <w:szCs w:val="24"/>
        </w:rPr>
        <w:t>» в Таблице пункта 2.1 настоящей методики.</w:t>
      </w:r>
    </w:p>
    <w:p w:rsidR="007B4217" w:rsidRPr="00745D34" w:rsidRDefault="007B4217" w:rsidP="007B4217">
      <w:pPr>
        <w:pStyle w:val="a"/>
      </w:pPr>
      <w:r w:rsidRPr="00745D34">
        <w:t>Расчет Размера взноса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Размер взноса для каждой Расчетной фирмы рассчитывается по формуле:</w:t>
      </w:r>
    </w:p>
    <w:p w:rsidR="007B4217" w:rsidRPr="00745D34" w:rsidRDefault="007B4217" w:rsidP="007B4217">
      <w:pPr>
        <w:pStyle w:val="a7"/>
      </w:pPr>
      <w:r w:rsidRPr="00745D34">
        <w:rPr>
          <w:position w:val="-12"/>
        </w:rPr>
        <w:object w:dxaOrig="4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9pt;height:18pt" o:ole="">
            <v:imagedata r:id="rId6" o:title=""/>
          </v:shape>
          <o:OLEObject Type="Embed" ProgID="Equation.3" ShapeID="_x0000_i1028" DrawAspect="Content" ObjectID="_1464605875" r:id="rId7"/>
        </w:object>
      </w:r>
    </w:p>
    <w:p w:rsidR="007B4217" w:rsidRPr="00745D34" w:rsidRDefault="007B4217" w:rsidP="007B4217">
      <w:pPr>
        <w:ind w:left="720"/>
      </w:pPr>
      <w:r w:rsidRPr="00745D34">
        <w:t>где:</w:t>
      </w:r>
    </w:p>
    <w:p w:rsidR="007B4217" w:rsidRPr="00745D34" w:rsidRDefault="007B4217" w:rsidP="007B4217">
      <w:pPr>
        <w:pStyle w:val="a7"/>
      </w:pPr>
      <w:r w:rsidRPr="00745D34">
        <w:rPr>
          <w:position w:val="-12"/>
        </w:rPr>
        <w:object w:dxaOrig="1359" w:dyaOrig="360">
          <v:shape id="_x0000_i1029" type="#_x0000_t75" style="width:68.25pt;height:18pt" o:ole="">
            <v:imagedata r:id="rId8" o:title=""/>
          </v:shape>
          <o:OLEObject Type="Embed" ProgID="Equation.3" ShapeID="_x0000_i1029" DrawAspect="Content" ObjectID="_1464605876" r:id="rId9"/>
        </w:object>
      </w:r>
      <w:r w:rsidRPr="00745D34">
        <w:tab/>
        <w:t>– Размер взноса для Расчетной фирмы;</w:t>
      </w:r>
    </w:p>
    <w:p w:rsidR="007B4217" w:rsidRPr="00745D34" w:rsidRDefault="007B4217" w:rsidP="007B4217">
      <w:pPr>
        <w:pStyle w:val="a7"/>
      </w:pPr>
      <w:proofErr w:type="spellStart"/>
      <w:r w:rsidRPr="00745D34">
        <w:rPr>
          <w:rStyle w:val="a6"/>
        </w:rPr>
        <w:lastRenderedPageBreak/>
        <w:t>Const</w:t>
      </w:r>
      <w:proofErr w:type="spellEnd"/>
      <w:r w:rsidRPr="00745D34">
        <w:rPr>
          <w:rStyle w:val="a6"/>
        </w:rPr>
        <w:tab/>
      </w:r>
      <w:r w:rsidRPr="00745D34">
        <w:rPr>
          <w:rStyle w:val="a6"/>
        </w:rPr>
        <w:tab/>
      </w:r>
      <w:r w:rsidRPr="00745D34">
        <w:t>– минимальный Размер взноса;</w:t>
      </w:r>
    </w:p>
    <w:p w:rsidR="007B4217" w:rsidRPr="00745D34" w:rsidRDefault="007B4217" w:rsidP="007B4217">
      <w:pPr>
        <w:pStyle w:val="a7"/>
      </w:pPr>
      <w:r w:rsidRPr="00745D34">
        <w:rPr>
          <w:position w:val="-4"/>
        </w:rPr>
        <w:object w:dxaOrig="180" w:dyaOrig="200">
          <v:shape id="_x0000_i1027" type="#_x0000_t75" style="width:8.25pt;height:9.75pt" o:ole="">
            <v:imagedata r:id="rId10" o:title=""/>
          </v:shape>
          <o:OLEObject Type="Embed" ProgID="Equation.3" ShapeID="_x0000_i1027" DrawAspect="Content" ObjectID="_1464605877" r:id="rId11"/>
        </w:object>
      </w:r>
      <w:r w:rsidRPr="00745D34">
        <w:t> </w:t>
      </w:r>
      <w:r w:rsidRPr="00745D34">
        <w:tab/>
      </w:r>
      <w:r w:rsidRPr="00745D34">
        <w:tab/>
        <w:t>– ставка процента;</w:t>
      </w:r>
    </w:p>
    <w:p w:rsidR="007B4217" w:rsidRPr="00745D34" w:rsidRDefault="007B4217" w:rsidP="007B4217">
      <w:pPr>
        <w:pStyle w:val="a7"/>
      </w:pPr>
      <w:r w:rsidRPr="00745D34">
        <w:rPr>
          <w:position w:val="-6"/>
        </w:rPr>
        <w:object w:dxaOrig="480" w:dyaOrig="300">
          <v:shape id="_x0000_i1026" type="#_x0000_t75" style="width:24pt;height:15pt" o:ole="">
            <v:imagedata r:id="rId12" o:title=""/>
          </v:shape>
          <o:OLEObject Type="Embed" ProgID="Equation.3" ShapeID="_x0000_i1026" DrawAspect="Content" ObjectID="_1464605878" r:id="rId13"/>
        </w:object>
      </w:r>
      <w:r w:rsidRPr="00745D34">
        <w:t> </w:t>
      </w:r>
      <w:r w:rsidRPr="00745D34">
        <w:tab/>
        <w:t>– среднедневное Гарантийное обеспечение Расчетной фирмы, рассчитанное за 6 (Шесть) месяцев по позициям данной Расчетной фирмы (далее – Среднедневное ГО);</w:t>
      </w:r>
    </w:p>
    <w:p w:rsidR="007B4217" w:rsidRPr="00745D34" w:rsidRDefault="007B4217" w:rsidP="007B4217">
      <w:pPr>
        <w:pStyle w:val="a7"/>
      </w:pPr>
      <w:proofErr w:type="spellStart"/>
      <w:r w:rsidRPr="00745D34">
        <w:rPr>
          <w:rStyle w:val="a6"/>
        </w:rPr>
        <w:t>Cap</w:t>
      </w:r>
      <w:proofErr w:type="spellEnd"/>
      <w:r w:rsidRPr="00745D34">
        <w:t> </w:t>
      </w:r>
      <w:r w:rsidRPr="00745D34">
        <w:tab/>
      </w:r>
      <w:r w:rsidRPr="00745D34">
        <w:tab/>
        <w:t>– максимальный Размер взноса;</w:t>
      </w:r>
    </w:p>
    <w:p w:rsidR="007B4217" w:rsidRPr="00745D34" w:rsidRDefault="007B4217" w:rsidP="007B4217">
      <w:pPr>
        <w:pStyle w:val="a7"/>
      </w:pPr>
      <w:r w:rsidRPr="00745D34">
        <w:rPr>
          <w:position w:val="-6"/>
        </w:rPr>
        <w:object w:dxaOrig="200" w:dyaOrig="220">
          <v:shape id="_x0000_i1025" type="#_x0000_t75" style="width:9.75pt;height:11.25pt" o:ole="">
            <v:imagedata r:id="rId14" o:title=""/>
          </v:shape>
          <o:OLEObject Type="Embed" ProgID="Equation.3" ShapeID="_x0000_i1025" DrawAspect="Content" ObjectID="_1464605879" r:id="rId15"/>
        </w:object>
      </w:r>
      <w:r w:rsidRPr="00745D34">
        <w:t xml:space="preserve"> </w:t>
      </w:r>
      <w:r w:rsidRPr="00745D34">
        <w:tab/>
      </w:r>
      <w:r w:rsidRPr="00745D34">
        <w:tab/>
        <w:t>– дополнительная константа.</w:t>
      </w:r>
    </w:p>
    <w:p w:rsidR="007B4217" w:rsidRPr="00745D34" w:rsidRDefault="007B4217" w:rsidP="007B4217">
      <w:pPr>
        <w:pStyle w:val="a"/>
      </w:pPr>
      <w:r w:rsidRPr="00745D34">
        <w:t>Переменные и константы, используемые для расчета Размера взноса</w:t>
      </w:r>
    </w:p>
    <w:p w:rsidR="007B4217" w:rsidRPr="00745D34" w:rsidRDefault="007B4217" w:rsidP="007B4217">
      <w:pPr>
        <w:pStyle w:val="a0"/>
      </w:pPr>
      <w:bookmarkStart w:id="1" w:name="_Ref279492419"/>
      <w:r w:rsidRPr="00745D34">
        <w:rPr>
          <w:szCs w:val="24"/>
        </w:rPr>
        <w:t>Минимальный Размер взноса (</w:t>
      </w:r>
      <w:proofErr w:type="spellStart"/>
      <w:r w:rsidRPr="00745D34">
        <w:rPr>
          <w:rStyle w:val="a6"/>
          <w:szCs w:val="24"/>
        </w:rPr>
        <w:t>Const</w:t>
      </w:r>
      <w:proofErr w:type="spellEnd"/>
      <w:r w:rsidRPr="00745D34">
        <w:rPr>
          <w:rStyle w:val="a6"/>
          <w:szCs w:val="24"/>
        </w:rPr>
        <w:t>)</w:t>
      </w:r>
      <w:r w:rsidRPr="00745D34">
        <w:rPr>
          <w:szCs w:val="24"/>
        </w:rPr>
        <w:t>:</w:t>
      </w:r>
      <w:bookmarkEnd w:id="1"/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>для Расчетной фирмы третьей  категории устанавливается равным 500 тыс. руб.;</w:t>
      </w:r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>для юридического лица, зарегистрировавшего Расчетную фирму второй категории, являющегося профессиональным участником рынка ценных бумаг, устанавливается равным 1 млн. руб., для юридического лица, зарегистрировавшего Расчетную фирму второй категории, не являющегося профессиональным участником рынка ценных бумаг, устанавливается равным 2 млн. руб.;</w:t>
      </w:r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 xml:space="preserve">для Расчетной фирмы первой категории, </w:t>
      </w:r>
      <w:r w:rsidRPr="00745D34">
        <w:rPr>
          <w:color w:val="000000"/>
        </w:rPr>
        <w:t xml:space="preserve">Среднедневное </w:t>
      </w:r>
      <w:r w:rsidRPr="00745D34">
        <w:t>ГО (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048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34">
        <w:t>) которой составляет менее 100 млн. руб., устанавливается равным 10 млн. руб.;</w:t>
      </w:r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 xml:space="preserve">для Расчетной фирмы первой категории, </w:t>
      </w:r>
      <w:r w:rsidRPr="00745D34">
        <w:rPr>
          <w:color w:val="000000"/>
        </w:rPr>
        <w:t xml:space="preserve">Среднедневное </w:t>
      </w:r>
      <w:r w:rsidRPr="00745D34">
        <w:t>ГО (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34">
        <w:t>) которой составляет 100 млн. руб. или более, устанавливается равным 12 млн. руб.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Величина ставки процента</w:t>
      </w:r>
      <w:proofErr w:type="gramStart"/>
      <w:r w:rsidRPr="00745D34">
        <w:rPr>
          <w:szCs w:val="24"/>
        </w:rPr>
        <w:t xml:space="preserve"> (</w:t>
      </w:r>
      <w:r>
        <w:rPr>
          <w:noProof/>
          <w:position w:val="-4"/>
          <w:szCs w:val="24"/>
        </w:rPr>
        <w:drawing>
          <wp:inline distT="0" distB="0" distL="0" distR="0">
            <wp:extent cx="104775" cy="123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34">
        <w:rPr>
          <w:szCs w:val="24"/>
        </w:rPr>
        <w:t>):</w:t>
      </w:r>
      <w:proofErr w:type="gramEnd"/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 xml:space="preserve">для Расчетной фирмы первой категории, </w:t>
      </w:r>
      <w:r w:rsidRPr="00745D34">
        <w:rPr>
          <w:color w:val="000000"/>
        </w:rPr>
        <w:t xml:space="preserve">Среднедневное </w:t>
      </w:r>
      <w:r w:rsidRPr="00745D34">
        <w:t>ГО (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34">
        <w:t>) которой составляет 100 млн. руб. или более, устанавливается равной 2%;</w:t>
      </w:r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>в остальных случаях устанавливается равной 4%.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Максимальный Размер взноса (</w:t>
      </w:r>
      <w:proofErr w:type="spellStart"/>
      <w:r w:rsidRPr="00745D34">
        <w:rPr>
          <w:rStyle w:val="a6"/>
          <w:szCs w:val="24"/>
        </w:rPr>
        <w:t>Cap</w:t>
      </w:r>
      <w:proofErr w:type="spellEnd"/>
      <w:r w:rsidRPr="00745D34">
        <w:rPr>
          <w:rStyle w:val="a6"/>
          <w:szCs w:val="24"/>
        </w:rPr>
        <w:t>)</w:t>
      </w:r>
      <w:r w:rsidRPr="00745D34">
        <w:rPr>
          <w:szCs w:val="24"/>
        </w:rPr>
        <w:t xml:space="preserve"> устанавливается равным 14 млн. руб.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>Величина дополнительной константы</w:t>
      </w:r>
      <w:proofErr w:type="gramStart"/>
      <w:r w:rsidRPr="00745D34">
        <w:rPr>
          <w:szCs w:val="24"/>
        </w:rPr>
        <w:t xml:space="preserve"> (</w:t>
      </w:r>
      <w:r>
        <w:rPr>
          <w:noProof/>
          <w:position w:val="-6"/>
          <w:szCs w:val="24"/>
        </w:rPr>
        <w:drawing>
          <wp:inline distT="0" distB="0" distL="0" distR="0">
            <wp:extent cx="12382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34">
        <w:rPr>
          <w:szCs w:val="24"/>
        </w:rPr>
        <w:t>):</w:t>
      </w:r>
      <w:proofErr w:type="gramEnd"/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>для Расчетной фирмы первой категории устанавливается равной 8 млн. руб.;</w:t>
      </w:r>
    </w:p>
    <w:p w:rsidR="007B4217" w:rsidRPr="00745D34" w:rsidRDefault="007B4217" w:rsidP="007B4217">
      <w:pPr>
        <w:pStyle w:val="a1"/>
        <w:tabs>
          <w:tab w:val="clear" w:pos="360"/>
        </w:tabs>
      </w:pPr>
      <w:r w:rsidRPr="00745D34">
        <w:t xml:space="preserve"> в остальных случаях устанавливается равной 0.</w:t>
      </w:r>
    </w:p>
    <w:p w:rsidR="007B4217" w:rsidRPr="00745D34" w:rsidRDefault="007B4217" w:rsidP="007B4217">
      <w:pPr>
        <w:pStyle w:val="a"/>
      </w:pPr>
      <w:r w:rsidRPr="00745D34">
        <w:t>Уведомление Участников клиринга</w:t>
      </w:r>
    </w:p>
    <w:p w:rsidR="007B4217" w:rsidRPr="00745D34" w:rsidRDefault="007B4217" w:rsidP="007B4217">
      <w:pPr>
        <w:pStyle w:val="a0"/>
      </w:pPr>
      <w:r w:rsidRPr="00745D34">
        <w:rPr>
          <w:szCs w:val="24"/>
        </w:rPr>
        <w:t xml:space="preserve">Информация о факте изменения Размера взноса размещается на Сайте Группы "Московская Биржа" по адресу </w:t>
      </w:r>
      <w:r w:rsidRPr="00745D34">
        <w:rPr>
          <w:szCs w:val="24"/>
          <w:lang w:val="en-US"/>
        </w:rPr>
        <w:t>http</w:t>
      </w:r>
      <w:r w:rsidRPr="00745D34">
        <w:rPr>
          <w:szCs w:val="24"/>
        </w:rPr>
        <w:t>://</w:t>
      </w:r>
      <w:proofErr w:type="spellStart"/>
      <w:r>
        <w:rPr>
          <w:szCs w:val="24"/>
          <w:lang w:val="en-US"/>
        </w:rPr>
        <w:t>moex</w:t>
      </w:r>
      <w:proofErr w:type="spellEnd"/>
      <w:r w:rsidRPr="00082184">
        <w:rPr>
          <w:szCs w:val="24"/>
        </w:rPr>
        <w:t>.</w:t>
      </w:r>
      <w:r>
        <w:rPr>
          <w:szCs w:val="24"/>
          <w:lang w:val="en-US"/>
        </w:rPr>
        <w:t>com</w:t>
      </w:r>
      <w:r w:rsidRPr="00745D34">
        <w:rPr>
          <w:szCs w:val="24"/>
        </w:rPr>
        <w:t>/ (далее – Сайт), а также направляется каждому Участнику клиринга, зарегистрировавшему Расчетную фирму, в информационном письме с указанием нового Размера взноса.</w:t>
      </w:r>
    </w:p>
    <w:p w:rsidR="007B4217" w:rsidRPr="00B0514E" w:rsidRDefault="007B4217" w:rsidP="007B4217">
      <w:pPr>
        <w:pStyle w:val="a"/>
        <w:numPr>
          <w:ilvl w:val="0"/>
          <w:numId w:val="0"/>
        </w:numPr>
        <w:ind w:left="851"/>
      </w:pPr>
    </w:p>
    <w:p w:rsidR="009B16C3" w:rsidRDefault="006A7779"/>
    <w:sectPr w:rsidR="009B16C3" w:rsidSect="00D02AAC">
      <w:endnotePr>
        <w:numFmt w:val="decimal"/>
      </w:endnotePr>
      <w:pgSz w:w="11907" w:h="16840"/>
      <w:pgMar w:top="1418" w:right="992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11D2"/>
    <w:multiLevelType w:val="multilevel"/>
    <w:tmpl w:val="F62EC334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19811036"/>
    <w:multiLevelType w:val="hybridMultilevel"/>
    <w:tmpl w:val="8B022B9C"/>
    <w:lvl w:ilvl="0" w:tplc="64B4B7FA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89"/>
    <w:rsid w:val="00061D45"/>
    <w:rsid w:val="00513989"/>
    <w:rsid w:val="006A7779"/>
    <w:rsid w:val="007B4217"/>
    <w:rsid w:val="00D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B421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qFormat/>
    <w:rsid w:val="007B4217"/>
    <w:rPr>
      <w:i/>
      <w:iCs/>
    </w:rPr>
  </w:style>
  <w:style w:type="paragraph" w:customStyle="1" w:styleId="a7">
    <w:name w:val="Текст таб"/>
    <w:basedOn w:val="a2"/>
    <w:qFormat/>
    <w:rsid w:val="007B4217"/>
    <w:pPr>
      <w:widowControl/>
      <w:spacing w:before="120"/>
      <w:ind w:left="851" w:firstLine="0"/>
    </w:pPr>
  </w:style>
  <w:style w:type="paragraph" w:customStyle="1" w:styleId="a1">
    <w:name w:val="Пункт с точкой"/>
    <w:basedOn w:val="a8"/>
    <w:qFormat/>
    <w:rsid w:val="007B4217"/>
    <w:pPr>
      <w:numPr>
        <w:numId w:val="2"/>
      </w:numPr>
      <w:tabs>
        <w:tab w:val="num" w:pos="360"/>
      </w:tabs>
      <w:spacing w:before="60" w:after="0"/>
      <w:ind w:left="1418" w:hanging="567"/>
    </w:pPr>
    <w:rPr>
      <w:szCs w:val="24"/>
      <w:lang w:val="x-none" w:eastAsia="x-none"/>
    </w:rPr>
  </w:style>
  <w:style w:type="paragraph" w:customStyle="1" w:styleId="Pointmark">
    <w:name w:val="Point (mark)"/>
    <w:basedOn w:val="a2"/>
    <w:qFormat/>
    <w:rsid w:val="007B4217"/>
    <w:pPr>
      <w:widowControl/>
      <w:numPr>
        <w:numId w:val="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2"/>
    <w:link w:val="Point1"/>
    <w:qFormat/>
    <w:rsid w:val="007B4217"/>
    <w:pPr>
      <w:widowControl/>
      <w:numPr>
        <w:ilvl w:val="1"/>
        <w:numId w:val="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7B42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2"/>
    <w:qFormat/>
    <w:rsid w:val="007B4217"/>
    <w:pPr>
      <w:widowControl/>
      <w:numPr>
        <w:ilvl w:val="2"/>
        <w:numId w:val="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2"/>
    <w:qFormat/>
    <w:rsid w:val="007B4217"/>
    <w:pPr>
      <w:widowControl/>
      <w:numPr>
        <w:ilvl w:val="3"/>
        <w:numId w:val="1"/>
      </w:numPr>
      <w:overflowPunct/>
      <w:autoSpaceDE/>
      <w:autoSpaceDN/>
      <w:adjustRightInd/>
      <w:textAlignment w:val="auto"/>
    </w:pPr>
  </w:style>
  <w:style w:type="paragraph" w:customStyle="1" w:styleId="a9">
    <w:name w:val="Дополнение к номеру прилолжения"/>
    <w:basedOn w:val="a2"/>
    <w:qFormat/>
    <w:rsid w:val="007B4217"/>
    <w:pPr>
      <w:widowControl/>
      <w:ind w:left="2835" w:firstLine="0"/>
      <w:jc w:val="right"/>
    </w:pPr>
    <w:rPr>
      <w:szCs w:val="24"/>
    </w:rPr>
  </w:style>
  <w:style w:type="paragraph" w:customStyle="1" w:styleId="aa">
    <w:name w:val="Еще один заголовок"/>
    <w:basedOn w:val="a2"/>
    <w:rsid w:val="007B4217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customStyle="1" w:styleId="a">
    <w:name w:val="Статья приложения"/>
    <w:basedOn w:val="a2"/>
    <w:qFormat/>
    <w:rsid w:val="007B4217"/>
    <w:pPr>
      <w:widowControl/>
      <w:numPr>
        <w:numId w:val="3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0">
    <w:name w:val="Пункт приложения в статье"/>
    <w:basedOn w:val="a2"/>
    <w:qFormat/>
    <w:rsid w:val="007B4217"/>
    <w:pPr>
      <w:numPr>
        <w:ilvl w:val="1"/>
        <w:numId w:val="3"/>
      </w:numPr>
      <w:spacing w:before="120"/>
    </w:pPr>
  </w:style>
  <w:style w:type="paragraph" w:styleId="a8">
    <w:name w:val="Body Text Indent"/>
    <w:basedOn w:val="a2"/>
    <w:link w:val="ab"/>
    <w:uiPriority w:val="99"/>
    <w:semiHidden/>
    <w:unhideWhenUsed/>
    <w:rsid w:val="007B4217"/>
    <w:pPr>
      <w:spacing w:after="120"/>
      <w:ind w:left="283"/>
    </w:pPr>
  </w:style>
  <w:style w:type="character" w:customStyle="1" w:styleId="ab">
    <w:name w:val="Основной текст с отступом Знак"/>
    <w:basedOn w:val="a3"/>
    <w:link w:val="a8"/>
    <w:uiPriority w:val="99"/>
    <w:semiHidden/>
    <w:rsid w:val="007B4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7B4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7B42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B421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qFormat/>
    <w:rsid w:val="007B4217"/>
    <w:rPr>
      <w:i/>
      <w:iCs/>
    </w:rPr>
  </w:style>
  <w:style w:type="paragraph" w:customStyle="1" w:styleId="a7">
    <w:name w:val="Текст таб"/>
    <w:basedOn w:val="a2"/>
    <w:qFormat/>
    <w:rsid w:val="007B4217"/>
    <w:pPr>
      <w:widowControl/>
      <w:spacing w:before="120"/>
      <w:ind w:left="851" w:firstLine="0"/>
    </w:pPr>
  </w:style>
  <w:style w:type="paragraph" w:customStyle="1" w:styleId="a1">
    <w:name w:val="Пункт с точкой"/>
    <w:basedOn w:val="a8"/>
    <w:qFormat/>
    <w:rsid w:val="007B4217"/>
    <w:pPr>
      <w:numPr>
        <w:numId w:val="2"/>
      </w:numPr>
      <w:tabs>
        <w:tab w:val="num" w:pos="360"/>
      </w:tabs>
      <w:spacing w:before="60" w:after="0"/>
      <w:ind w:left="1418" w:hanging="567"/>
    </w:pPr>
    <w:rPr>
      <w:szCs w:val="24"/>
      <w:lang w:val="x-none" w:eastAsia="x-none"/>
    </w:rPr>
  </w:style>
  <w:style w:type="paragraph" w:customStyle="1" w:styleId="Pointmark">
    <w:name w:val="Point (mark)"/>
    <w:basedOn w:val="a2"/>
    <w:qFormat/>
    <w:rsid w:val="007B4217"/>
    <w:pPr>
      <w:widowControl/>
      <w:numPr>
        <w:numId w:val="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2"/>
    <w:link w:val="Point1"/>
    <w:qFormat/>
    <w:rsid w:val="007B4217"/>
    <w:pPr>
      <w:widowControl/>
      <w:numPr>
        <w:ilvl w:val="1"/>
        <w:numId w:val="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7B42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2"/>
    <w:qFormat/>
    <w:rsid w:val="007B4217"/>
    <w:pPr>
      <w:widowControl/>
      <w:numPr>
        <w:ilvl w:val="2"/>
        <w:numId w:val="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2"/>
    <w:qFormat/>
    <w:rsid w:val="007B4217"/>
    <w:pPr>
      <w:widowControl/>
      <w:numPr>
        <w:ilvl w:val="3"/>
        <w:numId w:val="1"/>
      </w:numPr>
      <w:overflowPunct/>
      <w:autoSpaceDE/>
      <w:autoSpaceDN/>
      <w:adjustRightInd/>
      <w:textAlignment w:val="auto"/>
    </w:pPr>
  </w:style>
  <w:style w:type="paragraph" w:customStyle="1" w:styleId="a9">
    <w:name w:val="Дополнение к номеру прилолжения"/>
    <w:basedOn w:val="a2"/>
    <w:qFormat/>
    <w:rsid w:val="007B4217"/>
    <w:pPr>
      <w:widowControl/>
      <w:ind w:left="2835" w:firstLine="0"/>
      <w:jc w:val="right"/>
    </w:pPr>
    <w:rPr>
      <w:szCs w:val="24"/>
    </w:rPr>
  </w:style>
  <w:style w:type="paragraph" w:customStyle="1" w:styleId="aa">
    <w:name w:val="Еще один заголовок"/>
    <w:basedOn w:val="a2"/>
    <w:rsid w:val="007B4217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customStyle="1" w:styleId="a">
    <w:name w:val="Статья приложения"/>
    <w:basedOn w:val="a2"/>
    <w:qFormat/>
    <w:rsid w:val="007B4217"/>
    <w:pPr>
      <w:widowControl/>
      <w:numPr>
        <w:numId w:val="3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0">
    <w:name w:val="Пункт приложения в статье"/>
    <w:basedOn w:val="a2"/>
    <w:qFormat/>
    <w:rsid w:val="007B4217"/>
    <w:pPr>
      <w:numPr>
        <w:ilvl w:val="1"/>
        <w:numId w:val="3"/>
      </w:numPr>
      <w:spacing w:before="120"/>
    </w:pPr>
  </w:style>
  <w:style w:type="paragraph" w:styleId="a8">
    <w:name w:val="Body Text Indent"/>
    <w:basedOn w:val="a2"/>
    <w:link w:val="ab"/>
    <w:uiPriority w:val="99"/>
    <w:semiHidden/>
    <w:unhideWhenUsed/>
    <w:rsid w:val="007B4217"/>
    <w:pPr>
      <w:spacing w:after="120"/>
      <w:ind w:left="283"/>
    </w:pPr>
  </w:style>
  <w:style w:type="character" w:customStyle="1" w:styleId="ab">
    <w:name w:val="Основной текст с отступом Знак"/>
    <w:basedOn w:val="a3"/>
    <w:link w:val="a8"/>
    <w:uiPriority w:val="99"/>
    <w:semiHidden/>
    <w:rsid w:val="007B4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7B4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7B42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Ирина Ивановна</dc:creator>
  <cp:keywords/>
  <dc:description/>
  <cp:lastModifiedBy>Антипова Ирина Ивановна</cp:lastModifiedBy>
  <cp:revision>3</cp:revision>
  <dcterms:created xsi:type="dcterms:W3CDTF">2014-06-18T10:08:00Z</dcterms:created>
  <dcterms:modified xsi:type="dcterms:W3CDTF">2014-06-18T10:11:00Z</dcterms:modified>
</cp:coreProperties>
</file>