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19EB" w14:textId="77777777" w:rsidR="007949AF" w:rsidRPr="00F74826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4322FE88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 МБ-П-202</w:t>
      </w:r>
      <w:r w:rsidR="008F10D1" w:rsidRPr="00150183">
        <w:rPr>
          <w:rFonts w:ascii="Tahoma" w:hAnsi="Tahoma" w:cs="Tahoma"/>
          <w:bCs/>
          <w:sz w:val="20"/>
          <w:szCs w:val="20"/>
        </w:rPr>
        <w:t>3</w:t>
      </w:r>
      <w:r w:rsidR="00E639B3" w:rsidRPr="00A226FB">
        <w:rPr>
          <w:rFonts w:ascii="Tahoma" w:hAnsi="Tahoma" w:cs="Tahoma"/>
          <w:bCs/>
          <w:sz w:val="20"/>
          <w:szCs w:val="20"/>
        </w:rPr>
        <w:t>-</w:t>
      </w:r>
      <w:r w:rsidR="007F7572">
        <w:rPr>
          <w:rFonts w:ascii="Tahoma" w:hAnsi="Tahoma" w:cs="Tahoma"/>
          <w:bCs/>
          <w:sz w:val="20"/>
          <w:szCs w:val="20"/>
          <w:lang w:val="en-US"/>
        </w:rPr>
        <w:t>697</w:t>
      </w:r>
      <w:r w:rsidR="00102A8F" w:rsidRPr="00A226FB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A226FB">
        <w:rPr>
          <w:rFonts w:ascii="Tahoma" w:hAnsi="Tahoma" w:cs="Tahoma"/>
          <w:bCs/>
          <w:sz w:val="20"/>
          <w:szCs w:val="20"/>
        </w:rPr>
        <w:t>от</w:t>
      </w:r>
      <w:r w:rsidR="007F7572">
        <w:rPr>
          <w:rFonts w:ascii="Tahoma" w:hAnsi="Tahoma" w:cs="Tahoma"/>
          <w:bCs/>
          <w:sz w:val="20"/>
          <w:szCs w:val="20"/>
          <w:lang w:val="en-US"/>
        </w:rPr>
        <w:t xml:space="preserve"> 21 </w:t>
      </w:r>
      <w:r w:rsidR="007F7572">
        <w:rPr>
          <w:rFonts w:ascii="Tahoma" w:hAnsi="Tahoma" w:cs="Tahoma"/>
          <w:bCs/>
          <w:sz w:val="20"/>
          <w:szCs w:val="20"/>
        </w:rPr>
        <w:t>марта</w:t>
      </w:r>
      <w:r w:rsidR="00E639B3" w:rsidRPr="00A226FB">
        <w:rPr>
          <w:rFonts w:ascii="Tahoma" w:hAnsi="Tahoma" w:cs="Tahoma"/>
          <w:bCs/>
          <w:sz w:val="20"/>
          <w:szCs w:val="20"/>
        </w:rPr>
        <w:t xml:space="preserve"> 202</w:t>
      </w:r>
      <w:r w:rsidR="008F10D1" w:rsidRPr="00150183">
        <w:rPr>
          <w:rFonts w:ascii="Tahoma" w:hAnsi="Tahoma" w:cs="Tahoma"/>
          <w:bCs/>
          <w:sz w:val="20"/>
          <w:szCs w:val="20"/>
        </w:rPr>
        <w:t>3</w:t>
      </w:r>
      <w:r w:rsidR="00E639B3" w:rsidRPr="00A226FB">
        <w:rPr>
          <w:rFonts w:ascii="Tahoma" w:hAnsi="Tahoma" w:cs="Tahoma"/>
          <w:bCs/>
          <w:sz w:val="20"/>
          <w:szCs w:val="20"/>
        </w:rPr>
        <w:t>г</w:t>
      </w:r>
      <w:r w:rsidRPr="005D0D3D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25E66CD7" w:rsidR="00642093" w:rsidRPr="005D0D3D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5D0D3D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45A60F56" w:rsidR="00821879" w:rsidRPr="002831FD" w:rsidRDefault="00AB57D2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исполнения&gt;.&lt;год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0858A921" w14:textId="77B44536" w:rsidR="002831FD" w:rsidRPr="002831FD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исполнения&gt;.&lt;год исполнения&gt;, где ХХХ – основной код базисного актива, указанный в Списке параметров</w:t>
      </w:r>
      <w:r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 xml:space="preserve"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</w:t>
      </w:r>
      <w:r w:rsidR="006A6D3C" w:rsidRPr="005D0D3D">
        <w:rPr>
          <w:rFonts w:ascii="Tahoma" w:hAnsi="Tahoma" w:cs="Tahoma"/>
        </w:rPr>
        <w:lastRenderedPageBreak/>
        <w:t>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0127C821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за Лот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70AF0E25" w14:textId="123B81B4" w:rsidR="00515030" w:rsidRPr="005D0D3D" w:rsidRDefault="00515030" w:rsidP="00515030">
      <w:pPr>
        <w:pStyle w:val="10"/>
        <w:numPr>
          <w:ilvl w:val="0"/>
          <w:numId w:val="0"/>
        </w:numPr>
        <w:tabs>
          <w:tab w:val="clear" w:pos="1418"/>
          <w:tab w:val="clear" w:pos="9000"/>
        </w:tabs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 случае если значение </w:t>
      </w:r>
      <w:r w:rsidR="000B46A3" w:rsidRPr="005D0D3D">
        <w:rPr>
          <w:rFonts w:ascii="Tahoma" w:hAnsi="Tahoma" w:cs="Tahoma"/>
        </w:rPr>
        <w:t>к</w:t>
      </w:r>
      <w:r w:rsidRPr="005D0D3D">
        <w:rPr>
          <w:rFonts w:ascii="Tahoma" w:hAnsi="Tahoma" w:cs="Tahoma"/>
        </w:rPr>
        <w:t>урса</w:t>
      </w:r>
      <w:r w:rsidR="000B46A3" w:rsidRPr="005D0D3D">
        <w:rPr>
          <w:rFonts w:ascii="Tahoma" w:hAnsi="Tahoma" w:cs="Tahoma"/>
        </w:rPr>
        <w:t xml:space="preserve">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 xml:space="preserve">оказывается ниже/выше границ указанного ограничения, то значение </w:t>
      </w:r>
      <w:r w:rsidR="000B46A3" w:rsidRPr="005D0D3D">
        <w:rPr>
          <w:rFonts w:ascii="Tahoma" w:hAnsi="Tahoma" w:cs="Tahoma"/>
        </w:rPr>
        <w:t xml:space="preserve">курса </w:t>
      </w:r>
      <w:r w:rsidR="00953CD0" w:rsidRPr="005D0D3D">
        <w:rPr>
          <w:rFonts w:ascii="Tahoma" w:hAnsi="Tahoma" w:cs="Tahoma"/>
        </w:rPr>
        <w:t>Б</w:t>
      </w:r>
      <w:r w:rsidR="000B46A3" w:rsidRPr="005D0D3D">
        <w:rPr>
          <w:rFonts w:ascii="Tahoma" w:hAnsi="Tahoma" w:cs="Tahoma"/>
        </w:rPr>
        <w:t xml:space="preserve">азовой валюты </w:t>
      </w:r>
      <w:r w:rsidRPr="005D0D3D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</w:t>
      </w:r>
      <w:r w:rsidR="000B46A3" w:rsidRPr="005D0D3D">
        <w:rPr>
          <w:rFonts w:ascii="Tahoma" w:hAnsi="Tahoma" w:cs="Tahoma"/>
        </w:rPr>
        <w:t>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0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0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D0D3D">
        <w:rPr>
          <w:rFonts w:ascii="Tahoma" w:hAnsi="Tahoma" w:cs="Tahoma"/>
          <w:b/>
          <w:sz w:val="20"/>
          <w:szCs w:val="20"/>
        </w:rPr>
        <w:t>Цо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lastRenderedPageBreak/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D0D3D">
        <w:rPr>
          <w:rFonts w:ascii="Tahoma" w:hAnsi="Tahoma" w:cs="Tahoma"/>
          <w:b/>
          <w:sz w:val="20"/>
          <w:szCs w:val="20"/>
        </w:rPr>
        <w:t>РЦп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D0D3D">
        <w:rPr>
          <w:rFonts w:ascii="Tahoma" w:hAnsi="Tahoma" w:cs="Tahoma"/>
          <w:b/>
          <w:sz w:val="20"/>
          <w:szCs w:val="20"/>
        </w:rPr>
        <w:t>Цо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D0D3D">
        <w:rPr>
          <w:rFonts w:ascii="Tahoma" w:hAnsi="Tahoma" w:cs="Tahoma"/>
          <w:b/>
          <w:sz w:val="20"/>
          <w:szCs w:val="20"/>
        </w:rPr>
        <w:t>Цо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Round(</w:t>
      </w:r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D0D3D">
        <w:rPr>
          <w:rFonts w:ascii="Tahoma" w:hAnsi="Tahoma" w:cs="Tahoma"/>
          <w:b/>
          <w:sz w:val="20"/>
          <w:szCs w:val="20"/>
        </w:rPr>
        <w:t>РЦп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07D1C42A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  <w:r w:rsidR="0046162E" w:rsidRPr="005D0D3D">
        <w:rPr>
          <w:rFonts w:ascii="Tahoma" w:hAnsi="Tahoma" w:cs="Tahoma"/>
        </w:rPr>
        <w:t>.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3AF33652" w:rsidR="00B721BC" w:rsidRPr="005D0D3D" w:rsidRDefault="008272EF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721BC"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24E15690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контракта, </w:t>
      </w:r>
      <w:r w:rsidR="0083419D" w:rsidRPr="00EB79BB">
        <w:rPr>
          <w:rFonts w:ascii="Tahoma" w:hAnsi="Tahoma" w:cs="Tahoma"/>
        </w:rPr>
        <w:t>а также в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 xml:space="preserve">ы соответствующим информационным агентством,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1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2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1"/>
      <w:bookmarkEnd w:id="2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17AD718" w14:textId="0B03917B" w:rsidR="00166D3D" w:rsidRDefault="00216A8E" w:rsidP="00DE583B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</w:p>
    <w:p w14:paraId="22F0CD70" w14:textId="0B060C8B" w:rsidR="000429E3" w:rsidRDefault="000429E3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3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3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16034" w:type="dxa"/>
        <w:tblLayout w:type="fixed"/>
        <w:tblLook w:val="04A0" w:firstRow="1" w:lastRow="0" w:firstColumn="1" w:lastColumn="0" w:noHBand="0" w:noVBand="1"/>
      </w:tblPr>
      <w:tblGrid>
        <w:gridCol w:w="494"/>
        <w:gridCol w:w="1628"/>
        <w:gridCol w:w="1275"/>
        <w:gridCol w:w="1985"/>
        <w:gridCol w:w="1843"/>
        <w:gridCol w:w="1417"/>
        <w:gridCol w:w="1559"/>
        <w:gridCol w:w="3071"/>
        <w:gridCol w:w="1145"/>
        <w:gridCol w:w="1617"/>
      </w:tblGrid>
      <w:tr w:rsidR="002F3A81" w:rsidRPr="00812C8E" w14:paraId="390AC295" w14:textId="77777777" w:rsidTr="002F3A81">
        <w:trPr>
          <w:trHeight w:val="1730"/>
        </w:trPr>
        <w:tc>
          <w:tcPr>
            <w:tcW w:w="494" w:type="dxa"/>
            <w:vAlign w:val="center"/>
          </w:tcPr>
          <w:p w14:paraId="1554371C" w14:textId="77777777" w:rsidR="000805E6" w:rsidRPr="00812C8E" w:rsidRDefault="000805E6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1628" w:type="dxa"/>
            <w:vAlign w:val="center"/>
          </w:tcPr>
          <w:p w14:paraId="5AD2E751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275" w:type="dxa"/>
            <w:vAlign w:val="center"/>
          </w:tcPr>
          <w:p w14:paraId="6800E677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1985" w:type="dxa"/>
            <w:vAlign w:val="center"/>
          </w:tcPr>
          <w:p w14:paraId="05964D7C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843" w:type="dxa"/>
            <w:vAlign w:val="center"/>
          </w:tcPr>
          <w:p w14:paraId="722730E3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417" w:type="dxa"/>
            <w:vAlign w:val="center"/>
          </w:tcPr>
          <w:p w14:paraId="648B600F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14:paraId="51F1195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3071" w:type="dxa"/>
            <w:vAlign w:val="center"/>
          </w:tcPr>
          <w:p w14:paraId="2966A634" w14:textId="49B80B6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1145" w:type="dxa"/>
            <w:vAlign w:val="center"/>
          </w:tcPr>
          <w:p w14:paraId="6202F32D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0805E6" w:rsidRPr="007D294F" w:rsidRDefault="000805E6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D84AC0B" w14:textId="77777777" w:rsidR="000805E6" w:rsidRPr="007D294F" w:rsidRDefault="000805E6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2F3A81" w:rsidRPr="00812C8E" w14:paraId="4222D9A6" w14:textId="77777777" w:rsidTr="00EB79BB">
        <w:trPr>
          <w:trHeight w:val="2072"/>
        </w:trPr>
        <w:tc>
          <w:tcPr>
            <w:tcW w:w="494" w:type="dxa"/>
            <w:vAlign w:val="center"/>
          </w:tcPr>
          <w:p w14:paraId="6CD791A3" w14:textId="77777777" w:rsidR="000805E6" w:rsidRPr="000429E3" w:rsidRDefault="000805E6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1628" w:type="dxa"/>
            <w:vAlign w:val="center"/>
          </w:tcPr>
          <w:p w14:paraId="24FB0D4F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 SPDR S&amp;P 500 ETF Trust</w:t>
            </w:r>
          </w:p>
        </w:tc>
        <w:tc>
          <w:tcPr>
            <w:tcW w:w="1275" w:type="dxa"/>
            <w:vAlign w:val="center"/>
          </w:tcPr>
          <w:p w14:paraId="4E3A432D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1985" w:type="dxa"/>
            <w:vAlign w:val="center"/>
          </w:tcPr>
          <w:p w14:paraId="2C2FE705" w14:textId="48396121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="00352781"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44BE8435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 пай</w:t>
            </w:r>
          </w:p>
        </w:tc>
        <w:tc>
          <w:tcPr>
            <w:tcW w:w="1417" w:type="dxa"/>
            <w:vAlign w:val="center"/>
          </w:tcPr>
          <w:p w14:paraId="5BE2B37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559" w:type="dxa"/>
            <w:vAlign w:val="center"/>
          </w:tcPr>
          <w:p w14:paraId="230C4170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83731AB" w14:textId="51EE1BFC" w:rsidR="000805E6" w:rsidRPr="00EB79BB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Инвестиционного пая SPDR S&amp;P 500 ETF Trust, которое публикуется информационными агентствами Cbonds или Интерфакс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1145" w:type="dxa"/>
            <w:vAlign w:val="center"/>
          </w:tcPr>
          <w:p w14:paraId="687927A3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0AF2931A" w14:textId="77777777" w:rsidR="000805E6" w:rsidRPr="000429E3" w:rsidRDefault="000805E6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080AFB5" w14:textId="77777777" w:rsidTr="00EB79BB">
        <w:trPr>
          <w:trHeight w:val="2268"/>
        </w:trPr>
        <w:tc>
          <w:tcPr>
            <w:tcW w:w="494" w:type="dxa"/>
            <w:vAlign w:val="center"/>
          </w:tcPr>
          <w:p w14:paraId="42AD570A" w14:textId="0BCD3838" w:rsidR="000805E6" w:rsidRPr="000429E3" w:rsidRDefault="00E74464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628" w:type="dxa"/>
            <w:vAlign w:val="center"/>
          </w:tcPr>
          <w:p w14:paraId="0EF0E97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 Invesco QQQ ETF Trust Unit Series 1</w:t>
            </w:r>
          </w:p>
        </w:tc>
        <w:tc>
          <w:tcPr>
            <w:tcW w:w="1275" w:type="dxa"/>
            <w:vAlign w:val="center"/>
          </w:tcPr>
          <w:p w14:paraId="4B390AA4" w14:textId="589CAEBF" w:rsidR="000805E6" w:rsidRPr="003A7441" w:rsidRDefault="003A7441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="008638CC">
              <w:rPr>
                <w:rFonts w:ascii="Tahoma" w:hAnsi="Tahoma" w:cs="Tahoma"/>
                <w:sz w:val="16"/>
                <w:szCs w:val="16"/>
                <w:lang w:val="en-US"/>
              </w:rPr>
              <w:t>ASD</w:t>
            </w:r>
          </w:p>
        </w:tc>
        <w:tc>
          <w:tcPr>
            <w:tcW w:w="1985" w:type="dxa"/>
            <w:vAlign w:val="center"/>
          </w:tcPr>
          <w:p w14:paraId="665A06F3" w14:textId="7A4FCDC4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63A49"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A63A49"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26C97C29" w14:textId="31F5CB68" w:rsidR="000805E6" w:rsidRPr="000429E3" w:rsidRDefault="00FB628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="000805E6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ACE93E" w14:textId="7243E4CE" w:rsidR="000805E6" w:rsidRPr="000429E3" w:rsidRDefault="008C2260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805E6"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1559" w:type="dxa"/>
            <w:vAlign w:val="center"/>
          </w:tcPr>
          <w:p w14:paraId="767CB9C6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3071" w:type="dxa"/>
            <w:vAlign w:val="center"/>
          </w:tcPr>
          <w:p w14:paraId="29EFE15C" w14:textId="02910FEE" w:rsidR="000805E6" w:rsidRPr="002F3A81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Интерфакс за предшествующий </w:t>
            </w:r>
            <w:r w:rsidR="00E74464" w:rsidRPr="00EB79BB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день, округленному с точностью до двух знаков после запятой</w:t>
            </w:r>
            <w:r w:rsidR="00317D3B" w:rsidRPr="00EB79BB">
              <w:rPr>
                <w:rFonts w:ascii="Tahoma" w:hAnsi="Tahoma" w:cs="Tahoma"/>
                <w:sz w:val="16"/>
                <w:szCs w:val="16"/>
              </w:rPr>
              <w:t>, умноженному на 41</w:t>
            </w:r>
          </w:p>
        </w:tc>
        <w:tc>
          <w:tcPr>
            <w:tcW w:w="1145" w:type="dxa"/>
            <w:vAlign w:val="center"/>
          </w:tcPr>
          <w:p w14:paraId="72A546C8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1617" w:type="dxa"/>
            <w:vAlign w:val="center"/>
          </w:tcPr>
          <w:p w14:paraId="499967FB" w14:textId="77777777" w:rsidR="000805E6" w:rsidRPr="000429E3" w:rsidRDefault="000805E6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53A46D92" w14:textId="77777777" w:rsidTr="00EB79BB">
        <w:trPr>
          <w:trHeight w:val="2258"/>
        </w:trPr>
        <w:tc>
          <w:tcPr>
            <w:tcW w:w="494" w:type="dxa"/>
            <w:vAlign w:val="center"/>
          </w:tcPr>
          <w:p w14:paraId="71B7BD67" w14:textId="310A628D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  <w:vAlign w:val="center"/>
          </w:tcPr>
          <w:p w14:paraId="30EA1360" w14:textId="43D84A55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73F1E">
              <w:rPr>
                <w:rFonts w:ascii="Tahoma" w:hAnsi="Tahoma" w:cs="Tahoma"/>
                <w:sz w:val="16"/>
                <w:szCs w:val="16"/>
              </w:rPr>
              <w:t>Tracker Fund of Hong Kong ETF</w:t>
            </w:r>
          </w:p>
        </w:tc>
        <w:tc>
          <w:tcPr>
            <w:tcW w:w="1275" w:type="dxa"/>
            <w:vAlign w:val="center"/>
          </w:tcPr>
          <w:p w14:paraId="1EF62690" w14:textId="28A2B97E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1985" w:type="dxa"/>
            <w:vAlign w:val="center"/>
          </w:tcPr>
          <w:p w14:paraId="6432303C" w14:textId="3B043D29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="00A63A4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9A4E44"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716A66" w14:textId="24B156BD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3E0BCDE1" w14:textId="7733F543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</w:t>
            </w:r>
            <w:r w:rsidR="0009689A">
              <w:rPr>
                <w:rFonts w:ascii="Tahoma" w:hAnsi="Tahoma" w:cs="Tahoma"/>
                <w:sz w:val="16"/>
                <w:szCs w:val="16"/>
              </w:rPr>
              <w:t>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</w:p>
        </w:tc>
        <w:tc>
          <w:tcPr>
            <w:tcW w:w="1559" w:type="dxa"/>
            <w:vAlign w:val="center"/>
          </w:tcPr>
          <w:p w14:paraId="65E61045" w14:textId="3C7997F7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Гонконгск</w:t>
            </w:r>
            <w:r w:rsidR="00A92C50">
              <w:rPr>
                <w:rFonts w:ascii="Tahoma" w:hAnsi="Tahoma" w:cs="Tahoma"/>
                <w:sz w:val="16"/>
                <w:szCs w:val="16"/>
              </w:rPr>
              <w:t>ого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 w:rsidR="009A76A4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3071" w:type="dxa"/>
            <w:vAlign w:val="center"/>
          </w:tcPr>
          <w:p w14:paraId="460B179C" w14:textId="26FACCB0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Интерфакс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145" w:type="dxa"/>
            <w:vAlign w:val="center"/>
          </w:tcPr>
          <w:p w14:paraId="32958EC5" w14:textId="21B1C960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1617" w:type="dxa"/>
            <w:vAlign w:val="center"/>
          </w:tcPr>
          <w:p w14:paraId="2E92DFE7" w14:textId="206E83A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37C203A" w14:textId="77777777" w:rsidTr="00EB79BB">
        <w:trPr>
          <w:trHeight w:val="2257"/>
        </w:trPr>
        <w:tc>
          <w:tcPr>
            <w:tcW w:w="494" w:type="dxa"/>
            <w:vAlign w:val="center"/>
          </w:tcPr>
          <w:p w14:paraId="14BBB8A6" w14:textId="3E0E5832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628" w:type="dxa"/>
            <w:vAlign w:val="center"/>
          </w:tcPr>
          <w:p w14:paraId="00A784E3" w14:textId="07FC0D81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41657E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iShares Core EURO STOXX 50 UCITS ETF EUR (Dist)</w:t>
            </w:r>
          </w:p>
        </w:tc>
        <w:tc>
          <w:tcPr>
            <w:tcW w:w="1275" w:type="dxa"/>
            <w:vAlign w:val="center"/>
          </w:tcPr>
          <w:p w14:paraId="35A19E01" w14:textId="2FD0997F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1985" w:type="dxa"/>
            <w:vAlign w:val="center"/>
          </w:tcPr>
          <w:p w14:paraId="14376648" w14:textId="61203D95" w:rsidR="002831FD" w:rsidRPr="00FC75C4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="00076FB9"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9A4E44"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FC75C4"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="00F8455C"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C5B95E6" w14:textId="04813831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509265CE" w14:textId="1F8F4399" w:rsidR="002831FD" w:rsidRPr="00731A3F" w:rsidRDefault="00C47790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1B587418" w14:textId="7B5499D9" w:rsidR="002831FD" w:rsidRPr="009A4E44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E0069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B6A718B" w14:textId="5A63F4A4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</w:t>
            </w:r>
            <w:r w:rsidR="002929E7" w:rsidRPr="00EB79BB">
              <w:rPr>
                <w:rFonts w:ascii="Tahoma" w:hAnsi="Tahoma" w:cs="Tahoma"/>
                <w:sz w:val="16"/>
                <w:szCs w:val="16"/>
              </w:rPr>
              <w:t xml:space="preserve"> 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Интерфакс за предшествующий дню исполнения день, округленному с точностью до двух знаков после запятой, умноженному на</w:t>
            </w:r>
            <w:r w:rsidR="00C87FC6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2D92BD82" w14:textId="71D38AF4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717D0029" w14:textId="4ABD98E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19E002F7" w14:textId="77777777" w:rsidTr="00EB79BB">
        <w:trPr>
          <w:trHeight w:val="2247"/>
        </w:trPr>
        <w:tc>
          <w:tcPr>
            <w:tcW w:w="494" w:type="dxa"/>
            <w:vAlign w:val="center"/>
          </w:tcPr>
          <w:p w14:paraId="5062475A" w14:textId="6BAE2B36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628" w:type="dxa"/>
            <w:vAlign w:val="center"/>
          </w:tcPr>
          <w:p w14:paraId="6558377D" w14:textId="14598A88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 w:rsid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iShares Core DAX UCITS ETF (DE)</w:t>
            </w:r>
          </w:p>
        </w:tc>
        <w:tc>
          <w:tcPr>
            <w:tcW w:w="1275" w:type="dxa"/>
            <w:vAlign w:val="center"/>
          </w:tcPr>
          <w:p w14:paraId="0455908E" w14:textId="479571ED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1985" w:type="dxa"/>
            <w:vAlign w:val="center"/>
          </w:tcPr>
          <w:p w14:paraId="61973867" w14:textId="3D626C9F" w:rsidR="002831FD" w:rsidRPr="00731A3F" w:rsidRDefault="00A63A49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="00F8455C"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015BB6B1" w14:textId="4AEC75D2" w:rsidR="002831FD" w:rsidRPr="00731A3F" w:rsidRDefault="00E574F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 w:rsidR="00A92C50">
              <w:rPr>
                <w:rFonts w:ascii="Tahoma" w:hAnsi="Tahoma" w:cs="Tahoma"/>
                <w:sz w:val="16"/>
                <w:szCs w:val="16"/>
              </w:rPr>
              <w:t>х</w:t>
            </w:r>
            <w:r w:rsidR="00A92C50"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92C50"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 w:rsidR="00916D6A"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1417" w:type="dxa"/>
            <w:vAlign w:val="center"/>
          </w:tcPr>
          <w:p w14:paraId="367C4DAA" w14:textId="5E65D626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1559" w:type="dxa"/>
            <w:vAlign w:val="center"/>
          </w:tcPr>
          <w:p w14:paraId="59BC306C" w14:textId="75535B39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F8455C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3071" w:type="dxa"/>
            <w:vAlign w:val="center"/>
          </w:tcPr>
          <w:p w14:paraId="239A9759" w14:textId="448DBB57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пая iShares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)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Интерфакс за предшествующий дню исполнения день, округленному с точностью до двух знаков после запятой, умноженному на </w:t>
            </w:r>
            <w:r w:rsidR="00E574F4" w:rsidRPr="00EB79BB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45" w:type="dxa"/>
            <w:vAlign w:val="center"/>
          </w:tcPr>
          <w:p w14:paraId="7CACEB53" w14:textId="44DB50AD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1617" w:type="dxa"/>
            <w:vAlign w:val="center"/>
          </w:tcPr>
          <w:p w14:paraId="10CCBF9F" w14:textId="66A08E38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2F3A81" w:rsidRPr="00812C8E" w14:paraId="643F9154" w14:textId="77777777" w:rsidTr="00EB79BB">
        <w:trPr>
          <w:trHeight w:val="2124"/>
        </w:trPr>
        <w:tc>
          <w:tcPr>
            <w:tcW w:w="494" w:type="dxa"/>
            <w:vAlign w:val="center"/>
          </w:tcPr>
          <w:p w14:paraId="2FD32F7A" w14:textId="300E7C03" w:rsidR="002831FD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628" w:type="dxa"/>
            <w:vAlign w:val="center"/>
          </w:tcPr>
          <w:p w14:paraId="53D133F6" w14:textId="6C70C784" w:rsidR="002831FD" w:rsidRPr="000429E3" w:rsidRDefault="00B73F1E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="0041657E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41657E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1657E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76FB9" w:rsidRPr="00076FB9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iShares Core Nikkei 225</w:t>
            </w:r>
            <w:r w:rsidR="00F8455C">
              <w:t xml:space="preserve"> 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1275" w:type="dxa"/>
            <w:vAlign w:val="center"/>
          </w:tcPr>
          <w:p w14:paraId="1BC339A3" w14:textId="353232A3" w:rsidR="002831FD" w:rsidRPr="00731A3F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1985" w:type="dxa"/>
            <w:vAlign w:val="center"/>
          </w:tcPr>
          <w:p w14:paraId="2B86F0D1" w14:textId="2928AD34" w:rsidR="002831FD" w:rsidRPr="00F8455C" w:rsidRDefault="00FC75C4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076FB9"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076FB9"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076FB9"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 w:rsidR="00076FB9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="00076FB9" w:rsidRPr="00731A3F">
              <w:rPr>
                <w:rFonts w:ascii="Tahoma" w:hAnsi="Tahoma" w:cs="Tahoma"/>
                <w:sz w:val="16"/>
                <w:szCs w:val="16"/>
              </w:rPr>
              <w:t>: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8455C"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="00F8455C"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2D14A27" w14:textId="194634FF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="00FC75C4">
              <w:rPr>
                <w:rFonts w:ascii="Tahoma" w:hAnsi="Tahoma" w:cs="Tahoma"/>
                <w:sz w:val="16"/>
                <w:szCs w:val="16"/>
              </w:rPr>
              <w:t>акци</w:t>
            </w:r>
            <w:r w:rsidR="00E574F4">
              <w:rPr>
                <w:rFonts w:ascii="Tahoma" w:hAnsi="Tahoma" w:cs="Tahoma"/>
                <w:sz w:val="16"/>
                <w:szCs w:val="16"/>
              </w:rPr>
              <w:t>я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FC75C4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C75C4"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1417" w:type="dxa"/>
            <w:vAlign w:val="center"/>
          </w:tcPr>
          <w:p w14:paraId="6216BE44" w14:textId="111765DE" w:rsidR="002831FD" w:rsidRPr="00731A3F" w:rsidRDefault="009A4E4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1559" w:type="dxa"/>
            <w:vAlign w:val="center"/>
          </w:tcPr>
          <w:p w14:paraId="1D8E1989" w14:textId="4BABBE7D" w:rsidR="002831FD" w:rsidRPr="00731A3F" w:rsidRDefault="00F848D4" w:rsidP="000805E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9A4E44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9A4E44">
              <w:rPr>
                <w:rFonts w:ascii="Tahoma" w:hAnsi="Tahoma" w:cs="Tahoma"/>
                <w:sz w:val="16"/>
                <w:szCs w:val="16"/>
              </w:rPr>
              <w:t xml:space="preserve"> Йен</w:t>
            </w:r>
            <w:r w:rsidR="00A92C50">
              <w:rPr>
                <w:rFonts w:ascii="Tahoma" w:hAnsi="Tahoma" w:cs="Tahoma"/>
                <w:sz w:val="16"/>
                <w:szCs w:val="16"/>
              </w:rPr>
              <w:t>ы</w:t>
            </w:r>
          </w:p>
        </w:tc>
        <w:tc>
          <w:tcPr>
            <w:tcW w:w="3071" w:type="dxa"/>
            <w:vAlign w:val="center"/>
          </w:tcPr>
          <w:p w14:paraId="6F7666A5" w14:textId="548311E8" w:rsidR="002831FD" w:rsidRPr="00EB79BB" w:rsidRDefault="009A4E44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 w:rsidR="00861507" w:rsidRPr="00EB79BB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iShares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="00906904"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которое публикуется информационным агентством Интерфакс за предшествующий дню исполнения день, округленному с точностью до двух знаков после запято</w:t>
            </w:r>
            <w:r w:rsidR="00906904" w:rsidRPr="00EB79BB"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145" w:type="dxa"/>
            <w:vAlign w:val="center"/>
          </w:tcPr>
          <w:p w14:paraId="2C4CCBE4" w14:textId="6E461404" w:rsidR="002831FD" w:rsidRPr="00076FB9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1617" w:type="dxa"/>
            <w:vAlign w:val="center"/>
          </w:tcPr>
          <w:p w14:paraId="1936BEB9" w14:textId="387CD72E" w:rsidR="002831FD" w:rsidRPr="000429E3" w:rsidRDefault="00076FB9" w:rsidP="000805E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</w:tbl>
    <w:p w14:paraId="48688254" w14:textId="1DA2F8A1" w:rsidR="000429E3" w:rsidRPr="00C82916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C82916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5665" w14:textId="77777777" w:rsidR="00A25FFA" w:rsidRDefault="00A25FFA" w:rsidP="002F7E61">
      <w:r>
        <w:separator/>
      </w:r>
    </w:p>
  </w:endnote>
  <w:endnote w:type="continuationSeparator" w:id="0">
    <w:p w14:paraId="1AE08548" w14:textId="77777777" w:rsidR="00A25FFA" w:rsidRDefault="00A25FFA" w:rsidP="002F7E61">
      <w:r>
        <w:continuationSeparator/>
      </w:r>
    </w:p>
  </w:endnote>
  <w:endnote w:type="continuationNotice" w:id="1">
    <w:p w14:paraId="0AF09DC5" w14:textId="77777777" w:rsidR="00A25FFA" w:rsidRDefault="00A25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025B" w14:textId="77777777" w:rsidR="00A25FFA" w:rsidRDefault="00A25FFA" w:rsidP="002F7E61">
      <w:r>
        <w:separator/>
      </w:r>
    </w:p>
  </w:footnote>
  <w:footnote w:type="continuationSeparator" w:id="0">
    <w:p w14:paraId="60451F26" w14:textId="77777777" w:rsidR="00A25FFA" w:rsidRDefault="00A25FFA" w:rsidP="002F7E61">
      <w:r>
        <w:continuationSeparator/>
      </w:r>
    </w:p>
  </w:footnote>
  <w:footnote w:type="continuationNotice" w:id="1">
    <w:p w14:paraId="75A00894" w14:textId="77777777" w:rsidR="00A25FFA" w:rsidRDefault="00A25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150D"/>
    <w:rsid w:val="00034F8A"/>
    <w:rsid w:val="0003594B"/>
    <w:rsid w:val="000429E3"/>
    <w:rsid w:val="00043B6D"/>
    <w:rsid w:val="000446D5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102A8F"/>
    <w:rsid w:val="00104433"/>
    <w:rsid w:val="00104805"/>
    <w:rsid w:val="001056C5"/>
    <w:rsid w:val="001060B5"/>
    <w:rsid w:val="0010758D"/>
    <w:rsid w:val="00110E60"/>
    <w:rsid w:val="00114A05"/>
    <w:rsid w:val="00115554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E61"/>
    <w:rsid w:val="002F7FA0"/>
    <w:rsid w:val="00302252"/>
    <w:rsid w:val="003042DA"/>
    <w:rsid w:val="003046E6"/>
    <w:rsid w:val="00305F03"/>
    <w:rsid w:val="00307888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70614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F6172"/>
    <w:rsid w:val="005057DC"/>
    <w:rsid w:val="00505EBB"/>
    <w:rsid w:val="00507FA5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2038"/>
    <w:rsid w:val="006316B8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1090"/>
    <w:rsid w:val="006F2CCE"/>
    <w:rsid w:val="006F6CE1"/>
    <w:rsid w:val="007028A9"/>
    <w:rsid w:val="007053DD"/>
    <w:rsid w:val="007075D3"/>
    <w:rsid w:val="00707D62"/>
    <w:rsid w:val="00707E5F"/>
    <w:rsid w:val="00716203"/>
    <w:rsid w:val="00716C96"/>
    <w:rsid w:val="00721075"/>
    <w:rsid w:val="00724D5E"/>
    <w:rsid w:val="00725D4B"/>
    <w:rsid w:val="00730EE4"/>
    <w:rsid w:val="00731A3F"/>
    <w:rsid w:val="00733190"/>
    <w:rsid w:val="00737F89"/>
    <w:rsid w:val="0074113B"/>
    <w:rsid w:val="007452E4"/>
    <w:rsid w:val="007466B3"/>
    <w:rsid w:val="007470D2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17D0"/>
    <w:rsid w:val="007B1A21"/>
    <w:rsid w:val="007B58D6"/>
    <w:rsid w:val="007B7FFD"/>
    <w:rsid w:val="007C0CC9"/>
    <w:rsid w:val="007C1CBB"/>
    <w:rsid w:val="007C1DAF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322F"/>
    <w:rsid w:val="00897165"/>
    <w:rsid w:val="008A029B"/>
    <w:rsid w:val="008A2953"/>
    <w:rsid w:val="008A3018"/>
    <w:rsid w:val="008A75D9"/>
    <w:rsid w:val="008B34AD"/>
    <w:rsid w:val="008C2260"/>
    <w:rsid w:val="008C3CC8"/>
    <w:rsid w:val="008C527E"/>
    <w:rsid w:val="008D0E47"/>
    <w:rsid w:val="008D1F57"/>
    <w:rsid w:val="008E3A59"/>
    <w:rsid w:val="008F10D1"/>
    <w:rsid w:val="008F335B"/>
    <w:rsid w:val="008F48E0"/>
    <w:rsid w:val="009026C7"/>
    <w:rsid w:val="00903B9B"/>
    <w:rsid w:val="00906904"/>
    <w:rsid w:val="009071B1"/>
    <w:rsid w:val="009072BC"/>
    <w:rsid w:val="00907D1D"/>
    <w:rsid w:val="00910492"/>
    <w:rsid w:val="00911BAC"/>
    <w:rsid w:val="00916D6A"/>
    <w:rsid w:val="0092190B"/>
    <w:rsid w:val="00921CAE"/>
    <w:rsid w:val="009248D2"/>
    <w:rsid w:val="00925AE9"/>
    <w:rsid w:val="009266C7"/>
    <w:rsid w:val="009313FD"/>
    <w:rsid w:val="009346F5"/>
    <w:rsid w:val="00936105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25C1"/>
    <w:rsid w:val="009D318D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B2CB7"/>
    <w:rsid w:val="00AB31E9"/>
    <w:rsid w:val="00AB484A"/>
    <w:rsid w:val="00AB57D2"/>
    <w:rsid w:val="00AB580C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483"/>
    <w:rsid w:val="00B2571E"/>
    <w:rsid w:val="00B37EB2"/>
    <w:rsid w:val="00B41866"/>
    <w:rsid w:val="00B41CFC"/>
    <w:rsid w:val="00B42D8F"/>
    <w:rsid w:val="00B450F6"/>
    <w:rsid w:val="00B46ECD"/>
    <w:rsid w:val="00B471DD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7919"/>
    <w:rsid w:val="00BC0999"/>
    <w:rsid w:val="00BC1EC9"/>
    <w:rsid w:val="00BD1676"/>
    <w:rsid w:val="00BD2026"/>
    <w:rsid w:val="00BD5C02"/>
    <w:rsid w:val="00BE0926"/>
    <w:rsid w:val="00BE350B"/>
    <w:rsid w:val="00BE4EE5"/>
    <w:rsid w:val="00BE6258"/>
    <w:rsid w:val="00BF0002"/>
    <w:rsid w:val="00BF2C4F"/>
    <w:rsid w:val="00BF3062"/>
    <w:rsid w:val="00C03FA8"/>
    <w:rsid w:val="00C052BD"/>
    <w:rsid w:val="00C061F1"/>
    <w:rsid w:val="00C12BA6"/>
    <w:rsid w:val="00C13EE6"/>
    <w:rsid w:val="00C151EC"/>
    <w:rsid w:val="00C16FA8"/>
    <w:rsid w:val="00C23146"/>
    <w:rsid w:val="00C25767"/>
    <w:rsid w:val="00C26667"/>
    <w:rsid w:val="00C35A70"/>
    <w:rsid w:val="00C3764B"/>
    <w:rsid w:val="00C41A6F"/>
    <w:rsid w:val="00C4285F"/>
    <w:rsid w:val="00C47790"/>
    <w:rsid w:val="00C47C11"/>
    <w:rsid w:val="00C5247C"/>
    <w:rsid w:val="00C547E3"/>
    <w:rsid w:val="00C55CE5"/>
    <w:rsid w:val="00C5744C"/>
    <w:rsid w:val="00C602FF"/>
    <w:rsid w:val="00C614A2"/>
    <w:rsid w:val="00C61A94"/>
    <w:rsid w:val="00C67746"/>
    <w:rsid w:val="00C825E8"/>
    <w:rsid w:val="00C82916"/>
    <w:rsid w:val="00C82F73"/>
    <w:rsid w:val="00C83A77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602E"/>
    <w:rsid w:val="00D57447"/>
    <w:rsid w:val="00D57BC8"/>
    <w:rsid w:val="00D837C1"/>
    <w:rsid w:val="00D8565F"/>
    <w:rsid w:val="00D8696A"/>
    <w:rsid w:val="00D87A59"/>
    <w:rsid w:val="00D907C0"/>
    <w:rsid w:val="00D90C85"/>
    <w:rsid w:val="00D9372E"/>
    <w:rsid w:val="00D948EF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F07F3"/>
    <w:rsid w:val="00DF3D45"/>
    <w:rsid w:val="00E00694"/>
    <w:rsid w:val="00E10AD3"/>
    <w:rsid w:val="00E12FD4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6551B-CEB2-454A-8094-00B10AE5A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D74CC-D00E-43EB-9714-C8883C47C9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2800</Words>
  <Characters>15963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18726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4</cp:revision>
  <cp:lastPrinted>2022-10-04T09:17:00Z</cp:lastPrinted>
  <dcterms:created xsi:type="dcterms:W3CDTF">2023-03-16T11:14:00Z</dcterms:created>
  <dcterms:modified xsi:type="dcterms:W3CDTF">2023-03-22T13:12:00Z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