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CA6D9" w14:textId="77777777" w:rsidR="00AF65D7" w:rsidRPr="00BE3F14" w:rsidRDefault="002257B4" w:rsidP="00AF65D7">
      <w:pPr>
        <w:spacing w:after="0"/>
        <w:jc w:val="center"/>
        <w:rPr>
          <w:rFonts w:ascii="Tahoma" w:hAnsi="Tahoma" w:cs="Tahoma"/>
          <w:b/>
          <w:sz w:val="20"/>
          <w:szCs w:val="20"/>
        </w:rPr>
      </w:pPr>
      <w:r w:rsidRPr="00BE3F14">
        <w:rPr>
          <w:rFonts w:ascii="Tahoma" w:hAnsi="Tahoma" w:cs="Tahoma"/>
          <w:b/>
          <w:sz w:val="20"/>
          <w:szCs w:val="20"/>
        </w:rPr>
        <w:t>Случаи приостановления организованных торгов, предусмотренные</w:t>
      </w:r>
    </w:p>
    <w:p w14:paraId="2CAA636F" w14:textId="77777777" w:rsidR="009314C7" w:rsidRPr="00BE3F14" w:rsidRDefault="002257B4" w:rsidP="00AF65D7">
      <w:pPr>
        <w:spacing w:after="0"/>
        <w:jc w:val="center"/>
        <w:rPr>
          <w:rFonts w:ascii="Tahoma" w:hAnsi="Tahoma" w:cs="Tahoma"/>
          <w:b/>
          <w:sz w:val="20"/>
          <w:szCs w:val="20"/>
        </w:rPr>
      </w:pPr>
      <w:r w:rsidRPr="00BE3F14">
        <w:rPr>
          <w:rFonts w:ascii="Tahoma" w:hAnsi="Tahoma" w:cs="Tahoma"/>
          <w:b/>
          <w:sz w:val="20"/>
          <w:szCs w:val="20"/>
        </w:rPr>
        <w:t xml:space="preserve">Правилами </w:t>
      </w:r>
      <w:r w:rsidR="00AF65D7" w:rsidRPr="00BE3F14">
        <w:rPr>
          <w:rFonts w:ascii="Tahoma" w:hAnsi="Tahoma" w:cs="Tahoma"/>
          <w:b/>
          <w:sz w:val="20"/>
          <w:szCs w:val="20"/>
        </w:rPr>
        <w:t xml:space="preserve">организованных торгов на </w:t>
      </w:r>
      <w:r w:rsidR="009314C7" w:rsidRPr="00BE3F14">
        <w:rPr>
          <w:rFonts w:ascii="Tahoma" w:hAnsi="Tahoma" w:cs="Tahoma"/>
          <w:b/>
          <w:sz w:val="20"/>
          <w:szCs w:val="20"/>
        </w:rPr>
        <w:t>срочном</w:t>
      </w:r>
      <w:r w:rsidR="00AF65D7" w:rsidRPr="00BE3F14">
        <w:rPr>
          <w:rFonts w:ascii="Tahoma" w:hAnsi="Tahoma" w:cs="Tahoma"/>
          <w:b/>
          <w:sz w:val="20"/>
          <w:szCs w:val="20"/>
        </w:rPr>
        <w:t xml:space="preserve"> рынке </w:t>
      </w:r>
    </w:p>
    <w:p w14:paraId="6E56E7FB" w14:textId="28D5C9C5" w:rsidR="007F6266" w:rsidRPr="00BE3F14" w:rsidRDefault="002257B4" w:rsidP="00AF65D7">
      <w:pPr>
        <w:spacing w:after="0"/>
        <w:jc w:val="center"/>
        <w:rPr>
          <w:rFonts w:ascii="Tahoma" w:hAnsi="Tahoma" w:cs="Tahoma"/>
          <w:b/>
          <w:sz w:val="20"/>
          <w:szCs w:val="20"/>
        </w:rPr>
      </w:pPr>
      <w:r w:rsidRPr="00BE3F14">
        <w:rPr>
          <w:rFonts w:ascii="Tahoma" w:hAnsi="Tahoma" w:cs="Tahoma"/>
          <w:b/>
          <w:sz w:val="20"/>
          <w:szCs w:val="20"/>
        </w:rPr>
        <w:t>П</w:t>
      </w:r>
      <w:r w:rsidR="00AF65D7" w:rsidRPr="00BE3F14">
        <w:rPr>
          <w:rFonts w:ascii="Tahoma" w:hAnsi="Tahoma" w:cs="Tahoma"/>
          <w:b/>
          <w:sz w:val="20"/>
          <w:szCs w:val="20"/>
        </w:rPr>
        <w:t>АО Московская Биржа</w:t>
      </w:r>
      <w:r w:rsidR="008D0742" w:rsidRPr="00BE3F14">
        <w:rPr>
          <w:rFonts w:ascii="Tahoma" w:hAnsi="Tahoma" w:cs="Tahoma"/>
          <w:b/>
          <w:sz w:val="20"/>
          <w:szCs w:val="20"/>
        </w:rPr>
        <w:t xml:space="preserve"> (далее – Правила торгов)</w:t>
      </w:r>
    </w:p>
    <w:p w14:paraId="170E8039" w14:textId="77777777" w:rsidR="002257B4" w:rsidRPr="00BE3F14" w:rsidRDefault="002257B4" w:rsidP="002257B4">
      <w:pPr>
        <w:jc w:val="center"/>
        <w:rPr>
          <w:rFonts w:ascii="Tahoma" w:hAnsi="Tahoma" w:cs="Tahoma"/>
          <w:b/>
          <w:sz w:val="20"/>
          <w:szCs w:val="20"/>
        </w:rPr>
      </w:pPr>
    </w:p>
    <w:tbl>
      <w:tblPr>
        <w:tblStyle w:val="a7"/>
        <w:tblW w:w="9493" w:type="dxa"/>
        <w:tblLook w:val="04A0" w:firstRow="1" w:lastRow="0" w:firstColumn="1" w:lastColumn="0" w:noHBand="0" w:noVBand="1"/>
      </w:tblPr>
      <w:tblGrid>
        <w:gridCol w:w="614"/>
        <w:gridCol w:w="7178"/>
        <w:gridCol w:w="1701"/>
      </w:tblGrid>
      <w:tr w:rsidR="005A1EE0" w:rsidRPr="00BE3F14" w14:paraId="71FA1E97" w14:textId="22909F87" w:rsidTr="005A1EE0">
        <w:trPr>
          <w:trHeight w:val="647"/>
        </w:trPr>
        <w:tc>
          <w:tcPr>
            <w:tcW w:w="614" w:type="dxa"/>
            <w:vAlign w:val="center"/>
          </w:tcPr>
          <w:p w14:paraId="2259BDE3" w14:textId="77777777" w:rsidR="005A1EE0" w:rsidRPr="00BE3F14" w:rsidRDefault="005A1EE0" w:rsidP="009923D7">
            <w:pPr>
              <w:jc w:val="center"/>
              <w:rPr>
                <w:rFonts w:ascii="Tahoma" w:hAnsi="Tahoma" w:cs="Tahoma"/>
                <w:sz w:val="20"/>
                <w:szCs w:val="20"/>
              </w:rPr>
            </w:pPr>
            <w:r w:rsidRPr="00BE3F14">
              <w:rPr>
                <w:rFonts w:ascii="Tahoma" w:hAnsi="Tahoma" w:cs="Tahoma"/>
                <w:sz w:val="20"/>
                <w:szCs w:val="20"/>
              </w:rPr>
              <w:t>№</w:t>
            </w:r>
          </w:p>
          <w:p w14:paraId="67D66343" w14:textId="4F5819E0" w:rsidR="005A1EE0" w:rsidRPr="00BE3F14" w:rsidRDefault="00FF505D" w:rsidP="009923D7">
            <w:pPr>
              <w:jc w:val="center"/>
              <w:rPr>
                <w:rFonts w:ascii="Tahoma" w:hAnsi="Tahoma" w:cs="Tahoma"/>
                <w:sz w:val="20"/>
                <w:szCs w:val="20"/>
              </w:rPr>
            </w:pPr>
            <w:r w:rsidRPr="00BE3F14">
              <w:rPr>
                <w:rFonts w:ascii="Tahoma" w:hAnsi="Tahoma" w:cs="Tahoma"/>
                <w:sz w:val="20"/>
                <w:szCs w:val="20"/>
              </w:rPr>
              <w:t>п/</w:t>
            </w:r>
            <w:r w:rsidR="005A1EE0" w:rsidRPr="00BE3F14">
              <w:rPr>
                <w:rFonts w:ascii="Tahoma" w:hAnsi="Tahoma" w:cs="Tahoma"/>
                <w:sz w:val="20"/>
                <w:szCs w:val="20"/>
              </w:rPr>
              <w:t>п.</w:t>
            </w:r>
          </w:p>
        </w:tc>
        <w:tc>
          <w:tcPr>
            <w:tcW w:w="7178" w:type="dxa"/>
            <w:vAlign w:val="center"/>
          </w:tcPr>
          <w:p w14:paraId="26AAEB37" w14:textId="77777777" w:rsidR="005A1EE0" w:rsidRPr="00BE3F14" w:rsidRDefault="005A1EE0" w:rsidP="009923D7">
            <w:pPr>
              <w:jc w:val="center"/>
              <w:rPr>
                <w:rFonts w:ascii="Tahoma" w:hAnsi="Tahoma" w:cs="Tahoma"/>
                <w:sz w:val="20"/>
                <w:szCs w:val="20"/>
              </w:rPr>
            </w:pPr>
            <w:r w:rsidRPr="00BE3F14">
              <w:rPr>
                <w:rFonts w:ascii="Tahoma" w:hAnsi="Tahoma" w:cs="Tahoma"/>
                <w:sz w:val="20"/>
                <w:szCs w:val="20"/>
              </w:rPr>
              <w:t>Случай приостановки организованных торгов</w:t>
            </w:r>
          </w:p>
        </w:tc>
        <w:tc>
          <w:tcPr>
            <w:tcW w:w="1701" w:type="dxa"/>
          </w:tcPr>
          <w:p w14:paraId="2144C42E" w14:textId="261D7CEE" w:rsidR="005A1EE0" w:rsidRPr="00BE3F14" w:rsidRDefault="005A1EE0" w:rsidP="009923D7">
            <w:pPr>
              <w:jc w:val="center"/>
              <w:rPr>
                <w:rFonts w:ascii="Tahoma" w:hAnsi="Tahoma" w:cs="Tahoma"/>
                <w:sz w:val="20"/>
                <w:szCs w:val="20"/>
              </w:rPr>
            </w:pPr>
            <w:r w:rsidRPr="00BE3F14">
              <w:rPr>
                <w:rFonts w:ascii="Tahoma" w:hAnsi="Tahoma" w:cs="Tahoma"/>
                <w:sz w:val="20"/>
                <w:szCs w:val="20"/>
              </w:rPr>
              <w:t>Номер пункта Правил торгов</w:t>
            </w:r>
          </w:p>
        </w:tc>
      </w:tr>
      <w:tr w:rsidR="005C7260" w:rsidRPr="00BE3F14" w14:paraId="74BAB735" w14:textId="77777777" w:rsidTr="005A1EE0">
        <w:trPr>
          <w:trHeight w:val="647"/>
        </w:trPr>
        <w:tc>
          <w:tcPr>
            <w:tcW w:w="614" w:type="dxa"/>
            <w:vAlign w:val="center"/>
          </w:tcPr>
          <w:p w14:paraId="3F455D60" w14:textId="6FC3C2EA" w:rsidR="005C7260" w:rsidRPr="00BE3F14" w:rsidRDefault="00F607E4" w:rsidP="009923D7">
            <w:pPr>
              <w:jc w:val="center"/>
              <w:rPr>
                <w:rFonts w:ascii="Tahoma" w:hAnsi="Tahoma" w:cs="Tahoma"/>
                <w:sz w:val="20"/>
                <w:szCs w:val="20"/>
              </w:rPr>
            </w:pPr>
            <w:r w:rsidRPr="00BE3F14">
              <w:rPr>
                <w:rFonts w:ascii="Tahoma" w:hAnsi="Tahoma" w:cs="Tahoma"/>
                <w:sz w:val="20"/>
                <w:szCs w:val="20"/>
              </w:rPr>
              <w:t>1.</w:t>
            </w:r>
          </w:p>
        </w:tc>
        <w:tc>
          <w:tcPr>
            <w:tcW w:w="7178" w:type="dxa"/>
            <w:vAlign w:val="center"/>
          </w:tcPr>
          <w:p w14:paraId="3A135501" w14:textId="77777777" w:rsidR="005C7260" w:rsidRPr="00BE3F14" w:rsidRDefault="005C7260" w:rsidP="00CC0E17">
            <w:pPr>
              <w:pStyle w:val="Point"/>
              <w:numPr>
                <w:ilvl w:val="0"/>
                <w:numId w:val="0"/>
              </w:numPr>
              <w:tabs>
                <w:tab w:val="num" w:pos="4901"/>
              </w:tabs>
              <w:spacing w:before="120"/>
              <w:rPr>
                <w:rFonts w:ascii="Tahoma" w:hAnsi="Tahoma" w:cs="Tahoma"/>
              </w:rPr>
            </w:pPr>
            <w:bookmarkStart w:id="0" w:name="_GoBack"/>
            <w:bookmarkEnd w:id="0"/>
            <w:r w:rsidRPr="00BE3F14">
              <w:rPr>
                <w:rFonts w:ascii="Tahoma" w:hAnsi="Tahoma" w:cs="Tahoma"/>
              </w:rPr>
              <w:t xml:space="preserve">В случае если в соответствии с Правилами клиринга возникает необходимость изменения Верхних и/или Нижних границ диапазона оценки рыночных рисков, Верхних и/или Нижних границ диапазона оценки процентных рисков п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14:paraId="631BFBAC" w14:textId="77777777" w:rsidR="005C7260" w:rsidRPr="00BE3F14" w:rsidRDefault="005C7260" w:rsidP="00BE3F14">
            <w:pPr>
              <w:rPr>
                <w:rFonts w:ascii="Tahoma" w:hAnsi="Tahoma" w:cs="Tahoma"/>
                <w:sz w:val="20"/>
                <w:szCs w:val="20"/>
              </w:rPr>
            </w:pPr>
          </w:p>
        </w:tc>
        <w:tc>
          <w:tcPr>
            <w:tcW w:w="1701" w:type="dxa"/>
          </w:tcPr>
          <w:p w14:paraId="4392E07B" w14:textId="0933E231" w:rsidR="005C7260" w:rsidRPr="00BE3F14" w:rsidRDefault="00F607E4" w:rsidP="00BE3F14">
            <w:pPr>
              <w:rPr>
                <w:rFonts w:ascii="Tahoma" w:hAnsi="Tahoma" w:cs="Tahoma"/>
                <w:sz w:val="20"/>
                <w:szCs w:val="20"/>
              </w:rPr>
            </w:pPr>
            <w:r w:rsidRPr="00BE3F14">
              <w:rPr>
                <w:rFonts w:ascii="Tahoma" w:hAnsi="Tahoma" w:cs="Tahoma"/>
                <w:sz w:val="20"/>
                <w:szCs w:val="20"/>
              </w:rPr>
              <w:t>п. 11.6</w:t>
            </w:r>
          </w:p>
        </w:tc>
      </w:tr>
      <w:tr w:rsidR="005A1EE0" w:rsidRPr="00BE3F14" w14:paraId="0B634494" w14:textId="6626CCC9" w:rsidTr="005A1EE0">
        <w:tc>
          <w:tcPr>
            <w:tcW w:w="614" w:type="dxa"/>
            <w:vAlign w:val="center"/>
          </w:tcPr>
          <w:p w14:paraId="23747EE5" w14:textId="3B3FCF55" w:rsidR="005A1EE0" w:rsidRPr="00BE3F14" w:rsidRDefault="00F607E4" w:rsidP="00BE3F14">
            <w:pPr>
              <w:rPr>
                <w:rFonts w:ascii="Tahoma" w:hAnsi="Tahoma" w:cs="Tahoma"/>
                <w:sz w:val="20"/>
                <w:szCs w:val="20"/>
              </w:rPr>
            </w:pPr>
            <w:r w:rsidRPr="00BE3F14">
              <w:rPr>
                <w:rFonts w:ascii="Tahoma" w:hAnsi="Tahoma" w:cs="Tahoma"/>
                <w:sz w:val="20"/>
                <w:szCs w:val="20"/>
              </w:rPr>
              <w:t>2</w:t>
            </w:r>
            <w:r w:rsidR="00BE3F14">
              <w:rPr>
                <w:rFonts w:ascii="Tahoma" w:hAnsi="Tahoma" w:cs="Tahoma"/>
                <w:sz w:val="20"/>
                <w:szCs w:val="20"/>
              </w:rPr>
              <w:t>.</w:t>
            </w:r>
          </w:p>
        </w:tc>
        <w:tc>
          <w:tcPr>
            <w:tcW w:w="7178" w:type="dxa"/>
          </w:tcPr>
          <w:p w14:paraId="5EE09750" w14:textId="3110DEF8" w:rsidR="005A1EE0" w:rsidRPr="00BE3F14" w:rsidRDefault="00C950AA" w:rsidP="005A1EE0">
            <w:pPr>
              <w:jc w:val="both"/>
              <w:rPr>
                <w:rFonts w:ascii="Tahoma" w:hAnsi="Tahoma" w:cs="Tahoma"/>
                <w:sz w:val="20"/>
                <w:szCs w:val="20"/>
              </w:rPr>
            </w:pPr>
            <w:r w:rsidRPr="00BE3F14">
              <w:rPr>
                <w:rFonts w:ascii="Tahoma" w:hAnsi="Tahoma" w:cs="Tahoma"/>
                <w:sz w:val="20"/>
                <w:szCs w:val="20"/>
              </w:rPr>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51E963F7" w14:textId="77777777" w:rsidR="00C224FF" w:rsidRPr="00BE3F14" w:rsidRDefault="00C224FF" w:rsidP="00C224FF">
            <w:pPr>
              <w:jc w:val="both"/>
              <w:rPr>
                <w:rFonts w:ascii="Tahoma" w:hAnsi="Tahoma" w:cs="Tahoma"/>
                <w:sz w:val="20"/>
                <w:szCs w:val="20"/>
              </w:rPr>
            </w:pPr>
            <w:r w:rsidRPr="00BE3F14">
              <w:rPr>
                <w:rFonts w:ascii="Tahoma" w:hAnsi="Tahoma" w:cs="Tahoma"/>
                <w:sz w:val="20"/>
                <w:szCs w:val="20"/>
              </w:rPr>
              <w:t>Биржа вправе приостановить Торги при возникновении иных обстоятельств, в том числе:</w:t>
            </w:r>
          </w:p>
          <w:p w14:paraId="01ACD074" w14:textId="2DFA0BFE" w:rsidR="00C224FF" w:rsidRPr="00BE3F14" w:rsidRDefault="00C224FF" w:rsidP="00C224FF">
            <w:pPr>
              <w:jc w:val="both"/>
              <w:rPr>
                <w:rFonts w:ascii="Tahoma" w:hAnsi="Tahoma" w:cs="Tahoma"/>
                <w:sz w:val="20"/>
                <w:szCs w:val="20"/>
              </w:rPr>
            </w:pPr>
            <w:r w:rsidRPr="00BE3F14">
              <w:rPr>
                <w:rFonts w:ascii="Tahoma" w:hAnsi="Tahoma" w:cs="Tahoma"/>
                <w:sz w:val="20"/>
                <w:szCs w:val="20"/>
              </w:rPr>
              <w:t>•</w:t>
            </w:r>
            <w:r w:rsidRPr="00BE3F14">
              <w:rPr>
                <w:rFonts w:ascii="Tahoma" w:hAnsi="Tahoma" w:cs="Tahoma"/>
                <w:sz w:val="20"/>
                <w:szCs w:val="20"/>
              </w:rPr>
              <w:tab/>
              <w:t xml:space="preserve">технических сбоев в работе средств проведения Торгов, не указанных в части </w:t>
            </w:r>
            <w:proofErr w:type="gramStart"/>
            <w:r w:rsidRPr="00BE3F14">
              <w:rPr>
                <w:rFonts w:ascii="Tahoma" w:hAnsi="Tahoma" w:cs="Tahoma"/>
                <w:sz w:val="20"/>
                <w:szCs w:val="20"/>
              </w:rPr>
              <w:t>первой  пункта</w:t>
            </w:r>
            <w:proofErr w:type="gramEnd"/>
            <w:r w:rsidRPr="00BE3F14">
              <w:rPr>
                <w:rFonts w:ascii="Tahoma" w:hAnsi="Tahoma" w:cs="Tahoma"/>
                <w:sz w:val="20"/>
                <w:szCs w:val="20"/>
              </w:rPr>
              <w:t xml:space="preserve"> 13.2</w:t>
            </w:r>
            <w:r w:rsidR="00E67127" w:rsidRPr="00BE3F14">
              <w:rPr>
                <w:rFonts w:ascii="Tahoma" w:hAnsi="Tahoma" w:cs="Tahoma"/>
                <w:sz w:val="20"/>
                <w:szCs w:val="20"/>
              </w:rPr>
              <w:t xml:space="preserve"> Правил торгов</w:t>
            </w:r>
            <w:r w:rsidRPr="00BE3F14">
              <w:rPr>
                <w:rFonts w:ascii="Tahoma" w:hAnsi="Tahoma" w:cs="Tahoma"/>
                <w:sz w:val="20"/>
                <w:szCs w:val="20"/>
              </w:rPr>
              <w:t xml:space="preserve"> (включая сбои в работе программного обеспечения);</w:t>
            </w:r>
          </w:p>
          <w:p w14:paraId="5DC59DD3" w14:textId="77777777" w:rsidR="00C224FF" w:rsidRPr="00BE3F14" w:rsidRDefault="00C224FF" w:rsidP="00C224FF">
            <w:pPr>
              <w:jc w:val="both"/>
              <w:rPr>
                <w:rFonts w:ascii="Tahoma" w:hAnsi="Tahoma" w:cs="Tahoma"/>
                <w:sz w:val="20"/>
                <w:szCs w:val="20"/>
              </w:rPr>
            </w:pPr>
            <w:r w:rsidRPr="00BE3F14">
              <w:rPr>
                <w:rFonts w:ascii="Tahoma" w:hAnsi="Tahoma" w:cs="Tahoma"/>
                <w:sz w:val="20"/>
                <w:szCs w:val="20"/>
              </w:rPr>
              <w:t>•</w:t>
            </w:r>
            <w:r w:rsidRPr="00BE3F14">
              <w:rPr>
                <w:rFonts w:ascii="Tahoma" w:hAnsi="Tahoma" w:cs="Tahoma"/>
                <w:sz w:val="20"/>
                <w:szCs w:val="20"/>
              </w:rPr>
              <w:tab/>
              <w:t>сбои в работе систем связи, электроснабжения;</w:t>
            </w:r>
          </w:p>
          <w:p w14:paraId="01447D87" w14:textId="77777777" w:rsidR="00C224FF" w:rsidRPr="00BE3F14" w:rsidRDefault="00C224FF" w:rsidP="00C224FF">
            <w:pPr>
              <w:jc w:val="both"/>
              <w:rPr>
                <w:rFonts w:ascii="Tahoma" w:hAnsi="Tahoma" w:cs="Tahoma"/>
                <w:sz w:val="20"/>
                <w:szCs w:val="20"/>
              </w:rPr>
            </w:pPr>
            <w:r w:rsidRPr="00BE3F14">
              <w:rPr>
                <w:rFonts w:ascii="Tahoma" w:hAnsi="Tahoma" w:cs="Tahoma"/>
                <w:sz w:val="20"/>
                <w:szCs w:val="20"/>
              </w:rPr>
              <w:t>•</w:t>
            </w:r>
            <w:r w:rsidRPr="00BE3F14">
              <w:rPr>
                <w:rFonts w:ascii="Tahoma" w:hAnsi="Tahoma" w:cs="Tahoma"/>
                <w:sz w:val="20"/>
                <w:szCs w:val="20"/>
              </w:rPr>
              <w:tab/>
              <w:t>обстоятельства непреодолимой силы;</w:t>
            </w:r>
          </w:p>
          <w:p w14:paraId="503BAC44" w14:textId="77777777" w:rsidR="005A1EE0" w:rsidRDefault="00C224FF" w:rsidP="00C224FF">
            <w:pPr>
              <w:jc w:val="both"/>
              <w:rPr>
                <w:rFonts w:ascii="Tahoma" w:hAnsi="Tahoma" w:cs="Tahoma"/>
                <w:sz w:val="20"/>
                <w:szCs w:val="20"/>
              </w:rPr>
            </w:pPr>
            <w:r w:rsidRPr="00BE3F14">
              <w:rPr>
                <w:rFonts w:ascii="Tahoma" w:hAnsi="Tahoma" w:cs="Tahoma"/>
                <w:sz w:val="20"/>
                <w:szCs w:val="20"/>
              </w:rPr>
              <w:t>•</w:t>
            </w:r>
            <w:r w:rsidRPr="00BE3F14">
              <w:rPr>
                <w:rFonts w:ascii="Tahoma" w:hAnsi="Tahoma" w:cs="Tahoma"/>
                <w:sz w:val="20"/>
                <w:szCs w:val="20"/>
              </w:rPr>
              <w:tab/>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4734CA5E" w14:textId="5AFDA8A5" w:rsidR="00DD51F1" w:rsidRPr="00BE3F14" w:rsidRDefault="00DD51F1" w:rsidP="00C224FF">
            <w:pPr>
              <w:jc w:val="both"/>
              <w:rPr>
                <w:rFonts w:ascii="Tahoma" w:hAnsi="Tahoma" w:cs="Tahoma"/>
                <w:sz w:val="20"/>
                <w:szCs w:val="20"/>
              </w:rPr>
            </w:pPr>
          </w:p>
        </w:tc>
        <w:tc>
          <w:tcPr>
            <w:tcW w:w="1701" w:type="dxa"/>
          </w:tcPr>
          <w:p w14:paraId="798B1E12" w14:textId="150852E8" w:rsidR="005A1EE0" w:rsidRPr="00BE3F14" w:rsidRDefault="005A1EE0" w:rsidP="005A1EE0">
            <w:pPr>
              <w:jc w:val="both"/>
              <w:rPr>
                <w:rFonts w:ascii="Tahoma" w:hAnsi="Tahoma" w:cs="Tahoma"/>
                <w:sz w:val="20"/>
                <w:szCs w:val="20"/>
              </w:rPr>
            </w:pPr>
            <w:r w:rsidRPr="00BE3F14">
              <w:rPr>
                <w:rFonts w:ascii="Tahoma" w:hAnsi="Tahoma" w:cs="Tahoma"/>
                <w:sz w:val="20"/>
                <w:szCs w:val="20"/>
              </w:rPr>
              <w:t xml:space="preserve">п. </w:t>
            </w:r>
            <w:r w:rsidR="00C224FF" w:rsidRPr="00BE3F14">
              <w:rPr>
                <w:rFonts w:ascii="Tahoma" w:hAnsi="Tahoma" w:cs="Tahoma"/>
                <w:sz w:val="20"/>
                <w:szCs w:val="20"/>
              </w:rPr>
              <w:t>13.2.</w:t>
            </w:r>
          </w:p>
        </w:tc>
      </w:tr>
      <w:tr w:rsidR="005A1EE0" w:rsidRPr="00BE3F14" w14:paraId="272CA233" w14:textId="690D9DAF" w:rsidTr="005A1EE0">
        <w:tc>
          <w:tcPr>
            <w:tcW w:w="614" w:type="dxa"/>
            <w:vAlign w:val="center"/>
          </w:tcPr>
          <w:p w14:paraId="7A4A8820" w14:textId="253FA5BA" w:rsidR="005A1EE0" w:rsidRPr="00BE3F14" w:rsidRDefault="00F607E4" w:rsidP="00BE3F14">
            <w:pPr>
              <w:rPr>
                <w:rFonts w:ascii="Tahoma" w:hAnsi="Tahoma" w:cs="Tahoma"/>
                <w:sz w:val="20"/>
                <w:szCs w:val="20"/>
              </w:rPr>
            </w:pPr>
            <w:r w:rsidRPr="00BE3F14">
              <w:rPr>
                <w:rFonts w:ascii="Tahoma" w:hAnsi="Tahoma" w:cs="Tahoma"/>
                <w:sz w:val="20"/>
                <w:szCs w:val="20"/>
              </w:rPr>
              <w:t>3</w:t>
            </w:r>
            <w:r w:rsidR="00BE3F14">
              <w:rPr>
                <w:rFonts w:ascii="Tahoma" w:hAnsi="Tahoma" w:cs="Tahoma"/>
                <w:sz w:val="20"/>
                <w:szCs w:val="20"/>
              </w:rPr>
              <w:t>.</w:t>
            </w:r>
          </w:p>
        </w:tc>
        <w:tc>
          <w:tcPr>
            <w:tcW w:w="7178" w:type="dxa"/>
          </w:tcPr>
          <w:p w14:paraId="687E9C33" w14:textId="0C142876" w:rsidR="00C224FF" w:rsidRPr="00BE3F14" w:rsidRDefault="00C224FF" w:rsidP="00C224FF">
            <w:pPr>
              <w:jc w:val="both"/>
              <w:rPr>
                <w:rFonts w:ascii="Tahoma" w:hAnsi="Tahoma" w:cs="Tahoma"/>
                <w:sz w:val="20"/>
                <w:szCs w:val="20"/>
              </w:rPr>
            </w:pPr>
            <w:r w:rsidRPr="00BE3F14">
              <w:rPr>
                <w:rFonts w:ascii="Tahoma" w:hAnsi="Tahoma" w:cs="Tahoma"/>
                <w:sz w:val="20"/>
                <w:szCs w:val="20"/>
              </w:rPr>
              <w:t>Приостановка Торгов возможна в связи с фактической невозможностью проведения Торгов или по решению Биржи.</w:t>
            </w:r>
          </w:p>
          <w:p w14:paraId="185533D4" w14:textId="1C4C7CE1" w:rsidR="005A1EE0" w:rsidRPr="00BE3F14" w:rsidRDefault="00C224FF" w:rsidP="00C224FF">
            <w:pPr>
              <w:jc w:val="both"/>
              <w:rPr>
                <w:rFonts w:ascii="Tahoma" w:hAnsi="Tahoma" w:cs="Tahoma"/>
                <w:sz w:val="20"/>
                <w:szCs w:val="20"/>
              </w:rPr>
            </w:pPr>
            <w:r w:rsidRPr="00BE3F14">
              <w:rPr>
                <w:rFonts w:ascii="Tahoma" w:hAnsi="Tahoma" w:cs="Tahoma"/>
                <w:sz w:val="20"/>
                <w:szCs w:val="20"/>
              </w:rPr>
              <w:t>Торги могут быть приостановлены полностью или частично</w:t>
            </w:r>
            <w:r w:rsidR="00DD51F1">
              <w:rPr>
                <w:rFonts w:ascii="Tahoma" w:hAnsi="Tahoma" w:cs="Tahoma"/>
                <w:sz w:val="20"/>
                <w:szCs w:val="20"/>
              </w:rPr>
              <w:t>.</w:t>
            </w:r>
          </w:p>
        </w:tc>
        <w:tc>
          <w:tcPr>
            <w:tcW w:w="1701" w:type="dxa"/>
          </w:tcPr>
          <w:p w14:paraId="4A673A3C" w14:textId="671A4CF2" w:rsidR="005A1EE0" w:rsidRPr="00BE3F14" w:rsidRDefault="005A1EE0" w:rsidP="009923D7">
            <w:pPr>
              <w:jc w:val="both"/>
              <w:rPr>
                <w:rFonts w:ascii="Tahoma" w:hAnsi="Tahoma" w:cs="Tahoma"/>
                <w:sz w:val="20"/>
                <w:szCs w:val="20"/>
              </w:rPr>
            </w:pPr>
            <w:r w:rsidRPr="00BE3F14">
              <w:rPr>
                <w:rFonts w:ascii="Tahoma" w:hAnsi="Tahoma" w:cs="Tahoma"/>
                <w:sz w:val="20"/>
                <w:szCs w:val="20"/>
              </w:rPr>
              <w:t xml:space="preserve">п. </w:t>
            </w:r>
            <w:r w:rsidR="00C224FF" w:rsidRPr="00BE3F14">
              <w:rPr>
                <w:rFonts w:ascii="Tahoma" w:hAnsi="Tahoma" w:cs="Tahoma"/>
                <w:sz w:val="20"/>
                <w:szCs w:val="20"/>
              </w:rPr>
              <w:t>1</w:t>
            </w:r>
            <w:r w:rsidRPr="00BE3F14">
              <w:rPr>
                <w:rFonts w:ascii="Tahoma" w:hAnsi="Tahoma" w:cs="Tahoma"/>
                <w:sz w:val="20"/>
                <w:szCs w:val="20"/>
              </w:rPr>
              <w:t>3.</w:t>
            </w:r>
            <w:r w:rsidR="00C224FF" w:rsidRPr="00BE3F14">
              <w:rPr>
                <w:rFonts w:ascii="Tahoma" w:hAnsi="Tahoma" w:cs="Tahoma"/>
                <w:sz w:val="20"/>
                <w:szCs w:val="20"/>
              </w:rPr>
              <w:t>3</w:t>
            </w:r>
          </w:p>
        </w:tc>
      </w:tr>
      <w:tr w:rsidR="005A1EE0" w:rsidRPr="00BE3F14" w14:paraId="7D0099F3" w14:textId="7531ECB4" w:rsidTr="005A1EE0">
        <w:tc>
          <w:tcPr>
            <w:tcW w:w="614" w:type="dxa"/>
            <w:vAlign w:val="center"/>
          </w:tcPr>
          <w:p w14:paraId="765748A1" w14:textId="10EE8E21" w:rsidR="005A1EE0" w:rsidRPr="00BE3F14" w:rsidRDefault="00F607E4" w:rsidP="00BE3F14">
            <w:pPr>
              <w:rPr>
                <w:rFonts w:ascii="Tahoma" w:hAnsi="Tahoma" w:cs="Tahoma"/>
                <w:sz w:val="20"/>
                <w:szCs w:val="20"/>
              </w:rPr>
            </w:pPr>
            <w:r w:rsidRPr="00BE3F14">
              <w:rPr>
                <w:rFonts w:ascii="Tahoma" w:hAnsi="Tahoma" w:cs="Tahoma"/>
                <w:sz w:val="20"/>
                <w:szCs w:val="20"/>
              </w:rPr>
              <w:t>4</w:t>
            </w:r>
            <w:r w:rsidR="00BE3F14">
              <w:rPr>
                <w:rFonts w:ascii="Tahoma" w:hAnsi="Tahoma" w:cs="Tahoma"/>
                <w:sz w:val="20"/>
                <w:szCs w:val="20"/>
              </w:rPr>
              <w:t>.</w:t>
            </w:r>
          </w:p>
        </w:tc>
        <w:tc>
          <w:tcPr>
            <w:tcW w:w="7178" w:type="dxa"/>
          </w:tcPr>
          <w:p w14:paraId="0B0577A5" w14:textId="5965DFC8" w:rsidR="005A1EE0" w:rsidRPr="00BE3F14" w:rsidRDefault="00C224FF" w:rsidP="00FF505D">
            <w:pPr>
              <w:jc w:val="both"/>
              <w:rPr>
                <w:rFonts w:ascii="Tahoma" w:hAnsi="Tahoma" w:cs="Tahoma"/>
                <w:sz w:val="20"/>
                <w:szCs w:val="20"/>
              </w:rPr>
            </w:pPr>
            <w:r w:rsidRPr="00BE3F14">
              <w:rPr>
                <w:rFonts w:ascii="Tahoma" w:hAnsi="Tahoma" w:cs="Tahoma"/>
                <w:sz w:val="20"/>
                <w:szCs w:val="20"/>
              </w:rPr>
              <w:t>Биржа приостанавливает Торги Срочными контрактами на  базисные активы,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  в случае возникновения оснований для приостановки торгов данными  базисными активами на иностранных биржах, на которых определяется стоимость таких  базисных активов. Возобновление торгов Срочными контрактами на указанные базисные активы после приостановки торгов, происходит при наступлении оснований для возобновления торгов соответствующим базисным активом на соответствующей иностранной бирже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 публикуются на сайте Биржи в сети Интернет.</w:t>
            </w:r>
          </w:p>
        </w:tc>
        <w:tc>
          <w:tcPr>
            <w:tcW w:w="1701" w:type="dxa"/>
          </w:tcPr>
          <w:p w14:paraId="1752BE96" w14:textId="25826241" w:rsidR="005A1EE0" w:rsidRPr="00BE3F14" w:rsidRDefault="005A1EE0" w:rsidP="005A1EE0">
            <w:pPr>
              <w:jc w:val="both"/>
              <w:rPr>
                <w:rFonts w:ascii="Tahoma" w:hAnsi="Tahoma" w:cs="Tahoma"/>
                <w:sz w:val="20"/>
                <w:szCs w:val="20"/>
              </w:rPr>
            </w:pPr>
            <w:r w:rsidRPr="00BE3F14">
              <w:rPr>
                <w:rFonts w:ascii="Tahoma" w:hAnsi="Tahoma" w:cs="Tahoma"/>
                <w:sz w:val="20"/>
                <w:szCs w:val="20"/>
              </w:rPr>
              <w:t xml:space="preserve">п. </w:t>
            </w:r>
            <w:r w:rsidR="00C224FF" w:rsidRPr="00BE3F14">
              <w:rPr>
                <w:rFonts w:ascii="Tahoma" w:hAnsi="Tahoma" w:cs="Tahoma"/>
                <w:sz w:val="20"/>
                <w:szCs w:val="20"/>
              </w:rPr>
              <w:t>1</w:t>
            </w:r>
            <w:r w:rsidRPr="00BE3F14">
              <w:rPr>
                <w:rFonts w:ascii="Tahoma" w:hAnsi="Tahoma" w:cs="Tahoma"/>
                <w:sz w:val="20"/>
                <w:szCs w:val="20"/>
              </w:rPr>
              <w:t>3.</w:t>
            </w:r>
            <w:r w:rsidR="00C224FF" w:rsidRPr="00BE3F14">
              <w:rPr>
                <w:rFonts w:ascii="Tahoma" w:hAnsi="Tahoma" w:cs="Tahoma"/>
                <w:sz w:val="20"/>
                <w:szCs w:val="20"/>
              </w:rPr>
              <w:t>4</w:t>
            </w:r>
          </w:p>
        </w:tc>
      </w:tr>
      <w:tr w:rsidR="005A1EE0" w:rsidRPr="00BE3F14" w14:paraId="1D94E018" w14:textId="5C664A72" w:rsidTr="005A1EE0">
        <w:tc>
          <w:tcPr>
            <w:tcW w:w="614" w:type="dxa"/>
            <w:vAlign w:val="center"/>
          </w:tcPr>
          <w:p w14:paraId="1B1EE9C1" w14:textId="2B7E526A" w:rsidR="005A1EE0" w:rsidRPr="00BE3F14" w:rsidRDefault="00F607E4" w:rsidP="00BE3F14">
            <w:pPr>
              <w:rPr>
                <w:rFonts w:ascii="Tahoma" w:hAnsi="Tahoma" w:cs="Tahoma"/>
                <w:sz w:val="20"/>
                <w:szCs w:val="20"/>
              </w:rPr>
            </w:pPr>
            <w:r w:rsidRPr="00BE3F14">
              <w:rPr>
                <w:rFonts w:ascii="Tahoma" w:hAnsi="Tahoma" w:cs="Tahoma"/>
                <w:sz w:val="20"/>
                <w:szCs w:val="20"/>
              </w:rPr>
              <w:t>5</w:t>
            </w:r>
            <w:r w:rsidR="00BE3F14">
              <w:rPr>
                <w:rFonts w:ascii="Tahoma" w:hAnsi="Tahoma" w:cs="Tahoma"/>
                <w:sz w:val="20"/>
                <w:szCs w:val="20"/>
              </w:rPr>
              <w:t>.</w:t>
            </w:r>
          </w:p>
        </w:tc>
        <w:tc>
          <w:tcPr>
            <w:tcW w:w="7178" w:type="dxa"/>
          </w:tcPr>
          <w:p w14:paraId="12CF1A80" w14:textId="77777777" w:rsidR="005A1EE0" w:rsidRDefault="006E74A2" w:rsidP="009923D7">
            <w:pPr>
              <w:jc w:val="both"/>
              <w:rPr>
                <w:rFonts w:ascii="Tahoma" w:hAnsi="Tahoma" w:cs="Tahoma"/>
                <w:sz w:val="20"/>
                <w:szCs w:val="20"/>
              </w:rPr>
            </w:pPr>
            <w:r w:rsidRPr="00BE3F14">
              <w:rPr>
                <w:rFonts w:ascii="Tahoma" w:hAnsi="Tahoma" w:cs="Tahoma"/>
                <w:sz w:val="20"/>
                <w:szCs w:val="20"/>
              </w:rPr>
              <w:t xml:space="preserve">Заключение срочных контрактов </w:t>
            </w:r>
            <w:r w:rsidR="00E67127" w:rsidRPr="00BE3F14">
              <w:rPr>
                <w:rFonts w:ascii="Tahoma" w:hAnsi="Tahoma" w:cs="Tahoma"/>
                <w:sz w:val="20"/>
                <w:szCs w:val="20"/>
              </w:rPr>
              <w:t xml:space="preserve">на торгах приостанавливается / прекращается в случаях и в порядке, предусмотренных нормативными актами в сфере финансовых рынков и/или Правилами торгов. </w:t>
            </w:r>
          </w:p>
          <w:p w14:paraId="0BFA48F0" w14:textId="066604B4" w:rsidR="00DD01A0" w:rsidRPr="00BE3F14" w:rsidRDefault="00DD01A0" w:rsidP="009923D7">
            <w:pPr>
              <w:jc w:val="both"/>
              <w:rPr>
                <w:rFonts w:ascii="Tahoma" w:hAnsi="Tahoma" w:cs="Tahoma"/>
                <w:sz w:val="20"/>
                <w:szCs w:val="20"/>
              </w:rPr>
            </w:pPr>
          </w:p>
        </w:tc>
        <w:tc>
          <w:tcPr>
            <w:tcW w:w="1701" w:type="dxa"/>
          </w:tcPr>
          <w:p w14:paraId="5B42DBF7" w14:textId="5A89D9F0" w:rsidR="005A1EE0" w:rsidRPr="00BE3F14" w:rsidRDefault="00E67127" w:rsidP="009923D7">
            <w:pPr>
              <w:jc w:val="both"/>
              <w:rPr>
                <w:rFonts w:ascii="Tahoma" w:hAnsi="Tahoma" w:cs="Tahoma"/>
                <w:sz w:val="20"/>
                <w:szCs w:val="20"/>
              </w:rPr>
            </w:pPr>
            <w:r w:rsidRPr="00BE3F14">
              <w:rPr>
                <w:rFonts w:ascii="Tahoma" w:hAnsi="Tahoma" w:cs="Tahoma"/>
                <w:sz w:val="20"/>
                <w:szCs w:val="20"/>
              </w:rPr>
              <w:t>п. 16.2</w:t>
            </w:r>
          </w:p>
        </w:tc>
      </w:tr>
    </w:tbl>
    <w:p w14:paraId="573FD4BD" w14:textId="77777777" w:rsidR="009923D7" w:rsidRPr="00BE3F14" w:rsidRDefault="009923D7" w:rsidP="009923D7">
      <w:pPr>
        <w:jc w:val="both"/>
        <w:rPr>
          <w:rFonts w:ascii="Tahoma" w:hAnsi="Tahoma" w:cs="Tahoma"/>
          <w:sz w:val="20"/>
          <w:szCs w:val="20"/>
        </w:rPr>
      </w:pPr>
    </w:p>
    <w:sectPr w:rsidR="009923D7" w:rsidRPr="00BE3F14">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C898E" w16cex:dateUtc="2022-09-14T14:10:00Z"/>
  <w16cex:commentExtensible w16cex:durableId="26CD8BE9" w16cex:dateUtc="2022-09-15T08:32:00Z"/>
  <w16cex:commentExtensible w16cex:durableId="26CD8C98" w16cex:dateUtc="2022-09-15T08:35:00Z"/>
  <w16cex:commentExtensible w16cex:durableId="26CD8F97" w16cex:dateUtc="2022-09-15T08:48:00Z"/>
  <w16cex:commentExtensible w16cex:durableId="26CD8DDB" w16cex:dateUtc="2022-09-15T08:41:00Z"/>
  <w16cex:commentExtensible w16cex:durableId="26CD8FD8" w16cex:dateUtc="2022-09-15T08:4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A1E"/>
    <w:multiLevelType w:val="hybridMultilevel"/>
    <w:tmpl w:val="84F66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3E0834"/>
    <w:multiLevelType w:val="hybridMultilevel"/>
    <w:tmpl w:val="B8D07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467042"/>
    <w:multiLevelType w:val="hybridMultilevel"/>
    <w:tmpl w:val="A586AA84"/>
    <w:lvl w:ilvl="0" w:tplc="060EAFCC">
      <w:start w:val="1"/>
      <w:numFmt w:val="decimal"/>
      <w:lvlText w:val="%1."/>
      <w:lvlJc w:val="left"/>
      <w:pPr>
        <w:ind w:left="1191" w:hanging="119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A12332"/>
    <w:multiLevelType w:val="multilevel"/>
    <w:tmpl w:val="4ABC5D92"/>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2917"/>
        </w:tabs>
        <w:ind w:left="2917" w:hanging="648"/>
      </w:pPr>
      <w:rPr>
        <w:rFonts w:ascii="Tahoma" w:hAnsi="Tahoma" w:cs="Tahoma" w:hint="default"/>
        <w:b w:val="0"/>
        <w:sz w:val="20"/>
        <w:szCs w:val="22"/>
      </w:rPr>
    </w:lvl>
    <w:lvl w:ilvl="4">
      <w:start w:val="1"/>
      <w:numFmt w:val="decimal"/>
      <w:pStyle w:val="Point2"/>
      <w:lvlText w:val="%3.%4.%5."/>
      <w:lvlJc w:val="left"/>
      <w:pPr>
        <w:tabs>
          <w:tab w:val="num" w:pos="4053"/>
        </w:tabs>
        <w:ind w:left="4053"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4" w15:restartNumberingAfterBreak="0">
    <w:nsid w:val="45BF6EF2"/>
    <w:multiLevelType w:val="hybridMultilevel"/>
    <w:tmpl w:val="B4E09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846F76"/>
    <w:multiLevelType w:val="hybridMultilevel"/>
    <w:tmpl w:val="8B56E02C"/>
    <w:lvl w:ilvl="0" w:tplc="BD0642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225FDB"/>
    <w:multiLevelType w:val="hybridMultilevel"/>
    <w:tmpl w:val="EFA65C90"/>
    <w:lvl w:ilvl="0" w:tplc="B3ECEC82">
      <w:start w:val="1"/>
      <w:numFmt w:val="decimal"/>
      <w:lvlText w:val="%1."/>
      <w:lvlJc w:val="left"/>
      <w:pPr>
        <w:ind w:left="1191" w:hanging="483"/>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76854C2"/>
    <w:multiLevelType w:val="hybridMultilevel"/>
    <w:tmpl w:val="CFF0A22A"/>
    <w:lvl w:ilvl="0" w:tplc="B3ECEC82">
      <w:start w:val="1"/>
      <w:numFmt w:val="decimal"/>
      <w:lvlText w:val="%1."/>
      <w:lvlJc w:val="left"/>
      <w:pPr>
        <w:ind w:left="1191" w:hanging="48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0"/>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7B4"/>
    <w:rsid w:val="00163C1F"/>
    <w:rsid w:val="002257B4"/>
    <w:rsid w:val="002357E2"/>
    <w:rsid w:val="0026441B"/>
    <w:rsid w:val="00321D68"/>
    <w:rsid w:val="003E0AC4"/>
    <w:rsid w:val="0050708B"/>
    <w:rsid w:val="00566C74"/>
    <w:rsid w:val="005A1EE0"/>
    <w:rsid w:val="005C7260"/>
    <w:rsid w:val="006E74A2"/>
    <w:rsid w:val="007C695E"/>
    <w:rsid w:val="007F6266"/>
    <w:rsid w:val="00837550"/>
    <w:rsid w:val="008D0742"/>
    <w:rsid w:val="009314C7"/>
    <w:rsid w:val="009923D7"/>
    <w:rsid w:val="009A6002"/>
    <w:rsid w:val="00AF65D7"/>
    <w:rsid w:val="00BE3F14"/>
    <w:rsid w:val="00C224FF"/>
    <w:rsid w:val="00C73610"/>
    <w:rsid w:val="00C950AA"/>
    <w:rsid w:val="00CC0E17"/>
    <w:rsid w:val="00DD01A0"/>
    <w:rsid w:val="00DD51F1"/>
    <w:rsid w:val="00DE367C"/>
    <w:rsid w:val="00E516DC"/>
    <w:rsid w:val="00E67127"/>
    <w:rsid w:val="00F607E4"/>
    <w:rsid w:val="00FF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787E"/>
  <w15:chartTrackingRefBased/>
  <w15:docId w15:val="{182526CF-40AD-433E-8135-6CB32DE1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2257B4"/>
    <w:pPr>
      <w:ind w:left="720"/>
      <w:contextualSpacing/>
    </w:pPr>
  </w:style>
  <w:style w:type="table" w:styleId="a7">
    <w:name w:val="Table Grid"/>
    <w:basedOn w:val="a4"/>
    <w:uiPriority w:val="39"/>
    <w:rsid w:val="00992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2"/>
    <w:link w:val="a9"/>
    <w:uiPriority w:val="99"/>
    <w:semiHidden/>
    <w:unhideWhenUsed/>
    <w:rsid w:val="009923D7"/>
    <w:pPr>
      <w:spacing w:after="0" w:line="240" w:lineRule="auto"/>
    </w:pPr>
    <w:rPr>
      <w:rFonts w:ascii="Segoe UI" w:hAnsi="Segoe UI" w:cs="Segoe UI"/>
      <w:sz w:val="18"/>
      <w:szCs w:val="18"/>
    </w:rPr>
  </w:style>
  <w:style w:type="character" w:customStyle="1" w:styleId="a9">
    <w:name w:val="Текст выноски Знак"/>
    <w:basedOn w:val="a3"/>
    <w:link w:val="a8"/>
    <w:uiPriority w:val="99"/>
    <w:semiHidden/>
    <w:rsid w:val="009923D7"/>
    <w:rPr>
      <w:rFonts w:ascii="Segoe UI" w:hAnsi="Segoe UI" w:cs="Segoe UI"/>
      <w:sz w:val="18"/>
      <w:szCs w:val="18"/>
    </w:rPr>
  </w:style>
  <w:style w:type="character" w:styleId="aa">
    <w:name w:val="annotation reference"/>
    <w:basedOn w:val="a3"/>
    <w:uiPriority w:val="99"/>
    <w:semiHidden/>
    <w:unhideWhenUsed/>
    <w:rsid w:val="008D0742"/>
    <w:rPr>
      <w:sz w:val="16"/>
      <w:szCs w:val="16"/>
    </w:rPr>
  </w:style>
  <w:style w:type="paragraph" w:styleId="ab">
    <w:name w:val="annotation text"/>
    <w:basedOn w:val="a2"/>
    <w:link w:val="ac"/>
    <w:uiPriority w:val="99"/>
    <w:semiHidden/>
    <w:unhideWhenUsed/>
    <w:rsid w:val="008D0742"/>
    <w:pPr>
      <w:spacing w:line="240" w:lineRule="auto"/>
    </w:pPr>
    <w:rPr>
      <w:sz w:val="20"/>
      <w:szCs w:val="20"/>
    </w:rPr>
  </w:style>
  <w:style w:type="character" w:customStyle="1" w:styleId="ac">
    <w:name w:val="Текст примечания Знак"/>
    <w:basedOn w:val="a3"/>
    <w:link w:val="ab"/>
    <w:uiPriority w:val="99"/>
    <w:semiHidden/>
    <w:rsid w:val="008D0742"/>
    <w:rPr>
      <w:sz w:val="20"/>
      <w:szCs w:val="20"/>
    </w:rPr>
  </w:style>
  <w:style w:type="paragraph" w:styleId="ad">
    <w:name w:val="annotation subject"/>
    <w:basedOn w:val="ab"/>
    <w:next w:val="ab"/>
    <w:link w:val="ae"/>
    <w:uiPriority w:val="99"/>
    <w:semiHidden/>
    <w:unhideWhenUsed/>
    <w:rsid w:val="008D0742"/>
    <w:rPr>
      <w:b/>
      <w:bCs/>
    </w:rPr>
  </w:style>
  <w:style w:type="character" w:customStyle="1" w:styleId="ae">
    <w:name w:val="Тема примечания Знак"/>
    <w:basedOn w:val="ac"/>
    <w:link w:val="ad"/>
    <w:uiPriority w:val="99"/>
    <w:semiHidden/>
    <w:rsid w:val="008D0742"/>
    <w:rPr>
      <w:b/>
      <w:bCs/>
      <w:sz w:val="20"/>
      <w:szCs w:val="20"/>
    </w:rPr>
  </w:style>
  <w:style w:type="paragraph" w:customStyle="1" w:styleId="Point">
    <w:name w:val="Point"/>
    <w:qFormat/>
    <w:rsid w:val="005C7260"/>
    <w:pPr>
      <w:numPr>
        <w:ilvl w:val="3"/>
        <w:numId w:val="8"/>
      </w:numPr>
      <w:tabs>
        <w:tab w:val="clear" w:pos="2917"/>
        <w:tab w:val="num" w:pos="4901"/>
      </w:tabs>
      <w:spacing w:before="240" w:after="0" w:line="240" w:lineRule="auto"/>
      <w:ind w:left="4901"/>
      <w:jc w:val="both"/>
    </w:pPr>
    <w:rPr>
      <w:rFonts w:ascii="Arial" w:eastAsia="Times New Roman" w:hAnsi="Arial" w:cs="Arial"/>
      <w:sz w:val="20"/>
      <w:szCs w:val="20"/>
    </w:rPr>
  </w:style>
  <w:style w:type="paragraph" w:customStyle="1" w:styleId="Point2">
    <w:name w:val="Point 2"/>
    <w:basedOn w:val="a2"/>
    <w:qFormat/>
    <w:rsid w:val="005C7260"/>
    <w:pPr>
      <w:numPr>
        <w:ilvl w:val="4"/>
        <w:numId w:val="8"/>
      </w:numPr>
      <w:spacing w:before="120" w:after="0" w:line="240" w:lineRule="auto"/>
      <w:jc w:val="both"/>
    </w:pPr>
    <w:rPr>
      <w:rFonts w:ascii="Arial" w:eastAsia="Times New Roman" w:hAnsi="Arial" w:cs="Arial"/>
      <w:sz w:val="20"/>
      <w:szCs w:val="20"/>
      <w:lang w:eastAsia="ru-RU"/>
    </w:rPr>
  </w:style>
  <w:style w:type="paragraph" w:styleId="2">
    <w:name w:val="Body Text Indent 2"/>
    <w:basedOn w:val="a2"/>
    <w:link w:val="20"/>
    <w:rsid w:val="005C7260"/>
    <w:pPr>
      <w:numPr>
        <w:numId w:val="8"/>
      </w:numPr>
      <w:spacing w:after="0" w:line="240" w:lineRule="auto"/>
      <w:jc w:val="both"/>
    </w:pPr>
    <w:rPr>
      <w:rFonts w:ascii="Arial" w:eastAsia="Times New Roman" w:hAnsi="Arial" w:cs="Times New Roman"/>
      <w:sz w:val="20"/>
      <w:szCs w:val="20"/>
      <w:lang w:eastAsia="ru-RU"/>
    </w:rPr>
  </w:style>
  <w:style w:type="character" w:customStyle="1" w:styleId="20">
    <w:name w:val="Основной текст с отступом 2 Знак"/>
    <w:basedOn w:val="a3"/>
    <w:link w:val="2"/>
    <w:rsid w:val="005C7260"/>
    <w:rPr>
      <w:rFonts w:ascii="Arial" w:eastAsia="Times New Roman" w:hAnsi="Arial" w:cs="Times New Roman"/>
      <w:sz w:val="20"/>
      <w:szCs w:val="20"/>
      <w:lang w:eastAsia="ru-RU"/>
    </w:rPr>
  </w:style>
  <w:style w:type="paragraph" w:styleId="a">
    <w:name w:val="Body Text Indent"/>
    <w:basedOn w:val="a2"/>
    <w:link w:val="af"/>
    <w:uiPriority w:val="99"/>
    <w:rsid w:val="005C7260"/>
    <w:pPr>
      <w:numPr>
        <w:ilvl w:val="1"/>
        <w:numId w:val="8"/>
      </w:numPr>
      <w:autoSpaceDE w:val="0"/>
      <w:autoSpaceDN w:val="0"/>
      <w:spacing w:after="0" w:line="240" w:lineRule="auto"/>
      <w:jc w:val="center"/>
    </w:pPr>
    <w:rPr>
      <w:rFonts w:ascii="Arial" w:eastAsia="Times New Roman" w:hAnsi="Arial" w:cs="Times New Roman"/>
      <w:sz w:val="20"/>
      <w:szCs w:val="20"/>
      <w:lang w:eastAsia="ru-RU"/>
    </w:rPr>
  </w:style>
  <w:style w:type="character" w:customStyle="1" w:styleId="af">
    <w:name w:val="Основной текст с отступом Знак"/>
    <w:basedOn w:val="a3"/>
    <w:link w:val="a"/>
    <w:uiPriority w:val="99"/>
    <w:rsid w:val="005C7260"/>
    <w:rPr>
      <w:rFonts w:ascii="Arial" w:eastAsia="Times New Roman" w:hAnsi="Arial" w:cs="Times New Roman"/>
      <w:sz w:val="20"/>
      <w:szCs w:val="20"/>
      <w:lang w:eastAsia="ru-RU"/>
    </w:rPr>
  </w:style>
  <w:style w:type="paragraph" w:styleId="a0">
    <w:name w:val="Block Text"/>
    <w:basedOn w:val="a2"/>
    <w:rsid w:val="005C7260"/>
    <w:pPr>
      <w:widowControl w:val="0"/>
      <w:numPr>
        <w:ilvl w:val="2"/>
        <w:numId w:val="8"/>
      </w:numPr>
      <w:tabs>
        <w:tab w:val="clear" w:pos="3349"/>
        <w:tab w:val="num" w:pos="2215"/>
        <w:tab w:val="left" w:pos="9180"/>
      </w:tabs>
      <w:spacing w:after="0" w:line="240" w:lineRule="auto"/>
      <w:ind w:left="1639" w:right="175"/>
      <w:jc w:val="both"/>
    </w:pPr>
    <w:rPr>
      <w:rFonts w:ascii="Arial" w:eastAsia="Times New Roman" w:hAnsi="Arial" w:cs="Arial"/>
      <w:color w:val="000000"/>
      <w:sz w:val="20"/>
      <w:szCs w:val="20"/>
      <w:lang w:eastAsia="ru-RU"/>
    </w:rPr>
  </w:style>
  <w:style w:type="paragraph" w:styleId="a1">
    <w:name w:val="Plain Text"/>
    <w:basedOn w:val="af0"/>
    <w:link w:val="af1"/>
    <w:rsid w:val="005C7260"/>
    <w:pPr>
      <w:numPr>
        <w:ilvl w:val="5"/>
        <w:numId w:val="8"/>
      </w:numPr>
      <w:spacing w:before="100" w:beforeAutospacing="1" w:after="100" w:afterAutospacing="1" w:line="240" w:lineRule="auto"/>
      <w:ind w:right="99"/>
      <w:jc w:val="both"/>
    </w:pPr>
    <w:rPr>
      <w:rFonts w:ascii="Arial CYR" w:eastAsia="Times New Roman" w:hAnsi="Arial CYR"/>
      <w:color w:val="000000"/>
      <w:sz w:val="20"/>
      <w:szCs w:val="20"/>
      <w:lang w:eastAsia="ru-RU"/>
    </w:rPr>
  </w:style>
  <w:style w:type="character" w:customStyle="1" w:styleId="af1">
    <w:name w:val="Текст Знак"/>
    <w:basedOn w:val="a3"/>
    <w:link w:val="a1"/>
    <w:rsid w:val="005C7260"/>
    <w:rPr>
      <w:rFonts w:ascii="Arial CYR" w:eastAsia="Times New Roman" w:hAnsi="Arial CYR" w:cs="Times New Roman"/>
      <w:color w:val="000000"/>
      <w:sz w:val="20"/>
      <w:szCs w:val="20"/>
      <w:lang w:eastAsia="ru-RU"/>
    </w:rPr>
  </w:style>
  <w:style w:type="paragraph" w:styleId="af0">
    <w:name w:val="Normal (Web)"/>
    <w:basedOn w:val="a2"/>
    <w:uiPriority w:val="99"/>
    <w:semiHidden/>
    <w:unhideWhenUsed/>
    <w:rsid w:val="005C726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Маркелов Сергей Викторович</dc:creator>
  <cp:keywords/>
  <dc:description/>
  <cp:lastModifiedBy>Гурик Юлия Игоревна</cp:lastModifiedBy>
  <cp:revision>5</cp:revision>
  <cp:lastPrinted>2022-09-16T10:06:00Z</cp:lastPrinted>
  <dcterms:created xsi:type="dcterms:W3CDTF">2022-09-16T11:07:00Z</dcterms:created>
  <dcterms:modified xsi:type="dcterms:W3CDTF">2022-09-16T11:08:00Z</dcterms:modified>
</cp:coreProperties>
</file>