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43" w:type="dxa"/>
        <w:jc w:val="center"/>
        <w:tblLook w:val="01E0" w:firstRow="1" w:lastRow="1" w:firstColumn="1" w:lastColumn="1" w:noHBand="0" w:noVBand="0"/>
      </w:tblPr>
      <w:tblGrid>
        <w:gridCol w:w="4820"/>
        <w:gridCol w:w="5223"/>
      </w:tblGrid>
      <w:tr w:rsidR="008528F5" w:rsidTr="008528F5">
        <w:trPr>
          <w:jc w:val="center"/>
        </w:trPr>
        <w:tc>
          <w:tcPr>
            <w:tcW w:w="4820" w:type="dxa"/>
          </w:tcPr>
          <w:p w:rsidR="008528F5" w:rsidRPr="00671817" w:rsidRDefault="008528F5" w:rsidP="003A4E12">
            <w:pPr>
              <w:widowControl w:val="0"/>
              <w:rPr>
                <w:rFonts w:ascii="Tahoma" w:hAnsi="Tahoma" w:cs="Tahoma"/>
                <w:b/>
                <w:sz w:val="22"/>
                <w:szCs w:val="22"/>
              </w:rPr>
            </w:pPr>
            <w:r>
              <w:rPr>
                <w:rFonts w:ascii="Tahoma" w:hAnsi="Tahoma"/>
                <w:b/>
                <w:sz w:val="22"/>
              </w:rPr>
              <w:t>APPROVED</w:t>
            </w:r>
          </w:p>
          <w:p w:rsidR="008528F5" w:rsidRDefault="008528F5" w:rsidP="003A4E12">
            <w:pPr>
              <w:widowControl w:val="0"/>
              <w:rPr>
                <w:rFonts w:ascii="Tahoma" w:hAnsi="Tahoma" w:cs="Tahoma"/>
                <w:sz w:val="22"/>
                <w:szCs w:val="22"/>
              </w:rPr>
            </w:pPr>
          </w:p>
          <w:p w:rsidR="008528F5" w:rsidRPr="00671817" w:rsidRDefault="008528F5" w:rsidP="003A4E12">
            <w:pPr>
              <w:widowControl w:val="0"/>
              <w:rPr>
                <w:rFonts w:ascii="Tahoma" w:hAnsi="Tahoma" w:cs="Tahoma"/>
                <w:sz w:val="22"/>
                <w:szCs w:val="22"/>
              </w:rPr>
            </w:pPr>
            <w:r>
              <w:rPr>
                <w:rFonts w:ascii="Tahoma" w:hAnsi="Tahoma"/>
                <w:sz w:val="22"/>
              </w:rPr>
              <w:t>By the Moscow Exchange Executive Board</w:t>
            </w:r>
          </w:p>
          <w:p w:rsidR="008528F5" w:rsidRPr="00671817" w:rsidRDefault="008528F5" w:rsidP="003A4E12">
            <w:pPr>
              <w:widowControl w:val="0"/>
              <w:rPr>
                <w:rFonts w:ascii="Tahoma" w:hAnsi="Tahoma" w:cs="Tahoma"/>
                <w:sz w:val="22"/>
                <w:szCs w:val="22"/>
              </w:rPr>
            </w:pPr>
            <w:r>
              <w:rPr>
                <w:rFonts w:ascii="Tahoma" w:hAnsi="Tahoma"/>
                <w:sz w:val="22"/>
              </w:rPr>
              <w:t>13 November 2025, Minutes No. 84</w:t>
            </w:r>
          </w:p>
          <w:p w:rsidR="008528F5" w:rsidRPr="00671817" w:rsidRDefault="008528F5" w:rsidP="003A4E12">
            <w:pPr>
              <w:widowControl w:val="0"/>
              <w:rPr>
                <w:rFonts w:ascii="Tahoma" w:hAnsi="Tahoma" w:cs="Tahoma"/>
                <w:sz w:val="22"/>
                <w:szCs w:val="22"/>
              </w:rPr>
            </w:pPr>
          </w:p>
          <w:p w:rsidR="008528F5" w:rsidRPr="00671817" w:rsidRDefault="008528F5" w:rsidP="003A4E12">
            <w:pPr>
              <w:pStyle w:val="Iauiue"/>
              <w:tabs>
                <w:tab w:val="left" w:pos="4253"/>
              </w:tabs>
              <w:spacing w:after="120"/>
              <w:rPr>
                <w:rFonts w:ascii="Tahoma" w:hAnsi="Tahoma" w:cs="Tahoma"/>
                <w:sz w:val="22"/>
                <w:szCs w:val="22"/>
                <w:lang w:val="ru-RU"/>
              </w:rPr>
            </w:pPr>
          </w:p>
        </w:tc>
        <w:tc>
          <w:tcPr>
            <w:tcW w:w="5223" w:type="dxa"/>
          </w:tcPr>
          <w:p w:rsidR="008528F5" w:rsidRPr="00671817" w:rsidRDefault="008528F5" w:rsidP="003A4E12">
            <w:pPr>
              <w:widowControl w:val="0"/>
              <w:ind w:left="708"/>
              <w:rPr>
                <w:rFonts w:ascii="Tahoma" w:hAnsi="Tahoma" w:cs="Tahoma"/>
                <w:b/>
                <w:sz w:val="22"/>
                <w:szCs w:val="22"/>
              </w:rPr>
            </w:pPr>
          </w:p>
        </w:tc>
      </w:tr>
    </w:tbl>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Default="008528F5" w:rsidP="008528F5">
      <w:pPr>
        <w:spacing w:after="120"/>
        <w:rPr>
          <w:rFonts w:ascii="Tahoma" w:hAnsi="Tahoma" w:cs="Tahoma"/>
          <w:sz w:val="22"/>
          <w:szCs w:val="22"/>
        </w:rPr>
      </w:pPr>
    </w:p>
    <w:p w:rsidR="008528F5" w:rsidRPr="00B61885" w:rsidRDefault="008528F5" w:rsidP="008528F5">
      <w:pPr>
        <w:spacing w:after="120"/>
        <w:rPr>
          <w:rFonts w:ascii="Tahoma" w:hAnsi="Tahoma" w:cs="Tahoma"/>
          <w:sz w:val="22"/>
          <w:szCs w:val="22"/>
        </w:rPr>
      </w:pPr>
    </w:p>
    <w:p w:rsidR="008528F5" w:rsidRDefault="008528F5" w:rsidP="008528F5">
      <w:pPr>
        <w:spacing w:after="120"/>
        <w:rPr>
          <w:rFonts w:ascii="Tahoma" w:hAnsi="Tahoma" w:cs="Tahoma"/>
          <w:sz w:val="22"/>
          <w:szCs w:val="22"/>
        </w:rPr>
      </w:pPr>
    </w:p>
    <w:p w:rsidR="008528F5" w:rsidRDefault="008528F5" w:rsidP="008528F5">
      <w:pPr>
        <w:spacing w:after="120"/>
        <w:rPr>
          <w:rFonts w:ascii="Tahoma" w:hAnsi="Tahoma" w:cs="Tahoma"/>
          <w:sz w:val="22"/>
          <w:szCs w:val="22"/>
        </w:rPr>
      </w:pPr>
    </w:p>
    <w:p w:rsidR="008528F5"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0B763D" w:rsidRDefault="008528F5" w:rsidP="008528F5">
      <w:pPr>
        <w:spacing w:after="120"/>
        <w:jc w:val="center"/>
        <w:rPr>
          <w:rFonts w:ascii="Tahoma" w:hAnsi="Tahoma" w:cs="Tahoma"/>
          <w:b/>
        </w:rPr>
      </w:pPr>
      <w:r>
        <w:rPr>
          <w:rFonts w:ascii="Tahoma" w:hAnsi="Tahoma"/>
          <w:b/>
        </w:rPr>
        <w:t>RUSFAR Indicator Calculation Methodology</w:t>
      </w: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Default="008528F5" w:rsidP="008528F5">
      <w:pPr>
        <w:spacing w:after="120"/>
        <w:rPr>
          <w:rFonts w:ascii="Tahoma" w:hAnsi="Tahoma" w:cs="Tahoma"/>
          <w:sz w:val="22"/>
          <w:szCs w:val="22"/>
        </w:rPr>
      </w:pPr>
    </w:p>
    <w:p w:rsidR="008528F5"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Pr="00671817" w:rsidRDefault="008528F5" w:rsidP="008528F5">
      <w:pPr>
        <w:spacing w:after="120"/>
        <w:rPr>
          <w:rFonts w:ascii="Tahoma" w:hAnsi="Tahoma" w:cs="Tahoma"/>
          <w:sz w:val="22"/>
          <w:szCs w:val="22"/>
        </w:rPr>
      </w:pPr>
    </w:p>
    <w:p w:rsidR="008528F5" w:rsidRDefault="008528F5" w:rsidP="008528F5">
      <w:pPr>
        <w:pStyle w:val="a3"/>
        <w:jc w:val="center"/>
        <w:rPr>
          <w:rFonts w:ascii="Tahoma" w:hAnsi="Tahoma"/>
          <w:sz w:val="22"/>
        </w:rPr>
      </w:pPr>
      <w:r>
        <w:rPr>
          <w:rFonts w:ascii="Tahoma" w:hAnsi="Tahoma"/>
          <w:sz w:val="22"/>
        </w:rPr>
        <w:t>MOSCOW EXCHANGE 2025</w:t>
      </w:r>
    </w:p>
    <w:p w:rsidR="008528F5" w:rsidRPr="008873C7" w:rsidRDefault="008528F5" w:rsidP="008528F5">
      <w:pPr>
        <w:pStyle w:val="a3"/>
        <w:jc w:val="center"/>
        <w:rPr>
          <w:rFonts w:ascii="Tahoma" w:hAnsi="Tahoma" w:cs="Tahoma"/>
          <w:b/>
          <w:sz w:val="22"/>
          <w:szCs w:val="22"/>
        </w:rPr>
      </w:pPr>
    </w:p>
    <w:p w:rsidR="008528F5" w:rsidRPr="008873C7" w:rsidRDefault="008528F5" w:rsidP="008528F5">
      <w:pPr>
        <w:pStyle w:val="1"/>
        <w:rPr>
          <w:rFonts w:ascii="Tahoma" w:hAnsi="Tahoma" w:cs="Tahoma"/>
          <w:sz w:val="22"/>
          <w:szCs w:val="22"/>
        </w:rPr>
      </w:pPr>
      <w:r>
        <w:rPr>
          <w:rFonts w:ascii="Tahoma" w:hAnsi="Tahoma"/>
          <w:sz w:val="22"/>
        </w:rPr>
        <w:lastRenderedPageBreak/>
        <w:t>CONTENTS</w:t>
      </w:r>
    </w:p>
    <w:p w:rsidR="008528F5" w:rsidRDefault="008528F5" w:rsidP="008528F5">
      <w:pPr>
        <w:pStyle w:val="1"/>
        <w:rPr>
          <w:rFonts w:asciiTheme="minorHAnsi" w:eastAsiaTheme="minorEastAsia" w:hAnsiTheme="minorHAnsi" w:cstheme="minorBidi"/>
          <w:b w:val="0"/>
          <w:bCs w:val="0"/>
          <w:caps w:val="0"/>
          <w:noProof/>
          <w:sz w:val="22"/>
          <w:szCs w:val="22"/>
          <w:lang w:val="ru-RU"/>
        </w:rPr>
      </w:pPr>
      <w:r w:rsidRPr="008873C7">
        <w:rPr>
          <w:rFonts w:ascii="Tahoma" w:hAnsi="Tahoma" w:cs="Tahoma"/>
          <w:b w:val="0"/>
          <w:sz w:val="20"/>
        </w:rPr>
        <w:fldChar w:fldCharType="begin"/>
      </w:r>
      <w:r w:rsidRPr="008873C7">
        <w:rPr>
          <w:rFonts w:ascii="Tahoma" w:hAnsi="Tahoma" w:cs="Tahoma"/>
          <w:b w:val="0"/>
          <w:sz w:val="20"/>
        </w:rPr>
        <w:instrText xml:space="preserve"> TOC \o "1-1" \h \z \u </w:instrText>
      </w:r>
      <w:r w:rsidRPr="008873C7">
        <w:rPr>
          <w:rFonts w:ascii="Tahoma" w:hAnsi="Tahoma" w:cs="Tahoma"/>
          <w:b w:val="0"/>
          <w:sz w:val="20"/>
        </w:rPr>
        <w:fldChar w:fldCharType="separate"/>
      </w:r>
      <w:hyperlink w:anchor="_Toc223358852" w:history="1">
        <w:r w:rsidRPr="002F6E5C">
          <w:rPr>
            <w:rStyle w:val="a5"/>
            <w:rFonts w:ascii="Tahoma" w:hAnsi="Tahoma"/>
            <w:noProof/>
          </w:rPr>
          <w:t>1. Overview</w:t>
        </w:r>
        <w:r>
          <w:rPr>
            <w:noProof/>
            <w:webHidden/>
          </w:rPr>
          <w:tab/>
        </w:r>
        <w:r>
          <w:rPr>
            <w:noProof/>
            <w:webHidden/>
          </w:rPr>
          <w:fldChar w:fldCharType="begin"/>
        </w:r>
        <w:r>
          <w:rPr>
            <w:noProof/>
            <w:webHidden/>
          </w:rPr>
          <w:instrText xml:space="preserve"> PAGEREF _Toc223358852 \h </w:instrText>
        </w:r>
        <w:r>
          <w:rPr>
            <w:noProof/>
            <w:webHidden/>
          </w:rPr>
        </w:r>
        <w:r>
          <w:rPr>
            <w:noProof/>
            <w:webHidden/>
          </w:rPr>
          <w:fldChar w:fldCharType="separate"/>
        </w:r>
        <w:r>
          <w:rPr>
            <w:noProof/>
            <w:webHidden/>
          </w:rPr>
          <w:t>3</w:t>
        </w:r>
        <w:r>
          <w:rPr>
            <w:noProof/>
            <w:webHidden/>
          </w:rPr>
          <w:fldChar w:fldCharType="end"/>
        </w:r>
      </w:hyperlink>
    </w:p>
    <w:p w:rsidR="008528F5" w:rsidRDefault="008528F5" w:rsidP="008528F5">
      <w:pPr>
        <w:pStyle w:val="1"/>
        <w:rPr>
          <w:rFonts w:asciiTheme="minorHAnsi" w:eastAsiaTheme="minorEastAsia" w:hAnsiTheme="minorHAnsi" w:cstheme="minorBidi"/>
          <w:b w:val="0"/>
          <w:bCs w:val="0"/>
          <w:caps w:val="0"/>
          <w:noProof/>
          <w:sz w:val="22"/>
          <w:szCs w:val="22"/>
          <w:lang w:val="ru-RU"/>
        </w:rPr>
      </w:pPr>
      <w:hyperlink w:anchor="_Toc223358853" w:history="1">
        <w:r w:rsidRPr="002F6E5C">
          <w:rPr>
            <w:rStyle w:val="a5"/>
            <w:rFonts w:ascii="Tahoma" w:hAnsi="Tahoma"/>
            <w:noProof/>
          </w:rPr>
          <w:t>2.</w:t>
        </w:r>
        <w:r>
          <w:rPr>
            <w:rFonts w:asciiTheme="minorHAnsi" w:eastAsiaTheme="minorEastAsia" w:hAnsiTheme="minorHAnsi" w:cstheme="minorBidi"/>
            <w:b w:val="0"/>
            <w:bCs w:val="0"/>
            <w:caps w:val="0"/>
            <w:noProof/>
            <w:sz w:val="22"/>
            <w:szCs w:val="22"/>
            <w:lang w:val="ru-RU"/>
          </w:rPr>
          <w:tab/>
        </w:r>
        <w:r w:rsidRPr="002F6E5C">
          <w:rPr>
            <w:rStyle w:val="a5"/>
            <w:rFonts w:ascii="Tahoma" w:hAnsi="Tahoma"/>
            <w:noProof/>
          </w:rPr>
          <w:t>Calculation Algorithm</w:t>
        </w:r>
        <w:r>
          <w:rPr>
            <w:noProof/>
            <w:webHidden/>
          </w:rPr>
          <w:tab/>
        </w:r>
        <w:r>
          <w:rPr>
            <w:noProof/>
            <w:webHidden/>
          </w:rPr>
          <w:fldChar w:fldCharType="begin"/>
        </w:r>
        <w:r>
          <w:rPr>
            <w:noProof/>
            <w:webHidden/>
          </w:rPr>
          <w:instrText xml:space="preserve"> PAGEREF _Toc223358853 \h </w:instrText>
        </w:r>
        <w:r>
          <w:rPr>
            <w:noProof/>
            <w:webHidden/>
          </w:rPr>
        </w:r>
        <w:r>
          <w:rPr>
            <w:noProof/>
            <w:webHidden/>
          </w:rPr>
          <w:fldChar w:fldCharType="separate"/>
        </w:r>
        <w:r>
          <w:rPr>
            <w:noProof/>
            <w:webHidden/>
          </w:rPr>
          <w:t>3</w:t>
        </w:r>
        <w:r>
          <w:rPr>
            <w:noProof/>
            <w:webHidden/>
          </w:rPr>
          <w:fldChar w:fldCharType="end"/>
        </w:r>
      </w:hyperlink>
    </w:p>
    <w:p w:rsidR="008528F5" w:rsidRDefault="008528F5" w:rsidP="008528F5">
      <w:pPr>
        <w:pStyle w:val="1"/>
        <w:rPr>
          <w:rFonts w:asciiTheme="minorHAnsi" w:eastAsiaTheme="minorEastAsia" w:hAnsiTheme="minorHAnsi" w:cstheme="minorBidi"/>
          <w:b w:val="0"/>
          <w:bCs w:val="0"/>
          <w:caps w:val="0"/>
          <w:noProof/>
          <w:sz w:val="22"/>
          <w:szCs w:val="22"/>
          <w:lang w:val="ru-RU"/>
        </w:rPr>
      </w:pPr>
      <w:hyperlink w:anchor="_Toc223358854" w:history="1">
        <w:r w:rsidRPr="002F6E5C">
          <w:rPr>
            <w:rStyle w:val="a5"/>
            <w:rFonts w:ascii="Tahoma" w:hAnsi="Tahoma"/>
            <w:noProof/>
          </w:rPr>
          <w:t>3.</w:t>
        </w:r>
        <w:r>
          <w:rPr>
            <w:rFonts w:asciiTheme="minorHAnsi" w:eastAsiaTheme="minorEastAsia" w:hAnsiTheme="minorHAnsi" w:cstheme="minorBidi"/>
            <w:b w:val="0"/>
            <w:bCs w:val="0"/>
            <w:caps w:val="0"/>
            <w:noProof/>
            <w:sz w:val="22"/>
            <w:szCs w:val="22"/>
            <w:lang w:val="ru-RU"/>
          </w:rPr>
          <w:tab/>
        </w:r>
        <w:r w:rsidRPr="002F6E5C">
          <w:rPr>
            <w:rStyle w:val="a5"/>
            <w:rFonts w:ascii="Tahoma" w:hAnsi="Tahoma"/>
            <w:noProof/>
          </w:rPr>
          <w:t>Calculation Schedule</w:t>
        </w:r>
        <w:r>
          <w:rPr>
            <w:noProof/>
            <w:webHidden/>
          </w:rPr>
          <w:tab/>
        </w:r>
        <w:r>
          <w:rPr>
            <w:noProof/>
            <w:webHidden/>
          </w:rPr>
          <w:fldChar w:fldCharType="begin"/>
        </w:r>
        <w:r>
          <w:rPr>
            <w:noProof/>
            <w:webHidden/>
          </w:rPr>
          <w:instrText xml:space="preserve"> PAGEREF _Toc223358854 \h </w:instrText>
        </w:r>
        <w:r>
          <w:rPr>
            <w:noProof/>
            <w:webHidden/>
          </w:rPr>
        </w:r>
        <w:r>
          <w:rPr>
            <w:noProof/>
            <w:webHidden/>
          </w:rPr>
          <w:fldChar w:fldCharType="separate"/>
        </w:r>
        <w:r>
          <w:rPr>
            <w:noProof/>
            <w:webHidden/>
          </w:rPr>
          <w:t>5</w:t>
        </w:r>
        <w:r>
          <w:rPr>
            <w:noProof/>
            <w:webHidden/>
          </w:rPr>
          <w:fldChar w:fldCharType="end"/>
        </w:r>
      </w:hyperlink>
    </w:p>
    <w:p w:rsidR="008528F5" w:rsidRDefault="008528F5" w:rsidP="008528F5">
      <w:pPr>
        <w:pStyle w:val="1"/>
        <w:rPr>
          <w:rFonts w:asciiTheme="minorHAnsi" w:eastAsiaTheme="minorEastAsia" w:hAnsiTheme="minorHAnsi" w:cstheme="minorBidi"/>
          <w:b w:val="0"/>
          <w:bCs w:val="0"/>
          <w:caps w:val="0"/>
          <w:noProof/>
          <w:sz w:val="22"/>
          <w:szCs w:val="22"/>
          <w:lang w:val="ru-RU"/>
        </w:rPr>
      </w:pPr>
      <w:hyperlink w:anchor="_Toc223358855" w:history="1">
        <w:r w:rsidRPr="002F6E5C">
          <w:rPr>
            <w:rStyle w:val="a5"/>
            <w:rFonts w:ascii="Tahoma" w:hAnsi="Tahoma"/>
            <w:noProof/>
          </w:rPr>
          <w:t>5.</w:t>
        </w:r>
        <w:r>
          <w:rPr>
            <w:rFonts w:asciiTheme="minorHAnsi" w:eastAsiaTheme="minorEastAsia" w:hAnsiTheme="minorHAnsi" w:cstheme="minorBidi"/>
            <w:b w:val="0"/>
            <w:bCs w:val="0"/>
            <w:caps w:val="0"/>
            <w:noProof/>
            <w:sz w:val="22"/>
            <w:szCs w:val="22"/>
            <w:lang w:val="ru-RU"/>
          </w:rPr>
          <w:tab/>
        </w:r>
        <w:r w:rsidRPr="002F6E5C">
          <w:rPr>
            <w:rStyle w:val="a5"/>
            <w:rFonts w:ascii="Tahoma" w:hAnsi="Tahoma"/>
            <w:noProof/>
          </w:rPr>
          <w:t>Continuity and Monitoring of Calculation</w:t>
        </w:r>
        <w:r>
          <w:rPr>
            <w:noProof/>
            <w:webHidden/>
          </w:rPr>
          <w:tab/>
        </w:r>
        <w:r>
          <w:rPr>
            <w:noProof/>
            <w:webHidden/>
          </w:rPr>
          <w:fldChar w:fldCharType="begin"/>
        </w:r>
        <w:r>
          <w:rPr>
            <w:noProof/>
            <w:webHidden/>
          </w:rPr>
          <w:instrText xml:space="preserve"> PAGEREF _Toc223358855 \h </w:instrText>
        </w:r>
        <w:r>
          <w:rPr>
            <w:noProof/>
            <w:webHidden/>
          </w:rPr>
        </w:r>
        <w:r>
          <w:rPr>
            <w:noProof/>
            <w:webHidden/>
          </w:rPr>
          <w:fldChar w:fldCharType="separate"/>
        </w:r>
        <w:r>
          <w:rPr>
            <w:noProof/>
            <w:webHidden/>
          </w:rPr>
          <w:t>7</w:t>
        </w:r>
        <w:r>
          <w:rPr>
            <w:noProof/>
            <w:webHidden/>
          </w:rPr>
          <w:fldChar w:fldCharType="end"/>
        </w:r>
      </w:hyperlink>
    </w:p>
    <w:p w:rsidR="008528F5" w:rsidRDefault="008528F5" w:rsidP="008528F5">
      <w:pPr>
        <w:pStyle w:val="1"/>
        <w:rPr>
          <w:rFonts w:asciiTheme="minorHAnsi" w:eastAsiaTheme="minorEastAsia" w:hAnsiTheme="minorHAnsi" w:cstheme="minorBidi"/>
          <w:b w:val="0"/>
          <w:bCs w:val="0"/>
          <w:caps w:val="0"/>
          <w:noProof/>
          <w:sz w:val="22"/>
          <w:szCs w:val="22"/>
          <w:lang w:val="ru-RU"/>
        </w:rPr>
      </w:pPr>
      <w:hyperlink w:anchor="_Toc223358856" w:history="1">
        <w:r w:rsidRPr="002F6E5C">
          <w:rPr>
            <w:rStyle w:val="a5"/>
            <w:rFonts w:ascii="Tahoma" w:hAnsi="Tahoma"/>
            <w:noProof/>
          </w:rPr>
          <w:t>6.</w:t>
        </w:r>
        <w:r>
          <w:rPr>
            <w:rFonts w:asciiTheme="minorHAnsi" w:eastAsiaTheme="minorEastAsia" w:hAnsiTheme="minorHAnsi" w:cstheme="minorBidi"/>
            <w:b w:val="0"/>
            <w:bCs w:val="0"/>
            <w:caps w:val="0"/>
            <w:noProof/>
            <w:sz w:val="22"/>
            <w:szCs w:val="22"/>
            <w:lang w:val="ru-RU"/>
          </w:rPr>
          <w:tab/>
        </w:r>
        <w:r w:rsidRPr="002F6E5C">
          <w:rPr>
            <w:rStyle w:val="a5"/>
            <w:rFonts w:ascii="Tahoma" w:hAnsi="Tahoma"/>
            <w:noProof/>
          </w:rPr>
          <w:t>Publication</w:t>
        </w:r>
        <w:r>
          <w:rPr>
            <w:noProof/>
            <w:webHidden/>
          </w:rPr>
          <w:tab/>
        </w:r>
        <w:r>
          <w:rPr>
            <w:noProof/>
            <w:webHidden/>
          </w:rPr>
          <w:fldChar w:fldCharType="begin"/>
        </w:r>
        <w:r>
          <w:rPr>
            <w:noProof/>
            <w:webHidden/>
          </w:rPr>
          <w:instrText xml:space="preserve"> PAGEREF _Toc223358856 \h </w:instrText>
        </w:r>
        <w:r>
          <w:rPr>
            <w:noProof/>
            <w:webHidden/>
          </w:rPr>
        </w:r>
        <w:r>
          <w:rPr>
            <w:noProof/>
            <w:webHidden/>
          </w:rPr>
          <w:fldChar w:fldCharType="separate"/>
        </w:r>
        <w:r>
          <w:rPr>
            <w:noProof/>
            <w:webHidden/>
          </w:rPr>
          <w:t>8</w:t>
        </w:r>
        <w:r>
          <w:rPr>
            <w:noProof/>
            <w:webHidden/>
          </w:rPr>
          <w:fldChar w:fldCharType="end"/>
        </w:r>
      </w:hyperlink>
    </w:p>
    <w:p w:rsidR="008528F5" w:rsidRPr="008873C7" w:rsidRDefault="008528F5" w:rsidP="008528F5">
      <w:pPr>
        <w:ind w:left="360"/>
        <w:outlineLvl w:val="0"/>
        <w:rPr>
          <w:rFonts w:ascii="Tahoma" w:hAnsi="Tahoma" w:cs="Tahoma"/>
          <w:b/>
          <w:sz w:val="20"/>
        </w:rPr>
      </w:pPr>
      <w:r w:rsidRPr="008873C7">
        <w:rPr>
          <w:rFonts w:ascii="Tahoma" w:hAnsi="Tahoma" w:cs="Tahoma"/>
          <w:b/>
          <w:sz w:val="20"/>
        </w:rPr>
        <w:fldChar w:fldCharType="end"/>
      </w:r>
      <w:bookmarkStart w:id="0" w:name="_Toc2697175"/>
      <w:bookmarkStart w:id="1" w:name="_Toc2697838"/>
      <w:bookmarkEnd w:id="0"/>
      <w:bookmarkEnd w:id="1"/>
    </w:p>
    <w:p w:rsidR="008528F5" w:rsidRPr="008873C7" w:rsidRDefault="008528F5" w:rsidP="008528F5">
      <w:pPr>
        <w:spacing w:after="120"/>
        <w:ind w:left="360"/>
        <w:outlineLvl w:val="0"/>
        <w:rPr>
          <w:rFonts w:ascii="Tahoma" w:hAnsi="Tahoma" w:cs="Tahoma"/>
          <w:b/>
          <w:sz w:val="20"/>
          <w:szCs w:val="20"/>
        </w:rPr>
      </w:pPr>
      <w:r>
        <w:br w:type="page"/>
      </w:r>
    </w:p>
    <w:p w:rsidR="008528F5" w:rsidRPr="008873C7" w:rsidRDefault="008528F5" w:rsidP="008528F5">
      <w:pPr>
        <w:spacing w:after="120"/>
        <w:ind w:left="360"/>
        <w:outlineLvl w:val="0"/>
        <w:rPr>
          <w:rFonts w:ascii="Tahoma" w:hAnsi="Tahoma" w:cs="Tahoma"/>
          <w:b/>
          <w:sz w:val="22"/>
          <w:szCs w:val="22"/>
        </w:rPr>
      </w:pPr>
      <w:bookmarkStart w:id="2" w:name="_Toc200098173"/>
      <w:bookmarkStart w:id="3" w:name="_Toc223358852"/>
      <w:r>
        <w:rPr>
          <w:rFonts w:ascii="Tahoma" w:hAnsi="Tahoma"/>
          <w:b/>
        </w:rPr>
        <w:t xml:space="preserve">1. </w:t>
      </w:r>
      <w:r>
        <w:rPr>
          <w:rFonts w:ascii="Tahoma" w:hAnsi="Tahoma"/>
          <w:b/>
          <w:sz w:val="22"/>
        </w:rPr>
        <w:t>Overview</w:t>
      </w:r>
      <w:bookmarkEnd w:id="2"/>
      <w:bookmarkEnd w:id="3"/>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This Methodology for Calculating the RUSFAR Indicator (the "Methodology") defines the procedure for calculating the Central Counterparty Repo Rate Indicator (the "Indicator”) by Public Joint-Stock Company Moscow Exchange MICEX-RTS (the "Exchange"), based on information on orders and transactions from the Central Counterparty Repo Market (the "CCP-cleared Repo").</w:t>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This Methodology, as well as all amendments and additions thereto, shall be approved by the Exchange and shall enter into force on the date determined by the Exchange, in accordance with requirements established by legislation regulating the activities of commodity and financial benchmark administrators.</w:t>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The Indicator may be used as a price benchmark for determining the value of secured funds, as well as for various investment and informational and analytical purposes, including as an underlying indicator for derivative instruments and ETFs.</w:t>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The Indicator shall have the following names:</w:t>
      </w:r>
    </w:p>
    <w:p w:rsidR="008528F5" w:rsidRPr="00F01274" w:rsidRDefault="008528F5" w:rsidP="008528F5">
      <w:pPr>
        <w:spacing w:after="120"/>
        <w:ind w:left="1224"/>
        <w:jc w:val="both"/>
        <w:rPr>
          <w:rFonts w:ascii="Tahoma" w:hAnsi="Tahoma" w:cs="Tahoma"/>
          <w:sz w:val="20"/>
          <w:szCs w:val="20"/>
          <w:lang w:val="ru-RU"/>
        </w:rPr>
      </w:pPr>
      <w:r>
        <w:rPr>
          <w:rFonts w:ascii="Tahoma" w:hAnsi="Tahoma"/>
          <w:sz w:val="20"/>
        </w:rPr>
        <w:t>Full</w:t>
      </w:r>
      <w:r w:rsidRPr="00F01274">
        <w:rPr>
          <w:rFonts w:ascii="Tahoma" w:hAnsi="Tahoma"/>
          <w:sz w:val="20"/>
          <w:lang w:val="ru-RU"/>
        </w:rPr>
        <w:t xml:space="preserve"> </w:t>
      </w:r>
      <w:r>
        <w:rPr>
          <w:rFonts w:ascii="Tahoma" w:hAnsi="Tahoma"/>
          <w:sz w:val="20"/>
        </w:rPr>
        <w:t>name</w:t>
      </w:r>
      <w:r w:rsidRPr="00F01274">
        <w:rPr>
          <w:rFonts w:ascii="Tahoma" w:hAnsi="Tahoma"/>
          <w:sz w:val="20"/>
          <w:lang w:val="ru-RU"/>
        </w:rPr>
        <w:t xml:space="preserve"> </w:t>
      </w:r>
      <w:r>
        <w:rPr>
          <w:rFonts w:ascii="Tahoma" w:hAnsi="Tahoma"/>
          <w:sz w:val="20"/>
        </w:rPr>
        <w:t>in</w:t>
      </w:r>
      <w:r w:rsidRPr="00F01274">
        <w:rPr>
          <w:rFonts w:ascii="Tahoma" w:hAnsi="Tahoma"/>
          <w:sz w:val="20"/>
          <w:lang w:val="ru-RU"/>
        </w:rPr>
        <w:t xml:space="preserve"> </w:t>
      </w:r>
      <w:r>
        <w:rPr>
          <w:rFonts w:ascii="Tahoma" w:hAnsi="Tahoma"/>
          <w:sz w:val="20"/>
        </w:rPr>
        <w:t>Russian</w:t>
      </w:r>
      <w:r w:rsidRPr="00F01274">
        <w:rPr>
          <w:rFonts w:ascii="Tahoma" w:hAnsi="Tahoma"/>
          <w:sz w:val="20"/>
          <w:lang w:val="ru-RU"/>
        </w:rPr>
        <w:t xml:space="preserve">: "Ставка денежного рынка Московской Биржи </w:t>
      </w:r>
      <w:r>
        <w:rPr>
          <w:rFonts w:ascii="Tahoma" w:hAnsi="Tahoma"/>
          <w:sz w:val="20"/>
        </w:rPr>
        <w:t>RUSFAR</w:t>
      </w:r>
      <w:r w:rsidRPr="00F01274">
        <w:rPr>
          <w:rFonts w:ascii="Tahoma" w:hAnsi="Tahoma"/>
          <w:sz w:val="20"/>
          <w:lang w:val="ru-RU"/>
        </w:rPr>
        <w:t>";</w:t>
      </w:r>
    </w:p>
    <w:p w:rsidR="008528F5" w:rsidRPr="008873C7" w:rsidRDefault="008528F5" w:rsidP="008528F5">
      <w:pPr>
        <w:spacing w:after="120"/>
        <w:ind w:left="1224"/>
        <w:jc w:val="both"/>
        <w:rPr>
          <w:rFonts w:ascii="Tahoma" w:hAnsi="Tahoma"/>
          <w:sz w:val="20"/>
        </w:rPr>
      </w:pPr>
      <w:r>
        <w:rPr>
          <w:rFonts w:ascii="Tahoma" w:hAnsi="Tahoma"/>
          <w:sz w:val="20"/>
        </w:rPr>
        <w:t>Full name in English: "Russian Secured Funding Average Rate";</w:t>
      </w:r>
    </w:p>
    <w:p w:rsidR="008528F5" w:rsidRPr="008873C7" w:rsidRDefault="008528F5" w:rsidP="008528F5">
      <w:pPr>
        <w:spacing w:after="120"/>
        <w:ind w:left="1224"/>
        <w:jc w:val="both"/>
        <w:rPr>
          <w:rFonts w:ascii="Tahoma" w:hAnsi="Tahoma"/>
          <w:sz w:val="20"/>
        </w:rPr>
      </w:pPr>
      <w:r>
        <w:rPr>
          <w:rFonts w:ascii="Tahoma" w:hAnsi="Tahoma"/>
          <w:sz w:val="20"/>
        </w:rPr>
        <w:t>Short name: "RUSFAR".</w:t>
      </w:r>
    </w:p>
    <w:p w:rsidR="008528F5" w:rsidRPr="008873C7" w:rsidRDefault="008528F5" w:rsidP="008528F5">
      <w:pPr>
        <w:numPr>
          <w:ilvl w:val="1"/>
          <w:numId w:val="1"/>
        </w:numPr>
        <w:spacing w:before="120" w:after="120"/>
        <w:ind w:left="970" w:hanging="431"/>
        <w:jc w:val="both"/>
        <w:rPr>
          <w:rFonts w:ascii="Tahoma" w:hAnsi="Tahoma" w:cs="Tahoma"/>
          <w:sz w:val="20"/>
          <w:szCs w:val="20"/>
        </w:rPr>
      </w:pPr>
      <w:r>
        <w:rPr>
          <w:rFonts w:ascii="Tahoma" w:hAnsi="Tahoma"/>
          <w:sz w:val="20"/>
        </w:rPr>
        <w:t xml:space="preserve">The word mark "RUSFAR" is a trademark of Moscow Exchange registered by the Federal Service for Intellectual Property in the State Register of Trademarks and Service Marks of the Russian Federation on 11 April 2019 (Trademark Certificate No. 707709). </w:t>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 xml:space="preserve">This Methodology, as amended from time to time, is subject to the recommendations of the Repo and Securities Lending Committee of the Exchange. </w:t>
      </w:r>
    </w:p>
    <w:p w:rsidR="008528F5" w:rsidRPr="008873C7" w:rsidRDefault="008528F5" w:rsidP="008528F5">
      <w:pPr>
        <w:pStyle w:val="a9"/>
        <w:numPr>
          <w:ilvl w:val="1"/>
          <w:numId w:val="1"/>
        </w:numPr>
        <w:rPr>
          <w:rFonts w:ascii="Tahoma" w:hAnsi="Tahoma" w:cs="Tahoma"/>
          <w:sz w:val="20"/>
          <w:szCs w:val="20"/>
        </w:rPr>
      </w:pPr>
      <w:r>
        <w:rPr>
          <w:rFonts w:ascii="Tahoma" w:hAnsi="Tahoma"/>
          <w:sz w:val="20"/>
        </w:rPr>
        <w:t xml:space="preserve">The Methodology as approved (with amendments and supplements thereto) shall be published on the </w:t>
      </w:r>
      <w:r>
        <w:rPr>
          <w:rFonts w:ascii="Tahoma" w:hAnsi="Tahoma"/>
          <w:sz w:val="20"/>
        </w:rPr>
        <w:t>official website</w:t>
      </w:r>
      <w:r>
        <w:rPr>
          <w:rFonts w:ascii="Tahoma" w:hAnsi="Tahoma"/>
          <w:sz w:val="20"/>
        </w:rPr>
        <w:t xml:space="preserve"> of Moscow Exchange not later than three working days prior to its effective date, unless the Exchange resolves otherwise (in accordance with applicable legislation).</w:t>
      </w:r>
    </w:p>
    <w:p w:rsidR="008528F5" w:rsidRPr="008873C7" w:rsidRDefault="008528F5" w:rsidP="008528F5">
      <w:pPr>
        <w:spacing w:after="120"/>
        <w:ind w:left="540"/>
        <w:jc w:val="both"/>
        <w:rPr>
          <w:rFonts w:ascii="Tahoma" w:hAnsi="Tahoma" w:cs="Tahoma"/>
          <w:sz w:val="20"/>
          <w:szCs w:val="20"/>
        </w:rPr>
      </w:pPr>
    </w:p>
    <w:p w:rsidR="008528F5" w:rsidRPr="008873C7" w:rsidRDefault="008528F5" w:rsidP="008528F5">
      <w:pPr>
        <w:numPr>
          <w:ilvl w:val="0"/>
          <w:numId w:val="1"/>
        </w:numPr>
        <w:spacing w:after="120"/>
        <w:outlineLvl w:val="0"/>
        <w:rPr>
          <w:rFonts w:ascii="Tahoma" w:hAnsi="Tahoma" w:cs="Tahoma"/>
          <w:b/>
          <w:sz w:val="22"/>
          <w:szCs w:val="22"/>
        </w:rPr>
      </w:pPr>
      <w:bookmarkStart w:id="4" w:name="_Toc184555174"/>
      <w:bookmarkStart w:id="5" w:name="_Toc184555176"/>
      <w:bookmarkStart w:id="6" w:name="_Toc184555177"/>
      <w:bookmarkStart w:id="7" w:name="_Toc184555178"/>
      <w:bookmarkStart w:id="8" w:name="_Toc184555179"/>
      <w:bookmarkStart w:id="9" w:name="_Toc184555180"/>
      <w:bookmarkStart w:id="10" w:name="_Toc184555181"/>
      <w:bookmarkStart w:id="11" w:name="_Toc184555182"/>
      <w:bookmarkStart w:id="12" w:name="_Toc184555183"/>
      <w:bookmarkStart w:id="13" w:name="_Toc184555184"/>
      <w:bookmarkStart w:id="14" w:name="_Toc184555185"/>
      <w:bookmarkStart w:id="15" w:name="_Toc184555186"/>
      <w:bookmarkStart w:id="16" w:name="_Toc184555187"/>
      <w:bookmarkStart w:id="17" w:name="_Toc2697791"/>
      <w:bookmarkStart w:id="18" w:name="_Toc2697841"/>
      <w:bookmarkStart w:id="19" w:name="_Toc22335885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ahoma" w:hAnsi="Tahoma"/>
          <w:b/>
          <w:sz w:val="22"/>
        </w:rPr>
        <w:t>Calculation Algorithm</w:t>
      </w:r>
      <w:bookmarkEnd w:id="19"/>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 xml:space="preserve">The Indicator values ​​are determined based on data from the CCP-cleared Repo Market operated in accordance with Bank of Russia Regulation No. 437-P dated 17 October 2014 "On Activities to Operate Organised Trading". </w:t>
      </w:r>
    </w:p>
    <w:p w:rsidR="008528F5" w:rsidRPr="004C7D13" w:rsidRDefault="008528F5" w:rsidP="008528F5">
      <w:pPr>
        <w:numPr>
          <w:ilvl w:val="1"/>
          <w:numId w:val="1"/>
        </w:numPr>
        <w:spacing w:after="120"/>
        <w:jc w:val="both"/>
        <w:rPr>
          <w:rFonts w:ascii="Tahoma" w:hAnsi="Tahoma" w:cs="Tahoma"/>
          <w:sz w:val="20"/>
          <w:szCs w:val="20"/>
        </w:rPr>
      </w:pPr>
      <w:r>
        <w:rPr>
          <w:rFonts w:ascii="Tahoma" w:hAnsi="Tahoma"/>
          <w:sz w:val="20"/>
        </w:rPr>
        <w:t>The calculation of the Indicator includes orders and transactions in GCC Bonds in the trading mode "CCP-cleared Repo - Order Book Orders" and orders in the trading mode "Deposits with the CCP - Order Book Orders". The settlement type, settlement code, and settlement currency for orders and transactions in GCC bonds in the trading mode "CCP-cleared Repo - Order Book Orders”, as well as for orders in the trading mode "Deposits with the CCP - Order Book Orders", are specified in Appendix 1 to this Methodology.</w:t>
      </w:r>
      <w:r>
        <w:rPr>
          <w:rFonts w:ascii="Tahoma" w:hAnsi="Tahoma"/>
          <w:sz w:val="20"/>
        </w:rPr>
        <w:br/>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From 10:00:00 Moscow time up to and including the Indicator calculation time, as defined in Appendix 1 to the Methodology (the "Calculation Time"), unless otherwise determined by the Exchange, based on data on Order Book Orders in GCC Bonds and Order Book Orders for deposit agreements (the "Orders"), the per-second repo rates (the "Rates") for the Indicator are calculated according to the following algorithm:</w:t>
      </w:r>
    </w:p>
    <w:p w:rsidR="008528F5" w:rsidRPr="008873C7" w:rsidRDefault="008528F5" w:rsidP="008528F5">
      <w:pPr>
        <w:numPr>
          <w:ilvl w:val="2"/>
          <w:numId w:val="1"/>
        </w:numPr>
        <w:spacing w:after="120"/>
        <w:jc w:val="both"/>
        <w:rPr>
          <w:rFonts w:ascii="Tahoma" w:hAnsi="Tahoma" w:cs="Tahoma"/>
          <w:sz w:val="20"/>
          <w:szCs w:val="20"/>
        </w:rPr>
      </w:pPr>
      <w:r>
        <w:rPr>
          <w:rFonts w:ascii="Tahoma" w:hAnsi="Tahoma"/>
          <w:sz w:val="20"/>
        </w:rPr>
        <w:t xml:space="preserve">Every second, ranges of Orders are determined that are price-matched separately for placing and raising cash (the "Price Levels"). All Orders with the same price are assigned to the same Price Level. </w:t>
      </w:r>
    </w:p>
    <w:p w:rsidR="008528F5" w:rsidRPr="008873C7" w:rsidRDefault="008528F5" w:rsidP="008528F5">
      <w:pPr>
        <w:numPr>
          <w:ilvl w:val="2"/>
          <w:numId w:val="1"/>
        </w:numPr>
        <w:spacing w:after="120"/>
        <w:jc w:val="both"/>
        <w:rPr>
          <w:rFonts w:ascii="Tahoma" w:hAnsi="Tahoma" w:cs="Tahoma"/>
          <w:sz w:val="20"/>
          <w:szCs w:val="20"/>
        </w:rPr>
      </w:pPr>
      <w:r>
        <w:rPr>
          <w:rFonts w:ascii="Tahoma" w:hAnsi="Tahoma"/>
          <w:sz w:val="20"/>
        </w:rPr>
        <w:t xml:space="preserve">For the Indicator, the values of the minimum and maximum volume of Price Level Orders are set out in Appendix 2 to the Methodology. If the minimum volume of the Price Level is not met, the value is not </w:t>
      </w:r>
      <w:proofErr w:type="gramStart"/>
      <w:r>
        <w:rPr>
          <w:rFonts w:ascii="Tahoma" w:hAnsi="Tahoma"/>
          <w:sz w:val="20"/>
        </w:rPr>
        <w:t>taken into account</w:t>
      </w:r>
      <w:proofErr w:type="gramEnd"/>
      <w:r>
        <w:rPr>
          <w:rFonts w:ascii="Tahoma" w:hAnsi="Tahoma"/>
          <w:sz w:val="20"/>
        </w:rPr>
        <w:t xml:space="preserve"> in the calculation of the Rate for the Indicator. If the volume of an Order exceeds the value of the maximum volume of Price Level Orders, the value equal to the value of the maximum volume of the Price Level shall be </w:t>
      </w:r>
      <w:proofErr w:type="gramStart"/>
      <w:r>
        <w:rPr>
          <w:rFonts w:ascii="Tahoma" w:hAnsi="Tahoma"/>
          <w:sz w:val="20"/>
        </w:rPr>
        <w:t>taken into account</w:t>
      </w:r>
      <w:proofErr w:type="gramEnd"/>
      <w:r>
        <w:rPr>
          <w:rFonts w:ascii="Tahoma" w:hAnsi="Tahoma"/>
          <w:sz w:val="20"/>
        </w:rPr>
        <w:t xml:space="preserve">. </w:t>
      </w:r>
    </w:p>
    <w:p w:rsidR="008528F5" w:rsidRPr="008873C7" w:rsidRDefault="008528F5" w:rsidP="008528F5">
      <w:pPr>
        <w:spacing w:after="120"/>
        <w:ind w:left="1224"/>
        <w:jc w:val="both"/>
        <w:rPr>
          <w:rFonts w:ascii="Tahoma" w:hAnsi="Tahoma" w:cs="Tahoma"/>
          <w:sz w:val="20"/>
          <w:szCs w:val="20"/>
        </w:rPr>
      </w:pPr>
      <w:r>
        <w:rPr>
          <w:rFonts w:ascii="Tahoma" w:hAnsi="Tahoma"/>
          <w:sz w:val="20"/>
        </w:rPr>
        <w:t>Each Price Level for raising or placing funds is assigned a weighting factor k separately for orders to raise and place funds. For cash raising orders, the weighting factor is assigned in descending order of Price Levels, from highest to lowest, respectively: 1, 1/2, 1/4, … 1/2^m. For cash placement orders, the weighting factor is assigned in ascending order of Price Levels, from lowest to highest: 1, 1/2, 1/4, …, 1/2^m. Price Levels with Order volumes that do not satisfy the minimum volume requirement for that Price Level are excluded.</w:t>
      </w:r>
    </w:p>
    <w:p w:rsidR="008528F5" w:rsidRPr="008873C7" w:rsidRDefault="008528F5" w:rsidP="008528F5">
      <w:pPr>
        <w:numPr>
          <w:ilvl w:val="2"/>
          <w:numId w:val="1"/>
        </w:numPr>
        <w:spacing w:after="120"/>
        <w:jc w:val="both"/>
        <w:rPr>
          <w:rFonts w:ascii="Tahoma" w:hAnsi="Tahoma"/>
          <w:sz w:val="20"/>
        </w:rPr>
      </w:pPr>
      <w:r>
        <w:rPr>
          <w:rFonts w:ascii="Tahoma" w:hAnsi="Tahoma"/>
          <w:sz w:val="20"/>
        </w:rPr>
        <w:t xml:space="preserve">The average value of the price of the Asks (Rask) placed by the trading members at each calculation moment and meeting the requirements of Clause 2.2.2 of the Methodology is calculated: </w:t>
      </w:r>
    </w:p>
    <w:p w:rsidR="008528F5" w:rsidRPr="008873C7" w:rsidRDefault="008528F5" w:rsidP="008528F5">
      <w:pPr>
        <w:spacing w:after="120"/>
        <w:ind w:left="720"/>
        <w:jc w:val="center"/>
        <w:rPr>
          <w:sz w:val="20"/>
          <w:szCs w:val="20"/>
        </w:rPr>
      </w:pPr>
      <w:r>
        <w:rPr>
          <w:rFonts w:ascii="Tahoma" w:hAnsi="Tahoma"/>
          <w:sz w:val="20"/>
        </w:rPr>
        <w:object w:dxaOrig="2160" w:dyaOrig="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42.5pt" o:ole="" fillcolor="window">
            <v:imagedata r:id="rId5" o:title=""/>
          </v:shape>
          <o:OLEObject Type="Embed" ProgID="Equation.3" ShapeID="_x0000_i1025" DrawAspect="Content" ObjectID="_1833971827" r:id="rId6"/>
        </w:object>
      </w:r>
    </w:p>
    <w:p w:rsidR="008528F5" w:rsidRPr="008873C7" w:rsidRDefault="008528F5" w:rsidP="008528F5">
      <w:pPr>
        <w:ind w:left="1199"/>
        <w:jc w:val="both"/>
        <w:rPr>
          <w:rFonts w:cs="Tahoma"/>
          <w:sz w:val="20"/>
          <w:szCs w:val="20"/>
        </w:rPr>
      </w:pPr>
      <w:r>
        <w:rPr>
          <w:sz w:val="20"/>
        </w:rPr>
        <w:t>where:</w:t>
      </w:r>
    </w:p>
    <w:p w:rsidR="008528F5" w:rsidRPr="008873C7" w:rsidRDefault="008528F5" w:rsidP="008528F5">
      <w:pPr>
        <w:pStyle w:val="ab"/>
        <w:ind w:left="1199"/>
        <w:rPr>
          <w:rFonts w:cs="Tahoma"/>
        </w:rPr>
      </w:pPr>
      <w:proofErr w:type="spellStart"/>
      <w:r>
        <w:t>r</w:t>
      </w:r>
      <w:r>
        <w:rPr>
          <w:vertAlign w:val="subscript"/>
        </w:rPr>
        <w:t>i</w:t>
      </w:r>
      <w:proofErr w:type="spellEnd"/>
      <w:r>
        <w:t xml:space="preserve"> – the value of the </w:t>
      </w:r>
      <w:proofErr w:type="spellStart"/>
      <w:r>
        <w:t>i</w:t>
      </w:r>
      <w:r>
        <w:rPr>
          <w:vertAlign w:val="superscript"/>
        </w:rPr>
        <w:t>th</w:t>
      </w:r>
      <w:proofErr w:type="spellEnd"/>
      <w:r>
        <w:t xml:space="preserve"> Price Level, expressed as a percentage Annual;</w:t>
      </w:r>
    </w:p>
    <w:p w:rsidR="008528F5" w:rsidRPr="008873C7" w:rsidRDefault="008528F5" w:rsidP="008528F5">
      <w:pPr>
        <w:pStyle w:val="ab"/>
        <w:ind w:left="1199"/>
        <w:rPr>
          <w:rFonts w:cs="Tahoma"/>
        </w:rPr>
      </w:pPr>
      <w:r>
        <w:rPr>
          <w:vertAlign w:val="subscript"/>
        </w:rPr>
        <w:t>Vi</w:t>
      </w:r>
      <w:r>
        <w:t xml:space="preserve"> – total volume of the Orders constituting the </w:t>
      </w:r>
      <w:proofErr w:type="spellStart"/>
      <w:r>
        <w:t>i</w:t>
      </w:r>
      <w:r>
        <w:rPr>
          <w:vertAlign w:val="superscript"/>
        </w:rPr>
        <w:t>th</w:t>
      </w:r>
      <w:proofErr w:type="spellEnd"/>
      <w:r>
        <w:t xml:space="preserve"> Price Level;</w:t>
      </w:r>
    </w:p>
    <w:p w:rsidR="008528F5" w:rsidRPr="008873C7" w:rsidRDefault="008528F5" w:rsidP="008528F5">
      <w:pPr>
        <w:pStyle w:val="ab"/>
        <w:ind w:left="1199"/>
        <w:rPr>
          <w:rFonts w:cs="Tahoma"/>
        </w:rPr>
      </w:pPr>
      <w:proofErr w:type="spellStart"/>
      <w:r>
        <w:t>k</w:t>
      </w:r>
      <w:r>
        <w:rPr>
          <w:vertAlign w:val="subscript"/>
        </w:rPr>
        <w:t>i</w:t>
      </w:r>
      <w:proofErr w:type="spellEnd"/>
      <w:r>
        <w:rPr>
          <w:b/>
          <w:vertAlign w:val="subscript"/>
        </w:rPr>
        <w:t xml:space="preserve"> </w:t>
      </w:r>
      <w:r>
        <w:t>– the price coefficient.</w:t>
      </w:r>
    </w:p>
    <w:p w:rsidR="008528F5" w:rsidRPr="008873C7" w:rsidRDefault="008528F5" w:rsidP="008528F5">
      <w:pPr>
        <w:spacing w:after="120"/>
        <w:ind w:left="864"/>
        <w:jc w:val="both"/>
        <w:rPr>
          <w:rFonts w:ascii="Tahoma" w:hAnsi="Tahoma" w:cs="Tahoma"/>
          <w:sz w:val="20"/>
          <w:szCs w:val="20"/>
        </w:rPr>
      </w:pPr>
    </w:p>
    <w:p w:rsidR="008528F5" w:rsidRPr="008873C7" w:rsidRDefault="008528F5" w:rsidP="008528F5">
      <w:pPr>
        <w:numPr>
          <w:ilvl w:val="2"/>
          <w:numId w:val="1"/>
        </w:numPr>
        <w:spacing w:after="120"/>
        <w:jc w:val="both"/>
        <w:rPr>
          <w:rFonts w:ascii="Tahoma" w:hAnsi="Tahoma" w:cs="Tahoma"/>
          <w:sz w:val="20"/>
          <w:szCs w:val="20"/>
        </w:rPr>
      </w:pPr>
      <w:r>
        <w:rPr>
          <w:rFonts w:ascii="Tahoma" w:hAnsi="Tahoma"/>
          <w:sz w:val="20"/>
        </w:rPr>
        <w:t>The average value of the price of Bids (Rask) placed by the trading members at each calculation moment and meeting the requirements of Clause 2.2.2 of the Methodology is calculated:</w:t>
      </w:r>
    </w:p>
    <w:p w:rsidR="008528F5" w:rsidRPr="008873C7" w:rsidRDefault="008528F5" w:rsidP="008528F5">
      <w:pPr>
        <w:spacing w:after="120"/>
        <w:ind w:left="864" w:firstLine="129"/>
        <w:jc w:val="center"/>
        <w:rPr>
          <w:sz w:val="20"/>
          <w:szCs w:val="20"/>
        </w:rPr>
      </w:pPr>
      <w:r>
        <w:rPr>
          <w:rFonts w:ascii="Tahoma" w:hAnsi="Tahoma"/>
          <w:sz w:val="20"/>
        </w:rPr>
        <w:object w:dxaOrig="2292" w:dyaOrig="852">
          <v:shape id="_x0000_i1026" type="#_x0000_t75" style="width:114.5pt;height:42.5pt" o:ole="" fillcolor="window">
            <v:imagedata r:id="rId7" o:title=""/>
          </v:shape>
          <o:OLEObject Type="Embed" ProgID="Equation.3" ShapeID="_x0000_i1026" DrawAspect="Content" ObjectID="_1833971828" r:id="rId8"/>
        </w:object>
      </w:r>
    </w:p>
    <w:p w:rsidR="008528F5" w:rsidRPr="008873C7" w:rsidRDefault="008528F5" w:rsidP="008528F5">
      <w:pPr>
        <w:pStyle w:val="ab"/>
        <w:ind w:left="1199"/>
        <w:rPr>
          <w:rFonts w:cs="Tahoma"/>
        </w:rPr>
      </w:pPr>
      <w:r>
        <w:t>where:</w:t>
      </w:r>
    </w:p>
    <w:p w:rsidR="008528F5" w:rsidRPr="008873C7" w:rsidRDefault="008528F5" w:rsidP="008528F5">
      <w:pPr>
        <w:pStyle w:val="ab"/>
        <w:ind w:left="1199"/>
        <w:rPr>
          <w:rFonts w:cs="Tahoma"/>
        </w:rPr>
      </w:pPr>
      <w:proofErr w:type="spellStart"/>
      <w:r>
        <w:t>r</w:t>
      </w:r>
      <w:r>
        <w:rPr>
          <w:vertAlign w:val="subscript"/>
        </w:rPr>
        <w:t>j</w:t>
      </w:r>
      <w:proofErr w:type="spellEnd"/>
      <w:r>
        <w:t xml:space="preserve"> – the value of the </w:t>
      </w:r>
      <w:proofErr w:type="spellStart"/>
      <w:r>
        <w:t>j</w:t>
      </w:r>
      <w:r>
        <w:rPr>
          <w:vertAlign w:val="superscript"/>
        </w:rPr>
        <w:t>th</w:t>
      </w:r>
      <w:proofErr w:type="spellEnd"/>
      <w:r>
        <w:t xml:space="preserve"> Price Level, expressed in annual percentage terms;</w:t>
      </w:r>
    </w:p>
    <w:p w:rsidR="008528F5" w:rsidRPr="008873C7" w:rsidRDefault="008528F5" w:rsidP="008528F5">
      <w:pPr>
        <w:pStyle w:val="ab"/>
        <w:ind w:left="1199"/>
        <w:rPr>
          <w:rFonts w:cs="Tahoma"/>
        </w:rPr>
      </w:pPr>
      <w:r>
        <w:rPr>
          <w:vertAlign w:val="subscript"/>
        </w:rPr>
        <w:t>Vi</w:t>
      </w:r>
      <w:r>
        <w:t xml:space="preserve"> – the total volume of the Orders constituting the </w:t>
      </w:r>
      <w:proofErr w:type="spellStart"/>
      <w:r>
        <w:t>j</w:t>
      </w:r>
      <w:r>
        <w:rPr>
          <w:vertAlign w:val="superscript"/>
        </w:rPr>
        <w:t>th</w:t>
      </w:r>
      <w:proofErr w:type="spellEnd"/>
      <w:r>
        <w:t xml:space="preserve"> Price Level;</w:t>
      </w:r>
    </w:p>
    <w:p w:rsidR="008528F5" w:rsidRPr="008873C7" w:rsidRDefault="008528F5" w:rsidP="008528F5">
      <w:pPr>
        <w:pStyle w:val="ab"/>
        <w:ind w:left="1199"/>
        <w:rPr>
          <w:rFonts w:cs="Tahoma"/>
        </w:rPr>
      </w:pPr>
      <w:proofErr w:type="spellStart"/>
      <w:r>
        <w:t>k</w:t>
      </w:r>
      <w:r>
        <w:rPr>
          <w:vertAlign w:val="subscript"/>
        </w:rPr>
        <w:t>j</w:t>
      </w:r>
      <w:proofErr w:type="spellEnd"/>
      <w:r>
        <w:rPr>
          <w:b/>
          <w:vertAlign w:val="subscript"/>
        </w:rPr>
        <w:t xml:space="preserve"> </w:t>
      </w:r>
      <w:r>
        <w:t>– the price coefficient.</w:t>
      </w:r>
    </w:p>
    <w:p w:rsidR="008528F5" w:rsidRPr="008873C7" w:rsidRDefault="008528F5" w:rsidP="008528F5">
      <w:pPr>
        <w:spacing w:after="120"/>
        <w:ind w:left="612"/>
        <w:jc w:val="both"/>
        <w:rPr>
          <w:rFonts w:ascii="Tahoma" w:hAnsi="Tahoma" w:cs="Tahoma"/>
          <w:sz w:val="20"/>
          <w:szCs w:val="20"/>
        </w:rPr>
      </w:pPr>
    </w:p>
    <w:p w:rsidR="008528F5" w:rsidRPr="008873C7" w:rsidRDefault="008528F5" w:rsidP="008528F5">
      <w:pPr>
        <w:numPr>
          <w:ilvl w:val="2"/>
          <w:numId w:val="1"/>
        </w:numPr>
        <w:tabs>
          <w:tab w:val="num" w:pos="1920"/>
        </w:tabs>
        <w:spacing w:after="120"/>
        <w:rPr>
          <w:rFonts w:ascii="Tahoma" w:hAnsi="Tahoma" w:cs="Tahoma"/>
          <w:sz w:val="20"/>
          <w:szCs w:val="20"/>
        </w:rPr>
      </w:pPr>
      <w:r>
        <w:rPr>
          <w:rFonts w:ascii="Tahoma" w:hAnsi="Tahoma"/>
          <w:sz w:val="20"/>
        </w:rPr>
        <w:t>The average value of the prices of the Bids and Asks (</w:t>
      </w:r>
      <w:proofErr w:type="spellStart"/>
      <w:r>
        <w:rPr>
          <w:rFonts w:ascii="Tahoma" w:hAnsi="Tahoma"/>
          <w:sz w:val="20"/>
        </w:rPr>
        <w:t>Rmid</w:t>
      </w:r>
      <w:proofErr w:type="spellEnd"/>
      <w:r>
        <w:rPr>
          <w:rFonts w:ascii="Tahoma" w:hAnsi="Tahoma"/>
          <w:sz w:val="20"/>
        </w:rPr>
        <w:t>) is calculated:</w:t>
      </w:r>
    </w:p>
    <w:p w:rsidR="008528F5" w:rsidRPr="008873C7" w:rsidRDefault="008528F5" w:rsidP="008528F5">
      <w:pPr>
        <w:spacing w:after="120"/>
        <w:ind w:left="948"/>
        <w:jc w:val="center"/>
        <w:rPr>
          <w:rFonts w:ascii="Tahoma" w:hAnsi="Tahoma" w:cs="Tahoma"/>
          <w:position w:val="-46"/>
          <w:sz w:val="20"/>
          <w:szCs w:val="20"/>
        </w:rPr>
      </w:pPr>
      <w:r>
        <w:rPr>
          <w:rFonts w:ascii="Tahoma" w:hAnsi="Tahoma"/>
          <w:sz w:val="20"/>
        </w:rPr>
        <w:object w:dxaOrig="2160" w:dyaOrig="720">
          <v:shape id="_x0000_i1027" type="#_x0000_t75" style="width:108.5pt;height:36.5pt" o:ole="" fillcolor="window">
            <v:imagedata r:id="rId9" o:title=""/>
          </v:shape>
          <o:OLEObject Type="Embed" ProgID="Equation.3" ShapeID="_x0000_i1027" DrawAspect="Content" ObjectID="_1833971829" r:id="rId10"/>
        </w:object>
      </w:r>
    </w:p>
    <w:p w:rsidR="008528F5" w:rsidRPr="008873C7" w:rsidRDefault="008528F5" w:rsidP="008528F5">
      <w:pPr>
        <w:spacing w:after="120"/>
        <w:ind w:left="948"/>
        <w:jc w:val="both"/>
        <w:rPr>
          <w:rFonts w:ascii="Tahoma" w:hAnsi="Tahoma" w:cs="Tahoma"/>
          <w:sz w:val="20"/>
          <w:szCs w:val="20"/>
        </w:rPr>
      </w:pPr>
      <w:r>
        <w:rPr>
          <w:rFonts w:ascii="Tahoma" w:hAnsi="Tahoma"/>
          <w:sz w:val="20"/>
        </w:rPr>
        <w:t>If, at the time of calculation of the Rate, there are no available Binds and/or Asks, the Rate for this time period is not calculated.</w:t>
      </w:r>
    </w:p>
    <w:p w:rsidR="008528F5" w:rsidRPr="008873C7" w:rsidRDefault="008528F5" w:rsidP="008528F5">
      <w:pPr>
        <w:numPr>
          <w:ilvl w:val="2"/>
          <w:numId w:val="1"/>
        </w:numPr>
        <w:tabs>
          <w:tab w:val="num" w:pos="1800"/>
          <w:tab w:val="num" w:pos="1920"/>
        </w:tabs>
        <w:spacing w:after="120"/>
        <w:jc w:val="both"/>
        <w:rPr>
          <w:rFonts w:ascii="Tahoma" w:hAnsi="Tahoma" w:cs="Tahoma"/>
          <w:sz w:val="20"/>
          <w:szCs w:val="20"/>
        </w:rPr>
      </w:pPr>
      <w:r>
        <w:rPr>
          <w:rFonts w:ascii="Tahoma" w:hAnsi="Tahoma"/>
          <w:sz w:val="20"/>
        </w:rPr>
        <w:t>The average Rate across the Orders (</w:t>
      </w:r>
      <w:proofErr w:type="spellStart"/>
      <w:r>
        <w:rPr>
          <w:rFonts w:ascii="Tahoma" w:hAnsi="Tahoma"/>
          <w:sz w:val="20"/>
        </w:rPr>
        <w:t>Rorders</w:t>
      </w:r>
      <w:proofErr w:type="spellEnd"/>
      <w:r>
        <w:rPr>
          <w:rFonts w:ascii="Tahoma" w:hAnsi="Tahoma"/>
          <w:sz w:val="20"/>
        </w:rPr>
        <w:t>) is calculated on the basis of all Rates calculated in accordance with Clause 2.3.5 of the Methodology:</w:t>
      </w:r>
    </w:p>
    <w:p w:rsidR="008528F5" w:rsidRPr="008873C7" w:rsidRDefault="008528F5" w:rsidP="008528F5">
      <w:pPr>
        <w:pStyle w:val="aa"/>
        <w:spacing w:after="120"/>
        <w:jc w:val="center"/>
        <w:rPr>
          <w:sz w:val="20"/>
          <w:szCs w:val="20"/>
        </w:rPr>
      </w:pPr>
      <w:r>
        <w:rPr>
          <w:rFonts w:ascii="Tahoma" w:hAnsi="Tahoma"/>
          <w:sz w:val="20"/>
        </w:rPr>
        <w:object w:dxaOrig="2028" w:dyaOrig="1152">
          <v:shape id="_x0000_i1028" type="#_x0000_t75" style="width:101.5pt;height:57.5pt" o:ole="" fillcolor="window">
            <v:imagedata r:id="rId11" o:title=""/>
          </v:shape>
          <o:OLEObject Type="Embed" ProgID="Equation.3" ShapeID="_x0000_i1028" DrawAspect="Content" ObjectID="_1833971830" r:id="rId12"/>
        </w:object>
      </w:r>
    </w:p>
    <w:p w:rsidR="008528F5" w:rsidRPr="008873C7" w:rsidRDefault="008528F5" w:rsidP="008528F5">
      <w:pPr>
        <w:spacing w:after="120"/>
        <w:ind w:left="864"/>
        <w:jc w:val="both"/>
        <w:rPr>
          <w:rFonts w:ascii="Tahoma" w:hAnsi="Tahoma" w:cs="Tahoma"/>
          <w:sz w:val="20"/>
          <w:szCs w:val="20"/>
        </w:rPr>
      </w:pPr>
      <w:r>
        <w:rPr>
          <w:rFonts w:ascii="Tahoma" w:hAnsi="Tahoma"/>
          <w:sz w:val="20"/>
        </w:rPr>
        <w:t>where:</w:t>
      </w:r>
    </w:p>
    <w:p w:rsidR="008528F5" w:rsidRPr="008873C7" w:rsidRDefault="008528F5" w:rsidP="008528F5">
      <w:pPr>
        <w:spacing w:after="120"/>
        <w:ind w:left="864"/>
        <w:jc w:val="both"/>
        <w:rPr>
          <w:rFonts w:ascii="Tahoma" w:hAnsi="Tahoma" w:cs="Tahoma"/>
          <w:sz w:val="20"/>
          <w:szCs w:val="20"/>
        </w:rPr>
      </w:pPr>
      <w:r>
        <w:rPr>
          <w:rFonts w:ascii="Tahoma" w:hAnsi="Tahoma"/>
          <w:sz w:val="20"/>
        </w:rPr>
        <w:t xml:space="preserve">J </w:t>
      </w:r>
      <w:r>
        <w:rPr>
          <w:rFonts w:ascii="Tahoma" w:hAnsi="Tahoma"/>
          <w:sz w:val="20"/>
        </w:rPr>
        <w:t>– the</w:t>
      </w:r>
      <w:r>
        <w:rPr>
          <w:rFonts w:ascii="Tahoma" w:hAnsi="Tahoma"/>
          <w:sz w:val="20"/>
        </w:rPr>
        <w:t xml:space="preserve"> number of Rates in the calculation.</w:t>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The average Rate across transactions made based on Order Book Orders from 10:00 to the time of calculation (</w:t>
      </w:r>
      <w:proofErr w:type="spellStart"/>
      <w:r>
        <w:rPr>
          <w:rFonts w:ascii="Tahoma" w:hAnsi="Tahoma"/>
          <w:sz w:val="20"/>
        </w:rPr>
        <w:t>Rtrades</w:t>
      </w:r>
      <w:proofErr w:type="spellEnd"/>
      <w:r>
        <w:rPr>
          <w:rFonts w:ascii="Tahoma" w:hAnsi="Tahoma"/>
          <w:sz w:val="20"/>
        </w:rPr>
        <w:t>) is calculated according to the following formula:</w:t>
      </w:r>
    </w:p>
    <w:p w:rsidR="008528F5" w:rsidRPr="008873C7" w:rsidRDefault="008528F5" w:rsidP="008528F5">
      <w:pPr>
        <w:pStyle w:val="aa"/>
        <w:spacing w:after="120"/>
        <w:jc w:val="center"/>
        <w:rPr>
          <w:sz w:val="20"/>
          <w:szCs w:val="20"/>
        </w:rPr>
      </w:pPr>
      <w:r>
        <w:rPr>
          <w:rFonts w:ascii="Tahoma" w:hAnsi="Tahoma"/>
          <w:sz w:val="20"/>
        </w:rPr>
        <w:object w:dxaOrig="1728" w:dyaOrig="852">
          <v:shape id="_x0000_i1029" type="#_x0000_t75" style="width:86.5pt;height:42.5pt" o:ole="" fillcolor="window">
            <v:imagedata r:id="rId13" o:title=""/>
          </v:shape>
          <o:OLEObject Type="Embed" ProgID="Equation.3" ShapeID="_x0000_i1029" DrawAspect="Content" ObjectID="_1833971831" r:id="rId14"/>
        </w:object>
      </w:r>
    </w:p>
    <w:p w:rsidR="008528F5" w:rsidRPr="008873C7" w:rsidRDefault="008528F5" w:rsidP="008528F5">
      <w:pPr>
        <w:spacing w:after="120"/>
        <w:ind w:left="864"/>
        <w:jc w:val="both"/>
        <w:rPr>
          <w:rFonts w:ascii="Tahoma" w:hAnsi="Tahoma" w:cs="Tahoma"/>
          <w:sz w:val="20"/>
          <w:szCs w:val="20"/>
        </w:rPr>
      </w:pPr>
      <w:r>
        <w:rPr>
          <w:rFonts w:ascii="Tahoma" w:hAnsi="Tahoma"/>
          <w:sz w:val="20"/>
        </w:rPr>
        <w:t>where:</w:t>
      </w:r>
    </w:p>
    <w:p w:rsidR="008528F5" w:rsidRPr="008873C7" w:rsidRDefault="008528F5" w:rsidP="008528F5">
      <w:pPr>
        <w:spacing w:after="120"/>
        <w:ind w:left="864"/>
        <w:jc w:val="both"/>
        <w:rPr>
          <w:rFonts w:ascii="Tahoma" w:hAnsi="Tahoma" w:cs="Tahoma"/>
          <w:sz w:val="20"/>
          <w:szCs w:val="20"/>
        </w:rPr>
      </w:pPr>
      <w:r>
        <w:rPr>
          <w:rFonts w:ascii="Tahoma" w:hAnsi="Tahoma"/>
          <w:sz w:val="20"/>
        </w:rPr>
        <w:t>rt - value of the Rate in the transaction, expressed in annual percentage terms;</w:t>
      </w:r>
    </w:p>
    <w:p w:rsidR="008528F5" w:rsidRPr="008873C7" w:rsidRDefault="008528F5" w:rsidP="008528F5">
      <w:pPr>
        <w:spacing w:after="120"/>
        <w:ind w:left="864"/>
        <w:jc w:val="both"/>
        <w:rPr>
          <w:rFonts w:ascii="Tahoma" w:hAnsi="Tahoma" w:cs="Tahoma"/>
          <w:sz w:val="20"/>
          <w:szCs w:val="20"/>
        </w:rPr>
      </w:pPr>
      <w:proofErr w:type="spellStart"/>
      <w:r>
        <w:rPr>
          <w:rFonts w:ascii="Tahoma" w:hAnsi="Tahoma"/>
          <w:sz w:val="20"/>
        </w:rPr>
        <w:t>vt</w:t>
      </w:r>
      <w:proofErr w:type="spellEnd"/>
      <w:r>
        <w:rPr>
          <w:rFonts w:ascii="Tahoma" w:hAnsi="Tahoma"/>
          <w:sz w:val="20"/>
        </w:rPr>
        <w:t xml:space="preserve"> - volume of the transaction, expressed in the Indicator calculation currency.</w:t>
      </w:r>
    </w:p>
    <w:p w:rsidR="008528F5" w:rsidRPr="008873C7" w:rsidRDefault="008528F5" w:rsidP="008528F5">
      <w:pPr>
        <w:pStyle w:val="a9"/>
        <w:numPr>
          <w:ilvl w:val="1"/>
          <w:numId w:val="1"/>
        </w:numPr>
        <w:jc w:val="both"/>
        <w:rPr>
          <w:rFonts w:ascii="Tahoma" w:hAnsi="Tahoma" w:cs="Tahoma"/>
          <w:sz w:val="20"/>
          <w:szCs w:val="20"/>
        </w:rPr>
      </w:pPr>
      <w:bookmarkStart w:id="20" w:name="_Hlk35509151"/>
      <w:r>
        <w:rPr>
          <w:rFonts w:ascii="Tahoma" w:hAnsi="Tahoma"/>
          <w:sz w:val="20"/>
        </w:rPr>
        <w:t xml:space="preserve">A minimum required transaction volume is set for the Indicator. For the Indicator with the Russian </w:t>
      </w:r>
      <w:proofErr w:type="spellStart"/>
      <w:r>
        <w:rPr>
          <w:rFonts w:ascii="Tahoma" w:hAnsi="Tahoma"/>
          <w:sz w:val="20"/>
        </w:rPr>
        <w:t>ruble</w:t>
      </w:r>
      <w:proofErr w:type="spellEnd"/>
      <w:r>
        <w:rPr>
          <w:rFonts w:ascii="Tahoma" w:hAnsi="Tahoma"/>
          <w:sz w:val="20"/>
        </w:rPr>
        <w:t xml:space="preserve"> as the settlement currency, the minimum required transaction volume is set at 30 billion </w:t>
      </w:r>
      <w:proofErr w:type="spellStart"/>
      <w:r>
        <w:rPr>
          <w:rFonts w:ascii="Tahoma" w:hAnsi="Tahoma"/>
          <w:sz w:val="20"/>
        </w:rPr>
        <w:t>rubles</w:t>
      </w:r>
      <w:proofErr w:type="spellEnd"/>
      <w:r>
        <w:rPr>
          <w:rFonts w:ascii="Tahoma" w:hAnsi="Tahoma"/>
          <w:sz w:val="20"/>
        </w:rPr>
        <w:t>.</w:t>
      </w:r>
    </w:p>
    <w:bookmarkEnd w:id="20"/>
    <w:p w:rsidR="008528F5" w:rsidRPr="008873C7" w:rsidRDefault="008528F5" w:rsidP="008528F5">
      <w:pPr>
        <w:pStyle w:val="a9"/>
        <w:numPr>
          <w:ilvl w:val="1"/>
          <w:numId w:val="1"/>
        </w:numPr>
        <w:jc w:val="both"/>
        <w:rPr>
          <w:rFonts w:ascii="Tahoma" w:hAnsi="Tahoma" w:cs="Tahoma"/>
          <w:sz w:val="20"/>
          <w:szCs w:val="20"/>
        </w:rPr>
      </w:pPr>
      <w:r>
        <w:rPr>
          <w:rFonts w:ascii="Tahoma" w:hAnsi="Tahoma"/>
          <w:sz w:val="20"/>
        </w:rPr>
        <w:t>If the volume of transactions executed based on Order Book Orders from 10:00 Moscow time until the Calculation Time, exceeds the value of the minimum required volume of transactions for the Indicator, as set out in Clause 2.5 of the Methodology, the Indicator's value is determined using the following formula:</w:t>
      </w:r>
    </w:p>
    <w:p w:rsidR="008528F5" w:rsidRPr="008873C7" w:rsidRDefault="008528F5" w:rsidP="008528F5">
      <w:pPr>
        <w:pStyle w:val="a9"/>
        <w:ind w:left="972"/>
        <w:rPr>
          <w:rFonts w:ascii="Tahoma" w:hAnsi="Tahoma" w:cs="Tahoma"/>
          <w:sz w:val="20"/>
          <w:szCs w:val="20"/>
        </w:rPr>
      </w:pPr>
    </w:p>
    <w:p w:rsidR="008528F5" w:rsidRPr="008873C7" w:rsidRDefault="008528F5" w:rsidP="008528F5">
      <w:pPr>
        <w:spacing w:after="120"/>
        <w:ind w:left="864"/>
        <w:jc w:val="center"/>
        <w:rPr>
          <w:rFonts w:ascii="Tahoma" w:hAnsi="Tahoma" w:cs="Tahoma"/>
          <w:position w:val="-46"/>
          <w:sz w:val="20"/>
          <w:szCs w:val="20"/>
        </w:rPr>
      </w:pPr>
      <w:r>
        <w:rPr>
          <w:rFonts w:ascii="Tahoma" w:hAnsi="Tahoma"/>
          <w:sz w:val="20"/>
        </w:rPr>
        <w:object w:dxaOrig="1188" w:dyaOrig="444">
          <v:shape id="_x0000_i1030" type="#_x0000_t75" style="width:59.5pt;height:22.5pt" o:ole="" fillcolor="window">
            <v:imagedata r:id="rId15" o:title=""/>
          </v:shape>
          <o:OLEObject Type="Embed" ProgID="Equation.3" ShapeID="_x0000_i1030" DrawAspect="Content" ObjectID="_1833971832" r:id="rId16"/>
        </w:object>
      </w:r>
    </w:p>
    <w:p w:rsidR="008528F5" w:rsidRPr="008873C7" w:rsidRDefault="008528F5" w:rsidP="008528F5">
      <w:pPr>
        <w:spacing w:after="120"/>
        <w:ind w:left="864"/>
        <w:jc w:val="both"/>
        <w:rPr>
          <w:rFonts w:ascii="Tahoma" w:hAnsi="Tahoma" w:cs="Tahoma"/>
          <w:sz w:val="20"/>
          <w:szCs w:val="20"/>
        </w:rPr>
      </w:pPr>
      <w:r>
        <w:rPr>
          <w:rFonts w:ascii="Tahoma" w:hAnsi="Tahoma"/>
          <w:sz w:val="20"/>
        </w:rPr>
        <w:t>where:</w:t>
      </w:r>
    </w:p>
    <w:p w:rsidR="008528F5" w:rsidRPr="008873C7" w:rsidRDefault="008528F5" w:rsidP="008528F5">
      <w:pPr>
        <w:spacing w:after="120"/>
        <w:ind w:left="864"/>
        <w:jc w:val="both"/>
        <w:rPr>
          <w:rFonts w:ascii="Tahoma" w:hAnsi="Tahoma" w:cs="Tahoma"/>
          <w:sz w:val="20"/>
          <w:szCs w:val="20"/>
        </w:rPr>
      </w:pPr>
      <w:r>
        <w:rPr>
          <w:rFonts w:ascii="Tahoma" w:hAnsi="Tahoma"/>
          <w:sz w:val="20"/>
        </w:rPr>
        <w:t>R – the value of the Indicator;</w:t>
      </w:r>
    </w:p>
    <w:p w:rsidR="008528F5" w:rsidRPr="008873C7" w:rsidRDefault="008528F5" w:rsidP="008528F5">
      <w:pPr>
        <w:spacing w:after="120"/>
        <w:ind w:left="864"/>
        <w:jc w:val="both"/>
        <w:rPr>
          <w:rFonts w:ascii="Tahoma" w:hAnsi="Tahoma" w:cs="Tahoma"/>
          <w:sz w:val="20"/>
          <w:szCs w:val="20"/>
        </w:rPr>
      </w:pPr>
      <m:oMath>
        <m:r>
          <m:rPr>
            <m:sty m:val="p"/>
          </m:rPr>
          <w:rPr>
            <w:rFonts w:ascii="Cambria Math" w:hAnsi="Cambria Math" w:cs="Tahoma"/>
            <w:position w:val="-12"/>
            <w:sz w:val="20"/>
            <w:szCs w:val="20"/>
          </w:rPr>
          <w:object w:dxaOrig="708" w:dyaOrig="444">
            <v:shape id="_x0000_i1031" type="#_x0000_t75" style="width:35pt;height:22.5pt" o:ole="" fillcolor="window">
              <v:imagedata r:id="rId17" o:title=""/>
            </v:shape>
            <o:OLEObject Type="Embed" ProgID="Equation.3" ShapeID="_x0000_i1031" DrawAspect="Content" ObjectID="_1833971833" r:id="rId18"/>
          </w:object>
        </m:r>
      </m:oMath>
      <w:r>
        <w:rPr>
          <w:rFonts w:ascii="Tahoma" w:hAnsi="Tahoma"/>
          <w:sz w:val="20"/>
        </w:rPr>
        <w:t xml:space="preserve">– the average Rate across transactions which is determined according to Clause 3.2 above. </w:t>
      </w:r>
    </w:p>
    <w:p w:rsidR="008528F5" w:rsidRPr="008873C7" w:rsidRDefault="008528F5" w:rsidP="008528F5">
      <w:pPr>
        <w:pStyle w:val="a9"/>
        <w:numPr>
          <w:ilvl w:val="1"/>
          <w:numId w:val="1"/>
        </w:numPr>
        <w:jc w:val="both"/>
        <w:rPr>
          <w:rFonts w:ascii="Tahoma" w:hAnsi="Tahoma" w:cs="Tahoma"/>
          <w:sz w:val="20"/>
          <w:szCs w:val="20"/>
        </w:rPr>
      </w:pPr>
      <w:r>
        <w:rPr>
          <w:rFonts w:ascii="Tahoma" w:hAnsi="Tahoma"/>
          <w:sz w:val="20"/>
        </w:rPr>
        <w:t>If the volume of transactions executed based on Order Book Orders from 10:00 Moscow time until the Calculation Time, is less than the minimum required volume of transactions, as set out in Clause 2.5 of the Methodology, the Indicator's value is determined using the following formula:</w:t>
      </w:r>
    </w:p>
    <w:p w:rsidR="008528F5" w:rsidRPr="008873C7" w:rsidRDefault="008528F5" w:rsidP="008528F5">
      <w:pPr>
        <w:pStyle w:val="a9"/>
        <w:ind w:left="972"/>
        <w:rPr>
          <w:rFonts w:ascii="Tahoma" w:hAnsi="Tahoma" w:cs="Tahoma"/>
          <w:sz w:val="20"/>
          <w:szCs w:val="20"/>
        </w:rPr>
      </w:pPr>
    </w:p>
    <w:p w:rsidR="008528F5" w:rsidRPr="008873C7" w:rsidRDefault="008528F5" w:rsidP="008528F5">
      <w:pPr>
        <w:jc w:val="center"/>
        <w:rPr>
          <w:rFonts w:eastAsiaTheme="minorEastAsia"/>
        </w:rPr>
      </w:pPr>
      <m:oMathPara>
        <m:oMath>
          <m:r>
            <w:rPr>
              <w:rFonts w:ascii="Cambria Math" w:hAnsi="Cambria Math"/>
            </w:rPr>
            <m:t xml:space="preserve">R = </m:t>
          </m:r>
          <m:f>
            <m:fPr>
              <m:ctrlPr>
                <w:rPr>
                  <w:rFonts w:ascii="Cambria Math" w:hAnsi="Cambria Math"/>
                  <w:i/>
                  <w:sz w:val="22"/>
                  <w:szCs w:val="22"/>
                  <w:lang w:eastAsia="en-US"/>
                </w:rPr>
              </m:ctrlPr>
            </m:fPr>
            <m:num>
              <m:r>
                <w:rPr>
                  <w:rFonts w:ascii="Cambria Math" w:hAnsi="Cambria Math"/>
                </w:rPr>
                <m:t>Vol</m:t>
              </m:r>
            </m:num>
            <m:den>
              <m:r>
                <w:rPr>
                  <w:rFonts w:ascii="Cambria Math" w:hAnsi="Cambria Math"/>
                </w:rPr>
                <m:t>MinVol</m:t>
              </m:r>
            </m:den>
          </m:f>
          <m:r>
            <w:rPr>
              <w:rFonts w:ascii="Cambria Math" w:hAnsi="Cambria Math"/>
            </w:rPr>
            <m:t xml:space="preserve"> *</m:t>
          </m:r>
          <m:sSub>
            <m:sSubPr>
              <m:ctrlPr>
                <w:rPr>
                  <w:rFonts w:ascii="Cambria Math" w:hAnsi="Cambria Math"/>
                  <w:i/>
                  <w:sz w:val="22"/>
                  <w:szCs w:val="22"/>
                  <w:lang w:eastAsia="en-US"/>
                </w:rPr>
              </m:ctrlPr>
            </m:sSubPr>
            <m:e>
              <m:r>
                <w:rPr>
                  <w:rFonts w:ascii="Cambria Math" w:hAnsi="Cambria Math"/>
                </w:rPr>
                <m:t>R</m:t>
              </m:r>
            </m:e>
            <m:sub>
              <m:r>
                <w:rPr>
                  <w:rFonts w:ascii="Cambria Math" w:hAnsi="Cambria Math"/>
                </w:rPr>
                <m:t>trades</m:t>
              </m:r>
            </m:sub>
          </m:sSub>
          <m:r>
            <w:rPr>
              <w:rFonts w:ascii="Cambria Math" w:hAnsi="Cambria Math"/>
            </w:rPr>
            <m:t>+</m:t>
          </m:r>
          <m:d>
            <m:dPr>
              <m:ctrlPr>
                <w:rPr>
                  <w:rFonts w:ascii="Cambria Math" w:hAnsi="Cambria Math"/>
                  <w:i/>
                  <w:sz w:val="22"/>
                  <w:szCs w:val="22"/>
                  <w:lang w:eastAsia="en-US"/>
                </w:rPr>
              </m:ctrlPr>
            </m:dPr>
            <m:e>
              <m:r>
                <w:rPr>
                  <w:rFonts w:ascii="Cambria Math" w:hAnsi="Cambria Math"/>
                </w:rPr>
                <m:t>1-</m:t>
              </m:r>
              <m:f>
                <m:fPr>
                  <m:ctrlPr>
                    <w:rPr>
                      <w:rFonts w:ascii="Cambria Math" w:hAnsi="Cambria Math"/>
                      <w:i/>
                      <w:sz w:val="22"/>
                      <w:szCs w:val="22"/>
                      <w:lang w:eastAsia="en-US"/>
                    </w:rPr>
                  </m:ctrlPr>
                </m:fPr>
                <m:num>
                  <m:r>
                    <w:rPr>
                      <w:rFonts w:ascii="Cambria Math" w:hAnsi="Cambria Math"/>
                    </w:rPr>
                    <m:t>Vol</m:t>
                  </m:r>
                </m:num>
                <m:den>
                  <m:r>
                    <w:rPr>
                      <w:rFonts w:ascii="Cambria Math" w:hAnsi="Cambria Math"/>
                    </w:rPr>
                    <m:t>MinVol</m:t>
                  </m:r>
                </m:den>
              </m:f>
              <m:r>
                <w:rPr>
                  <w:rFonts w:ascii="Cambria Math" w:hAnsi="Cambria Math"/>
                </w:rPr>
                <m:t xml:space="preserve"> </m:t>
              </m:r>
            </m:e>
          </m:d>
          <m:r>
            <w:rPr>
              <w:rFonts w:ascii="Cambria Math" w:hAnsi="Cambria Math"/>
            </w:rPr>
            <m:t>*</m:t>
          </m:r>
          <m:sSub>
            <m:sSubPr>
              <m:ctrlPr>
                <w:rPr>
                  <w:rFonts w:ascii="Cambria Math" w:hAnsi="Cambria Math"/>
                  <w:i/>
                  <w:sz w:val="22"/>
                  <w:szCs w:val="22"/>
                  <w:lang w:eastAsia="en-US"/>
                </w:rPr>
              </m:ctrlPr>
            </m:sSubPr>
            <m:e>
              <m:r>
                <w:rPr>
                  <w:rFonts w:ascii="Cambria Math" w:hAnsi="Cambria Math"/>
                </w:rPr>
                <m:t>R</m:t>
              </m:r>
            </m:e>
            <m:sub>
              <m:r>
                <w:rPr>
                  <w:rFonts w:ascii="Cambria Math" w:hAnsi="Cambria Math"/>
                </w:rPr>
                <m:t>orders</m:t>
              </m:r>
            </m:sub>
          </m:sSub>
        </m:oMath>
      </m:oMathPara>
    </w:p>
    <w:p w:rsidR="008528F5" w:rsidRPr="008873C7" w:rsidRDefault="008528F5" w:rsidP="008528F5">
      <w:pPr>
        <w:spacing w:after="120"/>
        <w:ind w:left="864"/>
        <w:jc w:val="both"/>
        <w:rPr>
          <w:rFonts w:ascii="Tahoma" w:hAnsi="Tahoma" w:cs="Tahoma"/>
          <w:sz w:val="20"/>
          <w:szCs w:val="20"/>
        </w:rPr>
      </w:pPr>
    </w:p>
    <w:p w:rsidR="008528F5" w:rsidRPr="008873C7" w:rsidRDefault="008528F5" w:rsidP="008528F5">
      <w:pPr>
        <w:spacing w:after="120"/>
        <w:ind w:left="864"/>
        <w:jc w:val="both"/>
        <w:rPr>
          <w:rFonts w:ascii="Tahoma" w:hAnsi="Tahoma" w:cs="Tahoma"/>
          <w:sz w:val="20"/>
          <w:szCs w:val="20"/>
        </w:rPr>
      </w:pPr>
      <w:r>
        <w:rPr>
          <w:rFonts w:ascii="Tahoma" w:hAnsi="Tahoma"/>
          <w:sz w:val="20"/>
        </w:rPr>
        <w:t>where:</w:t>
      </w:r>
    </w:p>
    <w:p w:rsidR="008528F5" w:rsidRPr="008873C7" w:rsidRDefault="008528F5" w:rsidP="008528F5">
      <w:pPr>
        <w:spacing w:after="120"/>
        <w:ind w:left="864"/>
        <w:jc w:val="both"/>
        <w:rPr>
          <w:rFonts w:ascii="Tahoma" w:hAnsi="Tahoma" w:cs="Tahoma"/>
          <w:sz w:val="20"/>
          <w:szCs w:val="20"/>
        </w:rPr>
      </w:pPr>
      <w:r>
        <w:rPr>
          <w:rFonts w:ascii="Tahoma" w:hAnsi="Tahoma"/>
          <w:sz w:val="20"/>
        </w:rPr>
        <w:t>R – the value of the Indicator;</w:t>
      </w:r>
    </w:p>
    <w:p w:rsidR="008528F5" w:rsidRPr="008873C7" w:rsidRDefault="008528F5" w:rsidP="008528F5">
      <w:pPr>
        <w:spacing w:after="120"/>
        <w:ind w:left="864"/>
        <w:jc w:val="both"/>
        <w:rPr>
          <w:rFonts w:ascii="Tahoma" w:hAnsi="Tahoma" w:cs="Tahoma"/>
          <w:sz w:val="20"/>
          <w:szCs w:val="20"/>
        </w:rPr>
      </w:pPr>
      <m:oMath>
        <m:r>
          <m:rPr>
            <m:sty m:val="p"/>
          </m:rPr>
          <w:rPr>
            <w:rFonts w:ascii="Cambria Math" w:hAnsi="Cambria Math" w:cs="Tahoma"/>
            <w:position w:val="-12"/>
            <w:sz w:val="20"/>
            <w:szCs w:val="20"/>
          </w:rPr>
          <w:object w:dxaOrig="732" w:dyaOrig="444">
            <v:shape id="_x0000_i1032" type="#_x0000_t75" style="width:37pt;height:22.5pt" o:ole="" fillcolor="window">
              <v:imagedata r:id="rId19" o:title=""/>
            </v:shape>
            <o:OLEObject Type="Embed" ProgID="Equation.3" ShapeID="_x0000_i1032" DrawAspect="Content" ObjectID="_1833971834" r:id="rId20"/>
          </w:object>
        </m:r>
      </m:oMath>
      <w:r>
        <w:rPr>
          <w:rFonts w:ascii="Tahoma" w:hAnsi="Tahoma"/>
          <w:sz w:val="20"/>
        </w:rPr>
        <w:t xml:space="preserve">– the average Rate across transactions which is determined according to Clause 2.3.6 above; </w:t>
      </w:r>
    </w:p>
    <w:p w:rsidR="008528F5" w:rsidRPr="008873C7" w:rsidRDefault="008528F5" w:rsidP="008528F5">
      <w:pPr>
        <w:spacing w:after="120"/>
        <w:ind w:left="864"/>
        <w:jc w:val="both"/>
        <w:rPr>
          <w:rFonts w:ascii="Tahoma" w:hAnsi="Tahoma" w:cs="Tahoma"/>
          <w:sz w:val="20"/>
          <w:szCs w:val="20"/>
        </w:rPr>
      </w:pPr>
      <m:oMath>
        <m:r>
          <m:rPr>
            <m:sty m:val="p"/>
          </m:rPr>
          <w:rPr>
            <w:rFonts w:ascii="Cambria Math" w:hAnsi="Cambria Math" w:cs="Tahoma"/>
            <w:position w:val="-12"/>
            <w:sz w:val="20"/>
            <w:szCs w:val="20"/>
          </w:rPr>
          <w:object w:dxaOrig="708" w:dyaOrig="444">
            <v:shape id="_x0000_i1033" type="#_x0000_t75" style="width:35pt;height:22.5pt" o:ole="" fillcolor="window">
              <v:imagedata r:id="rId17" o:title=""/>
            </v:shape>
            <o:OLEObject Type="Embed" ProgID="Equation.3" ShapeID="_x0000_i1033" DrawAspect="Content" ObjectID="_1833971835" r:id="rId21"/>
          </w:object>
        </m:r>
      </m:oMath>
      <w:r>
        <w:rPr>
          <w:rFonts w:ascii="Tahoma" w:hAnsi="Tahoma"/>
          <w:sz w:val="20"/>
        </w:rPr>
        <w:t xml:space="preserve">– the average Rate across transactions which is determined according to Clause 2.4 above. </w:t>
      </w:r>
    </w:p>
    <w:p w:rsidR="008528F5" w:rsidRPr="008873C7" w:rsidRDefault="008528F5" w:rsidP="008528F5">
      <w:pPr>
        <w:spacing w:after="120"/>
        <w:ind w:left="864"/>
        <w:jc w:val="both"/>
        <w:rPr>
          <w:rFonts w:ascii="Tahoma" w:hAnsi="Tahoma" w:cs="Tahoma"/>
          <w:sz w:val="20"/>
          <w:szCs w:val="20"/>
        </w:rPr>
      </w:pPr>
      <w:r>
        <w:rPr>
          <w:rFonts w:ascii="Tahoma" w:hAnsi="Tahoma"/>
          <w:sz w:val="20"/>
        </w:rPr>
        <w:t xml:space="preserve">Vol – the volume of Order Book transactions from 10:00 </w:t>
      </w:r>
      <w:proofErr w:type="spellStart"/>
      <w:r>
        <w:rPr>
          <w:rFonts w:ascii="Tahoma" w:hAnsi="Tahoma"/>
          <w:sz w:val="20"/>
        </w:rPr>
        <w:t>Msocow</w:t>
      </w:r>
      <w:proofErr w:type="spellEnd"/>
      <w:r>
        <w:rPr>
          <w:rFonts w:ascii="Tahoma" w:hAnsi="Tahoma"/>
          <w:sz w:val="20"/>
        </w:rPr>
        <w:t xml:space="preserve"> Time until the Calculation Time;</w:t>
      </w:r>
    </w:p>
    <w:p w:rsidR="008528F5" w:rsidRPr="008873C7" w:rsidRDefault="008528F5" w:rsidP="008528F5">
      <w:pPr>
        <w:spacing w:after="120"/>
        <w:ind w:left="864"/>
        <w:jc w:val="both"/>
        <w:rPr>
          <w:rFonts w:ascii="Tahoma" w:hAnsi="Tahoma" w:cs="Tahoma"/>
          <w:sz w:val="20"/>
          <w:szCs w:val="20"/>
        </w:rPr>
      </w:pPr>
      <w:proofErr w:type="spellStart"/>
      <w:r>
        <w:rPr>
          <w:rFonts w:ascii="Tahoma" w:hAnsi="Tahoma"/>
          <w:sz w:val="20"/>
        </w:rPr>
        <w:t>MinVol</w:t>
      </w:r>
      <w:proofErr w:type="spellEnd"/>
      <w:r>
        <w:rPr>
          <w:rFonts w:ascii="Tahoma" w:hAnsi="Tahoma"/>
          <w:sz w:val="20"/>
        </w:rPr>
        <w:t xml:space="preserve"> – value of the minimum required volume of transactions set out in Clause 2.5 above.</w:t>
      </w:r>
      <w:r>
        <w:rPr>
          <w:rFonts w:ascii="Tahoma" w:hAnsi="Tahoma"/>
          <w:sz w:val="20"/>
        </w:rPr>
        <w:cr/>
      </w:r>
      <w:r>
        <w:rPr>
          <w:rFonts w:ascii="Tahoma" w:hAnsi="Tahoma"/>
          <w:sz w:val="20"/>
        </w:rPr>
        <w:br/>
      </w:r>
    </w:p>
    <w:p w:rsidR="008528F5" w:rsidRPr="008873C7" w:rsidRDefault="008528F5" w:rsidP="008528F5">
      <w:pPr>
        <w:numPr>
          <w:ilvl w:val="1"/>
          <w:numId w:val="1"/>
        </w:numPr>
        <w:tabs>
          <w:tab w:val="clear" w:pos="972"/>
          <w:tab w:val="num" w:pos="612"/>
        </w:tabs>
        <w:spacing w:after="120"/>
        <w:ind w:left="612"/>
        <w:jc w:val="both"/>
        <w:rPr>
          <w:rFonts w:ascii="Tahoma" w:hAnsi="Tahoma" w:cs="Tahoma"/>
          <w:sz w:val="20"/>
          <w:szCs w:val="20"/>
        </w:rPr>
      </w:pPr>
      <w:r>
        <w:rPr>
          <w:rFonts w:ascii="Tahoma" w:hAnsi="Tahoma"/>
          <w:sz w:val="20"/>
        </w:rPr>
        <w:t>Indicator values ​​are expressed as annual percentages. Indicator values ​​are calculated with an accuracy of two decimal places.</w:t>
      </w:r>
    </w:p>
    <w:p w:rsidR="008528F5" w:rsidRPr="008873C7" w:rsidRDefault="008528F5" w:rsidP="008528F5">
      <w:pPr>
        <w:pStyle w:val="aa"/>
        <w:ind w:left="360"/>
        <w:jc w:val="both"/>
      </w:pPr>
    </w:p>
    <w:p w:rsidR="008528F5" w:rsidRPr="008873C7" w:rsidRDefault="008528F5" w:rsidP="008528F5">
      <w:pPr>
        <w:spacing w:after="120"/>
        <w:rPr>
          <w:rFonts w:ascii="Tahoma" w:hAnsi="Tahoma" w:cs="Tahoma"/>
        </w:rPr>
      </w:pPr>
      <w:bookmarkStart w:id="21" w:name="_Toc403741514"/>
      <w:bookmarkStart w:id="22" w:name="_Toc403742084"/>
      <w:bookmarkStart w:id="23" w:name="_Toc403742357"/>
      <w:bookmarkStart w:id="24" w:name="_Toc403743417"/>
      <w:bookmarkEnd w:id="21"/>
      <w:bookmarkEnd w:id="22"/>
      <w:bookmarkEnd w:id="23"/>
      <w:bookmarkEnd w:id="24"/>
    </w:p>
    <w:p w:rsidR="008528F5" w:rsidRPr="008873C7" w:rsidRDefault="008528F5" w:rsidP="008528F5">
      <w:pPr>
        <w:keepNext/>
        <w:numPr>
          <w:ilvl w:val="0"/>
          <w:numId w:val="1"/>
        </w:numPr>
        <w:spacing w:after="120"/>
        <w:ind w:left="357" w:hanging="357"/>
        <w:outlineLvl w:val="0"/>
        <w:rPr>
          <w:rFonts w:ascii="Tahoma" w:hAnsi="Tahoma" w:cs="Tahoma"/>
          <w:b/>
          <w:sz w:val="22"/>
          <w:szCs w:val="22"/>
        </w:rPr>
      </w:pPr>
      <w:bookmarkStart w:id="25" w:name="_Toc2697181"/>
      <w:bookmarkStart w:id="26" w:name="_Toc2697348"/>
      <w:bookmarkStart w:id="27" w:name="_Toc2697794"/>
      <w:bookmarkStart w:id="28" w:name="_Toc2697844"/>
      <w:bookmarkStart w:id="29" w:name="_Toc2697182"/>
      <w:bookmarkStart w:id="30" w:name="_Toc2697349"/>
      <w:bookmarkStart w:id="31" w:name="_Toc2697795"/>
      <w:bookmarkStart w:id="32" w:name="_Toc2697845"/>
      <w:bookmarkStart w:id="33" w:name="_Toc2697184"/>
      <w:bookmarkStart w:id="34" w:name="_Toc2697351"/>
      <w:bookmarkStart w:id="35" w:name="_Toc2697797"/>
      <w:bookmarkStart w:id="36" w:name="_Toc2697847"/>
      <w:bookmarkStart w:id="37" w:name="_Toc2697186"/>
      <w:bookmarkStart w:id="38" w:name="_Toc2697353"/>
      <w:bookmarkStart w:id="39" w:name="_Toc2697799"/>
      <w:bookmarkStart w:id="40" w:name="_Toc2697849"/>
      <w:bookmarkStart w:id="41" w:name="_Toc2697192"/>
      <w:bookmarkStart w:id="42" w:name="_Toc2697359"/>
      <w:bookmarkStart w:id="43" w:name="_Toc2697805"/>
      <w:bookmarkStart w:id="44" w:name="_Toc2697855"/>
      <w:bookmarkStart w:id="45" w:name="_Toc2697193"/>
      <w:bookmarkStart w:id="46" w:name="_Toc2697360"/>
      <w:bookmarkStart w:id="47" w:name="_Toc2697806"/>
      <w:bookmarkStart w:id="48" w:name="_Toc2697856"/>
      <w:bookmarkStart w:id="49" w:name="_Toc2697194"/>
      <w:bookmarkStart w:id="50" w:name="_Toc2697361"/>
      <w:bookmarkStart w:id="51" w:name="_Toc2697807"/>
      <w:bookmarkStart w:id="52" w:name="_Toc2697857"/>
      <w:bookmarkStart w:id="53" w:name="_Toc2697195"/>
      <w:bookmarkStart w:id="54" w:name="_Toc2697362"/>
      <w:bookmarkStart w:id="55" w:name="_Toc2697808"/>
      <w:bookmarkStart w:id="56" w:name="_Toc2697858"/>
      <w:bookmarkStart w:id="57" w:name="п_4_7"/>
      <w:bookmarkStart w:id="58" w:name="_Ref181774352"/>
      <w:bookmarkStart w:id="59" w:name="_Toc22335885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Tahoma" w:hAnsi="Tahoma"/>
          <w:b/>
          <w:sz w:val="22"/>
        </w:rPr>
        <w:t>Calculation Schedule</w:t>
      </w:r>
      <w:bookmarkStart w:id="60" w:name="_Toc200098175"/>
      <w:bookmarkEnd w:id="59"/>
      <w:bookmarkEnd w:id="60"/>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 xml:space="preserve">The calculation </w:t>
      </w:r>
      <w:proofErr w:type="gramStart"/>
      <w:r>
        <w:rPr>
          <w:rFonts w:ascii="Tahoma" w:hAnsi="Tahoma"/>
          <w:sz w:val="20"/>
        </w:rPr>
        <w:t>start</w:t>
      </w:r>
      <w:proofErr w:type="gramEnd"/>
      <w:r>
        <w:rPr>
          <w:rFonts w:ascii="Tahoma" w:hAnsi="Tahoma"/>
          <w:sz w:val="20"/>
        </w:rPr>
        <w:t xml:space="preserve"> dates and the values ​​of the first Indicator calculation are provided in Appendix 1 to this Methodology.</w:t>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The Indicator values ​​are not calculated if the first or second leg of the repo transaction falls on a non-business day, a trading Saturday and/or Sunday, or the last trading day of the calendar year (the "Non-Calculation Days"). The provisions of Clause 5.6 of the Methodology do not apply to Non-Calculation Days.</w:t>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The Indicator calculation time is provided in Appendix 1 to this Methodology. The Indicator calculation time may be changed by the Exchange's decision.</w:t>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The Exchange reserves the right to change the start and/or end time of the Indicator calculation. Information on the decisions taken by the Exchange pursuant to this paragraph shall be made available to the trading members of the Exchange no later than one business day before the date of entry into force of the respective changes, unless the Exchange has set a different deadline for the publication of the information.</w:t>
      </w:r>
    </w:p>
    <w:p w:rsidR="008528F5" w:rsidRPr="008873C7" w:rsidRDefault="008528F5" w:rsidP="008528F5">
      <w:pPr>
        <w:spacing w:after="120"/>
        <w:ind w:left="540"/>
        <w:jc w:val="both"/>
        <w:rPr>
          <w:rFonts w:ascii="Tahoma" w:hAnsi="Tahoma" w:cs="Tahoma"/>
        </w:rPr>
      </w:pPr>
    </w:p>
    <w:p w:rsidR="008528F5" w:rsidRPr="008873C7" w:rsidRDefault="008528F5" w:rsidP="008528F5">
      <w:pPr>
        <w:pStyle w:val="a9"/>
        <w:numPr>
          <w:ilvl w:val="0"/>
          <w:numId w:val="1"/>
        </w:numPr>
        <w:rPr>
          <w:rFonts w:ascii="Tahoma" w:hAnsi="Tahoma" w:cs="Tahoma"/>
          <w:b/>
          <w:sz w:val="22"/>
          <w:szCs w:val="22"/>
        </w:rPr>
      </w:pPr>
      <w:bookmarkStart w:id="61" w:name="_Toc200098238"/>
      <w:r>
        <w:rPr>
          <w:rFonts w:ascii="Tahoma" w:hAnsi="Tahoma"/>
          <w:b/>
          <w:sz w:val="22"/>
        </w:rPr>
        <w:t>Indicator Value Revision Cases and Procedure</w:t>
      </w:r>
    </w:p>
    <w:p w:rsidR="008528F5" w:rsidRPr="008873C7" w:rsidRDefault="008528F5" w:rsidP="008528F5">
      <w:pPr>
        <w:spacing w:after="120"/>
        <w:ind w:left="360"/>
        <w:outlineLvl w:val="0"/>
        <w:rPr>
          <w:rFonts w:ascii="Tahoma" w:hAnsi="Tahoma" w:cs="Tahoma"/>
          <w:b/>
          <w:sz w:val="22"/>
          <w:szCs w:val="22"/>
        </w:rPr>
      </w:pPr>
    </w:p>
    <w:p w:rsidR="008528F5" w:rsidRPr="008873C7" w:rsidRDefault="008528F5" w:rsidP="008528F5">
      <w:pPr>
        <w:numPr>
          <w:ilvl w:val="1"/>
          <w:numId w:val="1"/>
        </w:numPr>
        <w:spacing w:after="120"/>
        <w:jc w:val="both"/>
        <w:rPr>
          <w:rFonts w:ascii="Tahoma" w:hAnsi="Tahoma" w:cs="Tahoma"/>
          <w:sz w:val="20"/>
          <w:szCs w:val="20"/>
        </w:rPr>
      </w:pPr>
      <w:bookmarkStart w:id="62" w:name="_Hlk207120708"/>
      <w:r>
        <w:rPr>
          <w:rFonts w:ascii="Tahoma" w:hAnsi="Tahoma"/>
          <w:sz w:val="20"/>
        </w:rPr>
        <w:t>The Exchange maintains robust procedures for detecting and correcting errors in the Indicator calculation and strives to minimise the impact of errors on Indicator users through active monitoring and internal error correction procedures, which include the following steps:</w:t>
      </w:r>
    </w:p>
    <w:p w:rsidR="008528F5" w:rsidRPr="008873C7" w:rsidRDefault="008528F5" w:rsidP="008528F5">
      <w:pPr>
        <w:spacing w:after="120"/>
        <w:ind w:left="972"/>
        <w:jc w:val="both"/>
        <w:rPr>
          <w:rFonts w:ascii="Tahoma" w:hAnsi="Tahoma" w:cs="Tahoma"/>
          <w:i/>
          <w:sz w:val="20"/>
          <w:szCs w:val="20"/>
        </w:rPr>
      </w:pPr>
      <w:r>
        <w:rPr>
          <w:rFonts w:ascii="Tahoma" w:hAnsi="Tahoma"/>
          <w:i/>
          <w:sz w:val="20"/>
        </w:rPr>
        <w:t>1) Error Identification</w:t>
      </w:r>
    </w:p>
    <w:p w:rsidR="008528F5" w:rsidRDefault="008528F5" w:rsidP="008528F5">
      <w:pPr>
        <w:spacing w:after="120"/>
        <w:ind w:left="972"/>
        <w:jc w:val="both"/>
        <w:rPr>
          <w:rFonts w:ascii="Tahoma" w:hAnsi="Tahoma" w:cs="Tahoma"/>
          <w:sz w:val="20"/>
          <w:szCs w:val="20"/>
        </w:rPr>
      </w:pPr>
      <w:r>
        <w:rPr>
          <w:rFonts w:ascii="Tahoma" w:hAnsi="Tahoma"/>
          <w:sz w:val="20"/>
        </w:rPr>
        <w:t>Indicator value deviations are automatically monitored, and in the event of significant deviations between the current and previous Indicator values ​</w:t>
      </w:r>
      <w:proofErr w:type="gramStart"/>
      <w:r>
        <w:rPr>
          <w:rFonts w:ascii="Tahoma" w:hAnsi="Tahoma"/>
          <w:sz w:val="20"/>
        </w:rPr>
        <w:t>​(</w:t>
      </w:r>
      <w:proofErr w:type="gramEnd"/>
      <w:r>
        <w:rPr>
          <w:rFonts w:ascii="Tahoma" w:hAnsi="Tahoma"/>
          <w:sz w:val="20"/>
        </w:rPr>
        <w:t xml:space="preserve">5% or more, including cases where the Indicator value is not calculated), the source data is examined for errors caused by (including, but not limited to): </w:t>
      </w:r>
    </w:p>
    <w:p w:rsidR="008528F5" w:rsidRDefault="008528F5" w:rsidP="008528F5">
      <w:pPr>
        <w:spacing w:after="120"/>
        <w:ind w:left="972"/>
        <w:jc w:val="both"/>
        <w:rPr>
          <w:rFonts w:ascii="Tahoma" w:hAnsi="Tahoma" w:cs="Tahoma"/>
          <w:sz w:val="20"/>
          <w:szCs w:val="20"/>
        </w:rPr>
      </w:pPr>
      <w:r>
        <w:rPr>
          <w:rFonts w:ascii="Tahoma" w:hAnsi="Tahoma"/>
          <w:sz w:val="20"/>
        </w:rPr>
        <w:t>- incorrect data on prices and/or volumes of transactions and/or orders specified in the source data;</w:t>
      </w:r>
    </w:p>
    <w:p w:rsidR="008528F5" w:rsidRDefault="008528F5" w:rsidP="008528F5">
      <w:pPr>
        <w:spacing w:after="120"/>
        <w:ind w:left="972"/>
        <w:jc w:val="both"/>
        <w:rPr>
          <w:rFonts w:ascii="Tahoma" w:hAnsi="Tahoma" w:cs="Tahoma"/>
          <w:sz w:val="20"/>
          <w:szCs w:val="20"/>
        </w:rPr>
      </w:pPr>
      <w:r>
        <w:rPr>
          <w:rFonts w:ascii="Tahoma" w:hAnsi="Tahoma"/>
          <w:sz w:val="20"/>
        </w:rPr>
        <w:t xml:space="preserve">- the procedure for transmitting information from the information source to the calculation facility. </w:t>
      </w:r>
    </w:p>
    <w:p w:rsidR="008528F5" w:rsidRPr="008873C7" w:rsidRDefault="008528F5" w:rsidP="008528F5">
      <w:pPr>
        <w:spacing w:after="120"/>
        <w:ind w:left="264" w:firstLine="708"/>
        <w:jc w:val="both"/>
        <w:rPr>
          <w:rFonts w:ascii="Tahoma" w:hAnsi="Tahoma" w:cs="Tahoma"/>
          <w:i/>
          <w:sz w:val="20"/>
          <w:szCs w:val="20"/>
        </w:rPr>
      </w:pPr>
      <w:r>
        <w:rPr>
          <w:rFonts w:ascii="Tahoma" w:hAnsi="Tahoma"/>
          <w:i/>
          <w:sz w:val="20"/>
        </w:rPr>
        <w:t>2)</w:t>
      </w:r>
      <w:r>
        <w:rPr>
          <w:rFonts w:ascii="Tahoma" w:hAnsi="Tahoma"/>
          <w:i/>
          <w:sz w:val="20"/>
        </w:rPr>
        <w:tab/>
        <w:t>Decision on Recalculation</w:t>
      </w:r>
    </w:p>
    <w:p w:rsidR="008528F5" w:rsidRPr="008873C7" w:rsidRDefault="008528F5" w:rsidP="008528F5">
      <w:pPr>
        <w:spacing w:after="120"/>
        <w:ind w:left="972"/>
        <w:jc w:val="both"/>
        <w:rPr>
          <w:rFonts w:ascii="Tahoma" w:hAnsi="Tahoma" w:cs="Tahoma"/>
          <w:sz w:val="20"/>
          <w:szCs w:val="20"/>
        </w:rPr>
      </w:pPr>
      <w:r>
        <w:rPr>
          <w:rFonts w:ascii="Tahoma" w:hAnsi="Tahoma"/>
          <w:sz w:val="20"/>
        </w:rPr>
        <w:t>If an error is not identified and corrected prior to the calculation and publication of the Indicator, or if source data is retrospectively revised, the Exchange assesses the impact of the identified error on the Indicator and then decides whether to recalculate the Indicator. If errors are identified before the publication of the Indicator values, the Exchange corrects the error and, if there is a delay in publishing the data, notifies users accordingly. If errors are identified after publication and the Exchange decides that recalculation is necessary (where applicable), the Exchange proceeds with error correction.</w:t>
      </w:r>
    </w:p>
    <w:p w:rsidR="008528F5" w:rsidRPr="008873C7" w:rsidRDefault="008528F5" w:rsidP="008528F5">
      <w:pPr>
        <w:spacing w:after="120"/>
        <w:ind w:left="972"/>
        <w:jc w:val="both"/>
        <w:rPr>
          <w:rFonts w:ascii="Tahoma" w:hAnsi="Tahoma" w:cs="Tahoma"/>
          <w:i/>
          <w:sz w:val="20"/>
          <w:szCs w:val="20"/>
        </w:rPr>
      </w:pPr>
      <w:r>
        <w:rPr>
          <w:rFonts w:ascii="Tahoma" w:hAnsi="Tahoma"/>
          <w:i/>
          <w:sz w:val="20"/>
        </w:rPr>
        <w:t>3)</w:t>
      </w:r>
      <w:r>
        <w:rPr>
          <w:rFonts w:ascii="Tahoma" w:hAnsi="Tahoma"/>
          <w:i/>
          <w:sz w:val="20"/>
        </w:rPr>
        <w:tab/>
        <w:t>Recalculation Process</w:t>
      </w:r>
    </w:p>
    <w:p w:rsidR="008528F5" w:rsidRPr="008873C7" w:rsidRDefault="008528F5" w:rsidP="008528F5">
      <w:pPr>
        <w:spacing w:after="120"/>
        <w:ind w:left="972"/>
        <w:jc w:val="both"/>
        <w:rPr>
          <w:rFonts w:ascii="Tahoma" w:hAnsi="Tahoma" w:cs="Tahoma"/>
          <w:sz w:val="20"/>
          <w:szCs w:val="20"/>
        </w:rPr>
      </w:pPr>
      <w:r>
        <w:rPr>
          <w:rFonts w:ascii="Tahoma" w:hAnsi="Tahoma"/>
          <w:sz w:val="20"/>
        </w:rPr>
        <w:t>The recalculation procedure may involve correcting erroneous Indicator values using accurate data or other necessary corrective measures.</w:t>
      </w:r>
    </w:p>
    <w:p w:rsidR="008528F5" w:rsidRPr="008873C7" w:rsidRDefault="008528F5" w:rsidP="008528F5">
      <w:pPr>
        <w:spacing w:after="120"/>
        <w:ind w:left="972"/>
        <w:jc w:val="both"/>
        <w:rPr>
          <w:rFonts w:ascii="Tahoma" w:hAnsi="Tahoma" w:cs="Tahoma"/>
          <w:i/>
          <w:sz w:val="20"/>
          <w:szCs w:val="20"/>
        </w:rPr>
      </w:pPr>
      <w:r>
        <w:rPr>
          <w:rFonts w:ascii="Tahoma" w:hAnsi="Tahoma"/>
          <w:i/>
          <w:sz w:val="20"/>
        </w:rPr>
        <w:t>4)</w:t>
      </w:r>
      <w:r>
        <w:rPr>
          <w:rFonts w:ascii="Tahoma" w:hAnsi="Tahoma"/>
          <w:i/>
          <w:sz w:val="20"/>
        </w:rPr>
        <w:tab/>
        <w:t>Documentation of Recalculation Decisions</w:t>
      </w:r>
    </w:p>
    <w:p w:rsidR="008528F5" w:rsidRPr="008873C7" w:rsidRDefault="008528F5" w:rsidP="008528F5">
      <w:pPr>
        <w:spacing w:after="120"/>
        <w:ind w:left="972"/>
        <w:jc w:val="both"/>
        <w:rPr>
          <w:rFonts w:ascii="Tahoma" w:hAnsi="Tahoma" w:cs="Tahoma"/>
          <w:sz w:val="20"/>
          <w:szCs w:val="20"/>
        </w:rPr>
      </w:pPr>
      <w:r>
        <w:rPr>
          <w:rFonts w:ascii="Tahoma" w:hAnsi="Tahoma"/>
          <w:sz w:val="20"/>
        </w:rPr>
        <w:t>Decisions regarding Indicator recalculation are made by the authorised body of the Exchange.</w:t>
      </w:r>
    </w:p>
    <w:p w:rsidR="008528F5" w:rsidRPr="008873C7" w:rsidRDefault="008528F5" w:rsidP="008528F5">
      <w:pPr>
        <w:spacing w:after="120"/>
        <w:ind w:left="972"/>
        <w:jc w:val="both"/>
        <w:rPr>
          <w:rFonts w:ascii="Tahoma" w:hAnsi="Tahoma" w:cs="Tahoma"/>
          <w:i/>
          <w:sz w:val="20"/>
          <w:szCs w:val="20"/>
        </w:rPr>
      </w:pPr>
      <w:r>
        <w:rPr>
          <w:rFonts w:ascii="Tahoma" w:hAnsi="Tahoma"/>
          <w:i/>
          <w:sz w:val="20"/>
        </w:rPr>
        <w:t>5)</w:t>
      </w:r>
      <w:r>
        <w:rPr>
          <w:rFonts w:ascii="Tahoma" w:hAnsi="Tahoma"/>
          <w:i/>
          <w:sz w:val="20"/>
        </w:rPr>
        <w:tab/>
        <w:t>Notification and Publication of Revised Indicator Values</w:t>
      </w:r>
    </w:p>
    <w:p w:rsidR="008528F5" w:rsidRPr="008873C7" w:rsidRDefault="008528F5" w:rsidP="008528F5">
      <w:pPr>
        <w:spacing w:after="120"/>
        <w:ind w:left="972"/>
        <w:jc w:val="both"/>
        <w:rPr>
          <w:rFonts w:ascii="Tahoma" w:hAnsi="Tahoma" w:cs="Tahoma"/>
          <w:sz w:val="20"/>
          <w:szCs w:val="20"/>
        </w:rPr>
      </w:pPr>
      <w:r>
        <w:rPr>
          <w:rFonts w:ascii="Tahoma" w:hAnsi="Tahoma"/>
          <w:sz w:val="20"/>
        </w:rPr>
        <w:t>The Exchange notifies users of any changes to Indicator values resulting from recalculation. Users are notified by publishing news on the Exchange's official website or by other means specified in the user agreement.</w:t>
      </w:r>
    </w:p>
    <w:p w:rsidR="008528F5" w:rsidRPr="008873C7" w:rsidRDefault="008528F5" w:rsidP="008528F5">
      <w:pPr>
        <w:spacing w:after="120"/>
        <w:ind w:left="972"/>
        <w:jc w:val="both"/>
        <w:rPr>
          <w:rFonts w:ascii="Tahoma" w:hAnsi="Tahoma" w:cs="Tahoma"/>
          <w:i/>
          <w:sz w:val="20"/>
          <w:szCs w:val="20"/>
        </w:rPr>
      </w:pPr>
      <w:r>
        <w:rPr>
          <w:rFonts w:ascii="Tahoma" w:hAnsi="Tahoma"/>
          <w:i/>
          <w:sz w:val="20"/>
        </w:rPr>
        <w:t>6)</w:t>
      </w:r>
      <w:r>
        <w:rPr>
          <w:rFonts w:ascii="Tahoma" w:hAnsi="Tahoma"/>
          <w:i/>
          <w:sz w:val="20"/>
        </w:rPr>
        <w:tab/>
        <w:t>Documentation of Errors and Actions</w:t>
      </w:r>
    </w:p>
    <w:p w:rsidR="008528F5" w:rsidRPr="008873C7" w:rsidRDefault="008528F5" w:rsidP="008528F5">
      <w:pPr>
        <w:spacing w:after="120"/>
        <w:ind w:left="972"/>
        <w:jc w:val="both"/>
        <w:rPr>
          <w:rFonts w:ascii="Tahoma" w:hAnsi="Tahoma" w:cs="Tahoma"/>
          <w:sz w:val="20"/>
          <w:szCs w:val="20"/>
        </w:rPr>
      </w:pPr>
      <w:r>
        <w:rPr>
          <w:rFonts w:ascii="Tahoma" w:hAnsi="Tahoma"/>
          <w:sz w:val="20"/>
        </w:rPr>
        <w:t>All identified errors and corrective actions taken are documented. The Exchange maintains a record of error corrections as part of its management and quality assurance processes for the Indicator calculation.</w:t>
      </w:r>
    </w:p>
    <w:p w:rsidR="008528F5" w:rsidRPr="008873C7" w:rsidRDefault="008528F5" w:rsidP="008528F5">
      <w:pPr>
        <w:pStyle w:val="a9"/>
        <w:numPr>
          <w:ilvl w:val="1"/>
          <w:numId w:val="1"/>
        </w:numPr>
        <w:rPr>
          <w:rFonts w:ascii="Tahoma" w:hAnsi="Tahoma" w:cs="Tahoma"/>
          <w:sz w:val="20"/>
          <w:szCs w:val="20"/>
        </w:rPr>
      </w:pPr>
      <w:r>
        <w:rPr>
          <w:rFonts w:ascii="Tahoma" w:hAnsi="Tahoma"/>
          <w:sz w:val="20"/>
        </w:rPr>
        <w:t xml:space="preserve">The Exchange assesses the significance of the potential impact of any error. The significance of an error is determined by </w:t>
      </w:r>
      <w:proofErr w:type="gramStart"/>
      <w:r>
        <w:rPr>
          <w:rFonts w:ascii="Tahoma" w:hAnsi="Tahoma"/>
          <w:sz w:val="20"/>
        </w:rPr>
        <w:t>taking into account</w:t>
      </w:r>
      <w:proofErr w:type="gramEnd"/>
      <w:r>
        <w:rPr>
          <w:rFonts w:ascii="Tahoma" w:hAnsi="Tahoma"/>
          <w:sz w:val="20"/>
        </w:rPr>
        <w:t xml:space="preserve"> the impact of the recalculation on Indicator users and other stakeholders, as well as on the use of the Indicator as a benchmark for other financial instruments.</w:t>
      </w:r>
    </w:p>
    <w:p w:rsidR="008528F5" w:rsidRPr="008873C7" w:rsidRDefault="008528F5" w:rsidP="008528F5">
      <w:pPr>
        <w:pStyle w:val="a9"/>
        <w:numPr>
          <w:ilvl w:val="1"/>
          <w:numId w:val="1"/>
        </w:numPr>
        <w:rPr>
          <w:rFonts w:ascii="Tahoma" w:hAnsi="Tahoma" w:cs="Tahoma"/>
          <w:sz w:val="20"/>
          <w:szCs w:val="20"/>
        </w:rPr>
      </w:pPr>
      <w:r>
        <w:rPr>
          <w:rFonts w:ascii="Tahoma" w:hAnsi="Tahoma"/>
          <w:sz w:val="20"/>
        </w:rPr>
        <w:t xml:space="preserve">Appendix 3 to the Methodology outlines the key principles guiding the Exchange’s decisions on whether recalculation is necessary, including additional measures for error remediation. </w:t>
      </w:r>
    </w:p>
    <w:p w:rsidR="008528F5" w:rsidRPr="008873C7" w:rsidRDefault="008528F5" w:rsidP="008528F5">
      <w:pPr>
        <w:pStyle w:val="a9"/>
        <w:numPr>
          <w:ilvl w:val="1"/>
          <w:numId w:val="1"/>
        </w:numPr>
        <w:rPr>
          <w:rFonts w:ascii="Tahoma" w:hAnsi="Tahoma" w:cs="Tahoma"/>
          <w:sz w:val="20"/>
          <w:szCs w:val="20"/>
        </w:rPr>
      </w:pPr>
      <w:r>
        <w:rPr>
          <w:rFonts w:ascii="Tahoma" w:hAnsi="Tahoma"/>
          <w:sz w:val="20"/>
        </w:rPr>
        <w:t>The list of errors described in Appendix 3 is not exhaustive. In other cases, the Exchange reserves the right to decide whether or not to recalculate Indicator values.</w:t>
      </w:r>
    </w:p>
    <w:bookmarkEnd w:id="62"/>
    <w:p w:rsidR="008528F5" w:rsidRPr="008873C7" w:rsidRDefault="008528F5" w:rsidP="008528F5">
      <w:pPr>
        <w:pStyle w:val="a9"/>
        <w:ind w:left="972"/>
        <w:rPr>
          <w:rFonts w:ascii="Tahoma" w:hAnsi="Tahoma" w:cs="Tahoma"/>
          <w:sz w:val="20"/>
          <w:szCs w:val="20"/>
        </w:rPr>
      </w:pPr>
    </w:p>
    <w:p w:rsidR="008528F5" w:rsidRPr="008873C7" w:rsidRDefault="008528F5" w:rsidP="008528F5">
      <w:pPr>
        <w:spacing w:after="120"/>
        <w:ind w:left="360"/>
        <w:outlineLvl w:val="0"/>
        <w:rPr>
          <w:rFonts w:ascii="Tahoma" w:hAnsi="Tahoma" w:cs="Tahoma"/>
          <w:b/>
          <w:sz w:val="22"/>
          <w:szCs w:val="22"/>
        </w:rPr>
      </w:pPr>
    </w:p>
    <w:p w:rsidR="008528F5" w:rsidRPr="008873C7" w:rsidRDefault="008528F5" w:rsidP="008528F5">
      <w:pPr>
        <w:numPr>
          <w:ilvl w:val="0"/>
          <w:numId w:val="1"/>
        </w:numPr>
        <w:spacing w:after="120"/>
        <w:outlineLvl w:val="0"/>
        <w:rPr>
          <w:rFonts w:ascii="Tahoma" w:hAnsi="Tahoma" w:cs="Tahoma"/>
          <w:b/>
          <w:sz w:val="22"/>
          <w:szCs w:val="22"/>
        </w:rPr>
      </w:pPr>
      <w:bookmarkStart w:id="63" w:name="_Toc223358855"/>
      <w:r>
        <w:rPr>
          <w:rFonts w:ascii="Tahoma" w:hAnsi="Tahoma"/>
          <w:b/>
          <w:sz w:val="22"/>
        </w:rPr>
        <w:t>Continuity and Monitoring of Calculation</w:t>
      </w:r>
      <w:bookmarkEnd w:id="61"/>
      <w:bookmarkEnd w:id="63"/>
    </w:p>
    <w:p w:rsidR="008528F5" w:rsidRPr="008873C7" w:rsidRDefault="008528F5" w:rsidP="008528F5">
      <w:pPr>
        <w:numPr>
          <w:ilvl w:val="1"/>
          <w:numId w:val="1"/>
        </w:numPr>
        <w:spacing w:after="120"/>
        <w:jc w:val="both"/>
        <w:rPr>
          <w:rFonts w:ascii="Tahoma" w:hAnsi="Tahoma" w:cs="Tahoma"/>
          <w:sz w:val="20"/>
          <w:szCs w:val="20"/>
        </w:rPr>
      </w:pPr>
      <w:bookmarkStart w:id="64" w:name="_Ref203478625"/>
      <w:r>
        <w:rPr>
          <w:rFonts w:ascii="Tahoma" w:hAnsi="Tahoma"/>
          <w:sz w:val="20"/>
        </w:rPr>
        <w:t xml:space="preserve">The Exchange is the market operator conducting its activities in accordance with Federal Laws and the Bank of Russia Regulation No. 437-P dated 17 October 2014 "On Activities to Operate Organised Trading", and implements measures to ensure business continuity in accordance with the Bank of Russia Methodological Recommendations No. 28-MR dated 18 August 2016, including those related to index calculation.  </w:t>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The Exchange recognises the dependence of its activities on internal and external factors and problems that may immediately impact its operations and potentially affect the Exchange's ability to achieve its intended results. The Exchange proactively seeks to anticipate potential internal and external factors and errors, prevent their occurrence, and define mitigation actions in the event of disruptions.</w:t>
      </w:r>
    </w:p>
    <w:p w:rsidR="008528F5" w:rsidRPr="008873C7" w:rsidRDefault="008528F5" w:rsidP="008528F5">
      <w:pPr>
        <w:pStyle w:val="a9"/>
        <w:numPr>
          <w:ilvl w:val="1"/>
          <w:numId w:val="1"/>
        </w:numPr>
        <w:jc w:val="both"/>
        <w:rPr>
          <w:rFonts w:ascii="Tahoma" w:hAnsi="Tahoma" w:cs="Tahoma"/>
          <w:sz w:val="20"/>
          <w:szCs w:val="20"/>
        </w:rPr>
      </w:pPr>
      <w:r>
        <w:rPr>
          <w:rFonts w:ascii="Tahoma" w:hAnsi="Tahoma"/>
          <w:sz w:val="20"/>
        </w:rPr>
        <w:t>The source of data for the Indicator calculation is the automated trading system. All transactions and orders recorded in the trading system are guaranteed to be backed up in more than one independent storage system. This practice is implemented as a measure to ensure business continuity and the stability of the trading infrastructure. Multiple data backups prevent information loss and ensure the stable availability of the data required for the accurate and uninterrupted calculation of the Indicator.</w:t>
      </w:r>
    </w:p>
    <w:p w:rsidR="008528F5" w:rsidRPr="008873C7" w:rsidRDefault="008528F5" w:rsidP="008528F5">
      <w:pPr>
        <w:pStyle w:val="a9"/>
        <w:numPr>
          <w:ilvl w:val="1"/>
          <w:numId w:val="1"/>
        </w:numPr>
        <w:jc w:val="both"/>
        <w:rPr>
          <w:rFonts w:ascii="Tahoma" w:hAnsi="Tahoma" w:cs="Tahoma"/>
          <w:sz w:val="20"/>
          <w:szCs w:val="20"/>
        </w:rPr>
      </w:pPr>
      <w:r>
        <w:rPr>
          <w:rFonts w:ascii="Tahoma" w:hAnsi="Tahoma"/>
          <w:sz w:val="20"/>
        </w:rPr>
        <w:t>To uphold the principle of operational continuity, the Indicator calculation is supported by established succession plans for key personnel involved in relevant technological and analytical processes. For each critical function related to the development, verification, and publication of the Indicator, deputies with the necessary competencies and authority have been identified.</w:t>
      </w:r>
    </w:p>
    <w:p w:rsidR="008528F5" w:rsidRPr="008873C7" w:rsidRDefault="008528F5" w:rsidP="008528F5">
      <w:pPr>
        <w:pStyle w:val="a9"/>
        <w:numPr>
          <w:ilvl w:val="1"/>
          <w:numId w:val="1"/>
        </w:numPr>
        <w:jc w:val="both"/>
        <w:rPr>
          <w:rFonts w:ascii="Tahoma" w:hAnsi="Tahoma" w:cs="Tahoma"/>
          <w:sz w:val="20"/>
          <w:szCs w:val="20"/>
        </w:rPr>
      </w:pPr>
      <w:r>
        <w:rPr>
          <w:rFonts w:ascii="Tahoma" w:hAnsi="Tahoma"/>
          <w:sz w:val="20"/>
        </w:rPr>
        <w:t>The business continuity strategy varies depending on the specific scenario of an unusual or emergency situation and is generally defined by the following areas:</w:t>
      </w:r>
    </w:p>
    <w:p w:rsidR="008528F5" w:rsidRPr="008873C7" w:rsidRDefault="008528F5" w:rsidP="008528F5">
      <w:pPr>
        <w:pStyle w:val="a9"/>
        <w:numPr>
          <w:ilvl w:val="2"/>
          <w:numId w:val="1"/>
        </w:numPr>
        <w:jc w:val="both"/>
        <w:rPr>
          <w:rFonts w:ascii="Tahoma" w:hAnsi="Tahoma" w:cs="Tahoma"/>
          <w:sz w:val="20"/>
          <w:szCs w:val="20"/>
        </w:rPr>
      </w:pPr>
      <w:r>
        <w:rPr>
          <w:rFonts w:ascii="Tahoma" w:hAnsi="Tahoma"/>
          <w:sz w:val="20"/>
        </w:rPr>
        <w:t>In the event of complete or partial office unavailability: use of a disaster recovery office, redeployment of employees between offices, transition of employees to remote work, delegation of functions;</w:t>
      </w:r>
    </w:p>
    <w:p w:rsidR="008528F5" w:rsidRPr="008873C7" w:rsidRDefault="008528F5" w:rsidP="008528F5">
      <w:pPr>
        <w:pStyle w:val="a9"/>
        <w:numPr>
          <w:ilvl w:val="2"/>
          <w:numId w:val="1"/>
        </w:numPr>
        <w:jc w:val="both"/>
        <w:rPr>
          <w:rFonts w:ascii="Tahoma" w:hAnsi="Tahoma" w:cs="Tahoma"/>
          <w:sz w:val="20"/>
          <w:szCs w:val="20"/>
        </w:rPr>
      </w:pPr>
      <w:r>
        <w:rPr>
          <w:rFonts w:ascii="Tahoma" w:hAnsi="Tahoma"/>
          <w:sz w:val="20"/>
        </w:rPr>
        <w:t>In case of failure of the primary Data Centre (DC)/IT systems: transition to disaster recovery DC resources;</w:t>
      </w:r>
    </w:p>
    <w:p w:rsidR="008528F5" w:rsidRPr="008873C7" w:rsidRDefault="008528F5" w:rsidP="008528F5">
      <w:pPr>
        <w:pStyle w:val="a9"/>
        <w:numPr>
          <w:ilvl w:val="2"/>
          <w:numId w:val="1"/>
        </w:numPr>
        <w:jc w:val="both"/>
        <w:rPr>
          <w:rFonts w:ascii="Tahoma" w:hAnsi="Tahoma" w:cs="Tahoma"/>
          <w:sz w:val="20"/>
          <w:szCs w:val="20"/>
        </w:rPr>
      </w:pPr>
      <w:r>
        <w:rPr>
          <w:rFonts w:ascii="Tahoma" w:hAnsi="Tahoma"/>
          <w:sz w:val="20"/>
        </w:rPr>
        <w:t>In the event of personnel unavailability/mass epidemics: transition to remote work from home, redistribution of workload, shift work;</w:t>
      </w:r>
    </w:p>
    <w:p w:rsidR="008528F5" w:rsidRPr="008873C7" w:rsidRDefault="008528F5" w:rsidP="008528F5">
      <w:pPr>
        <w:pStyle w:val="a9"/>
        <w:numPr>
          <w:ilvl w:val="2"/>
          <w:numId w:val="1"/>
        </w:numPr>
        <w:jc w:val="both"/>
        <w:rPr>
          <w:rFonts w:ascii="Tahoma" w:hAnsi="Tahoma" w:cs="Tahoma"/>
          <w:sz w:val="20"/>
          <w:szCs w:val="20"/>
        </w:rPr>
      </w:pPr>
      <w:r>
        <w:rPr>
          <w:rFonts w:ascii="Tahoma" w:hAnsi="Tahoma"/>
          <w:sz w:val="20"/>
        </w:rPr>
        <w:t xml:space="preserve">In the event of a disruption in the provision of contractor services/facilities: transition to alternative suppliers of goods/services. </w:t>
      </w:r>
    </w:p>
    <w:p w:rsidR="008528F5" w:rsidRDefault="008528F5" w:rsidP="008528F5">
      <w:pPr>
        <w:numPr>
          <w:ilvl w:val="1"/>
          <w:numId w:val="1"/>
        </w:numPr>
        <w:spacing w:after="120"/>
        <w:jc w:val="both"/>
        <w:rPr>
          <w:rFonts w:ascii="Tahoma" w:hAnsi="Tahoma" w:cs="Tahoma"/>
          <w:sz w:val="20"/>
          <w:szCs w:val="20"/>
        </w:rPr>
      </w:pPr>
      <w:bookmarkStart w:id="65" w:name="_Ref203645239"/>
      <w:bookmarkStart w:id="66" w:name="_Ref205884880"/>
      <w:r>
        <w:rPr>
          <w:rFonts w:ascii="Tahoma" w:hAnsi="Tahoma"/>
          <w:sz w:val="20"/>
        </w:rPr>
        <w:t>In all cases of insufficient initial data, the Indicator value is set equal to the key rate set by the Bank of Russia for the given day. Such cases include, but are not limited to:</w:t>
      </w:r>
    </w:p>
    <w:p w:rsidR="008528F5" w:rsidRPr="00CF4584" w:rsidRDefault="008528F5" w:rsidP="008528F5">
      <w:pPr>
        <w:pStyle w:val="a9"/>
        <w:numPr>
          <w:ilvl w:val="0"/>
          <w:numId w:val="2"/>
        </w:numPr>
        <w:spacing w:after="120"/>
        <w:jc w:val="both"/>
        <w:rPr>
          <w:rFonts w:ascii="Tahoma" w:hAnsi="Tahoma" w:cs="Tahoma"/>
          <w:sz w:val="20"/>
          <w:szCs w:val="20"/>
        </w:rPr>
      </w:pPr>
      <w:r>
        <w:rPr>
          <w:rFonts w:ascii="Tahoma" w:hAnsi="Tahoma"/>
          <w:sz w:val="20"/>
        </w:rPr>
        <w:t>closed trading in the modes for which order/transaction data is used for Indicator calculation during the periods specified for Indicator calculation under this Methodology, or closed markets on the trading day;</w:t>
      </w:r>
    </w:p>
    <w:p w:rsidR="008528F5" w:rsidRPr="00CF4584" w:rsidRDefault="008528F5" w:rsidP="008528F5">
      <w:pPr>
        <w:pStyle w:val="a9"/>
        <w:numPr>
          <w:ilvl w:val="0"/>
          <w:numId w:val="2"/>
        </w:numPr>
        <w:spacing w:after="120"/>
        <w:jc w:val="both"/>
        <w:rPr>
          <w:rFonts w:ascii="Tahoma" w:hAnsi="Tahoma" w:cs="Tahoma"/>
          <w:sz w:val="20"/>
          <w:szCs w:val="20"/>
        </w:rPr>
      </w:pPr>
      <w:r>
        <w:rPr>
          <w:rFonts w:ascii="Tahoma" w:hAnsi="Tahoma"/>
          <w:sz w:val="20"/>
        </w:rPr>
        <w:t>lack of transactions on the trading day, while all orders submitted on the given trading day were only one-sided orders (for placement or for raising funds).</w:t>
      </w:r>
      <w:bookmarkEnd w:id="65"/>
      <w:r>
        <w:rPr>
          <w:rFonts w:ascii="Tahoma" w:hAnsi="Tahoma"/>
          <w:sz w:val="20"/>
        </w:rPr>
        <w:t xml:space="preserve"> </w:t>
      </w:r>
      <w:bookmarkEnd w:id="64"/>
      <w:bookmarkEnd w:id="66"/>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 xml:space="preserve">If the Indicator value is determined in accordance with Clause 5.6, the value is published on the Exchange's website no later than 8:00 PM Moscow time. </w:t>
      </w:r>
    </w:p>
    <w:p w:rsidR="008528F5" w:rsidRPr="008873C7" w:rsidRDefault="008528F5" w:rsidP="008528F5">
      <w:pPr>
        <w:numPr>
          <w:ilvl w:val="1"/>
          <w:numId w:val="1"/>
        </w:numPr>
        <w:spacing w:after="120"/>
        <w:jc w:val="both"/>
        <w:rPr>
          <w:rFonts w:ascii="Tahoma" w:hAnsi="Tahoma" w:cs="Tahoma"/>
          <w:sz w:val="20"/>
          <w:szCs w:val="20"/>
        </w:rPr>
      </w:pPr>
      <w:bookmarkStart w:id="67" w:name="_Ref203574635"/>
      <w:r>
        <w:rPr>
          <w:rFonts w:ascii="Tahoma" w:hAnsi="Tahoma"/>
          <w:sz w:val="20"/>
        </w:rPr>
        <w:t>In the event of a technical failure during the Indicator calculation, a technical failure during order book trading on the CCP-cleared Repo Market and/or the Deposit Market, network infrastructure failures, or any force majeure circumstances leading to an incorrect Indicator calculation or the use of incomplete or corrupted data for the Indicator calculation, a recalculation of the previously calculated Indicator values ​​is permitted. Such recalculations shall be performed as promptly as possible following detection of the technical failure. In the event of a recalculation, a notice is published on the official website of the Exchange.</w:t>
      </w:r>
      <w:bookmarkEnd w:id="67"/>
      <w:r>
        <w:rPr>
          <w:rFonts w:ascii="Tahoma" w:hAnsi="Tahoma"/>
          <w:sz w:val="20"/>
        </w:rPr>
        <w:t xml:space="preserve"> If recalculation is impossible, the Indicator value is set equal to the key rate set by the Bank of Russia for that day.</w:t>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If, during Indicator calculation, the deviation between the quote-based value (</w:t>
      </w:r>
      <w:proofErr w:type="spellStart"/>
      <w:r>
        <w:rPr>
          <w:rFonts w:ascii="Tahoma" w:hAnsi="Tahoma"/>
          <w:sz w:val="20"/>
        </w:rPr>
        <w:t>Rorders</w:t>
      </w:r>
      <w:proofErr w:type="spellEnd"/>
      <w:r>
        <w:rPr>
          <w:rFonts w:ascii="Tahoma" w:hAnsi="Tahoma"/>
          <w:sz w:val="20"/>
        </w:rPr>
        <w:t>) and the transaction-based value (</w:t>
      </w:r>
      <w:proofErr w:type="spellStart"/>
      <w:r>
        <w:rPr>
          <w:rFonts w:ascii="Tahoma" w:hAnsi="Tahoma"/>
          <w:sz w:val="20"/>
        </w:rPr>
        <w:t>Rtrades</w:t>
      </w:r>
      <w:proofErr w:type="spellEnd"/>
      <w:r>
        <w:rPr>
          <w:rFonts w:ascii="Tahoma" w:hAnsi="Tahoma"/>
          <w:sz w:val="20"/>
        </w:rPr>
        <w:t xml:space="preserve">) exceeds 5%, the calculation results shall be invalidated. In all cases of invalidated results, the Indicator value shall be set equal to the key rate established by the Bank of Russia for that day. The Exchange shall publish information about the circumstances </w:t>
      </w:r>
      <w:proofErr w:type="gramStart"/>
      <w:r>
        <w:rPr>
          <w:rFonts w:ascii="Tahoma" w:hAnsi="Tahoma"/>
          <w:sz w:val="20"/>
        </w:rPr>
        <w:t>taken into account</w:t>
      </w:r>
      <w:proofErr w:type="gramEnd"/>
      <w:r>
        <w:rPr>
          <w:rFonts w:ascii="Tahoma" w:hAnsi="Tahoma"/>
          <w:sz w:val="20"/>
        </w:rPr>
        <w:t xml:space="preserve"> in making this decision on its official website no later than 7:00 PM Moscow Time on the calculation day.</w:t>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The activities of the market operator are regulated activities. Therefore, the quality of the source data is ensured by procedures stipulated by the Regulation, Federal Law No. 224-FZ "On Combating the Unlawful Use of Insider Information and Market Manipulation and Amending Certain Legislative Acts of the Russian Federation" dated 27 July 2010, and other regulatory acts.</w:t>
      </w:r>
    </w:p>
    <w:p w:rsidR="008528F5" w:rsidRPr="008873C7" w:rsidRDefault="008528F5" w:rsidP="008528F5">
      <w:pPr>
        <w:numPr>
          <w:ilvl w:val="1"/>
          <w:numId w:val="1"/>
        </w:numPr>
        <w:spacing w:after="120"/>
        <w:jc w:val="both"/>
        <w:rPr>
          <w:rFonts w:ascii="Tahoma" w:hAnsi="Tahoma" w:cs="Tahoma"/>
          <w:sz w:val="20"/>
          <w:szCs w:val="20"/>
        </w:rPr>
      </w:pPr>
      <w:bookmarkStart w:id="68" w:name="_Hlk206679984"/>
      <w:r>
        <w:rPr>
          <w:rFonts w:ascii="Tahoma" w:hAnsi="Tahoma"/>
          <w:sz w:val="20"/>
        </w:rPr>
        <w:t>List of measures to ensure source data quality (including, but not limited to):</w:t>
      </w:r>
    </w:p>
    <w:p w:rsidR="008528F5" w:rsidRPr="008873C7" w:rsidRDefault="008528F5" w:rsidP="008528F5">
      <w:pPr>
        <w:spacing w:after="120"/>
        <w:ind w:left="1418"/>
        <w:jc w:val="both"/>
        <w:rPr>
          <w:rFonts w:ascii="Tahoma" w:hAnsi="Tahoma" w:cs="Tahoma"/>
          <w:sz w:val="20"/>
          <w:szCs w:val="20"/>
        </w:rPr>
      </w:pPr>
      <w:r>
        <w:rPr>
          <w:rFonts w:ascii="Tahoma" w:hAnsi="Tahoma"/>
          <w:sz w:val="20"/>
        </w:rPr>
        <w:t>- restrictions on the acceptance of orders that do not comply with trading and clearing rules, including monitoring for order deviations from the limits established by the Exchange;</w:t>
      </w:r>
    </w:p>
    <w:p w:rsidR="008528F5" w:rsidRPr="008873C7" w:rsidRDefault="008528F5" w:rsidP="008528F5">
      <w:pPr>
        <w:spacing w:after="120"/>
        <w:ind w:left="1418"/>
        <w:jc w:val="both"/>
        <w:rPr>
          <w:rFonts w:ascii="Tahoma" w:hAnsi="Tahoma" w:cs="Tahoma"/>
          <w:sz w:val="20"/>
          <w:szCs w:val="20"/>
        </w:rPr>
      </w:pPr>
      <w:r>
        <w:rPr>
          <w:rFonts w:ascii="Tahoma" w:hAnsi="Tahoma"/>
          <w:sz w:val="20"/>
        </w:rPr>
        <w:t>- automatic selection and technical verification of the availability of source data for the Indicator formation in accordance with the Methodology;</w:t>
      </w:r>
    </w:p>
    <w:p w:rsidR="008528F5" w:rsidRPr="008873C7" w:rsidRDefault="008528F5" w:rsidP="008528F5">
      <w:pPr>
        <w:spacing w:after="120"/>
        <w:ind w:left="1418"/>
        <w:jc w:val="both"/>
        <w:rPr>
          <w:rFonts w:ascii="Tahoma" w:hAnsi="Tahoma" w:cs="Tahoma"/>
          <w:sz w:val="20"/>
          <w:szCs w:val="20"/>
        </w:rPr>
      </w:pPr>
      <w:r>
        <w:rPr>
          <w:rFonts w:ascii="Tahoma" w:hAnsi="Tahoma"/>
          <w:sz w:val="20"/>
        </w:rPr>
        <w:t>- using only orders and transactions concluded on the order book for calculation, which ensures high quality of the initial data due to the execution of transactions at best prices and the order-driven nature of trading.</w:t>
      </w:r>
      <w:r>
        <w:rPr>
          <w:rFonts w:ascii="Tahoma" w:hAnsi="Tahoma"/>
          <w:sz w:val="20"/>
        </w:rPr>
        <w:br/>
      </w:r>
    </w:p>
    <w:bookmarkEnd w:id="68"/>
    <w:p w:rsidR="008528F5" w:rsidRPr="008873C7" w:rsidRDefault="008528F5" w:rsidP="008528F5">
      <w:pPr>
        <w:pStyle w:val="a9"/>
        <w:numPr>
          <w:ilvl w:val="1"/>
          <w:numId w:val="1"/>
        </w:numPr>
        <w:jc w:val="both"/>
        <w:rPr>
          <w:rFonts w:ascii="Tahoma" w:hAnsi="Tahoma" w:cs="Tahoma"/>
          <w:sz w:val="20"/>
          <w:szCs w:val="20"/>
        </w:rPr>
      </w:pPr>
      <w:r>
        <w:rPr>
          <w:rFonts w:ascii="Tahoma" w:hAnsi="Tahoma"/>
          <w:sz w:val="20"/>
        </w:rPr>
        <w:t xml:space="preserve">The Exchange may decide to discontinue the calculation of the Indicator if trading ceases in the modes in </w:t>
      </w:r>
      <w:r>
        <w:rPr>
          <w:rFonts w:ascii="Tahoma" w:hAnsi="Tahoma"/>
          <w:sz w:val="20"/>
        </w:rPr>
        <w:t>which order</w:t>
      </w:r>
      <w:r>
        <w:rPr>
          <w:rFonts w:ascii="Tahoma" w:hAnsi="Tahoma"/>
          <w:sz w:val="20"/>
        </w:rPr>
        <w:t xml:space="preserve">/transaction data is used for Indicator calculation. The discontinuation of Indicator calculation shall be announced on the Exchange's official website no later than six months prior to the discontinuation date. During the period from the cessation of trading in modes in which order/transaction data is </w:t>
      </w:r>
      <w:proofErr w:type="gramStart"/>
      <w:r>
        <w:rPr>
          <w:rFonts w:ascii="Tahoma" w:hAnsi="Tahoma"/>
          <w:sz w:val="20"/>
        </w:rPr>
        <w:t>taken into account</w:t>
      </w:r>
      <w:proofErr w:type="gramEnd"/>
      <w:r>
        <w:rPr>
          <w:rFonts w:ascii="Tahoma" w:hAnsi="Tahoma"/>
          <w:sz w:val="20"/>
        </w:rPr>
        <w:t xml:space="preserve"> when calculating the Indicator until the discontinuation of Indicator calculation, the Indicator values shall be determined in accordance with the procedure specified in Clause </w:t>
      </w:r>
      <w:r w:rsidRPr="008873C7">
        <w:rPr>
          <w:rFonts w:ascii="Tahoma" w:hAnsi="Tahoma" w:cs="Tahoma"/>
          <w:sz w:val="20"/>
        </w:rPr>
        <w:fldChar w:fldCharType="begin"/>
      </w:r>
      <w:r w:rsidRPr="008873C7">
        <w:rPr>
          <w:rFonts w:ascii="Tahoma" w:hAnsi="Tahoma" w:cs="Tahoma"/>
          <w:sz w:val="20"/>
        </w:rPr>
        <w:instrText xml:space="preserve"> REF _Ref203645239 \r </w:instrText>
      </w:r>
      <w:r>
        <w:rPr>
          <w:rFonts w:ascii="Tahoma" w:hAnsi="Tahoma" w:cs="Tahoma"/>
          <w:sz w:val="20"/>
        </w:rPr>
        <w:instrText xml:space="preserve"> \* MERGEFORMAT </w:instrText>
      </w:r>
      <w:r w:rsidRPr="008873C7">
        <w:rPr>
          <w:rFonts w:ascii="Tahoma" w:hAnsi="Tahoma" w:cs="Tahoma"/>
          <w:sz w:val="20"/>
        </w:rPr>
        <w:fldChar w:fldCharType="separate"/>
      </w:r>
      <w:r>
        <w:rPr>
          <w:rFonts w:ascii="Tahoma" w:hAnsi="Tahoma" w:cs="Tahoma"/>
          <w:sz w:val="20"/>
        </w:rPr>
        <w:t>5.6</w:t>
      </w:r>
      <w:r w:rsidRPr="008873C7">
        <w:rPr>
          <w:rFonts w:ascii="Tahoma" w:hAnsi="Tahoma" w:cs="Tahoma"/>
          <w:sz w:val="20"/>
        </w:rPr>
        <w:fldChar w:fldCharType="end"/>
      </w:r>
      <w:r>
        <w:rPr>
          <w:rFonts w:ascii="Tahoma" w:hAnsi="Tahoma"/>
          <w:sz w:val="20"/>
        </w:rPr>
        <w:t xml:space="preserve"> of the Methodology.</w:t>
      </w:r>
    </w:p>
    <w:p w:rsidR="008528F5" w:rsidRPr="008873C7" w:rsidRDefault="008528F5" w:rsidP="008528F5">
      <w:pPr>
        <w:rPr>
          <w:rFonts w:ascii="Tahoma" w:hAnsi="Tahoma" w:cs="Tahoma"/>
          <w:sz w:val="20"/>
          <w:szCs w:val="20"/>
        </w:rPr>
      </w:pPr>
    </w:p>
    <w:p w:rsidR="008528F5" w:rsidRPr="008873C7" w:rsidRDefault="008528F5" w:rsidP="008528F5">
      <w:pPr>
        <w:spacing w:after="120"/>
        <w:ind w:left="540"/>
        <w:jc w:val="both"/>
        <w:rPr>
          <w:rFonts w:ascii="Tahoma" w:hAnsi="Tahoma"/>
          <w:sz w:val="20"/>
        </w:rPr>
      </w:pPr>
      <w:bookmarkStart w:id="69" w:name="_Ref272826482"/>
      <w:bookmarkStart w:id="70" w:name="п_6_1"/>
    </w:p>
    <w:p w:rsidR="008528F5" w:rsidRPr="008873C7" w:rsidRDefault="008528F5" w:rsidP="008528F5">
      <w:pPr>
        <w:numPr>
          <w:ilvl w:val="0"/>
          <w:numId w:val="1"/>
        </w:numPr>
        <w:spacing w:after="120"/>
        <w:outlineLvl w:val="0"/>
        <w:rPr>
          <w:rFonts w:ascii="Tahoma" w:hAnsi="Tahoma" w:cs="Tahoma"/>
          <w:b/>
          <w:sz w:val="22"/>
          <w:szCs w:val="22"/>
        </w:rPr>
      </w:pPr>
      <w:bookmarkStart w:id="71" w:name="_Toc372540155"/>
      <w:bookmarkStart w:id="72" w:name="_Toc372540156"/>
      <w:bookmarkStart w:id="73" w:name="_Toc200098239"/>
      <w:bookmarkStart w:id="74" w:name="_Toc223358856"/>
      <w:bookmarkEnd w:id="57"/>
      <w:bookmarkEnd w:id="58"/>
      <w:bookmarkEnd w:id="69"/>
      <w:bookmarkEnd w:id="70"/>
      <w:bookmarkEnd w:id="71"/>
      <w:bookmarkEnd w:id="72"/>
      <w:r>
        <w:rPr>
          <w:rFonts w:ascii="Tahoma" w:hAnsi="Tahoma"/>
          <w:b/>
          <w:sz w:val="22"/>
        </w:rPr>
        <w:t>Publication</w:t>
      </w:r>
      <w:bookmarkEnd w:id="73"/>
      <w:bookmarkEnd w:id="74"/>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The Indicator values shall be disclosed daily on the Exchange's official website.</w:t>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 xml:space="preserve">In the event of the event described in Clause </w:t>
      </w:r>
      <w:r w:rsidRPr="008873C7">
        <w:rPr>
          <w:rFonts w:ascii="Tahoma" w:hAnsi="Tahoma" w:cs="Tahoma"/>
          <w:sz w:val="20"/>
        </w:rPr>
        <w:fldChar w:fldCharType="begin"/>
      </w:r>
      <w:r w:rsidRPr="008873C7">
        <w:rPr>
          <w:rFonts w:ascii="Tahoma" w:hAnsi="Tahoma" w:cs="Tahoma"/>
          <w:sz w:val="20"/>
        </w:rPr>
        <w:instrText xml:space="preserve"> REF _Ref203574635 \r </w:instrText>
      </w:r>
      <w:r>
        <w:rPr>
          <w:rFonts w:ascii="Tahoma" w:hAnsi="Tahoma" w:cs="Tahoma"/>
          <w:sz w:val="20"/>
        </w:rPr>
        <w:instrText xml:space="preserve"> \* MERGEFORMAT </w:instrText>
      </w:r>
      <w:r w:rsidRPr="008873C7">
        <w:rPr>
          <w:rFonts w:ascii="Tahoma" w:hAnsi="Tahoma" w:cs="Tahoma"/>
          <w:sz w:val="20"/>
        </w:rPr>
        <w:fldChar w:fldCharType="separate"/>
      </w:r>
      <w:r>
        <w:rPr>
          <w:rFonts w:ascii="Tahoma" w:hAnsi="Tahoma" w:cs="Tahoma"/>
          <w:sz w:val="20"/>
        </w:rPr>
        <w:t>5.8</w:t>
      </w:r>
      <w:r w:rsidRPr="008873C7">
        <w:rPr>
          <w:rFonts w:ascii="Tahoma" w:hAnsi="Tahoma" w:cs="Tahoma"/>
          <w:sz w:val="20"/>
        </w:rPr>
        <w:fldChar w:fldCharType="end"/>
      </w:r>
      <w:r>
        <w:rPr>
          <w:rFonts w:ascii="Tahoma" w:hAnsi="Tahoma"/>
          <w:sz w:val="20"/>
        </w:rPr>
        <w:t xml:space="preserve"> of the Methodology, the Exchange may delay the publication of the Indicator value until 7:00 PM Moscow time.</w:t>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Archived data for the entire calculation period, as well as information about the total volume of transactions based on which the calculation was made, is disclosed on the Exchange's official website.</w:t>
      </w:r>
    </w:p>
    <w:p w:rsidR="008528F5" w:rsidRPr="008873C7" w:rsidRDefault="008528F5" w:rsidP="008528F5">
      <w:pPr>
        <w:numPr>
          <w:ilvl w:val="1"/>
          <w:numId w:val="1"/>
        </w:numPr>
        <w:spacing w:after="120"/>
        <w:jc w:val="both"/>
        <w:rPr>
          <w:rFonts w:ascii="Tahoma" w:hAnsi="Tahoma" w:cs="Tahoma"/>
          <w:sz w:val="20"/>
          <w:szCs w:val="20"/>
        </w:rPr>
      </w:pPr>
      <w:r>
        <w:rPr>
          <w:rFonts w:ascii="Tahoma" w:hAnsi="Tahoma"/>
          <w:sz w:val="20"/>
        </w:rPr>
        <w:t xml:space="preserve">The information that must be published on the official website of the Exchange in accordance with this Methodology may also be </w:t>
      </w:r>
      <w:r>
        <w:rPr>
          <w:rFonts w:ascii="Tahoma" w:hAnsi="Tahoma"/>
          <w:sz w:val="20"/>
        </w:rPr>
        <w:t>disseminated through</w:t>
      </w:r>
      <w:r>
        <w:rPr>
          <w:rFonts w:ascii="Tahoma" w:hAnsi="Tahoma"/>
          <w:sz w:val="20"/>
        </w:rPr>
        <w:t xml:space="preserve"> other means, including information agencies that disseminate MOEX market data.</w:t>
      </w:r>
    </w:p>
    <w:p w:rsidR="008528F5" w:rsidRPr="008873C7" w:rsidRDefault="008528F5" w:rsidP="008528F5">
      <w:pPr>
        <w:pStyle w:val="a3"/>
        <w:tabs>
          <w:tab w:val="num" w:pos="972"/>
        </w:tabs>
        <w:spacing w:after="0"/>
        <w:jc w:val="both"/>
        <w:rPr>
          <w:rFonts w:cs="Tahoma"/>
        </w:rPr>
      </w:pPr>
    </w:p>
    <w:p w:rsidR="008528F5" w:rsidRPr="008873C7" w:rsidRDefault="008528F5" w:rsidP="008528F5">
      <w:pPr>
        <w:pStyle w:val="a3"/>
        <w:tabs>
          <w:tab w:val="num" w:pos="972"/>
        </w:tabs>
        <w:spacing w:after="0"/>
        <w:jc w:val="both"/>
        <w:rPr>
          <w:rFonts w:cs="Tahoma"/>
        </w:rPr>
        <w:sectPr w:rsidR="008528F5" w:rsidRPr="008873C7" w:rsidSect="00A61FA8">
          <w:footerReference w:type="default" r:id="rId22"/>
          <w:pgSz w:w="11906" w:h="16838"/>
          <w:pgMar w:top="1077" w:right="1134" w:bottom="1077" w:left="1418" w:header="709" w:footer="709" w:gutter="0"/>
          <w:cols w:space="708"/>
          <w:titlePg/>
          <w:docGrid w:linePitch="360"/>
        </w:sectPr>
      </w:pPr>
    </w:p>
    <w:p w:rsidR="008528F5" w:rsidRPr="008873C7" w:rsidRDefault="008528F5" w:rsidP="008528F5">
      <w:pPr>
        <w:pStyle w:val="a3"/>
        <w:ind w:left="972"/>
        <w:jc w:val="both"/>
        <w:rPr>
          <w:rFonts w:ascii="Tahoma" w:hAnsi="Tahoma" w:cs="Tahoma"/>
          <w:szCs w:val="24"/>
        </w:rPr>
      </w:pPr>
    </w:p>
    <w:p w:rsidR="008528F5" w:rsidRPr="008873C7" w:rsidRDefault="008528F5" w:rsidP="008528F5">
      <w:pPr>
        <w:pStyle w:val="a3"/>
        <w:rPr>
          <w:rFonts w:ascii="Tahoma" w:hAnsi="Tahoma" w:cs="Tahoma"/>
          <w:b/>
          <w:sz w:val="22"/>
          <w:szCs w:val="22"/>
        </w:rPr>
      </w:pPr>
      <w:bookmarkStart w:id="75" w:name="_Toc424122379"/>
      <w:bookmarkStart w:id="76" w:name="_Toc438206744"/>
      <w:bookmarkStart w:id="77" w:name="_Toc438206780"/>
      <w:bookmarkStart w:id="78" w:name="_Toc438207000"/>
      <w:bookmarkStart w:id="79" w:name="_Toc433902916"/>
      <w:bookmarkStart w:id="80" w:name="_Toc463443774"/>
      <w:bookmarkStart w:id="81" w:name="_Toc488065487"/>
      <w:bookmarkStart w:id="82" w:name="_Toc514669048"/>
      <w:bookmarkEnd w:id="75"/>
      <w:bookmarkEnd w:id="76"/>
      <w:bookmarkEnd w:id="77"/>
      <w:bookmarkEnd w:id="78"/>
      <w:bookmarkEnd w:id="79"/>
      <w:bookmarkEnd w:id="80"/>
      <w:bookmarkEnd w:id="81"/>
      <w:bookmarkEnd w:id="82"/>
      <w:r>
        <w:rPr>
          <w:rFonts w:ascii="Tahoma" w:hAnsi="Tahoma"/>
          <w:b/>
          <w:sz w:val="22"/>
        </w:rPr>
        <w:t>Appendix 1 to the RUSFAR Indicator Calculation Methodology</w:t>
      </w:r>
    </w:p>
    <w:p w:rsidR="008528F5" w:rsidRPr="00F01274" w:rsidRDefault="008528F5" w:rsidP="008528F5">
      <w:pPr>
        <w:pStyle w:val="a3"/>
        <w:jc w:val="right"/>
        <w:rPr>
          <w:rFonts w:ascii="Tahoma" w:hAnsi="Tahoma" w:cs="Tahoma"/>
          <w:b/>
          <w:sz w:val="22"/>
          <w:szCs w:val="22"/>
          <w:lang w:val="en-US" w:eastAsia="ru-RU"/>
        </w:rPr>
      </w:pPr>
    </w:p>
    <w:tbl>
      <w:tblPr>
        <w:tblW w:w="144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261"/>
        <w:gridCol w:w="1417"/>
        <w:gridCol w:w="1985"/>
        <w:gridCol w:w="1985"/>
        <w:gridCol w:w="1558"/>
        <w:gridCol w:w="1276"/>
        <w:gridCol w:w="1418"/>
      </w:tblGrid>
      <w:tr w:rsidR="008528F5" w:rsidTr="008528F5">
        <w:tc>
          <w:tcPr>
            <w:tcW w:w="1588" w:type="dxa"/>
            <w:vAlign w:val="center"/>
          </w:tcPr>
          <w:p w:rsidR="008528F5" w:rsidRPr="008873C7" w:rsidRDefault="008528F5" w:rsidP="003A4E12">
            <w:pPr>
              <w:pStyle w:val="a3"/>
              <w:tabs>
                <w:tab w:val="num" w:pos="972"/>
              </w:tabs>
              <w:spacing w:after="0"/>
              <w:jc w:val="center"/>
              <w:rPr>
                <w:rFonts w:ascii="Tahoma" w:hAnsi="Tahoma" w:cs="Tahoma"/>
                <w:b/>
                <w:sz w:val="20"/>
              </w:rPr>
            </w:pPr>
            <w:r>
              <w:rPr>
                <w:rFonts w:ascii="Tahoma" w:hAnsi="Tahoma"/>
                <w:b/>
                <w:sz w:val="20"/>
              </w:rPr>
              <w:t>Indicator code</w:t>
            </w:r>
          </w:p>
        </w:tc>
        <w:tc>
          <w:tcPr>
            <w:tcW w:w="3261" w:type="dxa"/>
            <w:vAlign w:val="center"/>
          </w:tcPr>
          <w:p w:rsidR="008528F5" w:rsidRPr="008873C7" w:rsidRDefault="008528F5" w:rsidP="003A4E12">
            <w:pPr>
              <w:pStyle w:val="a3"/>
              <w:tabs>
                <w:tab w:val="num" w:pos="972"/>
              </w:tabs>
              <w:spacing w:after="0"/>
              <w:jc w:val="center"/>
              <w:rPr>
                <w:rFonts w:ascii="Tahoma" w:hAnsi="Tahoma" w:cs="Tahoma"/>
                <w:b/>
                <w:sz w:val="20"/>
              </w:rPr>
            </w:pPr>
            <w:r>
              <w:rPr>
                <w:rFonts w:ascii="Tahoma" w:hAnsi="Tahoma"/>
                <w:b/>
                <w:sz w:val="20"/>
              </w:rPr>
              <w:t>Item</w:t>
            </w:r>
          </w:p>
        </w:tc>
        <w:tc>
          <w:tcPr>
            <w:tcW w:w="1417" w:type="dxa"/>
            <w:vAlign w:val="center"/>
          </w:tcPr>
          <w:p w:rsidR="008528F5" w:rsidRPr="008873C7" w:rsidDel="0027180A" w:rsidRDefault="008528F5" w:rsidP="003A4E12">
            <w:pPr>
              <w:pStyle w:val="a3"/>
              <w:tabs>
                <w:tab w:val="num" w:pos="972"/>
              </w:tabs>
              <w:spacing w:after="0"/>
              <w:jc w:val="center"/>
              <w:rPr>
                <w:rFonts w:ascii="Tahoma" w:hAnsi="Tahoma" w:cs="Tahoma"/>
                <w:b/>
                <w:sz w:val="20"/>
              </w:rPr>
            </w:pPr>
            <w:r>
              <w:rPr>
                <w:rFonts w:ascii="Tahoma" w:hAnsi="Tahoma"/>
                <w:b/>
                <w:sz w:val="20"/>
              </w:rPr>
              <w:t>Settlement method</w:t>
            </w:r>
          </w:p>
        </w:tc>
        <w:tc>
          <w:tcPr>
            <w:tcW w:w="1985" w:type="dxa"/>
            <w:vAlign w:val="center"/>
          </w:tcPr>
          <w:p w:rsidR="008528F5" w:rsidRPr="008873C7" w:rsidRDefault="008528F5" w:rsidP="003A4E12">
            <w:pPr>
              <w:pStyle w:val="a3"/>
              <w:tabs>
                <w:tab w:val="num" w:pos="972"/>
              </w:tabs>
              <w:spacing w:after="0"/>
              <w:jc w:val="center"/>
              <w:rPr>
                <w:rFonts w:ascii="Tahoma" w:hAnsi="Tahoma" w:cs="Tahoma"/>
                <w:b/>
                <w:sz w:val="20"/>
              </w:rPr>
            </w:pPr>
            <w:r>
              <w:rPr>
                <w:rFonts w:ascii="Tahoma" w:hAnsi="Tahoma"/>
                <w:b/>
                <w:sz w:val="20"/>
              </w:rPr>
              <w:t>Code for settlements</w:t>
            </w:r>
          </w:p>
        </w:tc>
        <w:tc>
          <w:tcPr>
            <w:tcW w:w="1985" w:type="dxa"/>
            <w:vAlign w:val="center"/>
          </w:tcPr>
          <w:p w:rsidR="008528F5" w:rsidRPr="008873C7" w:rsidRDefault="008528F5" w:rsidP="003A4E12">
            <w:pPr>
              <w:pStyle w:val="a3"/>
              <w:tabs>
                <w:tab w:val="num" w:pos="972"/>
              </w:tabs>
              <w:spacing w:after="0"/>
              <w:jc w:val="center"/>
              <w:rPr>
                <w:rFonts w:ascii="Tahoma" w:hAnsi="Tahoma" w:cs="Tahoma"/>
                <w:b/>
                <w:sz w:val="20"/>
              </w:rPr>
            </w:pPr>
            <w:r>
              <w:rPr>
                <w:rFonts w:ascii="Tahoma" w:hAnsi="Tahoma"/>
                <w:b/>
                <w:sz w:val="20"/>
              </w:rPr>
              <w:t>Settlement currency</w:t>
            </w:r>
          </w:p>
        </w:tc>
        <w:tc>
          <w:tcPr>
            <w:tcW w:w="1558" w:type="dxa"/>
            <w:vAlign w:val="center"/>
          </w:tcPr>
          <w:p w:rsidR="008528F5" w:rsidRPr="008873C7" w:rsidRDefault="008528F5" w:rsidP="003A4E12">
            <w:pPr>
              <w:pStyle w:val="a3"/>
              <w:tabs>
                <w:tab w:val="num" w:pos="972"/>
              </w:tabs>
              <w:spacing w:after="0"/>
              <w:jc w:val="center"/>
              <w:rPr>
                <w:rFonts w:ascii="Tahoma" w:hAnsi="Tahoma" w:cs="Tahoma"/>
                <w:b/>
                <w:sz w:val="20"/>
              </w:rPr>
            </w:pPr>
            <w:r>
              <w:rPr>
                <w:rFonts w:ascii="Tahoma" w:hAnsi="Tahoma"/>
                <w:b/>
                <w:sz w:val="20"/>
              </w:rPr>
              <w:t>Calculation time</w:t>
            </w:r>
          </w:p>
        </w:tc>
        <w:tc>
          <w:tcPr>
            <w:tcW w:w="1276" w:type="dxa"/>
            <w:vAlign w:val="center"/>
          </w:tcPr>
          <w:p w:rsidR="008528F5" w:rsidRPr="008873C7" w:rsidRDefault="008528F5" w:rsidP="003A4E12">
            <w:pPr>
              <w:pStyle w:val="a3"/>
              <w:tabs>
                <w:tab w:val="num" w:pos="972"/>
              </w:tabs>
              <w:spacing w:after="0"/>
              <w:jc w:val="center"/>
              <w:rPr>
                <w:rFonts w:ascii="Tahoma" w:hAnsi="Tahoma" w:cs="Tahoma"/>
                <w:b/>
                <w:sz w:val="20"/>
              </w:rPr>
            </w:pPr>
            <w:r>
              <w:rPr>
                <w:rFonts w:ascii="Tahoma" w:hAnsi="Tahoma"/>
                <w:b/>
                <w:sz w:val="20"/>
              </w:rPr>
              <w:t>Initial value</w:t>
            </w:r>
          </w:p>
        </w:tc>
        <w:tc>
          <w:tcPr>
            <w:tcW w:w="1418" w:type="dxa"/>
            <w:vAlign w:val="center"/>
          </w:tcPr>
          <w:p w:rsidR="008528F5" w:rsidRPr="008873C7" w:rsidRDefault="008528F5" w:rsidP="003A4E12">
            <w:pPr>
              <w:pStyle w:val="a3"/>
              <w:tabs>
                <w:tab w:val="num" w:pos="972"/>
              </w:tabs>
              <w:spacing w:after="0"/>
              <w:jc w:val="center"/>
              <w:rPr>
                <w:rFonts w:ascii="Tahoma" w:hAnsi="Tahoma" w:cs="Tahoma"/>
                <w:b/>
                <w:sz w:val="20"/>
              </w:rPr>
            </w:pPr>
            <w:r>
              <w:rPr>
                <w:rFonts w:ascii="Tahoma" w:hAnsi="Tahoma"/>
                <w:b/>
                <w:sz w:val="20"/>
              </w:rPr>
              <w:t>Inception date</w:t>
            </w:r>
          </w:p>
        </w:tc>
      </w:tr>
      <w:tr w:rsidR="008528F5" w:rsidTr="008528F5">
        <w:tc>
          <w:tcPr>
            <w:tcW w:w="1588" w:type="dxa"/>
            <w:vAlign w:val="center"/>
          </w:tcPr>
          <w:p w:rsidR="008528F5" w:rsidRPr="008873C7" w:rsidRDefault="008528F5" w:rsidP="003A4E12">
            <w:pPr>
              <w:pStyle w:val="a3"/>
              <w:tabs>
                <w:tab w:val="num" w:pos="972"/>
              </w:tabs>
              <w:jc w:val="center"/>
              <w:rPr>
                <w:rFonts w:ascii="Tahoma" w:hAnsi="Tahoma" w:cs="Tahoma"/>
                <w:sz w:val="20"/>
              </w:rPr>
            </w:pPr>
            <w:r>
              <w:rPr>
                <w:rFonts w:ascii="Tahoma" w:hAnsi="Tahoma"/>
                <w:sz w:val="20"/>
              </w:rPr>
              <w:t>RUSFAR</w:t>
            </w:r>
          </w:p>
        </w:tc>
        <w:tc>
          <w:tcPr>
            <w:tcW w:w="3261" w:type="dxa"/>
            <w:vAlign w:val="center"/>
          </w:tcPr>
          <w:p w:rsidR="008528F5" w:rsidRPr="008873C7" w:rsidRDefault="008528F5" w:rsidP="003A4E12">
            <w:pPr>
              <w:pStyle w:val="a3"/>
              <w:tabs>
                <w:tab w:val="num" w:pos="972"/>
              </w:tabs>
              <w:jc w:val="center"/>
              <w:rPr>
                <w:rFonts w:ascii="Tahoma" w:hAnsi="Tahoma" w:cs="Tahoma"/>
                <w:sz w:val="20"/>
              </w:rPr>
            </w:pPr>
            <w:r>
              <w:rPr>
                <w:rFonts w:ascii="Tahoma" w:hAnsi="Tahoma"/>
                <w:sz w:val="20"/>
              </w:rPr>
              <w:t>RUSFAR</w:t>
            </w:r>
          </w:p>
        </w:tc>
        <w:tc>
          <w:tcPr>
            <w:tcW w:w="1417" w:type="dxa"/>
            <w:vAlign w:val="center"/>
          </w:tcPr>
          <w:p w:rsidR="008528F5" w:rsidRPr="008873C7" w:rsidDel="0027180A" w:rsidRDefault="008528F5" w:rsidP="003A4E12">
            <w:pPr>
              <w:pStyle w:val="a3"/>
              <w:tabs>
                <w:tab w:val="num" w:pos="972"/>
              </w:tabs>
              <w:jc w:val="center"/>
              <w:rPr>
                <w:rFonts w:ascii="Tahoma" w:hAnsi="Tahoma" w:cs="Tahoma"/>
                <w:sz w:val="20"/>
              </w:rPr>
            </w:pPr>
            <w:r>
              <w:rPr>
                <w:rFonts w:ascii="Tahoma" w:hAnsi="Tahoma"/>
                <w:sz w:val="20"/>
              </w:rPr>
              <w:t>Overnight</w:t>
            </w:r>
          </w:p>
        </w:tc>
        <w:tc>
          <w:tcPr>
            <w:tcW w:w="1985" w:type="dxa"/>
            <w:vAlign w:val="center"/>
          </w:tcPr>
          <w:p w:rsidR="008528F5" w:rsidRPr="00E669A8" w:rsidRDefault="008528F5" w:rsidP="003A4E12">
            <w:pPr>
              <w:pStyle w:val="a3"/>
              <w:tabs>
                <w:tab w:val="num" w:pos="972"/>
              </w:tabs>
              <w:jc w:val="center"/>
              <w:rPr>
                <w:rFonts w:ascii="Tahoma" w:hAnsi="Tahoma" w:cs="Tahoma"/>
                <w:sz w:val="20"/>
              </w:rPr>
            </w:pPr>
            <w:r>
              <w:rPr>
                <w:rFonts w:ascii="Tahoma" w:hAnsi="Tahoma"/>
                <w:sz w:val="20"/>
              </w:rPr>
              <w:t>Y0/Y1</w:t>
            </w:r>
          </w:p>
        </w:tc>
        <w:tc>
          <w:tcPr>
            <w:tcW w:w="1985" w:type="dxa"/>
            <w:vAlign w:val="center"/>
          </w:tcPr>
          <w:p w:rsidR="008528F5" w:rsidRPr="008873C7" w:rsidRDefault="008528F5" w:rsidP="003A4E12">
            <w:pPr>
              <w:pStyle w:val="a3"/>
              <w:tabs>
                <w:tab w:val="num" w:pos="972"/>
              </w:tabs>
              <w:jc w:val="center"/>
              <w:rPr>
                <w:rFonts w:ascii="Tahoma" w:hAnsi="Tahoma" w:cs="Tahoma"/>
                <w:sz w:val="20"/>
              </w:rPr>
            </w:pPr>
            <w:r>
              <w:rPr>
                <w:rFonts w:ascii="Tahoma" w:hAnsi="Tahoma"/>
                <w:sz w:val="20"/>
              </w:rPr>
              <w:t>RUB</w:t>
            </w:r>
          </w:p>
        </w:tc>
        <w:tc>
          <w:tcPr>
            <w:tcW w:w="1558" w:type="dxa"/>
            <w:vAlign w:val="center"/>
          </w:tcPr>
          <w:p w:rsidR="008528F5" w:rsidRPr="008873C7" w:rsidRDefault="008528F5" w:rsidP="003A4E12">
            <w:pPr>
              <w:pStyle w:val="a3"/>
              <w:tabs>
                <w:tab w:val="num" w:pos="972"/>
              </w:tabs>
              <w:jc w:val="center"/>
              <w:rPr>
                <w:rFonts w:ascii="Tahoma" w:hAnsi="Tahoma" w:cs="Tahoma"/>
                <w:sz w:val="20"/>
              </w:rPr>
            </w:pPr>
            <w:r>
              <w:rPr>
                <w:rFonts w:ascii="Tahoma" w:hAnsi="Tahoma"/>
                <w:sz w:val="20"/>
              </w:rPr>
              <w:t>12:30 Moscow time</w:t>
            </w:r>
          </w:p>
        </w:tc>
        <w:tc>
          <w:tcPr>
            <w:tcW w:w="1276" w:type="dxa"/>
            <w:vAlign w:val="center"/>
          </w:tcPr>
          <w:p w:rsidR="008528F5" w:rsidRPr="008873C7" w:rsidRDefault="008528F5" w:rsidP="003A4E12">
            <w:pPr>
              <w:pStyle w:val="a3"/>
              <w:tabs>
                <w:tab w:val="num" w:pos="972"/>
              </w:tabs>
              <w:jc w:val="center"/>
              <w:rPr>
                <w:rFonts w:ascii="Tahoma" w:hAnsi="Tahoma" w:cs="Tahoma"/>
                <w:sz w:val="20"/>
              </w:rPr>
            </w:pPr>
            <w:r>
              <w:rPr>
                <w:rFonts w:ascii="Tahoma" w:hAnsi="Tahoma"/>
                <w:sz w:val="20"/>
              </w:rPr>
              <w:t>7.5</w:t>
            </w:r>
          </w:p>
        </w:tc>
        <w:tc>
          <w:tcPr>
            <w:tcW w:w="1418" w:type="dxa"/>
            <w:vAlign w:val="center"/>
          </w:tcPr>
          <w:p w:rsidR="008528F5" w:rsidRPr="008873C7" w:rsidRDefault="008528F5" w:rsidP="003A4E12">
            <w:pPr>
              <w:jc w:val="center"/>
              <w:rPr>
                <w:rFonts w:ascii="Tahoma" w:hAnsi="Tahoma" w:cs="Tahoma"/>
                <w:sz w:val="20"/>
                <w:szCs w:val="20"/>
              </w:rPr>
            </w:pPr>
            <w:r>
              <w:rPr>
                <w:rFonts w:ascii="Tahoma" w:hAnsi="Tahoma"/>
                <w:sz w:val="20"/>
              </w:rPr>
              <w:t>09 January 2018</w:t>
            </w:r>
          </w:p>
        </w:tc>
      </w:tr>
    </w:tbl>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sectPr w:rsidR="008528F5" w:rsidRPr="008873C7" w:rsidSect="00F50541">
          <w:footerReference w:type="even" r:id="rId23"/>
          <w:footerReference w:type="default" r:id="rId24"/>
          <w:pgSz w:w="16838" w:h="11906" w:orient="landscape"/>
          <w:pgMar w:top="1418" w:right="1077" w:bottom="1134" w:left="1077" w:header="709" w:footer="709" w:gutter="0"/>
          <w:cols w:space="708"/>
          <w:titlePg/>
          <w:docGrid w:linePitch="360"/>
        </w:sectPr>
      </w:pPr>
    </w:p>
    <w:p w:rsidR="008528F5" w:rsidRPr="008873C7" w:rsidRDefault="008528F5" w:rsidP="008528F5">
      <w:pPr>
        <w:pStyle w:val="a3"/>
        <w:rPr>
          <w:rFonts w:ascii="Tahoma" w:hAnsi="Tahoma" w:cs="Tahoma"/>
          <w:b/>
          <w:sz w:val="22"/>
          <w:szCs w:val="22"/>
        </w:rPr>
      </w:pPr>
      <w:r>
        <w:rPr>
          <w:rFonts w:ascii="Tahoma" w:hAnsi="Tahoma"/>
          <w:b/>
          <w:sz w:val="22"/>
        </w:rPr>
        <w:t>Appendix 2 to the RUSFAR Indicator Calculation Methodology</w:t>
      </w:r>
    </w:p>
    <w:p w:rsidR="008528F5" w:rsidRPr="00F01274" w:rsidRDefault="008528F5" w:rsidP="008528F5">
      <w:pPr>
        <w:pStyle w:val="a3"/>
        <w:jc w:val="right"/>
        <w:rPr>
          <w:rFonts w:ascii="Tahoma" w:hAnsi="Tahoma" w:cs="Tahoma"/>
          <w:b/>
          <w:sz w:val="22"/>
          <w:szCs w:val="22"/>
          <w:lang w:val="en-US" w:eastAsia="ru-RU"/>
        </w:rPr>
      </w:pPr>
    </w:p>
    <w:tbl>
      <w:tblPr>
        <w:tblW w:w="1190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070"/>
        <w:gridCol w:w="5141"/>
      </w:tblGrid>
      <w:tr w:rsidR="008528F5" w:rsidTr="003A4E12">
        <w:tc>
          <w:tcPr>
            <w:tcW w:w="1695" w:type="dxa"/>
            <w:vAlign w:val="center"/>
          </w:tcPr>
          <w:p w:rsidR="008528F5" w:rsidRPr="008873C7" w:rsidRDefault="008528F5" w:rsidP="003A4E12">
            <w:pPr>
              <w:tabs>
                <w:tab w:val="num" w:pos="972"/>
              </w:tabs>
              <w:jc w:val="center"/>
              <w:rPr>
                <w:rFonts w:ascii="Tahoma" w:hAnsi="Tahoma" w:cs="Tahoma"/>
                <w:b/>
                <w:sz w:val="20"/>
                <w:szCs w:val="20"/>
              </w:rPr>
            </w:pPr>
            <w:r>
              <w:rPr>
                <w:rFonts w:ascii="Tahoma" w:hAnsi="Tahoma"/>
                <w:b/>
                <w:sz w:val="20"/>
              </w:rPr>
              <w:t>Indicator code</w:t>
            </w:r>
          </w:p>
        </w:tc>
        <w:tc>
          <w:tcPr>
            <w:tcW w:w="5070" w:type="dxa"/>
            <w:vAlign w:val="center"/>
          </w:tcPr>
          <w:p w:rsidR="008528F5" w:rsidRPr="008873C7" w:rsidRDefault="008528F5" w:rsidP="003A4E12">
            <w:pPr>
              <w:jc w:val="center"/>
              <w:rPr>
                <w:rFonts w:ascii="Tahoma" w:hAnsi="Tahoma" w:cs="Tahoma"/>
                <w:b/>
                <w:sz w:val="20"/>
                <w:szCs w:val="20"/>
              </w:rPr>
            </w:pPr>
            <w:r>
              <w:rPr>
                <w:rFonts w:ascii="Tahoma" w:hAnsi="Tahoma"/>
                <w:b/>
                <w:sz w:val="20"/>
              </w:rPr>
              <w:t>Minimum order size per Price Level</w:t>
            </w:r>
          </w:p>
        </w:tc>
        <w:tc>
          <w:tcPr>
            <w:tcW w:w="5141" w:type="dxa"/>
            <w:vAlign w:val="center"/>
          </w:tcPr>
          <w:p w:rsidR="008528F5" w:rsidRPr="008873C7" w:rsidRDefault="008528F5" w:rsidP="003A4E12">
            <w:pPr>
              <w:jc w:val="center"/>
              <w:rPr>
                <w:rFonts w:ascii="Tahoma" w:hAnsi="Tahoma" w:cs="Tahoma"/>
                <w:b/>
                <w:sz w:val="20"/>
                <w:szCs w:val="20"/>
              </w:rPr>
            </w:pPr>
            <w:r>
              <w:rPr>
                <w:rFonts w:ascii="Tahoma" w:hAnsi="Tahoma"/>
                <w:b/>
                <w:sz w:val="20"/>
              </w:rPr>
              <w:t>Maximum volume of transactions per Price Level.</w:t>
            </w:r>
          </w:p>
        </w:tc>
      </w:tr>
      <w:tr w:rsidR="008528F5" w:rsidTr="003A4E12">
        <w:tc>
          <w:tcPr>
            <w:tcW w:w="1695" w:type="dxa"/>
            <w:vAlign w:val="center"/>
          </w:tcPr>
          <w:p w:rsidR="008528F5" w:rsidRPr="008873C7" w:rsidRDefault="008528F5" w:rsidP="003A4E12">
            <w:pPr>
              <w:tabs>
                <w:tab w:val="num" w:pos="972"/>
              </w:tabs>
              <w:spacing w:after="120"/>
              <w:jc w:val="center"/>
              <w:rPr>
                <w:rFonts w:ascii="Tahoma" w:hAnsi="Tahoma" w:cs="Tahoma"/>
                <w:sz w:val="20"/>
                <w:szCs w:val="20"/>
              </w:rPr>
            </w:pPr>
            <w:r>
              <w:rPr>
                <w:rFonts w:ascii="Tahoma" w:hAnsi="Tahoma"/>
                <w:sz w:val="20"/>
              </w:rPr>
              <w:t>RUSFAR</w:t>
            </w:r>
          </w:p>
        </w:tc>
        <w:tc>
          <w:tcPr>
            <w:tcW w:w="5070" w:type="dxa"/>
            <w:vAlign w:val="center"/>
          </w:tcPr>
          <w:p w:rsidR="008528F5" w:rsidRPr="008873C7" w:rsidRDefault="008528F5" w:rsidP="003A4E12">
            <w:pPr>
              <w:jc w:val="center"/>
              <w:rPr>
                <w:rFonts w:ascii="Tahoma" w:hAnsi="Tahoma" w:cs="Tahoma"/>
                <w:sz w:val="20"/>
                <w:szCs w:val="20"/>
              </w:rPr>
            </w:pPr>
            <w:r>
              <w:rPr>
                <w:rFonts w:ascii="Tahoma" w:hAnsi="Tahoma"/>
                <w:sz w:val="20"/>
              </w:rPr>
              <w:t>RUB 20,000,000</w:t>
            </w:r>
          </w:p>
        </w:tc>
        <w:tc>
          <w:tcPr>
            <w:tcW w:w="5141" w:type="dxa"/>
            <w:vAlign w:val="center"/>
          </w:tcPr>
          <w:p w:rsidR="008528F5" w:rsidRPr="008873C7" w:rsidRDefault="008528F5" w:rsidP="003A4E12">
            <w:pPr>
              <w:jc w:val="center"/>
              <w:rPr>
                <w:rFonts w:ascii="Tahoma" w:hAnsi="Tahoma" w:cs="Tahoma"/>
                <w:sz w:val="20"/>
                <w:szCs w:val="20"/>
              </w:rPr>
            </w:pPr>
            <w:r>
              <w:rPr>
                <w:rFonts w:ascii="Tahoma" w:hAnsi="Tahoma"/>
                <w:sz w:val="20"/>
              </w:rPr>
              <w:t>RUB 3,000,000,000</w:t>
            </w:r>
          </w:p>
        </w:tc>
      </w:tr>
    </w:tbl>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spacing w:after="120"/>
        <w:rPr>
          <w:rFonts w:ascii="Tahoma" w:hAnsi="Tahoma" w:cs="Tahoma"/>
          <w:sz w:val="26"/>
          <w:szCs w:val="26"/>
        </w:rPr>
      </w:pPr>
    </w:p>
    <w:p w:rsidR="008528F5" w:rsidRPr="008873C7" w:rsidRDefault="008528F5" w:rsidP="008528F5">
      <w:pPr>
        <w:pStyle w:val="a3"/>
        <w:jc w:val="right"/>
        <w:rPr>
          <w:rFonts w:ascii="Tahoma" w:hAnsi="Tahoma" w:cs="Tahoma"/>
          <w:b/>
          <w:sz w:val="22"/>
          <w:szCs w:val="22"/>
        </w:rPr>
      </w:pPr>
      <w:bookmarkStart w:id="83" w:name="_Hlk207120768"/>
    </w:p>
    <w:p w:rsidR="008528F5" w:rsidRPr="008873C7" w:rsidRDefault="008528F5" w:rsidP="008528F5">
      <w:pPr>
        <w:pStyle w:val="a3"/>
        <w:rPr>
          <w:rFonts w:ascii="Tahoma" w:hAnsi="Tahoma" w:cs="Tahoma"/>
          <w:b/>
          <w:sz w:val="22"/>
          <w:szCs w:val="22"/>
        </w:rPr>
      </w:pPr>
      <w:r>
        <w:rPr>
          <w:rFonts w:ascii="Tahoma" w:hAnsi="Tahoma"/>
          <w:b/>
          <w:sz w:val="22"/>
        </w:rPr>
        <w:t>App</w:t>
      </w:r>
      <w:bookmarkStart w:id="84" w:name="_GoBack"/>
      <w:bookmarkEnd w:id="84"/>
      <w:r>
        <w:rPr>
          <w:rFonts w:ascii="Tahoma" w:hAnsi="Tahoma"/>
          <w:b/>
          <w:sz w:val="22"/>
        </w:rPr>
        <w:t>endix 3 to the RUSFAR Indicator Calculation Methodology</w:t>
      </w:r>
    </w:p>
    <w:p w:rsidR="008528F5" w:rsidRPr="008873C7" w:rsidRDefault="008528F5" w:rsidP="008528F5">
      <w:pPr>
        <w:spacing w:after="120"/>
        <w:jc w:val="right"/>
        <w:rPr>
          <w:rFonts w:ascii="Tahoma" w:hAnsi="Tahoma" w:cs="Tahoma"/>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388"/>
        <w:gridCol w:w="4614"/>
      </w:tblGrid>
      <w:tr w:rsidR="008528F5" w:rsidTr="003A4E12">
        <w:trPr>
          <w:trHeight w:val="1112"/>
        </w:trPr>
        <w:tc>
          <w:tcPr>
            <w:tcW w:w="1592" w:type="pct"/>
            <w:shd w:val="clear" w:color="auto" w:fill="auto"/>
            <w:vAlign w:val="center"/>
            <w:hideMark/>
          </w:tcPr>
          <w:p w:rsidR="008528F5" w:rsidRPr="008873C7" w:rsidRDefault="008528F5" w:rsidP="003A4E12">
            <w:pPr>
              <w:rPr>
                <w:rFonts w:ascii="Tahoma" w:hAnsi="Tahoma" w:cs="Tahoma"/>
                <w:b/>
                <w:color w:val="000000"/>
                <w:sz w:val="20"/>
                <w:szCs w:val="20"/>
              </w:rPr>
            </w:pPr>
            <w:r>
              <w:rPr>
                <w:rFonts w:ascii="Tahoma" w:hAnsi="Tahoma"/>
                <w:b/>
                <w:color w:val="000000"/>
                <w:sz w:val="20"/>
              </w:rPr>
              <w:t>Error Description</w:t>
            </w:r>
          </w:p>
        </w:tc>
        <w:tc>
          <w:tcPr>
            <w:tcW w:w="1836" w:type="pct"/>
            <w:shd w:val="clear" w:color="auto" w:fill="auto"/>
            <w:vAlign w:val="center"/>
            <w:hideMark/>
          </w:tcPr>
          <w:p w:rsidR="008528F5" w:rsidRPr="008873C7" w:rsidRDefault="008528F5" w:rsidP="003A4E12">
            <w:pPr>
              <w:jc w:val="center"/>
              <w:rPr>
                <w:rFonts w:ascii="Tahoma" w:hAnsi="Tahoma" w:cs="Tahoma"/>
                <w:b/>
                <w:color w:val="000000"/>
                <w:sz w:val="20"/>
                <w:szCs w:val="20"/>
              </w:rPr>
            </w:pPr>
            <w:r>
              <w:rPr>
                <w:rFonts w:ascii="Tahoma" w:hAnsi="Tahoma"/>
                <w:b/>
                <w:color w:val="000000"/>
                <w:sz w:val="20"/>
              </w:rPr>
              <w:t>Recalculation Decision Criteria</w:t>
            </w:r>
          </w:p>
        </w:tc>
        <w:tc>
          <w:tcPr>
            <w:tcW w:w="1572" w:type="pct"/>
            <w:vAlign w:val="center"/>
          </w:tcPr>
          <w:p w:rsidR="008528F5" w:rsidRPr="008873C7" w:rsidRDefault="008528F5" w:rsidP="003A4E12">
            <w:pPr>
              <w:jc w:val="center"/>
              <w:rPr>
                <w:rFonts w:ascii="Tahoma" w:hAnsi="Tahoma" w:cs="Tahoma"/>
                <w:b/>
                <w:color w:val="000000"/>
                <w:sz w:val="20"/>
                <w:szCs w:val="20"/>
              </w:rPr>
            </w:pPr>
            <w:r>
              <w:rPr>
                <w:rFonts w:ascii="Tahoma" w:hAnsi="Tahoma"/>
                <w:b/>
                <w:color w:val="000000"/>
                <w:sz w:val="20"/>
              </w:rPr>
              <w:t>Error Correction Measures</w:t>
            </w:r>
          </w:p>
        </w:tc>
      </w:tr>
      <w:tr w:rsidR="008528F5" w:rsidTr="003A4E12">
        <w:trPr>
          <w:trHeight w:val="1112"/>
        </w:trPr>
        <w:tc>
          <w:tcPr>
            <w:tcW w:w="1592" w:type="pct"/>
            <w:shd w:val="clear" w:color="auto" w:fill="auto"/>
            <w:vAlign w:val="center"/>
            <w:hideMark/>
          </w:tcPr>
          <w:p w:rsidR="008528F5" w:rsidRPr="008873C7" w:rsidRDefault="008528F5" w:rsidP="003A4E12">
            <w:pPr>
              <w:rPr>
                <w:rFonts w:ascii="Tahoma" w:hAnsi="Tahoma" w:cs="Tahoma"/>
                <w:color w:val="000000"/>
                <w:sz w:val="20"/>
                <w:szCs w:val="20"/>
              </w:rPr>
            </w:pPr>
            <w:r>
              <w:rPr>
                <w:rFonts w:ascii="Tahoma" w:hAnsi="Tahoma"/>
                <w:color w:val="000000"/>
                <w:sz w:val="20"/>
              </w:rPr>
              <w:t xml:space="preserve">Incorrect source or auxiliary data </w:t>
            </w:r>
          </w:p>
        </w:tc>
        <w:tc>
          <w:tcPr>
            <w:tcW w:w="1836" w:type="pct"/>
            <w:shd w:val="clear" w:color="auto" w:fill="auto"/>
            <w:vAlign w:val="center"/>
            <w:hideMark/>
          </w:tcPr>
          <w:p w:rsidR="008528F5" w:rsidRPr="008873C7" w:rsidRDefault="008528F5" w:rsidP="003A4E12">
            <w:pPr>
              <w:rPr>
                <w:rFonts w:ascii="Tahoma" w:hAnsi="Tahoma" w:cs="Tahoma"/>
                <w:color w:val="000000"/>
                <w:sz w:val="20"/>
                <w:szCs w:val="20"/>
              </w:rPr>
            </w:pPr>
            <w:r>
              <w:rPr>
                <w:rFonts w:ascii="Tahoma" w:hAnsi="Tahoma"/>
                <w:color w:val="000000"/>
                <w:sz w:val="20"/>
              </w:rPr>
              <w:t>Error identified within two years of Indicator publication, and the relative deviation of the Indicator due to the error exceeds 5%</w:t>
            </w:r>
          </w:p>
        </w:tc>
        <w:tc>
          <w:tcPr>
            <w:tcW w:w="1572" w:type="pct"/>
          </w:tcPr>
          <w:p w:rsidR="008528F5" w:rsidRPr="008873C7" w:rsidRDefault="008528F5" w:rsidP="003A4E12">
            <w:pPr>
              <w:rPr>
                <w:rFonts w:ascii="Tahoma" w:hAnsi="Tahoma" w:cs="Tahoma"/>
                <w:color w:val="000000"/>
                <w:sz w:val="20"/>
                <w:szCs w:val="20"/>
              </w:rPr>
            </w:pPr>
            <w:r>
              <w:rPr>
                <w:rFonts w:ascii="Tahoma" w:hAnsi="Tahoma"/>
                <w:color w:val="000000"/>
                <w:sz w:val="20"/>
              </w:rPr>
              <w:t>Recalculate Indicator values</w:t>
            </w:r>
          </w:p>
        </w:tc>
      </w:tr>
      <w:tr w:rsidR="008528F5" w:rsidTr="003A4E12">
        <w:trPr>
          <w:trHeight w:val="1112"/>
        </w:trPr>
        <w:tc>
          <w:tcPr>
            <w:tcW w:w="1592" w:type="pct"/>
            <w:shd w:val="clear" w:color="auto" w:fill="auto"/>
            <w:vAlign w:val="center"/>
          </w:tcPr>
          <w:p w:rsidR="008528F5" w:rsidRPr="008873C7" w:rsidRDefault="008528F5" w:rsidP="003A4E12">
            <w:pPr>
              <w:rPr>
                <w:rFonts w:ascii="Tahoma" w:hAnsi="Tahoma" w:cs="Tahoma"/>
                <w:color w:val="000000"/>
                <w:sz w:val="20"/>
                <w:szCs w:val="20"/>
              </w:rPr>
            </w:pPr>
            <w:r>
              <w:rPr>
                <w:rFonts w:ascii="Tahoma" w:hAnsi="Tahoma"/>
                <w:color w:val="000000"/>
                <w:sz w:val="20"/>
              </w:rPr>
              <w:t>Incorrect application of the Methodology</w:t>
            </w:r>
          </w:p>
        </w:tc>
        <w:tc>
          <w:tcPr>
            <w:tcW w:w="1836" w:type="pct"/>
            <w:shd w:val="clear" w:color="auto" w:fill="auto"/>
            <w:vAlign w:val="center"/>
          </w:tcPr>
          <w:p w:rsidR="008528F5" w:rsidRPr="008873C7" w:rsidRDefault="008528F5" w:rsidP="003A4E12">
            <w:pPr>
              <w:rPr>
                <w:rFonts w:ascii="Tahoma" w:hAnsi="Tahoma" w:cs="Tahoma"/>
                <w:color w:val="000000"/>
                <w:sz w:val="20"/>
                <w:szCs w:val="20"/>
              </w:rPr>
            </w:pPr>
            <w:r>
              <w:rPr>
                <w:rFonts w:ascii="Tahoma" w:hAnsi="Tahoma"/>
                <w:color w:val="000000"/>
                <w:sz w:val="20"/>
              </w:rPr>
              <w:t>Error identified within two years of Indicator publication, and the relative deviation of the Indicator due to the error exceeds 5%</w:t>
            </w:r>
          </w:p>
        </w:tc>
        <w:tc>
          <w:tcPr>
            <w:tcW w:w="1572" w:type="pct"/>
          </w:tcPr>
          <w:p w:rsidR="008528F5" w:rsidRPr="008873C7" w:rsidRDefault="008528F5" w:rsidP="003A4E12">
            <w:pPr>
              <w:rPr>
                <w:rFonts w:ascii="Tahoma" w:hAnsi="Tahoma" w:cs="Tahoma"/>
                <w:color w:val="000000"/>
                <w:sz w:val="20"/>
                <w:szCs w:val="20"/>
              </w:rPr>
            </w:pPr>
            <w:r>
              <w:rPr>
                <w:rFonts w:ascii="Tahoma" w:hAnsi="Tahoma"/>
                <w:color w:val="000000"/>
                <w:sz w:val="20"/>
              </w:rPr>
              <w:t>Recalculate Indicator values; amend the Methodology and/or Indicator calculation systems</w:t>
            </w:r>
          </w:p>
        </w:tc>
      </w:tr>
      <w:tr w:rsidR="008528F5" w:rsidTr="003A4E12">
        <w:trPr>
          <w:trHeight w:val="1112"/>
        </w:trPr>
        <w:tc>
          <w:tcPr>
            <w:tcW w:w="1592" w:type="pct"/>
            <w:shd w:val="clear" w:color="auto" w:fill="auto"/>
            <w:vAlign w:val="center"/>
          </w:tcPr>
          <w:p w:rsidR="008528F5" w:rsidRPr="008873C7" w:rsidRDefault="008528F5" w:rsidP="003A4E12">
            <w:pPr>
              <w:rPr>
                <w:rFonts w:ascii="Tahoma" w:hAnsi="Tahoma" w:cs="Tahoma"/>
                <w:color w:val="000000"/>
                <w:sz w:val="20"/>
                <w:szCs w:val="20"/>
              </w:rPr>
            </w:pPr>
            <w:r>
              <w:rPr>
                <w:rFonts w:ascii="Tahoma" w:hAnsi="Tahoma"/>
                <w:color w:val="000000"/>
                <w:sz w:val="20"/>
              </w:rPr>
              <w:t>Software error</w:t>
            </w:r>
          </w:p>
        </w:tc>
        <w:tc>
          <w:tcPr>
            <w:tcW w:w="1836" w:type="pct"/>
            <w:shd w:val="clear" w:color="auto" w:fill="auto"/>
            <w:vAlign w:val="center"/>
          </w:tcPr>
          <w:p w:rsidR="008528F5" w:rsidRPr="008873C7" w:rsidRDefault="008528F5" w:rsidP="003A4E12">
            <w:pPr>
              <w:rPr>
                <w:rFonts w:ascii="Tahoma" w:hAnsi="Tahoma" w:cs="Tahoma"/>
                <w:color w:val="000000"/>
                <w:sz w:val="20"/>
                <w:szCs w:val="20"/>
              </w:rPr>
            </w:pPr>
            <w:r>
              <w:rPr>
                <w:rFonts w:ascii="Tahoma" w:hAnsi="Tahoma"/>
                <w:color w:val="000000"/>
                <w:sz w:val="20"/>
              </w:rPr>
              <w:t>Error identified within two years of Indicator publication, and the relative deviation of the Indicator due to the error exceeds 5%</w:t>
            </w:r>
          </w:p>
        </w:tc>
        <w:tc>
          <w:tcPr>
            <w:tcW w:w="1572" w:type="pct"/>
          </w:tcPr>
          <w:p w:rsidR="008528F5" w:rsidRPr="008B1545" w:rsidRDefault="008528F5" w:rsidP="003A4E12">
            <w:pPr>
              <w:rPr>
                <w:rFonts w:ascii="Tahoma" w:hAnsi="Tahoma" w:cs="Tahoma"/>
                <w:color w:val="000000"/>
                <w:sz w:val="20"/>
                <w:szCs w:val="20"/>
              </w:rPr>
            </w:pPr>
            <w:r>
              <w:rPr>
                <w:rFonts w:ascii="Tahoma" w:hAnsi="Tahoma"/>
                <w:color w:val="000000"/>
                <w:sz w:val="20"/>
              </w:rPr>
              <w:t>Recalculate Indicator values</w:t>
            </w:r>
          </w:p>
        </w:tc>
      </w:tr>
      <w:bookmarkEnd w:id="83"/>
    </w:tbl>
    <w:p w:rsidR="008528F5" w:rsidRPr="00E10D2C" w:rsidRDefault="008528F5" w:rsidP="008528F5">
      <w:pPr>
        <w:spacing w:after="120"/>
        <w:rPr>
          <w:rFonts w:ascii="Tahoma" w:hAnsi="Tahoma" w:cs="Tahoma"/>
          <w:sz w:val="26"/>
          <w:szCs w:val="26"/>
        </w:rPr>
      </w:pPr>
    </w:p>
    <w:p w:rsidR="001B2E7A" w:rsidRDefault="001B2E7A"/>
    <w:sectPr w:rsidR="001B2E7A" w:rsidSect="00FC2E05">
      <w:pgSz w:w="16838" w:h="11906" w:orient="landscape"/>
      <w:pgMar w:top="1418" w:right="1077" w:bottom="1134" w:left="107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729865"/>
      <w:docPartObj>
        <w:docPartGallery w:val="Page Numbers (Bottom of Page)"/>
        <w:docPartUnique/>
      </w:docPartObj>
    </w:sdtPr>
    <w:sdtEndPr/>
    <w:sdtContent>
      <w:p w:rsidR="00AB258B" w:rsidRDefault="008528F5">
        <w:pPr>
          <w:pStyle w:val="a6"/>
          <w:jc w:val="right"/>
        </w:pPr>
        <w:r>
          <w:fldChar w:fldCharType="begin"/>
        </w:r>
        <w:r>
          <w:instrText>PAGE   \* MERGEFORMAT</w:instrText>
        </w:r>
        <w:r>
          <w:fldChar w:fldCharType="separate"/>
        </w:r>
        <w:r>
          <w:t>2</w:t>
        </w:r>
        <w:r>
          <w:fldChar w:fldCharType="end"/>
        </w:r>
      </w:p>
    </w:sdtContent>
  </w:sdt>
  <w:p w:rsidR="00AB258B" w:rsidRDefault="008528F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58B" w:rsidRDefault="008528F5" w:rsidP="002606A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rsidR="00AB258B" w:rsidRDefault="008528F5" w:rsidP="0052580F">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58B" w:rsidRPr="006D19CD" w:rsidRDefault="008528F5" w:rsidP="002606AA">
    <w:pPr>
      <w:pStyle w:val="a6"/>
      <w:framePr w:wrap="around" w:vAnchor="text" w:hAnchor="margin" w:xAlign="right" w:y="1"/>
      <w:rPr>
        <w:rStyle w:val="a8"/>
        <w:rFonts w:ascii="Arial" w:hAnsi="Arial" w:cs="Arial"/>
        <w:sz w:val="20"/>
        <w:szCs w:val="20"/>
      </w:rPr>
    </w:pPr>
    <w:r w:rsidRPr="006D19CD">
      <w:rPr>
        <w:rStyle w:val="a8"/>
        <w:rFonts w:ascii="Arial" w:hAnsi="Arial" w:cs="Arial"/>
        <w:sz w:val="20"/>
      </w:rPr>
      <w:fldChar w:fldCharType="begin"/>
    </w:r>
    <w:r w:rsidRPr="006D19CD">
      <w:rPr>
        <w:rStyle w:val="a8"/>
        <w:rFonts w:ascii="Arial" w:hAnsi="Arial" w:cs="Arial"/>
        <w:sz w:val="20"/>
      </w:rPr>
      <w:instrText xml:space="preserve">PAGE  </w:instrText>
    </w:r>
    <w:r w:rsidRPr="006D19CD">
      <w:rPr>
        <w:rStyle w:val="a8"/>
        <w:rFonts w:ascii="Arial" w:hAnsi="Arial" w:cs="Arial"/>
        <w:sz w:val="20"/>
      </w:rPr>
      <w:fldChar w:fldCharType="separate"/>
    </w:r>
    <w:r>
      <w:rPr>
        <w:rStyle w:val="a8"/>
        <w:rFonts w:ascii="Arial" w:hAnsi="Arial" w:cs="Arial"/>
        <w:sz w:val="20"/>
      </w:rPr>
      <w:t>12</w:t>
    </w:r>
    <w:r w:rsidRPr="006D19CD">
      <w:rPr>
        <w:rStyle w:val="a8"/>
        <w:rFonts w:ascii="Arial" w:hAnsi="Arial" w:cs="Arial"/>
        <w:sz w:val="20"/>
      </w:rPr>
      <w:fldChar w:fldCharType="end"/>
    </w:r>
  </w:p>
  <w:p w:rsidR="00AB258B" w:rsidRDefault="008528F5" w:rsidP="0052580F">
    <w:pPr>
      <w:pStyle w:val="a6"/>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3C8B"/>
    <w:multiLevelType w:val="hybridMultilevel"/>
    <w:tmpl w:val="9DFAF3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540C289A"/>
    <w:multiLevelType w:val="multilevel"/>
    <w:tmpl w:val="CD560EA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rPr>
    </w:lvl>
    <w:lvl w:ilvl="3">
      <w:start w:val="1"/>
      <w:numFmt w:val="decimal"/>
      <w:lvlText w:val="%1.%2.%3.%4."/>
      <w:lvlJc w:val="left"/>
      <w:pPr>
        <w:tabs>
          <w:tab w:val="num" w:pos="1996"/>
        </w:tabs>
        <w:ind w:left="1924"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F5"/>
    <w:rsid w:val="00105E8F"/>
    <w:rsid w:val="001B2E7A"/>
    <w:rsid w:val="001C7C7B"/>
    <w:rsid w:val="00541D2C"/>
    <w:rsid w:val="005A17FD"/>
    <w:rsid w:val="0071052F"/>
    <w:rsid w:val="00741597"/>
    <w:rsid w:val="008528F5"/>
    <w:rsid w:val="009500B1"/>
    <w:rsid w:val="00EB38EB"/>
    <w:rsid w:val="00FC1982"/>
    <w:rsid w:val="00FE3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D738"/>
  <w15:chartTrackingRefBased/>
  <w15:docId w15:val="{CAE286BE-51B8-4E6B-BD58-AA281A9E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28F5"/>
    <w:pPr>
      <w:spacing w:after="0" w:line="240" w:lineRule="auto"/>
    </w:pPr>
    <w:rPr>
      <w:rFonts w:ascii="Times New Roman" w:eastAsia="Times New Roman" w:hAnsi="Times New Roman" w:cs="Times New Roman"/>
      <w:sz w:val="24"/>
      <w:szCs w:val="24"/>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528F5"/>
    <w:pPr>
      <w:spacing w:after="120"/>
    </w:pPr>
    <w:rPr>
      <w:szCs w:val="20"/>
      <w:lang w:eastAsia="x-none"/>
    </w:rPr>
  </w:style>
  <w:style w:type="character" w:customStyle="1" w:styleId="a4">
    <w:name w:val="Основной текст Знак"/>
    <w:basedOn w:val="a0"/>
    <w:link w:val="a3"/>
    <w:rsid w:val="008528F5"/>
    <w:rPr>
      <w:rFonts w:ascii="Times New Roman" w:eastAsia="Times New Roman" w:hAnsi="Times New Roman" w:cs="Times New Roman"/>
      <w:sz w:val="24"/>
      <w:szCs w:val="20"/>
      <w:lang w:val="en-GB" w:eastAsia="x-none"/>
    </w:rPr>
  </w:style>
  <w:style w:type="character" w:styleId="a5">
    <w:name w:val="Hyperlink"/>
    <w:uiPriority w:val="99"/>
    <w:rsid w:val="008528F5"/>
    <w:rPr>
      <w:rFonts w:cs="Times New Roman"/>
      <w:color w:val="0000FF"/>
      <w:u w:val="single"/>
    </w:rPr>
  </w:style>
  <w:style w:type="paragraph" w:styleId="a6">
    <w:name w:val="footer"/>
    <w:basedOn w:val="a"/>
    <w:link w:val="a7"/>
    <w:uiPriority w:val="99"/>
    <w:rsid w:val="008528F5"/>
    <w:pPr>
      <w:tabs>
        <w:tab w:val="center" w:pos="4677"/>
        <w:tab w:val="right" w:pos="9355"/>
      </w:tabs>
    </w:pPr>
  </w:style>
  <w:style w:type="character" w:customStyle="1" w:styleId="a7">
    <w:name w:val="Нижний колонтитул Знак"/>
    <w:basedOn w:val="a0"/>
    <w:link w:val="a6"/>
    <w:uiPriority w:val="99"/>
    <w:rsid w:val="008528F5"/>
    <w:rPr>
      <w:rFonts w:ascii="Times New Roman" w:eastAsia="Times New Roman" w:hAnsi="Times New Roman" w:cs="Times New Roman"/>
      <w:sz w:val="24"/>
      <w:szCs w:val="24"/>
      <w:lang w:val="en-GB" w:eastAsia="ru-RU"/>
    </w:rPr>
  </w:style>
  <w:style w:type="character" w:styleId="a8">
    <w:name w:val="page number"/>
    <w:rsid w:val="008528F5"/>
    <w:rPr>
      <w:rFonts w:cs="Times New Roman"/>
    </w:rPr>
  </w:style>
  <w:style w:type="paragraph" w:customStyle="1" w:styleId="Iauiue">
    <w:name w:val="Iau?iue"/>
    <w:rsid w:val="008528F5"/>
    <w:pPr>
      <w:spacing w:after="0" w:line="240" w:lineRule="auto"/>
    </w:pPr>
    <w:rPr>
      <w:rFonts w:ascii="Times New Roman" w:eastAsia="Times New Roman" w:hAnsi="Times New Roman" w:cs="Times New Roman"/>
      <w:sz w:val="20"/>
      <w:szCs w:val="20"/>
      <w:lang w:val="en-GB" w:eastAsia="ru-RU"/>
    </w:rPr>
  </w:style>
  <w:style w:type="paragraph" w:styleId="1">
    <w:name w:val="toc 1"/>
    <w:basedOn w:val="a"/>
    <w:next w:val="a"/>
    <w:autoRedefine/>
    <w:uiPriority w:val="39"/>
    <w:rsid w:val="008528F5"/>
    <w:pPr>
      <w:widowControl w:val="0"/>
      <w:tabs>
        <w:tab w:val="left" w:pos="480"/>
        <w:tab w:val="right" w:leader="dot" w:pos="9344"/>
      </w:tabs>
      <w:spacing w:before="120" w:after="120"/>
      <w:ind w:left="68"/>
    </w:pPr>
    <w:rPr>
      <w:rFonts w:ascii="Arial" w:hAnsi="Arial" w:cs="Arial"/>
      <w:b/>
      <w:bCs/>
      <w:caps/>
    </w:rPr>
  </w:style>
  <w:style w:type="paragraph" w:styleId="a9">
    <w:name w:val="List Paragraph"/>
    <w:basedOn w:val="a"/>
    <w:uiPriority w:val="34"/>
    <w:qFormat/>
    <w:rsid w:val="008528F5"/>
    <w:pPr>
      <w:ind w:left="708"/>
    </w:pPr>
  </w:style>
  <w:style w:type="paragraph" w:styleId="aa">
    <w:name w:val="No Spacing"/>
    <w:uiPriority w:val="1"/>
    <w:qFormat/>
    <w:rsid w:val="008528F5"/>
    <w:pPr>
      <w:spacing w:after="0" w:line="240" w:lineRule="auto"/>
    </w:pPr>
    <w:rPr>
      <w:rFonts w:ascii="Calibri" w:eastAsia="Calibri" w:hAnsi="Calibri" w:cs="Times New Roman"/>
      <w:lang w:val="en-GB"/>
    </w:rPr>
  </w:style>
  <w:style w:type="paragraph" w:customStyle="1" w:styleId="ab">
    <w:name w:val="Уровень Формул текст"/>
    <w:basedOn w:val="a"/>
    <w:link w:val="ac"/>
    <w:qFormat/>
    <w:rsid w:val="008528F5"/>
    <w:pPr>
      <w:spacing w:after="120"/>
      <w:ind w:left="1559"/>
      <w:contextualSpacing/>
      <w:jc w:val="both"/>
    </w:pPr>
    <w:rPr>
      <w:rFonts w:ascii="Tahoma" w:hAnsi="Tahoma"/>
      <w:sz w:val="20"/>
      <w:szCs w:val="20"/>
      <w:lang w:eastAsia="x-none"/>
    </w:rPr>
  </w:style>
  <w:style w:type="character" w:customStyle="1" w:styleId="ac">
    <w:name w:val="Уровень Формул текст Знак"/>
    <w:link w:val="ab"/>
    <w:rsid w:val="008528F5"/>
    <w:rPr>
      <w:rFonts w:ascii="Tahoma" w:eastAsia="Times New Roman" w:hAnsi="Tahoma" w:cs="Times New Roman"/>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footer" Target="footer3.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oter" Target="footer2.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3024</Words>
  <Characters>17240</Characters>
  <Application>Microsoft Office Word</Application>
  <DocSecurity>0</DocSecurity>
  <Lines>143</Lines>
  <Paragraphs>40</Paragraphs>
  <ScaleCrop>false</ScaleCrop>
  <Company>MOEX</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dc:description/>
  <cp:lastModifiedBy>Лошкарева Кристина Викторовна</cp:lastModifiedBy>
  <cp:revision>1</cp:revision>
  <dcterms:created xsi:type="dcterms:W3CDTF">2026-03-02T12:47:00Z</dcterms:created>
  <dcterms:modified xsi:type="dcterms:W3CDTF">2026-03-02T12:49:00Z</dcterms:modified>
</cp:coreProperties>
</file>