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43DFB" w14:textId="77777777" w:rsidR="009F26FE" w:rsidRPr="002733C9" w:rsidRDefault="009F26FE" w:rsidP="002733C9">
      <w:pPr>
        <w:autoSpaceDE w:val="0"/>
        <w:autoSpaceDN w:val="0"/>
        <w:adjustRightInd w:val="0"/>
        <w:spacing w:before="120" w:after="120" w:line="240" w:lineRule="auto"/>
        <w:ind w:left="5245"/>
        <w:rPr>
          <w:rFonts w:ascii="Tahoma" w:eastAsia="Times New Roman" w:hAnsi="Tahoma" w:cs="Tahoma"/>
          <w:color w:val="000000"/>
          <w:kern w:val="0"/>
          <w14:ligatures w14:val="none"/>
        </w:rPr>
      </w:pPr>
      <w:r w:rsidRPr="002733C9">
        <w:rPr>
          <w:rFonts w:ascii="Tahoma" w:hAnsi="Tahoma" w:cs="Tahoma"/>
          <w:b/>
          <w:color w:val="000000"/>
        </w:rPr>
        <w:t xml:space="preserve">APPROVED </w:t>
      </w:r>
    </w:p>
    <w:p w14:paraId="287A8593" w14:textId="77777777" w:rsidR="009F26FE" w:rsidRPr="002733C9" w:rsidRDefault="009F26FE" w:rsidP="002733C9">
      <w:pPr>
        <w:autoSpaceDE w:val="0"/>
        <w:autoSpaceDN w:val="0"/>
        <w:adjustRightInd w:val="0"/>
        <w:spacing w:before="120" w:after="120" w:line="240" w:lineRule="auto"/>
        <w:ind w:left="5245"/>
        <w:rPr>
          <w:rFonts w:ascii="Tahoma" w:eastAsia="Times New Roman" w:hAnsi="Tahoma" w:cs="Tahoma"/>
          <w:color w:val="000000"/>
          <w:kern w:val="0"/>
          <w:szCs w:val="24"/>
          <w14:ligatures w14:val="none"/>
        </w:rPr>
      </w:pPr>
      <w:r w:rsidRPr="002733C9">
        <w:rPr>
          <w:rFonts w:ascii="Tahoma" w:hAnsi="Tahoma" w:cs="Tahoma"/>
          <w:color w:val="000000"/>
        </w:rPr>
        <w:t xml:space="preserve">By the Moscow Exchange Executive Board </w:t>
      </w:r>
    </w:p>
    <w:p w14:paraId="7F632580" w14:textId="1B439E59" w:rsidR="009F26FE" w:rsidRPr="002733C9" w:rsidRDefault="0029073D" w:rsidP="002733C9">
      <w:pPr>
        <w:autoSpaceDE w:val="0"/>
        <w:autoSpaceDN w:val="0"/>
        <w:adjustRightInd w:val="0"/>
        <w:spacing w:before="120" w:after="120" w:line="240" w:lineRule="auto"/>
        <w:ind w:left="5245"/>
        <w:rPr>
          <w:rFonts w:ascii="Tahoma" w:eastAsia="Times New Roman" w:hAnsi="Tahoma" w:cs="Tahoma"/>
          <w:color w:val="000000"/>
          <w:kern w:val="0"/>
          <w14:ligatures w14:val="none"/>
        </w:rPr>
      </w:pPr>
      <w:r w:rsidRPr="002733C9">
        <w:rPr>
          <w:rFonts w:ascii="Tahoma" w:hAnsi="Tahoma" w:cs="Tahoma"/>
          <w:color w:val="000000"/>
        </w:rPr>
        <w:t>25 September 2025, Minutes No. 72</w:t>
      </w:r>
    </w:p>
    <w:p w14:paraId="19A29C2F" w14:textId="77777777" w:rsidR="009F26FE" w:rsidRPr="002733C9" w:rsidRDefault="009F26FE" w:rsidP="002733C9">
      <w:pPr>
        <w:spacing w:before="120" w:after="120" w:line="240" w:lineRule="auto"/>
        <w:rPr>
          <w:rFonts w:ascii="Tahoma" w:eastAsia="Times New Roman" w:hAnsi="Tahoma" w:cs="Tahoma"/>
          <w:kern w:val="0"/>
          <w:lang w:eastAsia="ru-RU"/>
          <w14:ligatures w14:val="none"/>
        </w:rPr>
      </w:pPr>
    </w:p>
    <w:p w14:paraId="0E4E7425" w14:textId="77777777" w:rsidR="009F26FE" w:rsidRPr="002733C9" w:rsidRDefault="009F26FE" w:rsidP="002733C9">
      <w:pPr>
        <w:spacing w:before="120" w:after="120" w:line="240" w:lineRule="auto"/>
        <w:rPr>
          <w:rFonts w:ascii="Tahoma" w:eastAsia="Times New Roman" w:hAnsi="Tahoma" w:cs="Tahoma"/>
          <w:kern w:val="0"/>
          <w:szCs w:val="24"/>
          <w:lang w:eastAsia="ru-RU"/>
          <w14:ligatures w14:val="none"/>
        </w:rPr>
      </w:pPr>
    </w:p>
    <w:p w14:paraId="72CA6457" w14:textId="77777777" w:rsidR="009F26FE" w:rsidRPr="002733C9" w:rsidRDefault="009F26FE" w:rsidP="002733C9">
      <w:pPr>
        <w:spacing w:before="120" w:after="120" w:line="240" w:lineRule="auto"/>
        <w:rPr>
          <w:rFonts w:ascii="Tahoma" w:eastAsia="Times New Roman" w:hAnsi="Tahoma" w:cs="Tahoma"/>
          <w:kern w:val="0"/>
          <w:szCs w:val="24"/>
          <w:lang w:eastAsia="ru-RU"/>
          <w14:ligatures w14:val="none"/>
        </w:rPr>
      </w:pPr>
    </w:p>
    <w:p w14:paraId="59784096" w14:textId="77777777" w:rsidR="009F26FE" w:rsidRPr="002733C9" w:rsidRDefault="009F26FE" w:rsidP="002733C9">
      <w:pPr>
        <w:spacing w:before="120" w:after="120" w:line="240" w:lineRule="auto"/>
        <w:rPr>
          <w:rFonts w:ascii="Tahoma" w:eastAsia="Times New Roman" w:hAnsi="Tahoma" w:cs="Tahoma"/>
          <w:kern w:val="0"/>
          <w:szCs w:val="24"/>
          <w:lang w:eastAsia="ru-RU"/>
          <w14:ligatures w14:val="none"/>
        </w:rPr>
      </w:pPr>
    </w:p>
    <w:p w14:paraId="75529261" w14:textId="77777777" w:rsidR="009F26FE" w:rsidRPr="002733C9" w:rsidRDefault="009F26FE" w:rsidP="002733C9">
      <w:pPr>
        <w:keepNext/>
        <w:spacing w:before="120" w:after="120" w:line="240" w:lineRule="auto"/>
        <w:jc w:val="center"/>
        <w:outlineLvl w:val="0"/>
        <w:rPr>
          <w:rFonts w:ascii="Tahoma" w:eastAsia="Times New Roman" w:hAnsi="Tahoma" w:cs="Tahoma"/>
          <w:b/>
          <w:bCs/>
          <w:kern w:val="0"/>
          <w:lang w:eastAsia="ru-RU"/>
          <w14:ligatures w14:val="none"/>
        </w:rPr>
      </w:pPr>
    </w:p>
    <w:p w14:paraId="7BC695E9" w14:textId="6EC9571A" w:rsidR="009F26FE" w:rsidRPr="002733C9" w:rsidRDefault="009F26FE" w:rsidP="002733C9">
      <w:pPr>
        <w:keepNext/>
        <w:spacing w:before="120" w:after="120" w:line="240" w:lineRule="auto"/>
        <w:jc w:val="center"/>
        <w:outlineLvl w:val="0"/>
        <w:rPr>
          <w:rFonts w:ascii="Tahoma" w:eastAsia="Times New Roman" w:hAnsi="Tahoma" w:cs="Tahoma"/>
          <w:b/>
          <w:bCs/>
          <w:kern w:val="0"/>
          <w:sz w:val="20"/>
          <w:szCs w:val="20"/>
          <w14:ligatures w14:val="none"/>
        </w:rPr>
      </w:pPr>
      <w:r w:rsidRPr="002733C9">
        <w:rPr>
          <w:rFonts w:ascii="Tahoma" w:hAnsi="Tahoma" w:cs="Tahoma"/>
          <w:b/>
          <w:sz w:val="20"/>
        </w:rPr>
        <w:t xml:space="preserve">Methodology for </w:t>
      </w:r>
      <w:r w:rsidR="002733C9" w:rsidRPr="002733C9">
        <w:rPr>
          <w:rFonts w:ascii="Tahoma" w:hAnsi="Tahoma" w:cs="Tahoma"/>
          <w:b/>
          <w:sz w:val="20"/>
        </w:rPr>
        <w:t>C</w:t>
      </w:r>
      <w:r w:rsidRPr="002733C9">
        <w:rPr>
          <w:rFonts w:ascii="Tahoma" w:hAnsi="Tahoma" w:cs="Tahoma"/>
          <w:b/>
          <w:sz w:val="20"/>
        </w:rPr>
        <w:t xml:space="preserve">alculating </w:t>
      </w:r>
      <w:r w:rsidR="00C61ED8">
        <w:rPr>
          <w:rFonts w:ascii="Tahoma" w:hAnsi="Tahoma" w:cs="Tahoma"/>
          <w:b/>
          <w:sz w:val="20"/>
        </w:rPr>
        <w:t>B</w:t>
      </w:r>
      <w:r w:rsidRPr="002733C9">
        <w:rPr>
          <w:rFonts w:ascii="Tahoma" w:hAnsi="Tahoma" w:cs="Tahoma"/>
          <w:b/>
          <w:sz w:val="20"/>
        </w:rPr>
        <w:t>ank Rate</w:t>
      </w:r>
      <w:r w:rsidR="00C61ED8">
        <w:rPr>
          <w:rFonts w:ascii="Tahoma" w:hAnsi="Tahoma" w:cs="Tahoma"/>
          <w:b/>
          <w:sz w:val="20"/>
        </w:rPr>
        <w:t xml:space="preserve"> Indicators</w:t>
      </w:r>
    </w:p>
    <w:p w14:paraId="0CFB6411" w14:textId="77777777" w:rsidR="004A4C36" w:rsidRPr="002733C9" w:rsidRDefault="004A4C36" w:rsidP="002733C9">
      <w:pPr>
        <w:spacing w:before="120" w:after="120" w:line="240" w:lineRule="auto"/>
        <w:jc w:val="both"/>
        <w:rPr>
          <w:rFonts w:ascii="Tahoma" w:hAnsi="Tahoma" w:cs="Tahoma"/>
          <w:sz w:val="20"/>
          <w:szCs w:val="20"/>
        </w:rPr>
      </w:pPr>
    </w:p>
    <w:p w14:paraId="233A9B5F" w14:textId="77777777" w:rsidR="004A4C36" w:rsidRPr="002733C9" w:rsidRDefault="004A4C36" w:rsidP="002733C9">
      <w:pPr>
        <w:pStyle w:val="a7"/>
        <w:numPr>
          <w:ilvl w:val="0"/>
          <w:numId w:val="4"/>
        </w:numPr>
        <w:spacing w:before="120" w:after="120" w:line="240" w:lineRule="auto"/>
        <w:ind w:left="426"/>
        <w:contextualSpacing w:val="0"/>
        <w:jc w:val="both"/>
        <w:rPr>
          <w:rFonts w:ascii="Tahoma" w:hAnsi="Tahoma" w:cs="Tahoma"/>
          <w:b/>
          <w:bCs/>
          <w:sz w:val="20"/>
          <w:szCs w:val="20"/>
        </w:rPr>
      </w:pPr>
      <w:r w:rsidRPr="002733C9">
        <w:rPr>
          <w:rFonts w:ascii="Tahoma" w:hAnsi="Tahoma" w:cs="Tahoma"/>
          <w:b/>
          <w:sz w:val="20"/>
        </w:rPr>
        <w:t>Overview</w:t>
      </w:r>
    </w:p>
    <w:p w14:paraId="1A675206" w14:textId="5DE8B986" w:rsidR="004A4C36" w:rsidRPr="002733C9" w:rsidRDefault="001B3171" w:rsidP="002733C9">
      <w:pPr>
        <w:pStyle w:val="a7"/>
        <w:numPr>
          <w:ilvl w:val="1"/>
          <w:numId w:val="4"/>
        </w:numPr>
        <w:spacing w:before="120" w:after="120" w:line="240" w:lineRule="auto"/>
        <w:contextualSpacing w:val="0"/>
        <w:jc w:val="both"/>
        <w:rPr>
          <w:rFonts w:ascii="Tahoma" w:hAnsi="Tahoma" w:cs="Tahoma"/>
          <w:sz w:val="20"/>
          <w:szCs w:val="20"/>
        </w:rPr>
      </w:pPr>
      <w:r>
        <w:rPr>
          <w:rFonts w:ascii="Tahoma" w:hAnsi="Tahoma" w:cs="Tahoma"/>
          <w:sz w:val="20"/>
        </w:rPr>
        <w:t>Bank Rate</w:t>
      </w:r>
      <w:r w:rsidR="004A4C36" w:rsidRPr="002733C9">
        <w:rPr>
          <w:rFonts w:ascii="Tahoma" w:hAnsi="Tahoma" w:cs="Tahoma"/>
          <w:sz w:val="20"/>
        </w:rPr>
        <w:t xml:space="preserve"> </w:t>
      </w:r>
      <w:r w:rsidR="0042157D">
        <w:rPr>
          <w:rFonts w:ascii="Tahoma" w:hAnsi="Tahoma" w:cs="Tahoma"/>
          <w:sz w:val="20"/>
        </w:rPr>
        <w:t>Indicators</w:t>
      </w:r>
      <w:r w:rsidR="004A4C36" w:rsidRPr="002733C9">
        <w:rPr>
          <w:rFonts w:ascii="Tahoma" w:hAnsi="Tahoma" w:cs="Tahoma"/>
          <w:sz w:val="20"/>
        </w:rPr>
        <w:t xml:space="preserve"> (the "</w:t>
      </w:r>
      <w:r w:rsidR="0042157D">
        <w:rPr>
          <w:rFonts w:ascii="Tahoma" w:hAnsi="Tahoma" w:cs="Tahoma"/>
          <w:sz w:val="20"/>
        </w:rPr>
        <w:t>Indicators</w:t>
      </w:r>
      <w:r w:rsidR="004A4C36" w:rsidRPr="002733C9">
        <w:rPr>
          <w:rFonts w:ascii="Tahoma" w:hAnsi="Tahoma" w:cs="Tahoma"/>
          <w:sz w:val="20"/>
        </w:rPr>
        <w:t>") are calculated by Public Joint-Stock Company "Moscow Exchange MICEX-RTS" (the "Exchange").</w:t>
      </w:r>
    </w:p>
    <w:p w14:paraId="523142F0" w14:textId="6EAB7D88" w:rsidR="005B0339" w:rsidRPr="002733C9" w:rsidRDefault="005B0339" w:rsidP="002733C9">
      <w:pPr>
        <w:pStyle w:val="a7"/>
        <w:numPr>
          <w:ilvl w:val="1"/>
          <w:numId w:val="4"/>
        </w:numPr>
        <w:spacing w:before="120" w:after="120" w:line="240" w:lineRule="auto"/>
        <w:contextualSpacing w:val="0"/>
        <w:jc w:val="both"/>
        <w:rPr>
          <w:rFonts w:ascii="Tahoma" w:hAnsi="Tahoma" w:cs="Tahoma"/>
          <w:sz w:val="20"/>
          <w:szCs w:val="20"/>
        </w:rPr>
      </w:pPr>
      <w:r w:rsidRPr="002733C9">
        <w:rPr>
          <w:rFonts w:ascii="Tahoma" w:hAnsi="Tahoma" w:cs="Tahoma"/>
          <w:sz w:val="20"/>
        </w:rPr>
        <w:t xml:space="preserve">The </w:t>
      </w:r>
      <w:r w:rsidR="001B3171">
        <w:rPr>
          <w:rFonts w:ascii="Tahoma" w:hAnsi="Tahoma" w:cs="Tahoma"/>
          <w:sz w:val="20"/>
        </w:rPr>
        <w:t>Indicator</w:t>
      </w:r>
      <w:r w:rsidRPr="002733C9">
        <w:rPr>
          <w:rFonts w:ascii="Tahoma" w:hAnsi="Tahoma" w:cs="Tahoma"/>
          <w:sz w:val="20"/>
        </w:rPr>
        <w:t xml:space="preserve">s are calculated as part of the business of the </w:t>
      </w:r>
      <w:proofErr w:type="spellStart"/>
      <w:r w:rsidRPr="002733C9">
        <w:rPr>
          <w:rFonts w:ascii="Tahoma" w:hAnsi="Tahoma" w:cs="Tahoma"/>
          <w:i/>
          <w:iCs/>
          <w:sz w:val="20"/>
        </w:rPr>
        <w:t>Finuslugi</w:t>
      </w:r>
      <w:proofErr w:type="spellEnd"/>
      <w:r w:rsidRPr="002733C9">
        <w:rPr>
          <w:rFonts w:ascii="Tahoma" w:hAnsi="Tahoma" w:cs="Tahoma"/>
          <w:sz w:val="20"/>
        </w:rPr>
        <w:t xml:space="preserve"> financial marketplace.</w:t>
      </w:r>
    </w:p>
    <w:p w14:paraId="08C260BD" w14:textId="292087E4" w:rsidR="004A4C36" w:rsidRPr="002733C9" w:rsidRDefault="004A4C36" w:rsidP="002733C9">
      <w:pPr>
        <w:pStyle w:val="a7"/>
        <w:numPr>
          <w:ilvl w:val="1"/>
          <w:numId w:val="4"/>
        </w:numPr>
        <w:spacing w:before="120" w:after="120" w:line="240" w:lineRule="auto"/>
        <w:contextualSpacing w:val="0"/>
        <w:jc w:val="both"/>
        <w:rPr>
          <w:rFonts w:ascii="Tahoma" w:hAnsi="Tahoma" w:cs="Tahoma"/>
          <w:sz w:val="20"/>
          <w:szCs w:val="20"/>
        </w:rPr>
      </w:pPr>
      <w:r w:rsidRPr="002733C9">
        <w:rPr>
          <w:rFonts w:ascii="Tahoma" w:hAnsi="Tahoma" w:cs="Tahoma"/>
          <w:sz w:val="20"/>
        </w:rPr>
        <w:t xml:space="preserve">This document establishes the rules for calculating the </w:t>
      </w:r>
      <w:r w:rsidR="001B3171">
        <w:rPr>
          <w:rFonts w:ascii="Tahoma" w:hAnsi="Tahoma" w:cs="Tahoma"/>
          <w:sz w:val="20"/>
        </w:rPr>
        <w:t>Indicator</w:t>
      </w:r>
      <w:r w:rsidRPr="002733C9">
        <w:rPr>
          <w:rFonts w:ascii="Tahoma" w:hAnsi="Tahoma" w:cs="Tahoma"/>
          <w:sz w:val="20"/>
        </w:rPr>
        <w:t>s, which reflect market rate parameters for deposit and credit bank products available to individuals in the Russian Federation.</w:t>
      </w:r>
    </w:p>
    <w:p w14:paraId="2405DAC0" w14:textId="7C97C9D5" w:rsidR="004A4C36" w:rsidRPr="002733C9" w:rsidRDefault="004A4C36" w:rsidP="002733C9">
      <w:pPr>
        <w:pStyle w:val="a7"/>
        <w:numPr>
          <w:ilvl w:val="1"/>
          <w:numId w:val="4"/>
        </w:numPr>
        <w:spacing w:before="120" w:after="120" w:line="240" w:lineRule="auto"/>
        <w:contextualSpacing w:val="0"/>
        <w:jc w:val="both"/>
        <w:rPr>
          <w:rFonts w:ascii="Tahoma" w:hAnsi="Tahoma" w:cs="Tahoma"/>
          <w:sz w:val="20"/>
          <w:szCs w:val="20"/>
        </w:rPr>
      </w:pPr>
      <w:r w:rsidRPr="002733C9">
        <w:rPr>
          <w:rFonts w:ascii="Tahoma" w:hAnsi="Tahoma" w:cs="Tahoma"/>
          <w:sz w:val="20"/>
        </w:rPr>
        <w:t xml:space="preserve">The </w:t>
      </w:r>
      <w:r w:rsidR="001B3171">
        <w:rPr>
          <w:rFonts w:ascii="Tahoma" w:hAnsi="Tahoma" w:cs="Tahoma"/>
          <w:sz w:val="20"/>
        </w:rPr>
        <w:t>Indicator</w:t>
      </w:r>
      <w:r w:rsidRPr="002733C9">
        <w:rPr>
          <w:rFonts w:ascii="Tahoma" w:hAnsi="Tahoma" w:cs="Tahoma"/>
          <w:sz w:val="20"/>
        </w:rPr>
        <w:t>s are calculated for three main categories:</w:t>
      </w:r>
    </w:p>
    <w:p w14:paraId="0FA5B20C" w14:textId="77777777" w:rsidR="004A4C36" w:rsidRPr="002733C9" w:rsidRDefault="004A4C36" w:rsidP="002733C9">
      <w:pPr>
        <w:pStyle w:val="a7"/>
        <w:numPr>
          <w:ilvl w:val="0"/>
          <w:numId w:val="9"/>
        </w:numPr>
        <w:spacing w:before="120" w:after="120" w:line="240" w:lineRule="auto"/>
        <w:ind w:left="1560"/>
        <w:contextualSpacing w:val="0"/>
        <w:jc w:val="both"/>
        <w:rPr>
          <w:rFonts w:ascii="Tahoma" w:hAnsi="Tahoma" w:cs="Tahoma"/>
          <w:sz w:val="20"/>
          <w:szCs w:val="20"/>
        </w:rPr>
      </w:pPr>
      <w:r w:rsidRPr="002733C9">
        <w:rPr>
          <w:rFonts w:ascii="Tahoma" w:hAnsi="Tahoma" w:cs="Tahoma"/>
          <w:sz w:val="20"/>
        </w:rPr>
        <w:t>retail deposits;</w:t>
      </w:r>
    </w:p>
    <w:p w14:paraId="62AC35F9" w14:textId="77777777" w:rsidR="004A4C36" w:rsidRPr="002733C9" w:rsidRDefault="004A4C36" w:rsidP="002733C9">
      <w:pPr>
        <w:pStyle w:val="a7"/>
        <w:numPr>
          <w:ilvl w:val="0"/>
          <w:numId w:val="9"/>
        </w:numPr>
        <w:spacing w:before="120" w:after="120" w:line="240" w:lineRule="auto"/>
        <w:ind w:left="1560"/>
        <w:contextualSpacing w:val="0"/>
        <w:jc w:val="both"/>
        <w:rPr>
          <w:rFonts w:ascii="Tahoma" w:hAnsi="Tahoma" w:cs="Tahoma"/>
          <w:sz w:val="20"/>
          <w:szCs w:val="20"/>
        </w:rPr>
      </w:pPr>
      <w:r w:rsidRPr="002733C9">
        <w:rPr>
          <w:rFonts w:ascii="Tahoma" w:hAnsi="Tahoma" w:cs="Tahoma"/>
          <w:sz w:val="20"/>
        </w:rPr>
        <w:t>savings accounts;</w:t>
      </w:r>
    </w:p>
    <w:p w14:paraId="039F7378" w14:textId="0CBA71D9" w:rsidR="004A4C36" w:rsidRPr="002733C9" w:rsidRDefault="00A307FF" w:rsidP="002733C9">
      <w:pPr>
        <w:pStyle w:val="a7"/>
        <w:numPr>
          <w:ilvl w:val="0"/>
          <w:numId w:val="9"/>
        </w:numPr>
        <w:spacing w:before="120" w:after="120" w:line="240" w:lineRule="auto"/>
        <w:ind w:left="1560"/>
        <w:contextualSpacing w:val="0"/>
        <w:jc w:val="both"/>
        <w:rPr>
          <w:rFonts w:ascii="Tahoma" w:hAnsi="Tahoma" w:cs="Tahoma"/>
          <w:sz w:val="20"/>
          <w:szCs w:val="20"/>
        </w:rPr>
      </w:pPr>
      <w:r w:rsidRPr="002733C9">
        <w:rPr>
          <w:rFonts w:ascii="Tahoma" w:hAnsi="Tahoma" w:cs="Tahoma"/>
          <w:sz w:val="20"/>
        </w:rPr>
        <w:t>cash loans.</w:t>
      </w:r>
    </w:p>
    <w:p w14:paraId="171D6630" w14:textId="77777777" w:rsidR="00C00E03" w:rsidRPr="002733C9" w:rsidRDefault="00C00E03" w:rsidP="002733C9">
      <w:pPr>
        <w:pStyle w:val="a7"/>
        <w:numPr>
          <w:ilvl w:val="1"/>
          <w:numId w:val="4"/>
        </w:numPr>
        <w:spacing w:before="120" w:after="120" w:line="240" w:lineRule="auto"/>
        <w:contextualSpacing w:val="0"/>
        <w:jc w:val="both"/>
        <w:rPr>
          <w:rFonts w:ascii="Tahoma" w:hAnsi="Tahoma" w:cs="Tahoma"/>
          <w:sz w:val="20"/>
          <w:szCs w:val="20"/>
        </w:rPr>
      </w:pPr>
      <w:r w:rsidRPr="002733C9">
        <w:rPr>
          <w:rFonts w:ascii="Tahoma" w:hAnsi="Tahoma" w:cs="Tahoma"/>
          <w:sz w:val="20"/>
        </w:rPr>
        <w:t>Terms not specifically defined herein shall be construed in accordance with other documents of the Exchange as well as the law and regulatory acts of the Bank of Russia.</w:t>
      </w:r>
    </w:p>
    <w:p w14:paraId="5DE5FDA0" w14:textId="77777777" w:rsidR="004A4C36" w:rsidRPr="002733C9" w:rsidRDefault="00C00E03" w:rsidP="002733C9">
      <w:pPr>
        <w:pStyle w:val="a7"/>
        <w:numPr>
          <w:ilvl w:val="1"/>
          <w:numId w:val="4"/>
        </w:numPr>
        <w:spacing w:before="120" w:after="120" w:line="240" w:lineRule="auto"/>
        <w:contextualSpacing w:val="0"/>
        <w:jc w:val="both"/>
        <w:rPr>
          <w:rFonts w:ascii="Tahoma" w:hAnsi="Tahoma" w:cs="Tahoma"/>
          <w:sz w:val="20"/>
          <w:szCs w:val="20"/>
        </w:rPr>
      </w:pPr>
      <w:r w:rsidRPr="002733C9">
        <w:rPr>
          <w:rFonts w:ascii="Tahoma" w:hAnsi="Tahoma" w:cs="Tahoma"/>
          <w:sz w:val="20"/>
        </w:rPr>
        <w:t>Changes made to the Methodology, including new versions of the Methodology, shall be disclosed by the Exchange no later than three business days prior to the date of their entry into force.</w:t>
      </w:r>
    </w:p>
    <w:p w14:paraId="5B3FDA2F" w14:textId="77777777" w:rsidR="002736BF" w:rsidRPr="002733C9" w:rsidRDefault="002736BF" w:rsidP="002733C9">
      <w:pPr>
        <w:pStyle w:val="a7"/>
        <w:spacing w:before="120" w:after="120" w:line="240" w:lineRule="auto"/>
        <w:contextualSpacing w:val="0"/>
        <w:jc w:val="both"/>
        <w:rPr>
          <w:rFonts w:ascii="Tahoma" w:hAnsi="Tahoma" w:cs="Tahoma"/>
          <w:sz w:val="20"/>
          <w:szCs w:val="20"/>
        </w:rPr>
      </w:pPr>
    </w:p>
    <w:p w14:paraId="3BA22EF7" w14:textId="7FEDEA2E" w:rsidR="00C00E03" w:rsidRPr="002733C9" w:rsidRDefault="002736BF" w:rsidP="002733C9">
      <w:pPr>
        <w:pStyle w:val="a7"/>
        <w:numPr>
          <w:ilvl w:val="0"/>
          <w:numId w:val="4"/>
        </w:numPr>
        <w:spacing w:before="120" w:after="120" w:line="240" w:lineRule="auto"/>
        <w:contextualSpacing w:val="0"/>
        <w:jc w:val="both"/>
        <w:rPr>
          <w:rFonts w:ascii="Tahoma" w:hAnsi="Tahoma" w:cs="Tahoma"/>
          <w:b/>
          <w:bCs/>
          <w:sz w:val="20"/>
          <w:szCs w:val="20"/>
        </w:rPr>
      </w:pPr>
      <w:r w:rsidRPr="002733C9">
        <w:rPr>
          <w:rFonts w:ascii="Tahoma" w:hAnsi="Tahoma" w:cs="Tahoma"/>
          <w:b/>
          <w:sz w:val="20"/>
        </w:rPr>
        <w:t xml:space="preserve">Calculation of </w:t>
      </w:r>
      <w:r w:rsidR="001B3171">
        <w:rPr>
          <w:rFonts w:ascii="Tahoma" w:hAnsi="Tahoma" w:cs="Tahoma"/>
          <w:b/>
          <w:sz w:val="20"/>
        </w:rPr>
        <w:t>Indicator</w:t>
      </w:r>
      <w:r w:rsidRPr="002733C9">
        <w:rPr>
          <w:rFonts w:ascii="Tahoma" w:hAnsi="Tahoma" w:cs="Tahoma"/>
          <w:b/>
          <w:sz w:val="20"/>
        </w:rPr>
        <w:t>s</w:t>
      </w:r>
    </w:p>
    <w:p w14:paraId="57F0972A" w14:textId="1060ACE5" w:rsidR="002736BF" w:rsidRPr="002733C9" w:rsidRDefault="002736BF" w:rsidP="002733C9">
      <w:pPr>
        <w:pStyle w:val="a7"/>
        <w:numPr>
          <w:ilvl w:val="1"/>
          <w:numId w:val="4"/>
        </w:numPr>
        <w:spacing w:before="120" w:after="120" w:line="240" w:lineRule="auto"/>
        <w:ind w:left="1276"/>
        <w:contextualSpacing w:val="0"/>
        <w:jc w:val="both"/>
        <w:rPr>
          <w:rFonts w:ascii="Tahoma" w:hAnsi="Tahoma" w:cs="Tahoma"/>
          <w:b/>
          <w:bCs/>
          <w:sz w:val="20"/>
          <w:szCs w:val="20"/>
        </w:rPr>
      </w:pPr>
      <w:r w:rsidRPr="002733C9">
        <w:rPr>
          <w:rFonts w:ascii="Tahoma" w:hAnsi="Tahoma" w:cs="Tahoma"/>
          <w:b/>
          <w:sz w:val="20"/>
        </w:rPr>
        <w:t xml:space="preserve">General procedure for calculating the </w:t>
      </w:r>
      <w:r w:rsidR="001B3171">
        <w:rPr>
          <w:rFonts w:ascii="Tahoma" w:hAnsi="Tahoma" w:cs="Tahoma"/>
          <w:b/>
          <w:sz w:val="20"/>
        </w:rPr>
        <w:t>Indicator</w:t>
      </w:r>
      <w:r w:rsidRPr="002733C9">
        <w:rPr>
          <w:rFonts w:ascii="Tahoma" w:hAnsi="Tahoma" w:cs="Tahoma"/>
          <w:b/>
          <w:sz w:val="20"/>
        </w:rPr>
        <w:t>s for retail deposits</w:t>
      </w:r>
    </w:p>
    <w:p w14:paraId="43E41381" w14:textId="67AE4A2D" w:rsidR="002736BF" w:rsidRPr="002733C9" w:rsidRDefault="00E6378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The calculation uses nominal interest rates on fixed-term retail deposits announced on the official websites of banks.</w:t>
      </w:r>
    </w:p>
    <w:p w14:paraId="1FCD0F43" w14:textId="51F936F5" w:rsidR="00E63782" w:rsidRPr="002733C9" w:rsidRDefault="00E6378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The calculation includes the maximum interest rates on deposits for mass retail customers, effective for a deposit amount of RUB 100,000, provided that such terms do not restrict customer category, access to special bank promotions, or the purchase of combined products.</w:t>
      </w:r>
    </w:p>
    <w:p w14:paraId="18CF3730" w14:textId="088465F5" w:rsidR="00E63782" w:rsidRPr="002733C9" w:rsidRDefault="00E6378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list of banks whose rates are used in the calculation of the </w:t>
      </w:r>
      <w:r w:rsidR="001B3171">
        <w:rPr>
          <w:rFonts w:ascii="Tahoma" w:hAnsi="Tahoma" w:cs="Tahoma"/>
          <w:sz w:val="20"/>
        </w:rPr>
        <w:t>Indicator</w:t>
      </w:r>
      <w:r w:rsidRPr="002733C9">
        <w:rPr>
          <w:rFonts w:ascii="Tahoma" w:hAnsi="Tahoma" w:cs="Tahoma"/>
          <w:sz w:val="20"/>
        </w:rPr>
        <w:t xml:space="preserve">s is determined in accordance with the ranking of the fifty largest banks by the volume of deposits attracted from individuals, compiled by the Exchange. </w:t>
      </w:r>
    </w:p>
    <w:p w14:paraId="6084E89A" w14:textId="18DD8BAE" w:rsidR="00E63782" w:rsidRPr="002733C9" w:rsidRDefault="00E6378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formula for the </w:t>
      </w:r>
      <w:r w:rsidR="001B3171">
        <w:rPr>
          <w:rFonts w:ascii="Tahoma" w:hAnsi="Tahoma" w:cs="Tahoma"/>
          <w:sz w:val="20"/>
        </w:rPr>
        <w:t>Indicator</w:t>
      </w:r>
      <w:r w:rsidRPr="002733C9">
        <w:rPr>
          <w:rFonts w:ascii="Tahoma" w:hAnsi="Tahoma" w:cs="Tahoma"/>
          <w:sz w:val="20"/>
        </w:rPr>
        <w:t>s for each calculation horizon (3, 6, 12 months) and bank group (top 10, top 20, top 50) is as follows:</w:t>
      </w:r>
    </w:p>
    <w:p w14:paraId="65DC56AD" w14:textId="77777777" w:rsidR="00E63782" w:rsidRPr="002733C9" w:rsidRDefault="003D1149" w:rsidP="002733C9">
      <w:pPr>
        <w:spacing w:before="120" w:after="120" w:line="240" w:lineRule="auto"/>
        <w:ind w:left="1418"/>
        <w:jc w:val="center"/>
        <w:rPr>
          <w:rFonts w:ascii="Tahoma" w:eastAsiaTheme="minorEastAsia" w:hAnsi="Tahoma" w:cs="Tahoma"/>
          <w:sz w:val="20"/>
          <w:szCs w:val="20"/>
        </w:rPr>
      </w:pPr>
      <m:oMath>
        <m:sSub>
          <m:sSubPr>
            <m:ctrlPr>
              <w:rPr>
                <w:rFonts w:ascii="Cambria Math" w:hAnsi="Cambria Math" w:cs="Tahoma"/>
                <w:i/>
                <w:sz w:val="24"/>
                <w:szCs w:val="24"/>
                <w:lang w:val="en-US"/>
              </w:rPr>
            </m:ctrlPr>
          </m:sSubPr>
          <m:e>
            <m:r>
              <w:rPr>
                <w:rFonts w:ascii="Cambria Math" w:hAnsi="Cambria Math" w:cs="Tahoma"/>
                <w:sz w:val="24"/>
                <w:szCs w:val="24"/>
              </w:rPr>
              <m:t>R</m:t>
            </m:r>
            <m:ctrlPr>
              <w:rPr>
                <w:rFonts w:ascii="Cambria Math" w:hAnsi="Cambria Math" w:cs="Tahoma"/>
                <w:i/>
                <w:sz w:val="24"/>
                <w:szCs w:val="24"/>
              </w:rPr>
            </m:ctrlPr>
          </m:e>
          <m:sub>
            <m:r>
              <w:rPr>
                <w:rFonts w:ascii="Cambria Math" w:hAnsi="Cambria Math" w:cs="Tahoma"/>
                <w:sz w:val="24"/>
                <w:szCs w:val="24"/>
                <w:lang w:val="en-US"/>
              </w:rPr>
              <m:t>d</m:t>
            </m:r>
          </m:sub>
        </m:sSub>
        <m:r>
          <w:rPr>
            <w:rFonts w:ascii="Cambria Math" w:hAnsi="Cambria Math" w:cs="Tahoma"/>
            <w:sz w:val="24"/>
            <w:szCs w:val="24"/>
          </w:rPr>
          <m:t>=</m:t>
        </m:r>
        <m:f>
          <m:fPr>
            <m:ctrlPr>
              <w:rPr>
                <w:rFonts w:ascii="Cambria Math" w:hAnsi="Cambria Math" w:cs="Tahoma"/>
                <w:i/>
                <w:sz w:val="24"/>
                <w:szCs w:val="24"/>
                <w:lang w:val="en-US"/>
              </w:rPr>
            </m:ctrlPr>
          </m:fPr>
          <m:num>
            <m:r>
              <w:rPr>
                <w:rFonts w:ascii="Cambria Math" w:hAnsi="Cambria Math" w:cs="Tahoma"/>
                <w:sz w:val="24"/>
                <w:szCs w:val="24"/>
              </w:rPr>
              <m:t>1</m:t>
            </m:r>
          </m:num>
          <m:den>
            <m:r>
              <w:rPr>
                <w:rFonts w:ascii="Cambria Math" w:hAnsi="Cambria Math" w:cs="Tahoma"/>
                <w:sz w:val="24"/>
                <w:szCs w:val="24"/>
                <w:lang w:val="en-US"/>
              </w:rPr>
              <m:t>N</m:t>
            </m:r>
          </m:den>
        </m:f>
        <m:nary>
          <m:naryPr>
            <m:chr m:val="∑"/>
            <m:limLoc m:val="undOvr"/>
            <m:ctrlPr>
              <w:rPr>
                <w:rFonts w:ascii="Cambria Math" w:hAnsi="Cambria Math" w:cs="Tahoma"/>
                <w:i/>
                <w:sz w:val="24"/>
                <w:szCs w:val="24"/>
                <w:lang w:val="en-US"/>
              </w:rPr>
            </m:ctrlPr>
          </m:naryPr>
          <m:sub>
            <m:r>
              <w:rPr>
                <w:rFonts w:ascii="Cambria Math" w:hAnsi="Cambria Math" w:cs="Tahoma"/>
                <w:sz w:val="24"/>
                <w:szCs w:val="24"/>
                <w:lang w:val="en-US"/>
              </w:rPr>
              <m:t>i</m:t>
            </m:r>
            <m:r>
              <w:rPr>
                <w:rFonts w:ascii="Cambria Math" w:hAnsi="Cambria Math" w:cs="Tahoma"/>
                <w:sz w:val="24"/>
                <w:szCs w:val="24"/>
              </w:rPr>
              <m:t>=1</m:t>
            </m:r>
          </m:sub>
          <m:sup>
            <m:r>
              <w:rPr>
                <w:rFonts w:ascii="Cambria Math" w:hAnsi="Cambria Math" w:cs="Tahoma"/>
                <w:sz w:val="24"/>
                <w:szCs w:val="24"/>
                <w:lang w:val="en-US"/>
              </w:rPr>
              <m:t>N</m:t>
            </m:r>
          </m:sup>
          <m:e>
            <m:sSub>
              <m:sSubPr>
                <m:ctrlPr>
                  <w:rPr>
                    <w:rFonts w:ascii="Cambria Math" w:hAnsi="Cambria Math" w:cs="Tahoma"/>
                    <w:i/>
                    <w:sz w:val="24"/>
                    <w:szCs w:val="24"/>
                    <w:lang w:val="en-US"/>
                  </w:rPr>
                </m:ctrlPr>
              </m:sSubPr>
              <m:e>
                <m:r>
                  <w:rPr>
                    <w:rFonts w:ascii="Cambria Math" w:hAnsi="Cambria Math" w:cs="Tahoma"/>
                    <w:sz w:val="24"/>
                    <w:szCs w:val="24"/>
                    <w:lang w:val="en-US"/>
                  </w:rPr>
                  <m:t>R</m:t>
                </m:r>
              </m:e>
              <m:sub>
                <m:r>
                  <w:rPr>
                    <w:rFonts w:ascii="Cambria Math" w:hAnsi="Cambria Math" w:cs="Tahoma"/>
                    <w:sz w:val="24"/>
                    <w:szCs w:val="24"/>
                    <w:lang w:val="en-US"/>
                  </w:rPr>
                  <m:t>i</m:t>
                </m:r>
              </m:sub>
            </m:sSub>
          </m:e>
        </m:nary>
      </m:oMath>
      <w:r w:rsidR="0029073D" w:rsidRPr="002733C9">
        <w:rPr>
          <w:rFonts w:ascii="Tahoma" w:hAnsi="Tahoma" w:cs="Tahoma"/>
          <w:sz w:val="20"/>
        </w:rPr>
        <w:t>,</w:t>
      </w:r>
    </w:p>
    <w:p w14:paraId="50F618EB" w14:textId="77777777" w:rsidR="00E63782" w:rsidRPr="002733C9" w:rsidRDefault="00E63782" w:rsidP="002733C9">
      <w:pPr>
        <w:spacing w:before="120" w:after="120" w:line="240" w:lineRule="auto"/>
        <w:ind w:left="1418"/>
        <w:jc w:val="both"/>
        <w:rPr>
          <w:rFonts w:ascii="Tahoma" w:hAnsi="Tahoma" w:cs="Tahoma"/>
          <w:sz w:val="20"/>
          <w:szCs w:val="20"/>
        </w:rPr>
      </w:pPr>
      <w:r w:rsidRPr="002733C9">
        <w:rPr>
          <w:rFonts w:ascii="Tahoma" w:hAnsi="Tahoma" w:cs="Tahoma"/>
          <w:sz w:val="20"/>
        </w:rPr>
        <w:t>where:</w:t>
      </w:r>
    </w:p>
    <w:p w14:paraId="0C26C2B2" w14:textId="0726409A" w:rsidR="00E63782" w:rsidRPr="002733C9" w:rsidRDefault="003D1149" w:rsidP="002733C9">
      <w:pPr>
        <w:spacing w:before="120" w:after="120" w:line="240" w:lineRule="auto"/>
        <w:ind w:left="1418"/>
        <w:jc w:val="both"/>
        <w:rPr>
          <w:rFonts w:ascii="Tahoma" w:hAnsi="Tahoma" w:cs="Tahoma"/>
          <w:sz w:val="20"/>
          <w:szCs w:val="20"/>
        </w:rPr>
      </w:pPr>
      <m:oMath>
        <m:sSub>
          <m:sSubPr>
            <m:ctrlPr>
              <w:rPr>
                <w:rFonts w:ascii="Cambria Math" w:hAnsi="Cambria Math" w:cs="Tahoma"/>
                <w:sz w:val="24"/>
                <w:szCs w:val="24"/>
              </w:rPr>
            </m:ctrlPr>
          </m:sSubPr>
          <m:e>
            <m:r>
              <w:rPr>
                <w:rFonts w:ascii="Cambria Math" w:hAnsi="Cambria Math" w:cs="Tahoma"/>
                <w:sz w:val="24"/>
                <w:szCs w:val="24"/>
              </w:rPr>
              <m:t>R</m:t>
            </m:r>
          </m:e>
          <m:sub>
            <m:r>
              <w:rPr>
                <w:rFonts w:ascii="Cambria Math" w:hAnsi="Cambria Math" w:cs="Tahoma"/>
                <w:sz w:val="24"/>
                <w:szCs w:val="24"/>
              </w:rPr>
              <m:t>d</m:t>
            </m:r>
          </m:sub>
        </m:sSub>
      </m:oMath>
      <w:r w:rsidR="0029073D" w:rsidRPr="002733C9">
        <w:rPr>
          <w:rFonts w:ascii="Tahoma" w:hAnsi="Tahoma" w:cs="Tahoma"/>
          <w:sz w:val="20"/>
        </w:rPr>
        <w:t xml:space="preserve"> – the value of the </w:t>
      </w:r>
      <w:r w:rsidR="001B3171">
        <w:rPr>
          <w:rFonts w:ascii="Tahoma" w:hAnsi="Tahoma" w:cs="Tahoma"/>
          <w:sz w:val="20"/>
        </w:rPr>
        <w:t>Indicator</w:t>
      </w:r>
      <w:r w:rsidR="0029073D" w:rsidRPr="002733C9">
        <w:rPr>
          <w:rFonts w:ascii="Tahoma" w:hAnsi="Tahoma" w:cs="Tahoma"/>
          <w:sz w:val="20"/>
        </w:rPr>
        <w:t xml:space="preserve"> at the n</w:t>
      </w:r>
      <w:bookmarkStart w:id="0" w:name="_GoBack"/>
      <w:r w:rsidR="0029073D" w:rsidRPr="003D1149">
        <w:rPr>
          <w:rFonts w:ascii="Tahoma" w:hAnsi="Tahoma" w:cs="Tahoma"/>
          <w:sz w:val="20"/>
          <w:vertAlign w:val="superscript"/>
        </w:rPr>
        <w:t>th</w:t>
      </w:r>
      <w:bookmarkEnd w:id="0"/>
      <w:r w:rsidR="0029073D" w:rsidRPr="002733C9">
        <w:rPr>
          <w:rFonts w:ascii="Tahoma" w:hAnsi="Tahoma" w:cs="Tahoma"/>
          <w:sz w:val="20"/>
        </w:rPr>
        <w:t xml:space="preserve"> moment;</w:t>
      </w:r>
    </w:p>
    <w:p w14:paraId="4607D98A" w14:textId="77777777" w:rsidR="00E63782" w:rsidRPr="002733C9" w:rsidRDefault="00E63782" w:rsidP="002733C9">
      <w:pPr>
        <w:spacing w:before="120" w:after="120" w:line="240" w:lineRule="auto"/>
        <w:ind w:left="1418"/>
        <w:jc w:val="both"/>
        <w:rPr>
          <w:rFonts w:ascii="Tahoma" w:hAnsi="Tahoma" w:cs="Tahoma"/>
          <w:sz w:val="20"/>
          <w:szCs w:val="20"/>
        </w:rPr>
      </w:pPr>
      <m:oMath>
        <m:r>
          <w:rPr>
            <w:rFonts w:ascii="Cambria Math" w:hAnsi="Cambria Math" w:cs="Tahoma"/>
            <w:sz w:val="24"/>
            <w:szCs w:val="24"/>
          </w:rPr>
          <w:lastRenderedPageBreak/>
          <m:t>N</m:t>
        </m:r>
      </m:oMath>
      <w:r w:rsidRPr="002733C9">
        <w:rPr>
          <w:rFonts w:ascii="Tahoma" w:hAnsi="Tahoma" w:cs="Tahoma"/>
          <w:sz w:val="20"/>
        </w:rPr>
        <w:t xml:space="preserve"> – the number of banks included in the calculation;</w:t>
      </w:r>
    </w:p>
    <w:p w14:paraId="363169C9" w14:textId="77777777" w:rsidR="00E63782" w:rsidRPr="002733C9" w:rsidRDefault="003D1149" w:rsidP="002733C9">
      <w:pPr>
        <w:spacing w:before="120" w:after="120" w:line="240" w:lineRule="auto"/>
        <w:ind w:left="1418"/>
        <w:jc w:val="both"/>
        <w:rPr>
          <w:rFonts w:ascii="Tahoma" w:eastAsiaTheme="minorEastAsia" w:hAnsi="Tahoma" w:cs="Tahoma"/>
          <w:sz w:val="20"/>
          <w:szCs w:val="20"/>
        </w:rPr>
      </w:pPr>
      <m:oMath>
        <m:sSub>
          <m:sSubPr>
            <m:ctrlPr>
              <w:rPr>
                <w:rFonts w:ascii="Cambria Math" w:hAnsi="Cambria Math" w:cs="Tahoma"/>
                <w:i/>
                <w:sz w:val="24"/>
                <w:szCs w:val="24"/>
                <w:lang w:val="en-US"/>
              </w:rPr>
            </m:ctrlPr>
          </m:sSubPr>
          <m:e>
            <m:r>
              <w:rPr>
                <w:rFonts w:ascii="Cambria Math" w:hAnsi="Cambria Math" w:cs="Tahoma"/>
                <w:sz w:val="24"/>
                <w:szCs w:val="24"/>
                <w:lang w:val="en-US"/>
              </w:rPr>
              <m:t>R</m:t>
            </m:r>
          </m:e>
          <m:sub>
            <m:r>
              <w:rPr>
                <w:rFonts w:ascii="Cambria Math" w:hAnsi="Cambria Math" w:cs="Tahoma"/>
                <w:sz w:val="24"/>
                <w:szCs w:val="24"/>
                <w:lang w:val="en-US"/>
              </w:rPr>
              <m:t>i</m:t>
            </m:r>
          </m:sub>
        </m:sSub>
      </m:oMath>
      <w:r w:rsidR="0029073D" w:rsidRPr="002733C9">
        <w:rPr>
          <w:rFonts w:ascii="Tahoma" w:hAnsi="Tahoma" w:cs="Tahoma"/>
          <w:sz w:val="24"/>
        </w:rPr>
        <w:t xml:space="preserve"> - </w:t>
      </w:r>
      <w:r w:rsidR="0029073D" w:rsidRPr="002733C9">
        <w:rPr>
          <w:rFonts w:ascii="Tahoma" w:hAnsi="Tahoma" w:cs="Tahoma"/>
          <w:sz w:val="20"/>
        </w:rPr>
        <w:t xml:space="preserve">the maximum deposit rate in the </w:t>
      </w:r>
      <w:proofErr w:type="spellStart"/>
      <w:r w:rsidR="0029073D" w:rsidRPr="002733C9">
        <w:rPr>
          <w:rFonts w:ascii="Tahoma" w:hAnsi="Tahoma" w:cs="Tahoma"/>
          <w:sz w:val="20"/>
        </w:rPr>
        <w:t>i</w:t>
      </w:r>
      <w:r w:rsidR="0029073D" w:rsidRPr="002733C9">
        <w:rPr>
          <w:rFonts w:ascii="Tahoma" w:hAnsi="Tahoma" w:cs="Tahoma"/>
          <w:sz w:val="20"/>
          <w:vertAlign w:val="superscript"/>
        </w:rPr>
        <w:t>th</w:t>
      </w:r>
      <w:proofErr w:type="spellEnd"/>
      <w:r w:rsidR="0029073D" w:rsidRPr="002733C9">
        <w:rPr>
          <w:rFonts w:ascii="Tahoma" w:hAnsi="Tahoma" w:cs="Tahoma"/>
          <w:sz w:val="20"/>
        </w:rPr>
        <w:t xml:space="preserve"> bank, percent per annum.</w:t>
      </w:r>
    </w:p>
    <w:p w14:paraId="20B41804" w14:textId="5F6A7D5D" w:rsidR="00B637D9" w:rsidRPr="002733C9" w:rsidRDefault="00B637D9" w:rsidP="002733C9">
      <w:pPr>
        <w:pStyle w:val="a7"/>
        <w:numPr>
          <w:ilvl w:val="1"/>
          <w:numId w:val="4"/>
        </w:numPr>
        <w:spacing w:before="120" w:after="120" w:line="240" w:lineRule="auto"/>
        <w:ind w:left="1276"/>
        <w:contextualSpacing w:val="0"/>
        <w:jc w:val="both"/>
        <w:rPr>
          <w:rFonts w:ascii="Tahoma" w:hAnsi="Tahoma" w:cs="Tahoma"/>
          <w:sz w:val="20"/>
          <w:szCs w:val="20"/>
        </w:rPr>
      </w:pPr>
      <w:r w:rsidRPr="002733C9">
        <w:rPr>
          <w:rFonts w:ascii="Tahoma" w:hAnsi="Tahoma" w:cs="Tahoma"/>
          <w:b/>
          <w:sz w:val="20"/>
        </w:rPr>
        <w:t xml:space="preserve">General procedure for calculating the </w:t>
      </w:r>
      <w:r w:rsidR="001B3171">
        <w:rPr>
          <w:rFonts w:ascii="Tahoma" w:hAnsi="Tahoma" w:cs="Tahoma"/>
          <w:b/>
          <w:sz w:val="20"/>
        </w:rPr>
        <w:t>Indicator</w:t>
      </w:r>
      <w:r w:rsidRPr="002733C9">
        <w:rPr>
          <w:rFonts w:ascii="Tahoma" w:hAnsi="Tahoma" w:cs="Tahoma"/>
          <w:b/>
          <w:sz w:val="20"/>
        </w:rPr>
        <w:t>s for savings accounts</w:t>
      </w:r>
    </w:p>
    <w:p w14:paraId="380A1CAF" w14:textId="3C6C7556" w:rsidR="00B637D9" w:rsidRPr="002733C9" w:rsidRDefault="00602734"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Two types of </w:t>
      </w:r>
      <w:r w:rsidR="001B3171">
        <w:rPr>
          <w:rFonts w:ascii="Tahoma" w:hAnsi="Tahoma" w:cs="Tahoma"/>
          <w:sz w:val="20"/>
        </w:rPr>
        <w:t>Indicator</w:t>
      </w:r>
      <w:r w:rsidRPr="002733C9">
        <w:rPr>
          <w:rFonts w:ascii="Tahoma" w:hAnsi="Tahoma" w:cs="Tahoma"/>
          <w:sz w:val="20"/>
        </w:rPr>
        <w:t>s are calculated:</w:t>
      </w:r>
    </w:p>
    <w:p w14:paraId="76FB2722" w14:textId="2FE374FC" w:rsidR="00602734" w:rsidRPr="002733C9" w:rsidRDefault="003D1149" w:rsidP="002733C9">
      <w:pPr>
        <w:pStyle w:val="a7"/>
        <w:numPr>
          <w:ilvl w:val="0"/>
          <w:numId w:val="12"/>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An</w:t>
      </w:r>
      <w:r w:rsidR="00602734" w:rsidRPr="002733C9">
        <w:rPr>
          <w:rFonts w:ascii="Tahoma" w:hAnsi="Tahoma" w:cs="Tahoma"/>
          <w:sz w:val="20"/>
        </w:rPr>
        <w:t xml:space="preserve"> </w:t>
      </w:r>
      <w:r w:rsidR="001B3171">
        <w:rPr>
          <w:rFonts w:ascii="Tahoma" w:hAnsi="Tahoma" w:cs="Tahoma"/>
          <w:sz w:val="20"/>
        </w:rPr>
        <w:t>Indicator</w:t>
      </w:r>
      <w:r w:rsidR="00602734" w:rsidRPr="002733C9">
        <w:rPr>
          <w:rFonts w:ascii="Tahoma" w:hAnsi="Tahoma" w:cs="Tahoma"/>
          <w:sz w:val="20"/>
        </w:rPr>
        <w:t xml:space="preserve"> based on base rates, calculated using interest rates that apply after the promotional period, and excluding additional conditions and bonus schemes;</w:t>
      </w:r>
    </w:p>
    <w:p w14:paraId="1C194115" w14:textId="0428DA96" w:rsidR="00602734" w:rsidRPr="002733C9" w:rsidRDefault="003D1149" w:rsidP="002733C9">
      <w:pPr>
        <w:pStyle w:val="a7"/>
        <w:numPr>
          <w:ilvl w:val="0"/>
          <w:numId w:val="12"/>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An</w:t>
      </w:r>
      <w:r w:rsidR="002733C9" w:rsidRPr="002733C9">
        <w:rPr>
          <w:rFonts w:ascii="Tahoma" w:hAnsi="Tahoma" w:cs="Tahoma"/>
          <w:sz w:val="20"/>
        </w:rPr>
        <w:t xml:space="preserve"> </w:t>
      </w:r>
      <w:r w:rsidR="001B3171">
        <w:rPr>
          <w:rFonts w:ascii="Tahoma" w:hAnsi="Tahoma" w:cs="Tahoma"/>
          <w:sz w:val="20"/>
        </w:rPr>
        <w:t>Indicator</w:t>
      </w:r>
      <w:r w:rsidR="00602734" w:rsidRPr="002733C9">
        <w:rPr>
          <w:rFonts w:ascii="Tahoma" w:hAnsi="Tahoma" w:cs="Tahoma"/>
          <w:sz w:val="20"/>
        </w:rPr>
        <w:t xml:space="preserve"> based on maximum rates, including premiums, if the terms are available to all customers and do not imply restrictions by customer category or special requirements.</w:t>
      </w:r>
    </w:p>
    <w:p w14:paraId="0FE294AE" w14:textId="1A77C701" w:rsidR="00602734" w:rsidRPr="002733C9" w:rsidRDefault="00602734"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The maximum nominal rates on savings accounts announced on the official websites of banks, are used. Data on the rates applied at account opening are used.</w:t>
      </w:r>
    </w:p>
    <w:p w14:paraId="026E86B8" w14:textId="302A403B" w:rsidR="00AD16E0" w:rsidRPr="002733C9" w:rsidRDefault="00AD16E0"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list of banks whose rates are used in the calculation of the </w:t>
      </w:r>
      <w:r w:rsidR="001B3171">
        <w:rPr>
          <w:rFonts w:ascii="Tahoma" w:hAnsi="Tahoma" w:cs="Tahoma"/>
          <w:sz w:val="20"/>
        </w:rPr>
        <w:t>Indicator</w:t>
      </w:r>
      <w:r w:rsidRPr="002733C9">
        <w:rPr>
          <w:rFonts w:ascii="Tahoma" w:hAnsi="Tahoma" w:cs="Tahoma"/>
          <w:sz w:val="20"/>
        </w:rPr>
        <w:t xml:space="preserve">s is determined in accordance with the ranking of the fifty largest banks by the volume of deposits attracted from individuals, compiled by the Exchange. </w:t>
      </w:r>
    </w:p>
    <w:p w14:paraId="6532FA76" w14:textId="6B9F8820" w:rsidR="00602734" w:rsidRPr="002733C9" w:rsidRDefault="00602734"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w:t>
      </w:r>
      <w:r w:rsidR="001B3171">
        <w:rPr>
          <w:rFonts w:ascii="Tahoma" w:hAnsi="Tahoma" w:cs="Tahoma"/>
          <w:sz w:val="20"/>
        </w:rPr>
        <w:t>Indicator</w:t>
      </w:r>
      <w:r w:rsidRPr="002733C9">
        <w:rPr>
          <w:rFonts w:ascii="Tahoma" w:hAnsi="Tahoma" w:cs="Tahoma"/>
          <w:sz w:val="20"/>
        </w:rPr>
        <w:t xml:space="preserve">s for savings accounts are calculated as per the </w:t>
      </w:r>
      <w:r w:rsidR="002733C9" w:rsidRPr="002733C9">
        <w:rPr>
          <w:rFonts w:ascii="Tahoma" w:hAnsi="Tahoma" w:cs="Tahoma"/>
          <w:sz w:val="20"/>
        </w:rPr>
        <w:t>following</w:t>
      </w:r>
      <w:r w:rsidRPr="002733C9">
        <w:rPr>
          <w:rFonts w:ascii="Tahoma" w:hAnsi="Tahoma" w:cs="Tahoma"/>
          <w:sz w:val="20"/>
        </w:rPr>
        <w:t xml:space="preserve"> formula:</w:t>
      </w:r>
    </w:p>
    <w:p w14:paraId="6FBF74DB" w14:textId="77777777" w:rsidR="00602734" w:rsidRPr="002733C9" w:rsidRDefault="003D1149" w:rsidP="002733C9">
      <w:pPr>
        <w:spacing w:before="120" w:after="120" w:line="240" w:lineRule="auto"/>
        <w:ind w:left="1418"/>
        <w:jc w:val="center"/>
        <w:rPr>
          <w:rFonts w:ascii="Tahoma" w:eastAsiaTheme="minorEastAsia" w:hAnsi="Tahoma" w:cs="Tahoma"/>
          <w:sz w:val="20"/>
          <w:szCs w:val="20"/>
        </w:rPr>
      </w:pPr>
      <m:oMath>
        <m:sSub>
          <m:sSubPr>
            <m:ctrlPr>
              <w:rPr>
                <w:rFonts w:ascii="Cambria Math" w:hAnsi="Cambria Math" w:cs="Tahoma"/>
                <w:i/>
                <w:sz w:val="24"/>
                <w:szCs w:val="24"/>
                <w:lang w:val="en-US"/>
              </w:rPr>
            </m:ctrlPr>
          </m:sSubPr>
          <m:e>
            <m:r>
              <w:rPr>
                <w:rFonts w:ascii="Cambria Math" w:hAnsi="Cambria Math" w:cs="Tahoma"/>
                <w:sz w:val="24"/>
                <w:szCs w:val="24"/>
              </w:rPr>
              <m:t>R</m:t>
            </m:r>
            <m:ctrlPr>
              <w:rPr>
                <w:rFonts w:ascii="Cambria Math" w:hAnsi="Cambria Math" w:cs="Tahoma"/>
                <w:i/>
                <w:sz w:val="24"/>
                <w:szCs w:val="24"/>
              </w:rPr>
            </m:ctrlPr>
          </m:e>
          <m:sub>
            <m:r>
              <w:rPr>
                <w:rFonts w:ascii="Cambria Math" w:hAnsi="Cambria Math" w:cs="Tahoma"/>
                <w:sz w:val="24"/>
                <w:szCs w:val="24"/>
                <w:lang w:val="en-US"/>
              </w:rPr>
              <m:t>S</m:t>
            </m:r>
          </m:sub>
        </m:sSub>
        <m:r>
          <w:rPr>
            <w:rFonts w:ascii="Cambria Math" w:hAnsi="Cambria Math" w:cs="Tahoma"/>
            <w:sz w:val="24"/>
            <w:szCs w:val="24"/>
          </w:rPr>
          <m:t>=</m:t>
        </m:r>
        <m:f>
          <m:fPr>
            <m:ctrlPr>
              <w:rPr>
                <w:rFonts w:ascii="Cambria Math" w:hAnsi="Cambria Math" w:cs="Tahoma"/>
                <w:i/>
                <w:sz w:val="24"/>
                <w:szCs w:val="24"/>
                <w:lang w:val="en-US"/>
              </w:rPr>
            </m:ctrlPr>
          </m:fPr>
          <m:num>
            <m:r>
              <w:rPr>
                <w:rFonts w:ascii="Cambria Math" w:hAnsi="Cambria Math" w:cs="Tahoma"/>
                <w:sz w:val="24"/>
                <w:szCs w:val="24"/>
              </w:rPr>
              <m:t>1</m:t>
            </m:r>
          </m:num>
          <m:den>
            <m:r>
              <w:rPr>
                <w:rFonts w:ascii="Cambria Math" w:hAnsi="Cambria Math" w:cs="Tahoma"/>
                <w:sz w:val="24"/>
                <w:szCs w:val="24"/>
                <w:lang w:val="en-US"/>
              </w:rPr>
              <m:t>N</m:t>
            </m:r>
          </m:den>
        </m:f>
        <m:nary>
          <m:naryPr>
            <m:chr m:val="∑"/>
            <m:limLoc m:val="undOvr"/>
            <m:ctrlPr>
              <w:rPr>
                <w:rFonts w:ascii="Cambria Math" w:hAnsi="Cambria Math" w:cs="Tahoma"/>
                <w:i/>
                <w:sz w:val="24"/>
                <w:szCs w:val="24"/>
                <w:lang w:val="en-US"/>
              </w:rPr>
            </m:ctrlPr>
          </m:naryPr>
          <m:sub>
            <m:r>
              <w:rPr>
                <w:rFonts w:ascii="Cambria Math" w:hAnsi="Cambria Math" w:cs="Tahoma"/>
                <w:sz w:val="24"/>
                <w:szCs w:val="24"/>
                <w:lang w:val="en-US"/>
              </w:rPr>
              <m:t>i</m:t>
            </m:r>
            <m:r>
              <w:rPr>
                <w:rFonts w:ascii="Cambria Math" w:hAnsi="Cambria Math" w:cs="Tahoma"/>
                <w:sz w:val="24"/>
                <w:szCs w:val="24"/>
              </w:rPr>
              <m:t>=1</m:t>
            </m:r>
          </m:sub>
          <m:sup>
            <m:r>
              <w:rPr>
                <w:rFonts w:ascii="Cambria Math" w:hAnsi="Cambria Math" w:cs="Tahoma"/>
                <w:sz w:val="24"/>
                <w:szCs w:val="24"/>
                <w:lang w:val="en-US"/>
              </w:rPr>
              <m:t>N</m:t>
            </m:r>
          </m:sup>
          <m:e>
            <m:sSub>
              <m:sSubPr>
                <m:ctrlPr>
                  <w:rPr>
                    <w:rFonts w:ascii="Cambria Math" w:hAnsi="Cambria Math" w:cs="Tahoma"/>
                    <w:i/>
                    <w:sz w:val="24"/>
                    <w:szCs w:val="24"/>
                    <w:lang w:val="en-US"/>
                  </w:rPr>
                </m:ctrlPr>
              </m:sSubPr>
              <m:e>
                <m:r>
                  <w:rPr>
                    <w:rFonts w:ascii="Cambria Math" w:hAnsi="Cambria Math" w:cs="Tahoma"/>
                    <w:sz w:val="24"/>
                    <w:szCs w:val="24"/>
                    <w:lang w:val="en-US"/>
                  </w:rPr>
                  <m:t>R</m:t>
                </m:r>
              </m:e>
              <m:sub>
                <m:r>
                  <w:rPr>
                    <w:rFonts w:ascii="Cambria Math" w:hAnsi="Cambria Math" w:cs="Tahoma"/>
                    <w:sz w:val="24"/>
                    <w:szCs w:val="24"/>
                    <w:lang w:val="en-US"/>
                  </w:rPr>
                  <m:t>i</m:t>
                </m:r>
              </m:sub>
            </m:sSub>
          </m:e>
        </m:nary>
      </m:oMath>
      <w:r w:rsidR="0029073D" w:rsidRPr="002733C9">
        <w:rPr>
          <w:rFonts w:ascii="Tahoma" w:hAnsi="Tahoma" w:cs="Tahoma"/>
          <w:sz w:val="20"/>
        </w:rPr>
        <w:t>,</w:t>
      </w:r>
    </w:p>
    <w:p w14:paraId="1EF2ED4C" w14:textId="77777777" w:rsidR="00602734" w:rsidRPr="002733C9" w:rsidRDefault="00602734" w:rsidP="002733C9">
      <w:pPr>
        <w:spacing w:before="120" w:after="120" w:line="240" w:lineRule="auto"/>
        <w:ind w:left="1418"/>
        <w:jc w:val="both"/>
        <w:rPr>
          <w:rFonts w:ascii="Tahoma" w:hAnsi="Tahoma" w:cs="Tahoma"/>
          <w:sz w:val="20"/>
          <w:szCs w:val="20"/>
        </w:rPr>
      </w:pPr>
      <w:r w:rsidRPr="002733C9">
        <w:rPr>
          <w:rFonts w:ascii="Tahoma" w:hAnsi="Tahoma" w:cs="Tahoma"/>
          <w:sz w:val="20"/>
        </w:rPr>
        <w:t>where:</w:t>
      </w:r>
    </w:p>
    <w:p w14:paraId="68863A46" w14:textId="544F7F1C" w:rsidR="00602734" w:rsidRPr="002733C9" w:rsidRDefault="003D1149" w:rsidP="002733C9">
      <w:pPr>
        <w:spacing w:before="120" w:after="120" w:line="240" w:lineRule="auto"/>
        <w:ind w:left="1418"/>
        <w:jc w:val="both"/>
        <w:rPr>
          <w:rFonts w:ascii="Tahoma" w:hAnsi="Tahoma" w:cs="Tahoma"/>
          <w:sz w:val="20"/>
          <w:szCs w:val="20"/>
        </w:rPr>
      </w:pPr>
      <m:oMath>
        <m:sSub>
          <m:sSubPr>
            <m:ctrlPr>
              <w:rPr>
                <w:rFonts w:ascii="Cambria Math" w:hAnsi="Cambria Math" w:cs="Tahoma"/>
                <w:sz w:val="24"/>
                <w:szCs w:val="24"/>
              </w:rPr>
            </m:ctrlPr>
          </m:sSubPr>
          <m:e>
            <m:r>
              <w:rPr>
                <w:rFonts w:ascii="Cambria Math" w:hAnsi="Cambria Math" w:cs="Tahoma"/>
                <w:sz w:val="24"/>
                <w:szCs w:val="24"/>
              </w:rPr>
              <m:t>R</m:t>
            </m:r>
          </m:e>
          <m:sub>
            <m:r>
              <w:rPr>
                <w:rFonts w:ascii="Cambria Math" w:hAnsi="Cambria Math" w:cs="Tahoma"/>
                <w:sz w:val="24"/>
                <w:szCs w:val="24"/>
              </w:rPr>
              <m:t>S</m:t>
            </m:r>
          </m:sub>
        </m:sSub>
      </m:oMath>
      <w:r w:rsidR="0029073D" w:rsidRPr="002733C9">
        <w:rPr>
          <w:rFonts w:ascii="Tahoma" w:hAnsi="Tahoma" w:cs="Tahoma"/>
          <w:sz w:val="20"/>
        </w:rPr>
        <w:t xml:space="preserve"> – the value of the </w:t>
      </w:r>
      <w:r w:rsidR="001B3171">
        <w:rPr>
          <w:rFonts w:ascii="Tahoma" w:hAnsi="Tahoma" w:cs="Tahoma"/>
          <w:sz w:val="20"/>
        </w:rPr>
        <w:t>Indicator</w:t>
      </w:r>
      <w:r w:rsidR="0029073D" w:rsidRPr="002733C9">
        <w:rPr>
          <w:rFonts w:ascii="Tahoma" w:hAnsi="Tahoma" w:cs="Tahoma"/>
          <w:sz w:val="20"/>
        </w:rPr>
        <w:t xml:space="preserve"> at the nth moment;</w:t>
      </w:r>
    </w:p>
    <w:p w14:paraId="00767C14" w14:textId="77777777" w:rsidR="00602734" w:rsidRPr="002733C9" w:rsidRDefault="00602734" w:rsidP="002733C9">
      <w:pPr>
        <w:spacing w:before="120" w:after="120" w:line="240" w:lineRule="auto"/>
        <w:ind w:left="1418"/>
        <w:jc w:val="both"/>
        <w:rPr>
          <w:rFonts w:ascii="Tahoma" w:hAnsi="Tahoma" w:cs="Tahoma"/>
          <w:sz w:val="20"/>
          <w:szCs w:val="20"/>
        </w:rPr>
      </w:pPr>
      <m:oMath>
        <m:r>
          <w:rPr>
            <w:rFonts w:ascii="Cambria Math" w:hAnsi="Cambria Math" w:cs="Tahoma"/>
            <w:sz w:val="24"/>
            <w:szCs w:val="24"/>
          </w:rPr>
          <m:t>N</m:t>
        </m:r>
      </m:oMath>
      <w:r w:rsidRPr="002733C9">
        <w:rPr>
          <w:rFonts w:ascii="Tahoma" w:hAnsi="Tahoma" w:cs="Tahoma"/>
          <w:sz w:val="20"/>
        </w:rPr>
        <w:t xml:space="preserve"> – the number of banks included in the calculation;</w:t>
      </w:r>
    </w:p>
    <w:p w14:paraId="5C82CD47" w14:textId="77777777" w:rsidR="00602734" w:rsidRPr="002733C9" w:rsidRDefault="003D1149" w:rsidP="002733C9">
      <w:pPr>
        <w:spacing w:before="120" w:after="120" w:line="240" w:lineRule="auto"/>
        <w:ind w:left="1418"/>
        <w:jc w:val="both"/>
        <w:rPr>
          <w:rFonts w:ascii="Tahoma" w:eastAsiaTheme="minorEastAsia" w:hAnsi="Tahoma" w:cs="Tahoma"/>
          <w:sz w:val="20"/>
          <w:szCs w:val="20"/>
        </w:rPr>
      </w:pPr>
      <m:oMath>
        <m:sSub>
          <m:sSubPr>
            <m:ctrlPr>
              <w:rPr>
                <w:rFonts w:ascii="Cambria Math" w:hAnsi="Cambria Math" w:cs="Tahoma"/>
                <w:i/>
                <w:sz w:val="24"/>
                <w:szCs w:val="24"/>
                <w:lang w:val="en-US"/>
              </w:rPr>
            </m:ctrlPr>
          </m:sSubPr>
          <m:e>
            <m:r>
              <w:rPr>
                <w:rFonts w:ascii="Cambria Math" w:hAnsi="Cambria Math" w:cs="Tahoma"/>
                <w:sz w:val="24"/>
                <w:szCs w:val="24"/>
                <w:lang w:val="en-US"/>
              </w:rPr>
              <m:t>R</m:t>
            </m:r>
          </m:e>
          <m:sub>
            <m:r>
              <w:rPr>
                <w:rFonts w:ascii="Cambria Math" w:hAnsi="Cambria Math" w:cs="Tahoma"/>
                <w:sz w:val="24"/>
                <w:szCs w:val="24"/>
                <w:lang w:val="en-US"/>
              </w:rPr>
              <m:t>i</m:t>
            </m:r>
          </m:sub>
        </m:sSub>
      </m:oMath>
      <w:r w:rsidR="0029073D" w:rsidRPr="002733C9">
        <w:rPr>
          <w:rFonts w:ascii="Tahoma" w:hAnsi="Tahoma" w:cs="Tahoma"/>
          <w:sz w:val="24"/>
        </w:rPr>
        <w:t xml:space="preserve"> - </w:t>
      </w:r>
      <w:r w:rsidR="0029073D" w:rsidRPr="002733C9">
        <w:rPr>
          <w:rFonts w:ascii="Tahoma" w:hAnsi="Tahoma" w:cs="Tahoma"/>
          <w:sz w:val="20"/>
        </w:rPr>
        <w:t xml:space="preserve">the maximum savings account rate in the </w:t>
      </w:r>
      <w:proofErr w:type="spellStart"/>
      <w:r w:rsidR="0029073D" w:rsidRPr="002733C9">
        <w:rPr>
          <w:rFonts w:ascii="Tahoma" w:hAnsi="Tahoma" w:cs="Tahoma"/>
          <w:sz w:val="20"/>
        </w:rPr>
        <w:t>i</w:t>
      </w:r>
      <w:r w:rsidR="0029073D" w:rsidRPr="002733C9">
        <w:rPr>
          <w:rFonts w:ascii="Tahoma" w:hAnsi="Tahoma" w:cs="Tahoma"/>
          <w:sz w:val="20"/>
          <w:vertAlign w:val="superscript"/>
        </w:rPr>
        <w:t>th</w:t>
      </w:r>
      <w:proofErr w:type="spellEnd"/>
      <w:r w:rsidR="0029073D" w:rsidRPr="002733C9">
        <w:rPr>
          <w:rFonts w:ascii="Tahoma" w:hAnsi="Tahoma" w:cs="Tahoma"/>
          <w:sz w:val="20"/>
        </w:rPr>
        <w:t xml:space="preserve"> bank, percent per annum.</w:t>
      </w:r>
    </w:p>
    <w:p w14:paraId="2109F79C" w14:textId="1D2E6C83" w:rsidR="00602734" w:rsidRPr="002733C9" w:rsidRDefault="00D81193" w:rsidP="002733C9">
      <w:pPr>
        <w:pStyle w:val="a7"/>
        <w:numPr>
          <w:ilvl w:val="1"/>
          <w:numId w:val="4"/>
        </w:numPr>
        <w:spacing w:before="120" w:after="120" w:line="240" w:lineRule="auto"/>
        <w:ind w:left="1276"/>
        <w:contextualSpacing w:val="0"/>
        <w:jc w:val="both"/>
        <w:rPr>
          <w:rFonts w:ascii="Tahoma" w:hAnsi="Tahoma" w:cs="Tahoma"/>
          <w:sz w:val="20"/>
          <w:szCs w:val="20"/>
        </w:rPr>
      </w:pPr>
      <w:r w:rsidRPr="002733C9">
        <w:rPr>
          <w:rFonts w:ascii="Tahoma" w:hAnsi="Tahoma" w:cs="Tahoma"/>
          <w:b/>
          <w:sz w:val="20"/>
        </w:rPr>
        <w:t xml:space="preserve">General procedure for calculating the </w:t>
      </w:r>
      <w:r w:rsidR="001B3171">
        <w:rPr>
          <w:rFonts w:ascii="Tahoma" w:hAnsi="Tahoma" w:cs="Tahoma"/>
          <w:b/>
          <w:sz w:val="20"/>
        </w:rPr>
        <w:t>Indicator</w:t>
      </w:r>
      <w:r w:rsidRPr="002733C9">
        <w:rPr>
          <w:rFonts w:ascii="Tahoma" w:hAnsi="Tahoma" w:cs="Tahoma"/>
          <w:b/>
          <w:sz w:val="20"/>
        </w:rPr>
        <w:t>s for cash loans</w:t>
      </w:r>
    </w:p>
    <w:p w14:paraId="166CE04F" w14:textId="094CC04E" w:rsidR="00D81193" w:rsidRPr="002733C9" w:rsidRDefault="0071713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w:t>
      </w:r>
      <w:r w:rsidR="001B3171">
        <w:rPr>
          <w:rFonts w:ascii="Tahoma" w:hAnsi="Tahoma" w:cs="Tahoma"/>
          <w:sz w:val="20"/>
        </w:rPr>
        <w:t>Indicator</w:t>
      </w:r>
      <w:r w:rsidRPr="002733C9">
        <w:rPr>
          <w:rFonts w:ascii="Tahoma" w:hAnsi="Tahoma" w:cs="Tahoma"/>
          <w:sz w:val="20"/>
        </w:rPr>
        <w:t>s are calculated using the true cash loan cost (TLC) published on the official websites of banks. The parameters of cash loans for individuals are used in the calculation. All available TLC values of each bank announced in their publicly available tariffs on their official websites are added to the calculation.</w:t>
      </w:r>
    </w:p>
    <w:p w14:paraId="69E5F8DC" w14:textId="46B46BA4" w:rsidR="00AD16E0" w:rsidRPr="002733C9" w:rsidRDefault="00AD16E0"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list of banks whose rates are used in the calculation of the </w:t>
      </w:r>
      <w:r w:rsidR="001B3171">
        <w:rPr>
          <w:rFonts w:ascii="Tahoma" w:hAnsi="Tahoma" w:cs="Tahoma"/>
          <w:sz w:val="20"/>
        </w:rPr>
        <w:t>Indicator</w:t>
      </w:r>
      <w:r w:rsidRPr="002733C9">
        <w:rPr>
          <w:rFonts w:ascii="Tahoma" w:hAnsi="Tahoma" w:cs="Tahoma"/>
          <w:sz w:val="20"/>
        </w:rPr>
        <w:t xml:space="preserve">s is determined in accordance with the ranking of the twenty largest banks by retail loan portfolio size, compiled by the Exchange. </w:t>
      </w:r>
    </w:p>
    <w:p w14:paraId="3688F8AC" w14:textId="1405B9F7" w:rsidR="00105432" w:rsidRPr="002733C9" w:rsidRDefault="0010543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The following types of </w:t>
      </w:r>
      <w:r w:rsidR="001B3171">
        <w:rPr>
          <w:rFonts w:ascii="Tahoma" w:hAnsi="Tahoma" w:cs="Tahoma"/>
          <w:sz w:val="20"/>
        </w:rPr>
        <w:t>Indicator</w:t>
      </w:r>
      <w:r w:rsidRPr="002733C9">
        <w:rPr>
          <w:rFonts w:ascii="Tahoma" w:hAnsi="Tahoma" w:cs="Tahoma"/>
          <w:sz w:val="20"/>
        </w:rPr>
        <w:t>s are calculated:</w:t>
      </w:r>
    </w:p>
    <w:p w14:paraId="3FB8B5C7" w14:textId="6F40075C" w:rsidR="00105432" w:rsidRPr="002733C9" w:rsidRDefault="005601FD" w:rsidP="002733C9">
      <w:pPr>
        <w:pStyle w:val="a7"/>
        <w:numPr>
          <w:ilvl w:val="0"/>
          <w:numId w:val="13"/>
        </w:numPr>
        <w:spacing w:before="120" w:after="120" w:line="240" w:lineRule="auto"/>
        <w:ind w:left="1843"/>
        <w:contextualSpacing w:val="0"/>
        <w:jc w:val="both"/>
        <w:rPr>
          <w:rFonts w:ascii="Tahoma" w:hAnsi="Tahoma" w:cs="Tahoma"/>
          <w:sz w:val="20"/>
          <w:szCs w:val="20"/>
        </w:rPr>
      </w:pPr>
      <w:r w:rsidRPr="002733C9">
        <w:rPr>
          <w:rFonts w:ascii="Tahoma" w:hAnsi="Tahoma" w:cs="Tahoma"/>
          <w:sz w:val="20"/>
        </w:rPr>
        <w:t>An</w:t>
      </w:r>
      <w:r w:rsidR="00105432" w:rsidRPr="002733C9">
        <w:rPr>
          <w:rFonts w:ascii="Tahoma" w:hAnsi="Tahoma" w:cs="Tahoma"/>
          <w:sz w:val="20"/>
        </w:rPr>
        <w:t xml:space="preserve"> </w:t>
      </w:r>
      <w:r w:rsidR="001B3171">
        <w:rPr>
          <w:rFonts w:ascii="Tahoma" w:hAnsi="Tahoma" w:cs="Tahoma"/>
          <w:sz w:val="20"/>
        </w:rPr>
        <w:t>Indicator</w:t>
      </w:r>
      <w:r w:rsidR="00105432" w:rsidRPr="002733C9">
        <w:rPr>
          <w:rFonts w:ascii="Tahoma" w:hAnsi="Tahoma" w:cs="Tahoma"/>
          <w:sz w:val="20"/>
        </w:rPr>
        <w:t xml:space="preserve"> tracking the minimum TLCs, which is calculated using the minimum values of the true cash loan cost as specified in bank tariffs;</w:t>
      </w:r>
    </w:p>
    <w:p w14:paraId="2C225E39" w14:textId="58168863" w:rsidR="00105432" w:rsidRPr="002733C9" w:rsidRDefault="005601FD" w:rsidP="002733C9">
      <w:pPr>
        <w:pStyle w:val="a7"/>
        <w:numPr>
          <w:ilvl w:val="0"/>
          <w:numId w:val="13"/>
        </w:numPr>
        <w:spacing w:before="120" w:after="120" w:line="240" w:lineRule="auto"/>
        <w:ind w:left="1843"/>
        <w:contextualSpacing w:val="0"/>
        <w:jc w:val="both"/>
        <w:rPr>
          <w:rFonts w:ascii="Tahoma" w:hAnsi="Tahoma" w:cs="Tahoma"/>
          <w:sz w:val="20"/>
          <w:szCs w:val="20"/>
        </w:rPr>
      </w:pPr>
      <w:r w:rsidRPr="002733C9">
        <w:rPr>
          <w:rFonts w:ascii="Tahoma" w:hAnsi="Tahoma" w:cs="Tahoma"/>
          <w:sz w:val="20"/>
        </w:rPr>
        <w:t>An</w:t>
      </w:r>
      <w:r w:rsidR="00105432" w:rsidRPr="002733C9">
        <w:rPr>
          <w:rFonts w:ascii="Tahoma" w:hAnsi="Tahoma" w:cs="Tahoma"/>
          <w:sz w:val="20"/>
        </w:rPr>
        <w:t xml:space="preserve"> </w:t>
      </w:r>
      <w:r w:rsidR="001B3171">
        <w:rPr>
          <w:rFonts w:ascii="Tahoma" w:hAnsi="Tahoma" w:cs="Tahoma"/>
          <w:sz w:val="20"/>
        </w:rPr>
        <w:t>Indicator</w:t>
      </w:r>
      <w:r w:rsidR="00105432" w:rsidRPr="002733C9">
        <w:rPr>
          <w:rFonts w:ascii="Tahoma" w:hAnsi="Tahoma" w:cs="Tahoma"/>
          <w:sz w:val="20"/>
        </w:rPr>
        <w:t xml:space="preserve"> tracking the maximum TLCs, which is calculated using the maximum values of the true cash loan cost as specified in bank tariffs;</w:t>
      </w:r>
    </w:p>
    <w:p w14:paraId="3D857CC2" w14:textId="1A51100A" w:rsidR="00105432" w:rsidRPr="002733C9" w:rsidRDefault="005601FD" w:rsidP="002733C9">
      <w:pPr>
        <w:pStyle w:val="a7"/>
        <w:numPr>
          <w:ilvl w:val="0"/>
          <w:numId w:val="13"/>
        </w:numPr>
        <w:spacing w:before="120" w:after="120" w:line="240" w:lineRule="auto"/>
        <w:ind w:left="1843"/>
        <w:contextualSpacing w:val="0"/>
        <w:jc w:val="both"/>
        <w:rPr>
          <w:rFonts w:ascii="Tahoma" w:hAnsi="Tahoma" w:cs="Tahoma"/>
          <w:sz w:val="20"/>
          <w:szCs w:val="20"/>
        </w:rPr>
      </w:pPr>
      <w:r w:rsidRPr="002733C9">
        <w:rPr>
          <w:rFonts w:ascii="Tahoma" w:hAnsi="Tahoma" w:cs="Tahoma"/>
          <w:sz w:val="20"/>
        </w:rPr>
        <w:t>An</w:t>
      </w:r>
      <w:r w:rsidR="00105432" w:rsidRPr="002733C9">
        <w:rPr>
          <w:rFonts w:ascii="Tahoma" w:hAnsi="Tahoma" w:cs="Tahoma"/>
          <w:sz w:val="20"/>
        </w:rPr>
        <w:t xml:space="preserve"> </w:t>
      </w:r>
      <w:r w:rsidR="001B3171">
        <w:rPr>
          <w:rFonts w:ascii="Tahoma" w:hAnsi="Tahoma" w:cs="Tahoma"/>
          <w:sz w:val="20"/>
        </w:rPr>
        <w:t>Indicator</w:t>
      </w:r>
      <w:r w:rsidR="00105432" w:rsidRPr="002733C9">
        <w:rPr>
          <w:rFonts w:ascii="Tahoma" w:hAnsi="Tahoma" w:cs="Tahoma"/>
          <w:sz w:val="20"/>
        </w:rPr>
        <w:t xml:space="preserve"> tracking the average TLCs, which is calculated as the arithmetic mean of the minimum and maximum TLCs in the ranges specified in the tariffs of each bank.</w:t>
      </w:r>
    </w:p>
    <w:p w14:paraId="45100654" w14:textId="618E6C73" w:rsidR="00105432" w:rsidRPr="002733C9" w:rsidRDefault="00105432" w:rsidP="002733C9">
      <w:pPr>
        <w:pStyle w:val="a7"/>
        <w:numPr>
          <w:ilvl w:val="2"/>
          <w:numId w:val="4"/>
        </w:numPr>
        <w:spacing w:before="120" w:after="120" w:line="240" w:lineRule="auto"/>
        <w:ind w:left="1418"/>
        <w:contextualSpacing w:val="0"/>
        <w:jc w:val="both"/>
        <w:rPr>
          <w:rFonts w:ascii="Tahoma" w:hAnsi="Tahoma" w:cs="Tahoma"/>
          <w:sz w:val="20"/>
          <w:szCs w:val="20"/>
        </w:rPr>
      </w:pPr>
      <w:r w:rsidRPr="002733C9">
        <w:rPr>
          <w:rFonts w:ascii="Tahoma" w:hAnsi="Tahoma" w:cs="Tahoma"/>
          <w:sz w:val="20"/>
        </w:rPr>
        <w:t xml:space="preserve">In such cases, the </w:t>
      </w:r>
      <w:r w:rsidR="001B3171">
        <w:rPr>
          <w:rFonts w:ascii="Tahoma" w:hAnsi="Tahoma" w:cs="Tahoma"/>
          <w:sz w:val="20"/>
        </w:rPr>
        <w:t>Indicator</w:t>
      </w:r>
      <w:r w:rsidRPr="002733C9">
        <w:rPr>
          <w:rFonts w:ascii="Tahoma" w:hAnsi="Tahoma" w:cs="Tahoma"/>
          <w:sz w:val="20"/>
        </w:rPr>
        <w:t xml:space="preserve">s </w:t>
      </w:r>
      <w:r w:rsidR="003D1149">
        <w:rPr>
          <w:rFonts w:ascii="Tahoma" w:hAnsi="Tahoma" w:cs="Tahoma"/>
          <w:sz w:val="20"/>
          <w:lang w:val="en-US"/>
        </w:rPr>
        <w:t>are</w:t>
      </w:r>
      <w:r w:rsidRPr="002733C9">
        <w:rPr>
          <w:rFonts w:ascii="Tahoma" w:hAnsi="Tahoma" w:cs="Tahoma"/>
          <w:sz w:val="20"/>
        </w:rPr>
        <w:t xml:space="preserve"> calculated in accordance with the following formula:</w:t>
      </w:r>
    </w:p>
    <w:p w14:paraId="12CF94EB" w14:textId="77777777" w:rsidR="00105432" w:rsidRPr="002733C9" w:rsidRDefault="003D1149" w:rsidP="002733C9">
      <w:pPr>
        <w:spacing w:before="120" w:after="120" w:line="240" w:lineRule="auto"/>
        <w:ind w:left="360"/>
        <w:jc w:val="center"/>
        <w:rPr>
          <w:rFonts w:ascii="Tahoma" w:eastAsiaTheme="minorEastAsia" w:hAnsi="Tahoma" w:cs="Tahoma"/>
          <w:sz w:val="20"/>
          <w:szCs w:val="20"/>
        </w:rPr>
      </w:pPr>
      <m:oMath>
        <m:sSub>
          <m:sSubPr>
            <m:ctrlPr>
              <w:rPr>
                <w:rFonts w:ascii="Cambria Math" w:hAnsi="Cambria Math" w:cs="Tahoma"/>
                <w:i/>
                <w:sz w:val="24"/>
                <w:szCs w:val="24"/>
                <w:lang w:val="en-US"/>
              </w:rPr>
            </m:ctrlPr>
          </m:sSubPr>
          <m:e>
            <m:r>
              <w:rPr>
                <w:rFonts w:ascii="Cambria Math" w:hAnsi="Cambria Math" w:cs="Tahoma"/>
                <w:sz w:val="24"/>
                <w:szCs w:val="24"/>
              </w:rPr>
              <m:t>R</m:t>
            </m:r>
            <m:ctrlPr>
              <w:rPr>
                <w:rFonts w:ascii="Cambria Math" w:hAnsi="Cambria Math" w:cs="Tahoma"/>
                <w:i/>
                <w:sz w:val="24"/>
                <w:szCs w:val="24"/>
              </w:rPr>
            </m:ctrlPr>
          </m:e>
          <m:sub>
            <m:r>
              <w:rPr>
                <w:rFonts w:ascii="Cambria Math" w:hAnsi="Cambria Math" w:cs="Tahoma"/>
                <w:sz w:val="24"/>
                <w:szCs w:val="24"/>
                <w:lang w:val="en-US"/>
              </w:rPr>
              <m:t>C</m:t>
            </m:r>
          </m:sub>
        </m:sSub>
        <m:r>
          <w:rPr>
            <w:rFonts w:ascii="Cambria Math" w:hAnsi="Cambria Math" w:cs="Tahoma"/>
            <w:sz w:val="24"/>
            <w:szCs w:val="24"/>
          </w:rPr>
          <m:t>=</m:t>
        </m:r>
        <m:f>
          <m:fPr>
            <m:ctrlPr>
              <w:rPr>
                <w:rFonts w:ascii="Cambria Math" w:hAnsi="Cambria Math" w:cs="Tahoma"/>
                <w:i/>
                <w:sz w:val="24"/>
                <w:szCs w:val="24"/>
                <w:lang w:val="en-US"/>
              </w:rPr>
            </m:ctrlPr>
          </m:fPr>
          <m:num>
            <m:r>
              <w:rPr>
                <w:rFonts w:ascii="Cambria Math" w:hAnsi="Cambria Math" w:cs="Tahoma"/>
                <w:sz w:val="24"/>
                <w:szCs w:val="24"/>
              </w:rPr>
              <m:t>1</m:t>
            </m:r>
          </m:num>
          <m:den>
            <m:r>
              <w:rPr>
                <w:rFonts w:ascii="Cambria Math" w:hAnsi="Cambria Math" w:cs="Tahoma"/>
                <w:sz w:val="24"/>
                <w:szCs w:val="24"/>
                <w:lang w:val="en-US"/>
              </w:rPr>
              <m:t>M</m:t>
            </m:r>
          </m:den>
        </m:f>
        <m:nary>
          <m:naryPr>
            <m:chr m:val="∑"/>
            <m:limLoc m:val="undOvr"/>
            <m:ctrlPr>
              <w:rPr>
                <w:rFonts w:ascii="Cambria Math" w:hAnsi="Cambria Math" w:cs="Tahoma"/>
                <w:i/>
                <w:sz w:val="24"/>
                <w:szCs w:val="24"/>
                <w:lang w:val="en-US"/>
              </w:rPr>
            </m:ctrlPr>
          </m:naryPr>
          <m:sub>
            <m:r>
              <w:rPr>
                <w:rFonts w:ascii="Cambria Math" w:hAnsi="Cambria Math" w:cs="Tahoma"/>
                <w:sz w:val="24"/>
                <w:szCs w:val="24"/>
                <w:lang w:val="en-US"/>
              </w:rPr>
              <m:t>j</m:t>
            </m:r>
            <m:r>
              <w:rPr>
                <w:rFonts w:ascii="Cambria Math" w:hAnsi="Cambria Math" w:cs="Tahoma"/>
                <w:sz w:val="24"/>
                <w:szCs w:val="24"/>
              </w:rPr>
              <m:t>=1</m:t>
            </m:r>
          </m:sub>
          <m:sup>
            <m:r>
              <w:rPr>
                <w:rFonts w:ascii="Cambria Math" w:hAnsi="Cambria Math" w:cs="Tahoma"/>
                <w:sz w:val="24"/>
                <w:szCs w:val="24"/>
                <w:lang w:val="en-US"/>
              </w:rPr>
              <m:t>M</m:t>
            </m:r>
          </m:sup>
          <m:e>
            <m:sSub>
              <m:sSubPr>
                <m:ctrlPr>
                  <w:rPr>
                    <w:rFonts w:ascii="Cambria Math" w:hAnsi="Cambria Math" w:cs="Tahoma"/>
                    <w:i/>
                    <w:sz w:val="24"/>
                    <w:szCs w:val="24"/>
                    <w:lang w:val="en-US"/>
                  </w:rPr>
                </m:ctrlPr>
              </m:sSubPr>
              <m:e>
                <m:r>
                  <w:rPr>
                    <w:rFonts w:ascii="Cambria Math" w:hAnsi="Cambria Math" w:cs="Tahoma"/>
                    <w:sz w:val="24"/>
                    <w:szCs w:val="24"/>
                    <w:lang w:val="en-US"/>
                  </w:rPr>
                  <m:t>R</m:t>
                </m:r>
              </m:e>
              <m:sub>
                <m:r>
                  <w:rPr>
                    <w:rFonts w:ascii="Cambria Math" w:hAnsi="Cambria Math" w:cs="Tahoma"/>
                    <w:sz w:val="24"/>
                    <w:szCs w:val="24"/>
                    <w:lang w:val="en-US"/>
                  </w:rPr>
                  <m:t>j</m:t>
                </m:r>
              </m:sub>
            </m:sSub>
          </m:e>
        </m:nary>
      </m:oMath>
      <w:r w:rsidR="0029073D" w:rsidRPr="002733C9">
        <w:rPr>
          <w:rFonts w:ascii="Tahoma" w:hAnsi="Tahoma" w:cs="Tahoma"/>
          <w:sz w:val="20"/>
        </w:rPr>
        <w:t>,</w:t>
      </w:r>
    </w:p>
    <w:p w14:paraId="4090AB07" w14:textId="77777777" w:rsidR="00105432" w:rsidRPr="002733C9" w:rsidRDefault="00105432" w:rsidP="002733C9">
      <w:pPr>
        <w:spacing w:before="120" w:after="120" w:line="240" w:lineRule="auto"/>
        <w:ind w:left="1418"/>
        <w:jc w:val="both"/>
        <w:rPr>
          <w:rFonts w:ascii="Tahoma" w:hAnsi="Tahoma" w:cs="Tahoma"/>
          <w:sz w:val="20"/>
          <w:szCs w:val="20"/>
        </w:rPr>
      </w:pPr>
      <w:r w:rsidRPr="002733C9">
        <w:rPr>
          <w:rFonts w:ascii="Tahoma" w:hAnsi="Tahoma" w:cs="Tahoma"/>
          <w:sz w:val="20"/>
        </w:rPr>
        <w:t>where:</w:t>
      </w:r>
    </w:p>
    <w:p w14:paraId="08FDF31A" w14:textId="55319315" w:rsidR="00105432" w:rsidRPr="002733C9" w:rsidRDefault="003D1149" w:rsidP="002733C9">
      <w:pPr>
        <w:spacing w:before="120" w:after="120" w:line="240" w:lineRule="auto"/>
        <w:ind w:left="1418"/>
        <w:jc w:val="both"/>
        <w:rPr>
          <w:rFonts w:ascii="Tahoma" w:hAnsi="Tahoma" w:cs="Tahoma"/>
          <w:sz w:val="20"/>
          <w:szCs w:val="20"/>
        </w:rPr>
      </w:pPr>
      <m:oMath>
        <m:sSub>
          <m:sSubPr>
            <m:ctrlPr>
              <w:rPr>
                <w:rFonts w:ascii="Cambria Math" w:hAnsi="Cambria Math" w:cs="Tahoma"/>
                <w:sz w:val="24"/>
                <w:szCs w:val="24"/>
              </w:rPr>
            </m:ctrlPr>
          </m:sSubPr>
          <m:e>
            <m:r>
              <w:rPr>
                <w:rFonts w:ascii="Cambria Math" w:hAnsi="Cambria Math" w:cs="Tahoma"/>
                <w:sz w:val="24"/>
                <w:szCs w:val="24"/>
              </w:rPr>
              <m:t>R</m:t>
            </m:r>
          </m:e>
          <m:sub>
            <m:r>
              <w:rPr>
                <w:rFonts w:ascii="Cambria Math" w:hAnsi="Cambria Math" w:cs="Tahoma"/>
                <w:sz w:val="24"/>
                <w:szCs w:val="24"/>
              </w:rPr>
              <m:t>C</m:t>
            </m:r>
          </m:sub>
        </m:sSub>
      </m:oMath>
      <w:r w:rsidR="0029073D" w:rsidRPr="002733C9">
        <w:rPr>
          <w:rFonts w:ascii="Tahoma" w:hAnsi="Tahoma" w:cs="Tahoma"/>
          <w:sz w:val="20"/>
        </w:rPr>
        <w:t xml:space="preserve"> – the value of the </w:t>
      </w:r>
      <w:r w:rsidR="001B3171">
        <w:rPr>
          <w:rFonts w:ascii="Tahoma" w:hAnsi="Tahoma" w:cs="Tahoma"/>
          <w:sz w:val="20"/>
        </w:rPr>
        <w:t>Indicator</w:t>
      </w:r>
      <w:r w:rsidR="0029073D" w:rsidRPr="002733C9">
        <w:rPr>
          <w:rFonts w:ascii="Tahoma" w:hAnsi="Tahoma" w:cs="Tahoma"/>
          <w:sz w:val="20"/>
        </w:rPr>
        <w:t xml:space="preserve"> at the nth moment;</w:t>
      </w:r>
    </w:p>
    <w:p w14:paraId="1163F1D5" w14:textId="77777777" w:rsidR="00105432" w:rsidRPr="002733C9" w:rsidRDefault="00105432" w:rsidP="002733C9">
      <w:pPr>
        <w:spacing w:before="120" w:after="120" w:line="240" w:lineRule="auto"/>
        <w:ind w:left="1418"/>
        <w:jc w:val="both"/>
        <w:rPr>
          <w:rFonts w:ascii="Tahoma" w:hAnsi="Tahoma" w:cs="Tahoma"/>
          <w:sz w:val="20"/>
          <w:szCs w:val="20"/>
        </w:rPr>
      </w:pPr>
      <m:oMath>
        <m:r>
          <w:rPr>
            <w:rFonts w:ascii="Cambria Math" w:eastAsiaTheme="minorEastAsia" w:hAnsi="Cambria Math" w:cs="Tahoma"/>
            <w:sz w:val="20"/>
            <w:szCs w:val="20"/>
          </w:rPr>
          <m:t>M</m:t>
        </m:r>
      </m:oMath>
      <w:r w:rsidRPr="002733C9">
        <w:rPr>
          <w:rFonts w:ascii="Tahoma" w:hAnsi="Tahoma" w:cs="Tahoma"/>
          <w:sz w:val="20"/>
        </w:rPr>
        <w:t xml:space="preserve"> – the total number of TICs in the calculation for the top 20 banks;</w:t>
      </w:r>
    </w:p>
    <w:p w14:paraId="4241337F" w14:textId="77777777" w:rsidR="00105432" w:rsidRPr="002733C9" w:rsidRDefault="003D1149" w:rsidP="002733C9">
      <w:pPr>
        <w:spacing w:before="120" w:after="120" w:line="240" w:lineRule="auto"/>
        <w:ind w:left="1418"/>
        <w:jc w:val="both"/>
        <w:rPr>
          <w:rFonts w:ascii="Tahoma" w:eastAsiaTheme="minorEastAsia" w:hAnsi="Tahoma" w:cs="Tahoma"/>
          <w:sz w:val="20"/>
          <w:szCs w:val="20"/>
        </w:rPr>
      </w:pPr>
      <m:oMath>
        <m:sSub>
          <m:sSubPr>
            <m:ctrlPr>
              <w:rPr>
                <w:rFonts w:ascii="Cambria Math" w:hAnsi="Cambria Math" w:cs="Tahoma"/>
                <w:i/>
                <w:sz w:val="24"/>
                <w:szCs w:val="24"/>
                <w:lang w:val="en-US"/>
              </w:rPr>
            </m:ctrlPr>
          </m:sSubPr>
          <m:e>
            <m:r>
              <w:rPr>
                <w:rFonts w:ascii="Cambria Math" w:hAnsi="Cambria Math" w:cs="Tahoma"/>
                <w:sz w:val="24"/>
                <w:szCs w:val="24"/>
                <w:lang w:val="en-US"/>
              </w:rPr>
              <m:t>R</m:t>
            </m:r>
          </m:e>
          <m:sub>
            <m:r>
              <w:rPr>
                <w:rFonts w:ascii="Cambria Math" w:hAnsi="Cambria Math" w:cs="Tahoma"/>
                <w:sz w:val="24"/>
                <w:szCs w:val="24"/>
                <w:lang w:val="en-US"/>
              </w:rPr>
              <m:t>i</m:t>
            </m:r>
          </m:sub>
        </m:sSub>
      </m:oMath>
      <w:r w:rsidR="0029073D" w:rsidRPr="002733C9">
        <w:rPr>
          <w:rFonts w:ascii="Tahoma" w:hAnsi="Tahoma" w:cs="Tahoma"/>
          <w:sz w:val="24"/>
        </w:rPr>
        <w:t xml:space="preserve"> - </w:t>
      </w:r>
      <w:r w:rsidR="0029073D" w:rsidRPr="002733C9">
        <w:rPr>
          <w:rFonts w:ascii="Tahoma" w:hAnsi="Tahoma" w:cs="Tahoma"/>
          <w:sz w:val="20"/>
        </w:rPr>
        <w:t xml:space="preserve">the value of the </w:t>
      </w:r>
      <w:proofErr w:type="spellStart"/>
      <w:r w:rsidR="0029073D" w:rsidRPr="002733C9">
        <w:rPr>
          <w:rFonts w:ascii="Tahoma" w:hAnsi="Tahoma" w:cs="Tahoma"/>
          <w:sz w:val="20"/>
        </w:rPr>
        <w:t>j</w:t>
      </w:r>
      <w:r w:rsidR="0029073D" w:rsidRPr="002733C9">
        <w:rPr>
          <w:rFonts w:ascii="Tahoma" w:hAnsi="Tahoma" w:cs="Tahoma"/>
          <w:sz w:val="20"/>
          <w:vertAlign w:val="superscript"/>
        </w:rPr>
        <w:t>th</w:t>
      </w:r>
      <w:proofErr w:type="spellEnd"/>
      <w:r w:rsidR="0029073D" w:rsidRPr="002733C9">
        <w:rPr>
          <w:rFonts w:ascii="Tahoma" w:hAnsi="Tahoma" w:cs="Tahoma"/>
          <w:sz w:val="20"/>
        </w:rPr>
        <w:t xml:space="preserve"> true loan cost, percent per annum.</w:t>
      </w:r>
    </w:p>
    <w:p w14:paraId="5A61750A" w14:textId="79BA8115" w:rsidR="009F26FE" w:rsidRPr="002733C9" w:rsidRDefault="001B3171" w:rsidP="002733C9">
      <w:pPr>
        <w:numPr>
          <w:ilvl w:val="0"/>
          <w:numId w:val="4"/>
        </w:numPr>
        <w:spacing w:beforeLines="50" w:before="120" w:afterLines="50" w:after="120" w:line="240" w:lineRule="auto"/>
        <w:rPr>
          <w:rFonts w:ascii="Tahoma" w:hAnsi="Tahoma" w:cs="Tahoma"/>
          <w:b/>
          <w:sz w:val="20"/>
          <w:szCs w:val="20"/>
        </w:rPr>
      </w:pPr>
      <w:r>
        <w:rPr>
          <w:rFonts w:ascii="Tahoma" w:hAnsi="Tahoma" w:cs="Tahoma"/>
          <w:b/>
          <w:sz w:val="20"/>
        </w:rPr>
        <w:t>Indicator</w:t>
      </w:r>
      <w:r w:rsidR="009F26FE" w:rsidRPr="002733C9">
        <w:rPr>
          <w:rFonts w:ascii="Tahoma" w:hAnsi="Tahoma" w:cs="Tahoma"/>
          <w:b/>
          <w:sz w:val="20"/>
        </w:rPr>
        <w:t xml:space="preserve"> calculation supervision</w:t>
      </w:r>
    </w:p>
    <w:p w14:paraId="67D3DBAB" w14:textId="582EE2D1" w:rsidR="009F26FE" w:rsidRPr="002733C9" w:rsidRDefault="009F26FE" w:rsidP="002733C9">
      <w:pPr>
        <w:numPr>
          <w:ilvl w:val="1"/>
          <w:numId w:val="4"/>
        </w:numPr>
        <w:spacing w:beforeLines="50" w:before="120" w:after="120" w:line="240" w:lineRule="auto"/>
        <w:ind w:left="1276"/>
        <w:jc w:val="both"/>
        <w:rPr>
          <w:rFonts w:ascii="Tahoma" w:hAnsi="Tahoma" w:cs="Tahoma"/>
          <w:sz w:val="20"/>
          <w:szCs w:val="20"/>
        </w:rPr>
      </w:pPr>
      <w:r w:rsidRPr="002733C9">
        <w:rPr>
          <w:rFonts w:ascii="Tahoma" w:hAnsi="Tahoma" w:cs="Tahoma"/>
          <w:sz w:val="20"/>
        </w:rPr>
        <w:t xml:space="preserve">In the event of a technical failure during the calculation of the </w:t>
      </w:r>
      <w:r w:rsidR="001B3171">
        <w:rPr>
          <w:rFonts w:ascii="Tahoma" w:hAnsi="Tahoma" w:cs="Tahoma"/>
          <w:sz w:val="20"/>
        </w:rPr>
        <w:t>Indicator</w:t>
      </w:r>
      <w:r w:rsidRPr="002733C9">
        <w:rPr>
          <w:rFonts w:ascii="Tahoma" w:hAnsi="Tahoma" w:cs="Tahoma"/>
          <w:sz w:val="20"/>
        </w:rPr>
        <w:t xml:space="preserve"> or a technical failure during the receipt of data required for its calculation, recalculation of the previously </w:t>
      </w:r>
      <w:r w:rsidRPr="002733C9">
        <w:rPr>
          <w:rFonts w:ascii="Tahoma" w:hAnsi="Tahoma" w:cs="Tahoma"/>
          <w:sz w:val="20"/>
        </w:rPr>
        <w:lastRenderedPageBreak/>
        <w:t>calculated values is permitted. This recalculation shall be carried out within the shortest possible time from the moment of detection of the technical failure.</w:t>
      </w:r>
    </w:p>
    <w:p w14:paraId="459F238F" w14:textId="77777777" w:rsidR="009F26FE" w:rsidRPr="002733C9" w:rsidRDefault="009F26FE" w:rsidP="002733C9">
      <w:pPr>
        <w:numPr>
          <w:ilvl w:val="0"/>
          <w:numId w:val="4"/>
        </w:numPr>
        <w:spacing w:beforeLines="50" w:before="120" w:afterLines="50" w:after="120" w:line="240" w:lineRule="auto"/>
        <w:rPr>
          <w:rFonts w:ascii="Tahoma" w:hAnsi="Tahoma" w:cs="Tahoma"/>
          <w:b/>
          <w:sz w:val="20"/>
          <w:szCs w:val="20"/>
        </w:rPr>
      </w:pPr>
      <w:r w:rsidRPr="002733C9">
        <w:rPr>
          <w:rFonts w:ascii="Tahoma" w:hAnsi="Tahoma" w:cs="Tahoma"/>
          <w:b/>
          <w:sz w:val="20"/>
        </w:rPr>
        <w:t>Publication</w:t>
      </w:r>
    </w:p>
    <w:p w14:paraId="05240922" w14:textId="04A54651" w:rsidR="009F26FE" w:rsidRPr="002733C9" w:rsidRDefault="009F26FE" w:rsidP="002733C9">
      <w:pPr>
        <w:numPr>
          <w:ilvl w:val="1"/>
          <w:numId w:val="4"/>
        </w:numPr>
        <w:spacing w:beforeLines="50" w:before="120" w:after="120" w:line="240" w:lineRule="auto"/>
        <w:jc w:val="both"/>
        <w:rPr>
          <w:rFonts w:ascii="Tahoma" w:hAnsi="Tahoma" w:cs="Tahoma"/>
          <w:sz w:val="20"/>
          <w:szCs w:val="20"/>
        </w:rPr>
      </w:pPr>
      <w:r w:rsidRPr="002733C9">
        <w:rPr>
          <w:rFonts w:ascii="Tahoma" w:hAnsi="Tahoma" w:cs="Tahoma"/>
          <w:sz w:val="20"/>
        </w:rPr>
        <w:t xml:space="preserve">The </w:t>
      </w:r>
      <w:r w:rsidR="001B3171">
        <w:rPr>
          <w:rFonts w:ascii="Tahoma" w:hAnsi="Tahoma" w:cs="Tahoma"/>
          <w:sz w:val="20"/>
        </w:rPr>
        <w:t>Indicator</w:t>
      </w:r>
      <w:r w:rsidRPr="002733C9">
        <w:rPr>
          <w:rFonts w:ascii="Tahoma" w:hAnsi="Tahoma" w:cs="Tahoma"/>
          <w:sz w:val="20"/>
        </w:rPr>
        <w:t>s are calculated at the intervals set out in Appendix 1.</w:t>
      </w:r>
    </w:p>
    <w:p w14:paraId="527F0B35" w14:textId="05FB3426" w:rsidR="009F26FE" w:rsidRPr="002733C9" w:rsidRDefault="009F26FE" w:rsidP="002733C9">
      <w:pPr>
        <w:numPr>
          <w:ilvl w:val="1"/>
          <w:numId w:val="4"/>
        </w:numPr>
        <w:spacing w:beforeLines="50" w:before="120" w:after="120" w:line="240" w:lineRule="auto"/>
        <w:jc w:val="both"/>
        <w:rPr>
          <w:rFonts w:ascii="Tahoma" w:hAnsi="Tahoma" w:cs="Tahoma"/>
          <w:sz w:val="20"/>
          <w:szCs w:val="20"/>
        </w:rPr>
      </w:pPr>
      <w:r w:rsidRPr="002733C9">
        <w:rPr>
          <w:rFonts w:ascii="Tahoma" w:hAnsi="Tahoma" w:cs="Tahoma"/>
          <w:sz w:val="20"/>
        </w:rPr>
        <w:t xml:space="preserve">The values of the </w:t>
      </w:r>
      <w:r w:rsidR="001B3171">
        <w:rPr>
          <w:rFonts w:ascii="Tahoma" w:hAnsi="Tahoma" w:cs="Tahoma"/>
          <w:sz w:val="20"/>
        </w:rPr>
        <w:t>Indicator</w:t>
      </w:r>
      <w:r w:rsidRPr="002733C9">
        <w:rPr>
          <w:rFonts w:ascii="Tahoma" w:hAnsi="Tahoma" w:cs="Tahoma"/>
          <w:sz w:val="20"/>
        </w:rPr>
        <w:t xml:space="preserve">s are published on the websites </w:t>
      </w:r>
      <w:r w:rsidRPr="002733C9">
        <w:rPr>
          <w:rFonts w:ascii="Tahoma" w:hAnsi="Tahoma" w:cs="Tahoma"/>
          <w:sz w:val="20"/>
          <w:u w:val="single"/>
        </w:rPr>
        <w:t>www.moex.com</w:t>
      </w:r>
      <w:r w:rsidRPr="002733C9">
        <w:rPr>
          <w:rFonts w:ascii="Tahoma" w:hAnsi="Tahoma" w:cs="Tahoma"/>
          <w:sz w:val="20"/>
        </w:rPr>
        <w:t xml:space="preserve"> and </w:t>
      </w:r>
      <w:r w:rsidRPr="002733C9">
        <w:rPr>
          <w:rFonts w:ascii="Tahoma" w:hAnsi="Tahoma" w:cs="Tahoma"/>
          <w:sz w:val="20"/>
          <w:u w:val="single"/>
        </w:rPr>
        <w:t>finuslugi.ru</w:t>
      </w:r>
      <w:r w:rsidRPr="002733C9">
        <w:rPr>
          <w:rFonts w:ascii="Tahoma" w:hAnsi="Tahoma" w:cs="Tahoma"/>
          <w:sz w:val="20"/>
        </w:rPr>
        <w:t xml:space="preserve"> by the next business day after the calculation.</w:t>
      </w:r>
    </w:p>
    <w:p w14:paraId="6EDDD062" w14:textId="77777777" w:rsidR="00105432" w:rsidRPr="002733C9" w:rsidRDefault="009F26FE" w:rsidP="002733C9">
      <w:pPr>
        <w:numPr>
          <w:ilvl w:val="1"/>
          <w:numId w:val="4"/>
        </w:numPr>
        <w:spacing w:beforeLines="50" w:before="120" w:after="120" w:line="240" w:lineRule="auto"/>
        <w:jc w:val="both"/>
        <w:rPr>
          <w:rFonts w:ascii="Tahoma" w:hAnsi="Tahoma" w:cs="Tahoma"/>
          <w:sz w:val="20"/>
          <w:szCs w:val="20"/>
        </w:rPr>
      </w:pPr>
      <w:r w:rsidRPr="002733C9">
        <w:rPr>
          <w:rFonts w:ascii="Tahoma" w:hAnsi="Tahoma" w:cs="Tahoma"/>
          <w:sz w:val="20"/>
        </w:rPr>
        <w:t>Information required for disclosure under this Methodology may also be distributed by other means, including via information agencies.</w:t>
      </w:r>
    </w:p>
    <w:p w14:paraId="4E904187" w14:textId="77777777" w:rsidR="009F26FE" w:rsidRPr="002733C9" w:rsidRDefault="009F26FE" w:rsidP="002733C9">
      <w:pPr>
        <w:spacing w:before="120" w:after="120" w:line="240" w:lineRule="auto"/>
        <w:jc w:val="both"/>
        <w:rPr>
          <w:rFonts w:ascii="Tahoma" w:hAnsi="Tahoma" w:cs="Tahoma"/>
          <w:sz w:val="20"/>
          <w:szCs w:val="20"/>
        </w:rPr>
      </w:pPr>
    </w:p>
    <w:p w14:paraId="0F2EB0B0" w14:textId="77777777" w:rsidR="009F26FE" w:rsidRPr="002733C9" w:rsidRDefault="009F26FE" w:rsidP="002733C9">
      <w:pPr>
        <w:spacing w:before="120" w:after="120" w:line="240" w:lineRule="auto"/>
        <w:rPr>
          <w:rFonts w:ascii="Tahoma" w:hAnsi="Tahoma" w:cs="Tahoma"/>
          <w:sz w:val="20"/>
          <w:szCs w:val="20"/>
        </w:rPr>
      </w:pPr>
      <w:r w:rsidRPr="002733C9">
        <w:rPr>
          <w:rFonts w:ascii="Tahoma" w:hAnsi="Tahoma" w:cs="Tahoma"/>
        </w:rPr>
        <w:br w:type="page"/>
      </w:r>
    </w:p>
    <w:p w14:paraId="0D3CFED9" w14:textId="77777777" w:rsidR="005F71C3" w:rsidRPr="002733C9" w:rsidRDefault="005F71C3" w:rsidP="002733C9">
      <w:pPr>
        <w:keepNext/>
        <w:spacing w:before="120" w:after="120" w:line="240" w:lineRule="auto"/>
        <w:ind w:left="397"/>
        <w:jc w:val="right"/>
        <w:outlineLvl w:val="0"/>
        <w:rPr>
          <w:rFonts w:ascii="Tahoma" w:eastAsia="Times New Roman" w:hAnsi="Tahoma" w:cs="Tahoma"/>
          <w:b/>
          <w:kern w:val="0"/>
          <w:sz w:val="20"/>
          <w:szCs w:val="20"/>
          <w14:ligatures w14:val="none"/>
        </w:rPr>
        <w:sectPr w:rsidR="005F71C3" w:rsidRPr="002733C9">
          <w:pgSz w:w="11906" w:h="16838"/>
          <w:pgMar w:top="1134" w:right="850" w:bottom="1134" w:left="1701" w:header="708" w:footer="708" w:gutter="0"/>
          <w:cols w:space="708"/>
          <w:docGrid w:linePitch="360"/>
        </w:sectPr>
      </w:pPr>
      <w:bookmarkStart w:id="1" w:name="_Toc351375304"/>
      <w:bookmarkStart w:id="2" w:name="_Toc424122382"/>
      <w:bookmarkStart w:id="3" w:name="_Toc438206747"/>
      <w:bookmarkStart w:id="4" w:name="_Toc438206783"/>
      <w:bookmarkStart w:id="5" w:name="_Toc438207003"/>
      <w:bookmarkStart w:id="6" w:name="_Toc433902919"/>
      <w:bookmarkStart w:id="7" w:name="_Toc463443777"/>
      <w:bookmarkStart w:id="8" w:name="_Toc488065490"/>
      <w:bookmarkStart w:id="9" w:name="_Toc176857267"/>
    </w:p>
    <w:bookmarkEnd w:id="1"/>
    <w:bookmarkEnd w:id="2"/>
    <w:bookmarkEnd w:id="3"/>
    <w:bookmarkEnd w:id="4"/>
    <w:bookmarkEnd w:id="5"/>
    <w:bookmarkEnd w:id="6"/>
    <w:bookmarkEnd w:id="7"/>
    <w:bookmarkEnd w:id="8"/>
    <w:bookmarkEnd w:id="9"/>
    <w:p w14:paraId="7C9A62B7" w14:textId="77777777" w:rsidR="008B6A1A" w:rsidRPr="002733C9" w:rsidRDefault="008B6A1A" w:rsidP="002733C9">
      <w:pPr>
        <w:keepNext/>
        <w:spacing w:before="120" w:after="120" w:line="240" w:lineRule="auto"/>
        <w:ind w:left="397"/>
        <w:outlineLvl w:val="0"/>
        <w:rPr>
          <w:rFonts w:ascii="Tahoma" w:eastAsia="Times New Roman" w:hAnsi="Tahoma" w:cs="Tahoma"/>
          <w:b/>
          <w:kern w:val="0"/>
          <w:sz w:val="20"/>
          <w:szCs w:val="20"/>
          <w14:ligatures w14:val="none"/>
        </w:rPr>
      </w:pPr>
      <w:r w:rsidRPr="002733C9">
        <w:rPr>
          <w:rFonts w:ascii="Tahoma" w:hAnsi="Tahoma" w:cs="Tahoma"/>
          <w:b/>
          <w:sz w:val="20"/>
        </w:rPr>
        <w:lastRenderedPageBreak/>
        <w:t>Appendix 1</w:t>
      </w:r>
    </w:p>
    <w:p w14:paraId="49CA0E2D" w14:textId="0D1E44A6" w:rsidR="008B6A1A" w:rsidRPr="002733C9" w:rsidRDefault="002733C9" w:rsidP="002733C9">
      <w:pPr>
        <w:tabs>
          <w:tab w:val="left" w:pos="993"/>
        </w:tabs>
        <w:spacing w:before="120" w:after="120" w:line="240" w:lineRule="auto"/>
        <w:ind w:left="397"/>
        <w:rPr>
          <w:rFonts w:ascii="Tahoma" w:eastAsia="Times New Roman" w:hAnsi="Tahoma" w:cs="Tahoma"/>
          <w:b/>
          <w:bCs/>
          <w:kern w:val="0"/>
          <w:sz w:val="20"/>
          <w:szCs w:val="20"/>
          <w14:ligatures w14:val="none"/>
        </w:rPr>
      </w:pPr>
      <w:r>
        <w:rPr>
          <w:rFonts w:ascii="Tahoma" w:hAnsi="Tahoma" w:cs="Tahoma"/>
          <w:b/>
          <w:sz w:val="20"/>
        </w:rPr>
        <w:t>t</w:t>
      </w:r>
      <w:r w:rsidR="008B6A1A" w:rsidRPr="002733C9">
        <w:rPr>
          <w:rFonts w:ascii="Tahoma" w:hAnsi="Tahoma" w:cs="Tahoma"/>
          <w:b/>
          <w:sz w:val="20"/>
        </w:rPr>
        <w:t xml:space="preserve">o Methodology for </w:t>
      </w:r>
      <w:r w:rsidRPr="002733C9">
        <w:rPr>
          <w:rFonts w:ascii="Tahoma" w:hAnsi="Tahoma" w:cs="Tahoma"/>
          <w:b/>
          <w:sz w:val="20"/>
        </w:rPr>
        <w:t>C</w:t>
      </w:r>
      <w:r w:rsidR="008B6A1A" w:rsidRPr="002733C9">
        <w:rPr>
          <w:rFonts w:ascii="Tahoma" w:hAnsi="Tahoma" w:cs="Tahoma"/>
          <w:b/>
          <w:sz w:val="20"/>
        </w:rPr>
        <w:t xml:space="preserve">alculating </w:t>
      </w:r>
      <w:r w:rsidR="001B3171">
        <w:rPr>
          <w:rFonts w:ascii="Tahoma" w:hAnsi="Tahoma" w:cs="Tahoma"/>
          <w:b/>
          <w:sz w:val="20"/>
        </w:rPr>
        <w:t>Indicator</w:t>
      </w:r>
      <w:r w:rsidR="008B6A1A" w:rsidRPr="002733C9">
        <w:rPr>
          <w:rFonts w:ascii="Tahoma" w:hAnsi="Tahoma" w:cs="Tahoma"/>
          <w:b/>
          <w:sz w:val="20"/>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5"/>
        <w:gridCol w:w="3301"/>
        <w:gridCol w:w="2434"/>
        <w:gridCol w:w="2443"/>
        <w:gridCol w:w="1881"/>
        <w:gridCol w:w="3256"/>
      </w:tblGrid>
      <w:tr w:rsidR="008B6A1A" w:rsidRPr="002733C9" w14:paraId="75C29F02" w14:textId="77777777" w:rsidTr="00B83B80">
        <w:trPr>
          <w:trHeight w:val="20"/>
          <w:tblHeader/>
        </w:trPr>
        <w:tc>
          <w:tcPr>
            <w:tcW w:w="0" w:type="auto"/>
            <w:vAlign w:val="center"/>
          </w:tcPr>
          <w:p w14:paraId="678EB7ED" w14:textId="1DE2F229" w:rsidR="008B6A1A" w:rsidRPr="002733C9" w:rsidRDefault="001B3171" w:rsidP="002733C9">
            <w:pPr>
              <w:spacing w:before="120" w:after="120" w:line="240" w:lineRule="auto"/>
              <w:jc w:val="center"/>
              <w:rPr>
                <w:rFonts w:ascii="Tahoma" w:eastAsia="Times New Roman" w:hAnsi="Tahoma" w:cs="Tahoma"/>
                <w:b/>
                <w:bCs/>
                <w:color w:val="000000"/>
                <w:kern w:val="0"/>
                <w:sz w:val="20"/>
                <w:szCs w:val="20"/>
                <w14:ligatures w14:val="none"/>
              </w:rPr>
            </w:pPr>
            <w:bookmarkStart w:id="10" w:name="_Hlk206675572"/>
            <w:r>
              <w:rPr>
                <w:rFonts w:ascii="Tahoma" w:hAnsi="Tahoma" w:cs="Tahoma"/>
                <w:b/>
                <w:color w:val="000000"/>
                <w:sz w:val="20"/>
              </w:rPr>
              <w:t>Indicator</w:t>
            </w:r>
            <w:r w:rsidR="008B6A1A" w:rsidRPr="002733C9">
              <w:rPr>
                <w:rFonts w:ascii="Tahoma" w:hAnsi="Tahoma" w:cs="Tahoma"/>
                <w:b/>
                <w:color w:val="000000"/>
                <w:sz w:val="20"/>
              </w:rPr>
              <w:t xml:space="preserve"> code</w:t>
            </w:r>
          </w:p>
        </w:tc>
        <w:tc>
          <w:tcPr>
            <w:tcW w:w="0" w:type="auto"/>
            <w:vAlign w:val="center"/>
          </w:tcPr>
          <w:p w14:paraId="6932E84B" w14:textId="571C1B94" w:rsidR="008B6A1A" w:rsidRPr="002733C9" w:rsidRDefault="008B6A1A" w:rsidP="002733C9">
            <w:pPr>
              <w:spacing w:before="120" w:after="120" w:line="240" w:lineRule="auto"/>
              <w:jc w:val="center"/>
              <w:rPr>
                <w:rFonts w:ascii="Tahoma" w:eastAsia="Times New Roman" w:hAnsi="Tahoma" w:cs="Tahoma"/>
                <w:b/>
                <w:bCs/>
                <w:color w:val="000000"/>
                <w:kern w:val="0"/>
                <w:sz w:val="20"/>
                <w:szCs w:val="20"/>
                <w14:ligatures w14:val="none"/>
              </w:rPr>
            </w:pPr>
            <w:r w:rsidRPr="002733C9">
              <w:rPr>
                <w:rFonts w:ascii="Tahoma" w:hAnsi="Tahoma" w:cs="Tahoma"/>
                <w:b/>
                <w:color w:val="000000"/>
                <w:sz w:val="20"/>
              </w:rPr>
              <w:t xml:space="preserve">Full name of </w:t>
            </w:r>
            <w:r w:rsidR="001B3171">
              <w:rPr>
                <w:rFonts w:ascii="Tahoma" w:hAnsi="Tahoma" w:cs="Tahoma"/>
                <w:b/>
                <w:color w:val="000000"/>
                <w:sz w:val="20"/>
              </w:rPr>
              <w:t>Indicator</w:t>
            </w:r>
          </w:p>
        </w:tc>
        <w:tc>
          <w:tcPr>
            <w:tcW w:w="2434" w:type="dxa"/>
            <w:vAlign w:val="center"/>
            <w:hideMark/>
          </w:tcPr>
          <w:p w14:paraId="61068659" w14:textId="760151CB" w:rsidR="008B6A1A" w:rsidRPr="002733C9" w:rsidRDefault="008B6A1A" w:rsidP="002733C9">
            <w:pPr>
              <w:spacing w:before="120" w:after="120" w:line="240" w:lineRule="auto"/>
              <w:jc w:val="center"/>
              <w:rPr>
                <w:rFonts w:ascii="Tahoma" w:eastAsia="Times New Roman" w:hAnsi="Tahoma" w:cs="Tahoma"/>
                <w:b/>
                <w:bCs/>
                <w:color w:val="000000"/>
                <w:kern w:val="0"/>
                <w:sz w:val="20"/>
                <w:szCs w:val="20"/>
                <w14:ligatures w14:val="none"/>
              </w:rPr>
            </w:pPr>
            <w:r w:rsidRPr="002733C9">
              <w:rPr>
                <w:rFonts w:ascii="Tahoma" w:hAnsi="Tahoma" w:cs="Tahoma"/>
                <w:b/>
                <w:color w:val="000000"/>
                <w:sz w:val="20"/>
              </w:rPr>
              <w:t xml:space="preserve">Full name of </w:t>
            </w:r>
            <w:r w:rsidR="001B3171">
              <w:rPr>
                <w:rFonts w:ascii="Tahoma" w:hAnsi="Tahoma" w:cs="Tahoma"/>
                <w:b/>
                <w:color w:val="000000"/>
                <w:sz w:val="20"/>
              </w:rPr>
              <w:t>Indicator</w:t>
            </w:r>
            <w:r w:rsidRPr="002733C9">
              <w:rPr>
                <w:rFonts w:ascii="Tahoma" w:hAnsi="Tahoma" w:cs="Tahoma"/>
                <w:b/>
                <w:color w:val="000000"/>
                <w:sz w:val="20"/>
              </w:rPr>
              <w:t xml:space="preserve"> in English</w:t>
            </w:r>
          </w:p>
        </w:tc>
        <w:tc>
          <w:tcPr>
            <w:tcW w:w="2443" w:type="dxa"/>
          </w:tcPr>
          <w:p w14:paraId="525CDCE5" w14:textId="7A1EFA7D" w:rsidR="008B6A1A" w:rsidRPr="002733C9" w:rsidRDefault="008B6A1A" w:rsidP="002733C9">
            <w:pPr>
              <w:spacing w:before="120" w:after="120" w:line="240" w:lineRule="auto"/>
              <w:jc w:val="center"/>
              <w:rPr>
                <w:rFonts w:ascii="Tahoma" w:eastAsia="Times New Roman" w:hAnsi="Tahoma" w:cs="Tahoma"/>
                <w:b/>
                <w:bCs/>
                <w:color w:val="000000"/>
                <w:kern w:val="0"/>
                <w:sz w:val="20"/>
                <w:szCs w:val="20"/>
                <w14:ligatures w14:val="none"/>
              </w:rPr>
            </w:pPr>
            <w:r w:rsidRPr="002733C9">
              <w:rPr>
                <w:rFonts w:ascii="Tahoma" w:hAnsi="Tahoma" w:cs="Tahoma"/>
                <w:b/>
                <w:color w:val="000000"/>
                <w:sz w:val="20"/>
              </w:rPr>
              <w:t xml:space="preserve">Short name of </w:t>
            </w:r>
            <w:r w:rsidR="001B3171">
              <w:rPr>
                <w:rFonts w:ascii="Tahoma" w:hAnsi="Tahoma" w:cs="Tahoma"/>
                <w:b/>
                <w:color w:val="000000"/>
                <w:sz w:val="20"/>
              </w:rPr>
              <w:t>Indicator</w:t>
            </w:r>
          </w:p>
        </w:tc>
        <w:tc>
          <w:tcPr>
            <w:tcW w:w="0" w:type="auto"/>
          </w:tcPr>
          <w:p w14:paraId="4F9331DB" w14:textId="6FAE1019" w:rsidR="008B6A1A" w:rsidRPr="002733C9" w:rsidRDefault="008B6A1A" w:rsidP="002733C9">
            <w:pPr>
              <w:spacing w:before="120" w:after="120" w:line="240" w:lineRule="auto"/>
              <w:jc w:val="center"/>
              <w:rPr>
                <w:rFonts w:ascii="Tahoma" w:eastAsia="Times New Roman" w:hAnsi="Tahoma" w:cs="Tahoma"/>
                <w:b/>
                <w:bCs/>
                <w:color w:val="000000"/>
                <w:kern w:val="0"/>
                <w:sz w:val="20"/>
                <w:szCs w:val="20"/>
                <w14:ligatures w14:val="none"/>
              </w:rPr>
            </w:pPr>
            <w:r w:rsidRPr="002733C9">
              <w:rPr>
                <w:rFonts w:ascii="Tahoma" w:hAnsi="Tahoma" w:cs="Tahoma"/>
                <w:b/>
                <w:color w:val="000000"/>
                <w:sz w:val="20"/>
              </w:rPr>
              <w:t xml:space="preserve">Short name of </w:t>
            </w:r>
            <w:r w:rsidR="001B3171">
              <w:rPr>
                <w:rFonts w:ascii="Tahoma" w:hAnsi="Tahoma" w:cs="Tahoma"/>
                <w:b/>
                <w:color w:val="000000"/>
                <w:sz w:val="20"/>
              </w:rPr>
              <w:t>Indicator</w:t>
            </w:r>
            <w:r w:rsidRPr="002733C9">
              <w:rPr>
                <w:rFonts w:ascii="Tahoma" w:hAnsi="Tahoma" w:cs="Tahoma"/>
                <w:b/>
                <w:color w:val="000000"/>
                <w:sz w:val="20"/>
              </w:rPr>
              <w:t xml:space="preserve"> in English</w:t>
            </w:r>
          </w:p>
        </w:tc>
        <w:tc>
          <w:tcPr>
            <w:tcW w:w="0" w:type="auto"/>
            <w:vAlign w:val="center"/>
          </w:tcPr>
          <w:p w14:paraId="5CEC7147" w14:textId="77777777" w:rsidR="008B6A1A" w:rsidRPr="002733C9" w:rsidRDefault="008B6A1A" w:rsidP="002733C9">
            <w:pPr>
              <w:spacing w:before="120" w:after="120" w:line="240" w:lineRule="auto"/>
              <w:jc w:val="center"/>
              <w:rPr>
                <w:rFonts w:ascii="Tahoma" w:eastAsia="Times New Roman" w:hAnsi="Tahoma" w:cs="Tahoma"/>
                <w:b/>
                <w:bCs/>
                <w:color w:val="000000"/>
                <w:kern w:val="0"/>
                <w:sz w:val="20"/>
                <w:szCs w:val="20"/>
                <w14:ligatures w14:val="none"/>
              </w:rPr>
            </w:pPr>
            <w:r w:rsidRPr="002733C9">
              <w:rPr>
                <w:rFonts w:ascii="Tahoma" w:hAnsi="Tahoma" w:cs="Tahoma"/>
                <w:b/>
                <w:color w:val="000000"/>
                <w:sz w:val="20"/>
              </w:rPr>
              <w:t>Calculation frequency</w:t>
            </w:r>
          </w:p>
        </w:tc>
      </w:tr>
      <w:tr w:rsidR="00DF073D" w:rsidRPr="002733C9" w14:paraId="0E68357C" w14:textId="77777777" w:rsidTr="00B83B80">
        <w:trPr>
          <w:trHeight w:val="461"/>
        </w:trPr>
        <w:tc>
          <w:tcPr>
            <w:tcW w:w="0" w:type="auto"/>
          </w:tcPr>
          <w:p w14:paraId="465B1759"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FIND3M10</w:t>
            </w:r>
          </w:p>
        </w:tc>
        <w:tc>
          <w:tcPr>
            <w:tcW w:w="0" w:type="auto"/>
          </w:tcPr>
          <w:p w14:paraId="2F9B827B" w14:textId="41FF8477"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3мес в топ-10 КО</w:t>
            </w:r>
          </w:p>
        </w:tc>
        <w:tc>
          <w:tcPr>
            <w:tcW w:w="2434" w:type="dxa"/>
          </w:tcPr>
          <w:p w14:paraId="7BE977A8" w14:textId="0289B236"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3m Deposit Index top-10</w:t>
            </w:r>
          </w:p>
        </w:tc>
        <w:tc>
          <w:tcPr>
            <w:tcW w:w="2443" w:type="dxa"/>
          </w:tcPr>
          <w:p w14:paraId="46A0531B" w14:textId="77866116"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топ-10, 3м</w:t>
            </w:r>
          </w:p>
        </w:tc>
        <w:tc>
          <w:tcPr>
            <w:tcW w:w="0" w:type="auto"/>
          </w:tcPr>
          <w:p w14:paraId="0FA0FC04" w14:textId="4450DAEA" w:rsidR="00DF073D" w:rsidRPr="002733C9" w:rsidRDefault="00DF073D" w:rsidP="002733C9">
            <w:pPr>
              <w:spacing w:before="120" w:after="120" w:line="240" w:lineRule="auto"/>
              <w:ind w:left="95"/>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3m Deposit Index top-10</w:t>
            </w:r>
          </w:p>
        </w:tc>
        <w:tc>
          <w:tcPr>
            <w:tcW w:w="0" w:type="auto"/>
            <w:vMerge w:val="restart"/>
            <w:vAlign w:val="center"/>
          </w:tcPr>
          <w:p w14:paraId="2DF0EAB0" w14:textId="77777777" w:rsidR="00DF073D" w:rsidRPr="002733C9" w:rsidRDefault="00DF073D" w:rsidP="002733C9">
            <w:pPr>
              <w:spacing w:before="120" w:after="120" w:line="240" w:lineRule="auto"/>
              <w:ind w:firstLine="189"/>
              <w:jc w:val="center"/>
              <w:rPr>
                <w:rFonts w:ascii="Tahoma" w:eastAsia="Times New Roman" w:hAnsi="Tahoma" w:cs="Tahoma"/>
                <w:color w:val="000000"/>
                <w:kern w:val="0"/>
                <w:sz w:val="20"/>
                <w:szCs w:val="20"/>
                <w14:ligatures w14:val="none"/>
              </w:rPr>
            </w:pPr>
            <w:r w:rsidRPr="002733C9">
              <w:rPr>
                <w:rFonts w:ascii="Tahoma" w:hAnsi="Tahoma" w:cs="Tahoma"/>
                <w:color w:val="000000"/>
                <w:sz w:val="20"/>
              </w:rPr>
              <w:t>Once a day on Mondays, Wednesdays and Fridays, if these are working days</w:t>
            </w:r>
          </w:p>
        </w:tc>
      </w:tr>
      <w:tr w:rsidR="00DF073D" w:rsidRPr="002733C9" w14:paraId="544AC030" w14:textId="77777777" w:rsidTr="00B83B80">
        <w:trPr>
          <w:trHeight w:val="461"/>
        </w:trPr>
        <w:tc>
          <w:tcPr>
            <w:tcW w:w="0" w:type="auto"/>
          </w:tcPr>
          <w:p w14:paraId="4ED89DD4"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FIND3M20</w:t>
            </w:r>
          </w:p>
        </w:tc>
        <w:tc>
          <w:tcPr>
            <w:tcW w:w="0" w:type="auto"/>
          </w:tcPr>
          <w:p w14:paraId="672BA84D" w14:textId="11E9CC14"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3мес в топ-20 КО</w:t>
            </w:r>
          </w:p>
        </w:tc>
        <w:tc>
          <w:tcPr>
            <w:tcW w:w="2434" w:type="dxa"/>
          </w:tcPr>
          <w:p w14:paraId="10E48D75" w14:textId="5146CC58"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3m Deposit Index top-20</w:t>
            </w:r>
          </w:p>
        </w:tc>
        <w:tc>
          <w:tcPr>
            <w:tcW w:w="2443" w:type="dxa"/>
          </w:tcPr>
          <w:p w14:paraId="2B13822B" w14:textId="241A24D6"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топ-20, 3м</w:t>
            </w:r>
          </w:p>
        </w:tc>
        <w:tc>
          <w:tcPr>
            <w:tcW w:w="0" w:type="auto"/>
          </w:tcPr>
          <w:p w14:paraId="26757C19" w14:textId="1A03E98E"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3m Deposit Index top-20</w:t>
            </w:r>
          </w:p>
        </w:tc>
        <w:tc>
          <w:tcPr>
            <w:tcW w:w="0" w:type="auto"/>
            <w:vMerge/>
            <w:vAlign w:val="center"/>
          </w:tcPr>
          <w:p w14:paraId="042681B5" w14:textId="77777777" w:rsidR="00DF073D" w:rsidRPr="002733C9" w:rsidRDefault="00DF073D" w:rsidP="002733C9">
            <w:pPr>
              <w:spacing w:before="120" w:after="120" w:line="240" w:lineRule="auto"/>
              <w:ind w:firstLine="189"/>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54FDB7DE" w14:textId="77777777" w:rsidTr="00B83B80">
        <w:trPr>
          <w:trHeight w:val="461"/>
        </w:trPr>
        <w:tc>
          <w:tcPr>
            <w:tcW w:w="0" w:type="auto"/>
          </w:tcPr>
          <w:p w14:paraId="52BBDD8F"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FIND3M50</w:t>
            </w:r>
          </w:p>
        </w:tc>
        <w:tc>
          <w:tcPr>
            <w:tcW w:w="0" w:type="auto"/>
          </w:tcPr>
          <w:p w14:paraId="0C2F94EA" w14:textId="2AF69E02"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3мес в топ-50 КО</w:t>
            </w:r>
          </w:p>
        </w:tc>
        <w:tc>
          <w:tcPr>
            <w:tcW w:w="2434" w:type="dxa"/>
          </w:tcPr>
          <w:p w14:paraId="18707FF2" w14:textId="521885E5"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3m Deposit Index top-20</w:t>
            </w:r>
          </w:p>
        </w:tc>
        <w:tc>
          <w:tcPr>
            <w:tcW w:w="2443" w:type="dxa"/>
          </w:tcPr>
          <w:p w14:paraId="2EE91D77" w14:textId="11D593DC"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топ-50, 3м</w:t>
            </w:r>
          </w:p>
        </w:tc>
        <w:tc>
          <w:tcPr>
            <w:tcW w:w="0" w:type="auto"/>
          </w:tcPr>
          <w:p w14:paraId="401C1AB3" w14:textId="49962774"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3m Deposit Index top-20</w:t>
            </w:r>
          </w:p>
        </w:tc>
        <w:tc>
          <w:tcPr>
            <w:tcW w:w="0" w:type="auto"/>
            <w:vMerge/>
            <w:vAlign w:val="center"/>
          </w:tcPr>
          <w:p w14:paraId="11390EE9" w14:textId="77777777" w:rsidR="00DF073D" w:rsidRPr="002733C9" w:rsidRDefault="00DF073D" w:rsidP="002733C9">
            <w:pPr>
              <w:spacing w:before="120" w:after="120" w:line="240" w:lineRule="auto"/>
              <w:ind w:firstLine="189"/>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4CE54B1B" w14:textId="77777777" w:rsidTr="00B83B80">
        <w:trPr>
          <w:trHeight w:val="461"/>
        </w:trPr>
        <w:tc>
          <w:tcPr>
            <w:tcW w:w="0" w:type="auto"/>
          </w:tcPr>
          <w:p w14:paraId="24839478"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FIND6M10</w:t>
            </w:r>
          </w:p>
        </w:tc>
        <w:tc>
          <w:tcPr>
            <w:tcW w:w="0" w:type="auto"/>
          </w:tcPr>
          <w:p w14:paraId="66E38ABF" w14:textId="2BA2883D"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6мес в топ-10 КО</w:t>
            </w:r>
          </w:p>
        </w:tc>
        <w:tc>
          <w:tcPr>
            <w:tcW w:w="2434" w:type="dxa"/>
          </w:tcPr>
          <w:p w14:paraId="424EA258" w14:textId="15515093"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6m Deposit Index top-10</w:t>
            </w:r>
          </w:p>
        </w:tc>
        <w:tc>
          <w:tcPr>
            <w:tcW w:w="2443" w:type="dxa"/>
          </w:tcPr>
          <w:p w14:paraId="5DB6E574" w14:textId="6B8CC4A8"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топ-10, 6м</w:t>
            </w:r>
          </w:p>
        </w:tc>
        <w:tc>
          <w:tcPr>
            <w:tcW w:w="0" w:type="auto"/>
          </w:tcPr>
          <w:p w14:paraId="4C8D8B07" w14:textId="12615626"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6m Deposit Index top-10</w:t>
            </w:r>
          </w:p>
        </w:tc>
        <w:tc>
          <w:tcPr>
            <w:tcW w:w="0" w:type="auto"/>
            <w:vMerge/>
            <w:vAlign w:val="center"/>
          </w:tcPr>
          <w:p w14:paraId="6D1B56FE" w14:textId="77777777" w:rsidR="00DF073D" w:rsidRPr="002733C9" w:rsidRDefault="00DF073D" w:rsidP="002733C9">
            <w:pPr>
              <w:spacing w:before="120" w:after="120" w:line="240" w:lineRule="auto"/>
              <w:ind w:firstLine="189"/>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775F752F" w14:textId="77777777" w:rsidTr="00B83B80">
        <w:trPr>
          <w:trHeight w:val="461"/>
        </w:trPr>
        <w:tc>
          <w:tcPr>
            <w:tcW w:w="0" w:type="auto"/>
          </w:tcPr>
          <w:p w14:paraId="137F15F7"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FIND6M20</w:t>
            </w:r>
          </w:p>
        </w:tc>
        <w:tc>
          <w:tcPr>
            <w:tcW w:w="0" w:type="auto"/>
          </w:tcPr>
          <w:p w14:paraId="0D7A5F54" w14:textId="2024D90A"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6мес в топ-20 КО</w:t>
            </w:r>
          </w:p>
        </w:tc>
        <w:tc>
          <w:tcPr>
            <w:tcW w:w="2434" w:type="dxa"/>
          </w:tcPr>
          <w:p w14:paraId="2AA7CEA4" w14:textId="40A70DA7"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6m Deposit Index top-20</w:t>
            </w:r>
          </w:p>
        </w:tc>
        <w:tc>
          <w:tcPr>
            <w:tcW w:w="2443" w:type="dxa"/>
          </w:tcPr>
          <w:p w14:paraId="02AF3B1B" w14:textId="63C3A246"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топ-20, 6м</w:t>
            </w:r>
          </w:p>
        </w:tc>
        <w:tc>
          <w:tcPr>
            <w:tcW w:w="0" w:type="auto"/>
          </w:tcPr>
          <w:p w14:paraId="177B1FE7" w14:textId="633532C4"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6m Deposit Index top-20</w:t>
            </w:r>
          </w:p>
        </w:tc>
        <w:tc>
          <w:tcPr>
            <w:tcW w:w="0" w:type="auto"/>
            <w:vMerge/>
            <w:vAlign w:val="center"/>
          </w:tcPr>
          <w:p w14:paraId="69839106" w14:textId="77777777" w:rsidR="00DF073D" w:rsidRPr="002733C9" w:rsidRDefault="00DF073D" w:rsidP="002733C9">
            <w:pPr>
              <w:spacing w:before="120" w:after="120" w:line="240" w:lineRule="auto"/>
              <w:ind w:firstLine="189"/>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24FB8D58" w14:textId="77777777" w:rsidTr="00B83B80">
        <w:trPr>
          <w:trHeight w:val="461"/>
        </w:trPr>
        <w:tc>
          <w:tcPr>
            <w:tcW w:w="0" w:type="auto"/>
          </w:tcPr>
          <w:p w14:paraId="241F7C65"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FIND6M50</w:t>
            </w:r>
          </w:p>
        </w:tc>
        <w:tc>
          <w:tcPr>
            <w:tcW w:w="0" w:type="auto"/>
          </w:tcPr>
          <w:p w14:paraId="66F3ECF4" w14:textId="38F372DD"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6мес в топ-50 КО</w:t>
            </w:r>
          </w:p>
        </w:tc>
        <w:tc>
          <w:tcPr>
            <w:tcW w:w="2434" w:type="dxa"/>
          </w:tcPr>
          <w:p w14:paraId="36D64AAC" w14:textId="6E8A5E00"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6m Deposit Index top-20</w:t>
            </w:r>
          </w:p>
        </w:tc>
        <w:tc>
          <w:tcPr>
            <w:tcW w:w="2443" w:type="dxa"/>
          </w:tcPr>
          <w:p w14:paraId="55FB6FE4" w14:textId="4D451E69"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топ-50, 6м</w:t>
            </w:r>
          </w:p>
        </w:tc>
        <w:tc>
          <w:tcPr>
            <w:tcW w:w="0" w:type="auto"/>
          </w:tcPr>
          <w:p w14:paraId="2A005BA4" w14:textId="6FAC7816"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6m Deposit Index top-20</w:t>
            </w:r>
          </w:p>
        </w:tc>
        <w:tc>
          <w:tcPr>
            <w:tcW w:w="0" w:type="auto"/>
            <w:vMerge/>
            <w:vAlign w:val="center"/>
          </w:tcPr>
          <w:p w14:paraId="6AC865F0" w14:textId="77777777" w:rsidR="00DF073D" w:rsidRPr="002733C9" w:rsidRDefault="00DF073D" w:rsidP="002733C9">
            <w:pPr>
              <w:spacing w:before="120" w:after="120" w:line="240" w:lineRule="auto"/>
              <w:ind w:firstLine="189"/>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5E9A80AD" w14:textId="77777777" w:rsidTr="00B83B80">
        <w:trPr>
          <w:trHeight w:val="461"/>
        </w:trPr>
        <w:tc>
          <w:tcPr>
            <w:tcW w:w="0" w:type="auto"/>
          </w:tcPr>
          <w:p w14:paraId="616A24D6"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FIND12M10</w:t>
            </w:r>
          </w:p>
        </w:tc>
        <w:tc>
          <w:tcPr>
            <w:tcW w:w="0" w:type="auto"/>
          </w:tcPr>
          <w:p w14:paraId="4014049A" w14:textId="62816F91"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1год в топ-10 КО</w:t>
            </w:r>
          </w:p>
        </w:tc>
        <w:tc>
          <w:tcPr>
            <w:tcW w:w="2434" w:type="dxa"/>
          </w:tcPr>
          <w:p w14:paraId="5B016022" w14:textId="1AA1FCB9"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12m Deposit Index top-10</w:t>
            </w:r>
          </w:p>
        </w:tc>
        <w:tc>
          <w:tcPr>
            <w:tcW w:w="2443" w:type="dxa"/>
          </w:tcPr>
          <w:p w14:paraId="5ED1F089" w14:textId="53690006"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топ-10, 12м</w:t>
            </w:r>
          </w:p>
        </w:tc>
        <w:tc>
          <w:tcPr>
            <w:tcW w:w="0" w:type="auto"/>
          </w:tcPr>
          <w:p w14:paraId="37059F19" w14:textId="7F5E8A8F"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12m Deposit Index top-10</w:t>
            </w:r>
          </w:p>
        </w:tc>
        <w:tc>
          <w:tcPr>
            <w:tcW w:w="0" w:type="auto"/>
            <w:vMerge/>
            <w:vAlign w:val="center"/>
          </w:tcPr>
          <w:p w14:paraId="6DB54810" w14:textId="77777777" w:rsidR="00DF073D" w:rsidRPr="002733C9" w:rsidRDefault="00DF073D" w:rsidP="002733C9">
            <w:pPr>
              <w:spacing w:before="120" w:after="120" w:line="240" w:lineRule="auto"/>
              <w:ind w:firstLine="189"/>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4E9CC5CE" w14:textId="77777777" w:rsidTr="00B83B80">
        <w:trPr>
          <w:trHeight w:val="461"/>
        </w:trPr>
        <w:tc>
          <w:tcPr>
            <w:tcW w:w="0" w:type="auto"/>
          </w:tcPr>
          <w:p w14:paraId="68475838"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lastRenderedPageBreak/>
              <w:t>FIND12M20</w:t>
            </w:r>
          </w:p>
        </w:tc>
        <w:tc>
          <w:tcPr>
            <w:tcW w:w="0" w:type="auto"/>
          </w:tcPr>
          <w:p w14:paraId="1410415A" w14:textId="540B10AD"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1год в топ-20 КО</w:t>
            </w:r>
          </w:p>
        </w:tc>
        <w:tc>
          <w:tcPr>
            <w:tcW w:w="2434" w:type="dxa"/>
          </w:tcPr>
          <w:p w14:paraId="4EA7C77A" w14:textId="478B999C"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12m Deposit Index top-20</w:t>
            </w:r>
          </w:p>
        </w:tc>
        <w:tc>
          <w:tcPr>
            <w:tcW w:w="2443" w:type="dxa"/>
          </w:tcPr>
          <w:p w14:paraId="159C6C7D" w14:textId="5190CA91"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топ-20, 12м</w:t>
            </w:r>
          </w:p>
        </w:tc>
        <w:tc>
          <w:tcPr>
            <w:tcW w:w="0" w:type="auto"/>
          </w:tcPr>
          <w:p w14:paraId="3E9F9394" w14:textId="5C7D0575"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12m Deposit Index top-20</w:t>
            </w:r>
          </w:p>
        </w:tc>
        <w:tc>
          <w:tcPr>
            <w:tcW w:w="0" w:type="auto"/>
            <w:vMerge/>
            <w:vAlign w:val="center"/>
          </w:tcPr>
          <w:p w14:paraId="0AED59DA" w14:textId="77777777" w:rsidR="00DF073D" w:rsidRPr="002733C9" w:rsidRDefault="00DF073D" w:rsidP="002733C9">
            <w:pPr>
              <w:spacing w:before="120" w:after="120" w:line="240" w:lineRule="auto"/>
              <w:ind w:hanging="520"/>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05AF4D47" w14:textId="77777777" w:rsidTr="00B83B80">
        <w:trPr>
          <w:trHeight w:val="461"/>
        </w:trPr>
        <w:tc>
          <w:tcPr>
            <w:tcW w:w="0" w:type="auto"/>
          </w:tcPr>
          <w:p w14:paraId="6F5D3FDB" w14:textId="77777777" w:rsidR="00DF073D" w:rsidRPr="002733C9" w:rsidRDefault="00DF073D" w:rsidP="002733C9">
            <w:pPr>
              <w:spacing w:before="120" w:after="120" w:line="240" w:lineRule="auto"/>
              <w:rPr>
                <w:rFonts w:ascii="Tahoma" w:hAnsi="Tahoma" w:cs="Tahoma"/>
                <w:sz w:val="20"/>
                <w:szCs w:val="20"/>
              </w:rPr>
            </w:pPr>
            <w:r w:rsidRPr="002733C9">
              <w:rPr>
                <w:rFonts w:ascii="Tahoma" w:hAnsi="Tahoma" w:cs="Tahoma"/>
                <w:sz w:val="20"/>
              </w:rPr>
              <w:t>FIND12M50</w:t>
            </w:r>
          </w:p>
        </w:tc>
        <w:tc>
          <w:tcPr>
            <w:tcW w:w="0" w:type="auto"/>
          </w:tcPr>
          <w:p w14:paraId="6767B476" w14:textId="1D500B3B"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средних ставок по вкладам на 1год в топ-50 КО</w:t>
            </w:r>
          </w:p>
        </w:tc>
        <w:tc>
          <w:tcPr>
            <w:tcW w:w="2434" w:type="dxa"/>
          </w:tcPr>
          <w:p w14:paraId="1082EF1B" w14:textId="22CB8F28"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12m Deposit top-50</w:t>
            </w:r>
          </w:p>
        </w:tc>
        <w:tc>
          <w:tcPr>
            <w:tcW w:w="2443" w:type="dxa"/>
          </w:tcPr>
          <w:p w14:paraId="0A1BA94A" w14:textId="763FB843"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вкладов топ-50, 12м</w:t>
            </w:r>
          </w:p>
        </w:tc>
        <w:tc>
          <w:tcPr>
            <w:tcW w:w="0" w:type="auto"/>
          </w:tcPr>
          <w:p w14:paraId="623A447D" w14:textId="05CDE36C"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12m Deposit top-50</w:t>
            </w:r>
          </w:p>
        </w:tc>
        <w:tc>
          <w:tcPr>
            <w:tcW w:w="0" w:type="auto"/>
            <w:vMerge/>
            <w:vAlign w:val="center"/>
          </w:tcPr>
          <w:p w14:paraId="7062499F" w14:textId="77777777" w:rsidR="00DF073D" w:rsidRPr="002733C9" w:rsidRDefault="00DF073D" w:rsidP="002733C9">
            <w:pPr>
              <w:spacing w:before="120" w:after="120" w:line="240" w:lineRule="auto"/>
              <w:jc w:val="center"/>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3DBA83F8" w14:textId="77777777" w:rsidTr="00B83B80">
        <w:trPr>
          <w:trHeight w:val="555"/>
        </w:trPr>
        <w:tc>
          <w:tcPr>
            <w:tcW w:w="0" w:type="auto"/>
          </w:tcPr>
          <w:p w14:paraId="313461A7" w14:textId="77777777" w:rsidR="00DF073D" w:rsidRPr="002733C9" w:rsidRDefault="00DF073D" w:rsidP="002733C9">
            <w:pPr>
              <w:spacing w:before="120" w:after="120" w:line="240" w:lineRule="auto"/>
              <w:rPr>
                <w:rFonts w:ascii="Tahoma" w:eastAsia="Arial" w:hAnsi="Tahoma" w:cs="Tahoma"/>
                <w:color w:val="000000"/>
                <w:kern w:val="0"/>
                <w:sz w:val="20"/>
                <w:szCs w:val="20"/>
                <w14:ligatures w14:val="none"/>
              </w:rPr>
            </w:pPr>
            <w:r w:rsidRPr="002733C9">
              <w:rPr>
                <w:rFonts w:ascii="Tahoma" w:hAnsi="Tahoma" w:cs="Tahoma"/>
                <w:color w:val="000000"/>
                <w:sz w:val="20"/>
              </w:rPr>
              <w:t>FINSABASE</w:t>
            </w:r>
          </w:p>
        </w:tc>
        <w:tc>
          <w:tcPr>
            <w:tcW w:w="0" w:type="auto"/>
          </w:tcPr>
          <w:p w14:paraId="41931ABC" w14:textId="27F3912C"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накопительных счетов, базовые ставки</w:t>
            </w:r>
          </w:p>
        </w:tc>
        <w:tc>
          <w:tcPr>
            <w:tcW w:w="2434" w:type="dxa"/>
          </w:tcPr>
          <w:p w14:paraId="43757AAF" w14:textId="4614FB9B"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Savings, base</w:t>
            </w:r>
          </w:p>
        </w:tc>
        <w:tc>
          <w:tcPr>
            <w:tcW w:w="2443" w:type="dxa"/>
          </w:tcPr>
          <w:p w14:paraId="0CF063FE" w14:textId="273730CA"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накопительных счетов, </w:t>
            </w:r>
          </w:p>
          <w:p w14:paraId="7D38C7A2" w14:textId="1D521EEF" w:rsidR="00DF073D" w:rsidRPr="002733C9" w:rsidRDefault="00C7192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базовые ставки</w:t>
            </w:r>
          </w:p>
        </w:tc>
        <w:tc>
          <w:tcPr>
            <w:tcW w:w="0" w:type="auto"/>
          </w:tcPr>
          <w:p w14:paraId="064F932F" w14:textId="72796E6B"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Savings, base</w:t>
            </w:r>
          </w:p>
        </w:tc>
        <w:tc>
          <w:tcPr>
            <w:tcW w:w="0" w:type="auto"/>
            <w:vMerge w:val="restart"/>
            <w:vAlign w:val="center"/>
          </w:tcPr>
          <w:p w14:paraId="35CE12F8" w14:textId="77777777" w:rsidR="00DF073D" w:rsidRPr="002733C9" w:rsidRDefault="00DF073D" w:rsidP="002733C9">
            <w:pPr>
              <w:spacing w:before="120" w:after="120" w:line="240" w:lineRule="auto"/>
              <w:jc w:val="center"/>
              <w:rPr>
                <w:rFonts w:ascii="Tahoma" w:eastAsia="Times New Roman" w:hAnsi="Tahoma" w:cs="Tahoma"/>
                <w:color w:val="262626"/>
                <w:kern w:val="0"/>
                <w:sz w:val="20"/>
                <w:szCs w:val="20"/>
                <w:shd w:val="clear" w:color="auto" w:fill="FFFFFF"/>
                <w14:ligatures w14:val="none"/>
              </w:rPr>
            </w:pPr>
            <w:r w:rsidRPr="002733C9">
              <w:rPr>
                <w:rFonts w:ascii="Tahoma" w:hAnsi="Tahoma" w:cs="Tahoma"/>
                <w:color w:val="262626"/>
                <w:sz w:val="20"/>
                <w:shd w:val="clear" w:color="auto" w:fill="FFFFFF"/>
              </w:rPr>
              <w:t>Once on the last working day of the calendar month</w:t>
            </w:r>
          </w:p>
        </w:tc>
      </w:tr>
      <w:tr w:rsidR="00DF073D" w:rsidRPr="002733C9" w14:paraId="48F34C9F" w14:textId="77777777" w:rsidTr="00B83B80">
        <w:trPr>
          <w:trHeight w:val="555"/>
        </w:trPr>
        <w:tc>
          <w:tcPr>
            <w:tcW w:w="0" w:type="auto"/>
          </w:tcPr>
          <w:p w14:paraId="37658CB2" w14:textId="77777777" w:rsidR="00DF073D" w:rsidRPr="002733C9" w:rsidRDefault="00DF073D" w:rsidP="002733C9">
            <w:pPr>
              <w:spacing w:before="120" w:after="120" w:line="240" w:lineRule="auto"/>
              <w:rPr>
                <w:rFonts w:ascii="Tahoma" w:eastAsia="Arial" w:hAnsi="Tahoma" w:cs="Tahoma"/>
                <w:color w:val="000000"/>
                <w:kern w:val="0"/>
                <w:sz w:val="20"/>
                <w:szCs w:val="20"/>
                <w14:ligatures w14:val="none"/>
              </w:rPr>
            </w:pPr>
            <w:r w:rsidRPr="002733C9">
              <w:rPr>
                <w:rFonts w:ascii="Tahoma" w:hAnsi="Tahoma" w:cs="Tahoma"/>
                <w:color w:val="000000"/>
                <w:sz w:val="20"/>
              </w:rPr>
              <w:t>FINSAMAX</w:t>
            </w:r>
          </w:p>
        </w:tc>
        <w:tc>
          <w:tcPr>
            <w:tcW w:w="0" w:type="auto"/>
          </w:tcPr>
          <w:p w14:paraId="4DD36D11" w14:textId="23C46F3D"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накопительных счетов, макс ставки</w:t>
            </w:r>
          </w:p>
        </w:tc>
        <w:tc>
          <w:tcPr>
            <w:tcW w:w="2434" w:type="dxa"/>
          </w:tcPr>
          <w:p w14:paraId="430C0E4D" w14:textId="1E54680F"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Savings, max</w:t>
            </w:r>
          </w:p>
        </w:tc>
        <w:tc>
          <w:tcPr>
            <w:tcW w:w="2443" w:type="dxa"/>
          </w:tcPr>
          <w:p w14:paraId="408D73BE" w14:textId="2728C8DD"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накопительных счетов, </w:t>
            </w:r>
          </w:p>
          <w:p w14:paraId="0D9E1CB7" w14:textId="77777777"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макс ставка</w:t>
            </w:r>
          </w:p>
        </w:tc>
        <w:tc>
          <w:tcPr>
            <w:tcW w:w="0" w:type="auto"/>
          </w:tcPr>
          <w:p w14:paraId="05C0400C" w14:textId="5DCC399E"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Savings, max</w:t>
            </w:r>
          </w:p>
        </w:tc>
        <w:tc>
          <w:tcPr>
            <w:tcW w:w="0" w:type="auto"/>
            <w:vMerge/>
            <w:vAlign w:val="center"/>
          </w:tcPr>
          <w:p w14:paraId="3B65BC3D" w14:textId="77777777" w:rsidR="00DF073D" w:rsidRPr="002733C9" w:rsidRDefault="00DF073D" w:rsidP="002733C9">
            <w:pPr>
              <w:spacing w:before="120" w:after="120" w:line="240" w:lineRule="auto"/>
              <w:ind w:hanging="520"/>
              <w:jc w:val="center"/>
              <w:rPr>
                <w:rFonts w:ascii="Tahoma" w:eastAsia="Times New Roman" w:hAnsi="Tahoma" w:cs="Tahoma"/>
                <w:color w:val="262626"/>
                <w:kern w:val="0"/>
                <w:sz w:val="20"/>
                <w:szCs w:val="20"/>
                <w:shd w:val="clear" w:color="auto" w:fill="FFFFFF"/>
                <w:lang w:eastAsia="ru-RU"/>
                <w14:ligatures w14:val="none"/>
              </w:rPr>
            </w:pPr>
          </w:p>
        </w:tc>
      </w:tr>
      <w:tr w:rsidR="00DF073D" w:rsidRPr="002733C9" w14:paraId="2CDFE3B7" w14:textId="77777777" w:rsidTr="00B83B80">
        <w:trPr>
          <w:trHeight w:val="555"/>
        </w:trPr>
        <w:tc>
          <w:tcPr>
            <w:tcW w:w="0" w:type="auto"/>
          </w:tcPr>
          <w:p w14:paraId="38CF4F25" w14:textId="77777777" w:rsidR="00DF073D" w:rsidRPr="002733C9" w:rsidRDefault="00DF073D" w:rsidP="002733C9">
            <w:pPr>
              <w:spacing w:before="120" w:after="120" w:line="240" w:lineRule="auto"/>
              <w:rPr>
                <w:rFonts w:ascii="Tahoma" w:eastAsia="Arial" w:hAnsi="Tahoma" w:cs="Tahoma"/>
                <w:color w:val="000000"/>
                <w:kern w:val="0"/>
                <w:sz w:val="20"/>
                <w:szCs w:val="20"/>
                <w14:ligatures w14:val="none"/>
              </w:rPr>
            </w:pPr>
            <w:r w:rsidRPr="002733C9">
              <w:rPr>
                <w:rFonts w:ascii="Tahoma" w:hAnsi="Tahoma" w:cs="Tahoma"/>
                <w:color w:val="000000"/>
                <w:sz w:val="20"/>
              </w:rPr>
              <w:t>FINCRMIN</w:t>
            </w:r>
          </w:p>
        </w:tc>
        <w:tc>
          <w:tcPr>
            <w:tcW w:w="0" w:type="auto"/>
          </w:tcPr>
          <w:p w14:paraId="041C210D" w14:textId="7ECB4FF1"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минимальной стоимости кредитов наличными (ПСК)</w:t>
            </w:r>
          </w:p>
        </w:tc>
        <w:tc>
          <w:tcPr>
            <w:tcW w:w="2434" w:type="dxa"/>
          </w:tcPr>
          <w:p w14:paraId="462CA4B2" w14:textId="5BB9AB16"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Credit, min</w:t>
            </w:r>
          </w:p>
        </w:tc>
        <w:tc>
          <w:tcPr>
            <w:tcW w:w="2443" w:type="dxa"/>
          </w:tcPr>
          <w:p w14:paraId="39B72A9D" w14:textId="7CE555FD"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кредитов наличными, мин ПСК</w:t>
            </w:r>
          </w:p>
        </w:tc>
        <w:tc>
          <w:tcPr>
            <w:tcW w:w="0" w:type="auto"/>
          </w:tcPr>
          <w:p w14:paraId="42EA9CBB" w14:textId="0520B370" w:rsidR="00DF073D" w:rsidRPr="002733C9" w:rsidRDefault="00DF073D" w:rsidP="002733C9">
            <w:pPr>
              <w:spacing w:before="120" w:after="120" w:line="240" w:lineRule="auto"/>
              <w:ind w:left="95"/>
              <w:rPr>
                <w:rFonts w:ascii="Tahoma" w:eastAsia="Times New Roman" w:hAnsi="Tahoma" w:cs="Tahoma"/>
                <w:color w:val="262626"/>
                <w:kern w:val="0"/>
                <w:sz w:val="20"/>
                <w:szCs w:val="20"/>
                <w:shd w:val="clear" w:color="auto" w:fill="FFFFFF"/>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Credit, min</w:t>
            </w:r>
          </w:p>
        </w:tc>
        <w:tc>
          <w:tcPr>
            <w:tcW w:w="0" w:type="auto"/>
            <w:vMerge w:val="restart"/>
            <w:vAlign w:val="center"/>
          </w:tcPr>
          <w:p w14:paraId="3D8B87A7" w14:textId="77777777" w:rsidR="00DF073D" w:rsidRPr="002733C9" w:rsidRDefault="00DF073D" w:rsidP="002733C9">
            <w:pPr>
              <w:spacing w:before="120" w:after="120" w:line="240" w:lineRule="auto"/>
              <w:jc w:val="center"/>
              <w:rPr>
                <w:rFonts w:ascii="Tahoma" w:eastAsia="Times New Roman" w:hAnsi="Tahoma" w:cs="Tahoma"/>
                <w:color w:val="262626"/>
                <w:kern w:val="0"/>
                <w:sz w:val="20"/>
                <w:szCs w:val="20"/>
                <w:shd w:val="clear" w:color="auto" w:fill="FFFFFF"/>
                <w14:ligatures w14:val="none"/>
              </w:rPr>
            </w:pPr>
            <w:r w:rsidRPr="002733C9">
              <w:rPr>
                <w:rFonts w:ascii="Tahoma" w:hAnsi="Tahoma" w:cs="Tahoma"/>
                <w:color w:val="262626"/>
                <w:sz w:val="20"/>
                <w:shd w:val="clear" w:color="auto" w:fill="FFFFFF"/>
              </w:rPr>
              <w:t>Once a week on Thursday</w:t>
            </w:r>
          </w:p>
        </w:tc>
      </w:tr>
      <w:tr w:rsidR="00DF073D" w:rsidRPr="002733C9" w14:paraId="4E083635" w14:textId="77777777" w:rsidTr="00B83B80">
        <w:trPr>
          <w:trHeight w:val="555"/>
        </w:trPr>
        <w:tc>
          <w:tcPr>
            <w:tcW w:w="0" w:type="auto"/>
          </w:tcPr>
          <w:p w14:paraId="242FB95A" w14:textId="77777777" w:rsidR="00DF073D" w:rsidRPr="002733C9" w:rsidRDefault="00DF073D" w:rsidP="002733C9">
            <w:pPr>
              <w:spacing w:before="120" w:after="120" w:line="240" w:lineRule="auto"/>
              <w:rPr>
                <w:rFonts w:ascii="Tahoma" w:eastAsia="Arial" w:hAnsi="Tahoma" w:cs="Tahoma"/>
                <w:color w:val="000000"/>
                <w:kern w:val="0"/>
                <w:sz w:val="20"/>
                <w:szCs w:val="20"/>
                <w14:ligatures w14:val="none"/>
              </w:rPr>
            </w:pPr>
            <w:r w:rsidRPr="002733C9">
              <w:rPr>
                <w:rFonts w:ascii="Tahoma" w:hAnsi="Tahoma" w:cs="Tahoma"/>
                <w:color w:val="000000"/>
                <w:sz w:val="20"/>
              </w:rPr>
              <w:t>FINCRMAX</w:t>
            </w:r>
          </w:p>
        </w:tc>
        <w:tc>
          <w:tcPr>
            <w:tcW w:w="0" w:type="auto"/>
          </w:tcPr>
          <w:p w14:paraId="55E66B50" w14:textId="52909226"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максимальной стоимости кредитов наличными (ПСК)</w:t>
            </w:r>
          </w:p>
        </w:tc>
        <w:tc>
          <w:tcPr>
            <w:tcW w:w="2434" w:type="dxa"/>
          </w:tcPr>
          <w:p w14:paraId="03AFD00E" w14:textId="2F7A44FC"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Credit, max</w:t>
            </w:r>
          </w:p>
        </w:tc>
        <w:tc>
          <w:tcPr>
            <w:tcW w:w="2443" w:type="dxa"/>
          </w:tcPr>
          <w:p w14:paraId="0ACD6375" w14:textId="00B543FA"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кредитов наличными, макс ПСК</w:t>
            </w:r>
          </w:p>
        </w:tc>
        <w:tc>
          <w:tcPr>
            <w:tcW w:w="0" w:type="auto"/>
          </w:tcPr>
          <w:p w14:paraId="6F2697E0" w14:textId="6B8A21B3" w:rsidR="00DF073D" w:rsidRPr="002733C9" w:rsidRDefault="00DF073D" w:rsidP="002733C9">
            <w:pPr>
              <w:spacing w:before="120" w:after="120" w:line="240" w:lineRule="auto"/>
              <w:ind w:left="95"/>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Credit, max</w:t>
            </w:r>
          </w:p>
        </w:tc>
        <w:tc>
          <w:tcPr>
            <w:tcW w:w="0" w:type="auto"/>
            <w:vMerge/>
          </w:tcPr>
          <w:p w14:paraId="369D5D11" w14:textId="77777777" w:rsidR="00DF073D" w:rsidRPr="002733C9" w:rsidRDefault="00DF073D" w:rsidP="002733C9">
            <w:pPr>
              <w:spacing w:before="120" w:after="120" w:line="240" w:lineRule="auto"/>
              <w:ind w:hanging="520"/>
              <w:rPr>
                <w:rFonts w:ascii="Tahoma" w:eastAsia="Times New Roman" w:hAnsi="Tahoma" w:cs="Tahoma"/>
                <w:color w:val="262626"/>
                <w:kern w:val="0"/>
                <w:sz w:val="20"/>
                <w:szCs w:val="20"/>
                <w:shd w:val="clear" w:color="auto" w:fill="FFFFFF"/>
                <w:lang w:val="en-US" w:eastAsia="ru-RU"/>
                <w14:ligatures w14:val="none"/>
              </w:rPr>
            </w:pPr>
          </w:p>
        </w:tc>
      </w:tr>
      <w:tr w:rsidR="00DF073D" w:rsidRPr="002733C9" w14:paraId="49412EA3" w14:textId="77777777" w:rsidTr="00B83B80">
        <w:trPr>
          <w:trHeight w:val="556"/>
        </w:trPr>
        <w:tc>
          <w:tcPr>
            <w:tcW w:w="0" w:type="auto"/>
          </w:tcPr>
          <w:p w14:paraId="2C1471B6" w14:textId="77777777" w:rsidR="00DF073D" w:rsidRPr="002733C9" w:rsidRDefault="00DF073D" w:rsidP="002733C9">
            <w:pPr>
              <w:spacing w:before="120" w:after="120" w:line="240" w:lineRule="auto"/>
              <w:rPr>
                <w:rFonts w:ascii="Tahoma" w:eastAsia="Arial" w:hAnsi="Tahoma" w:cs="Tahoma"/>
                <w:color w:val="000000"/>
                <w:kern w:val="0"/>
                <w:sz w:val="20"/>
                <w:szCs w:val="20"/>
                <w14:ligatures w14:val="none"/>
              </w:rPr>
            </w:pPr>
            <w:r w:rsidRPr="002733C9">
              <w:rPr>
                <w:rFonts w:ascii="Tahoma" w:hAnsi="Tahoma" w:cs="Tahoma"/>
                <w:color w:val="000000"/>
                <w:sz w:val="20"/>
              </w:rPr>
              <w:t>FINCRAVG</w:t>
            </w:r>
          </w:p>
        </w:tc>
        <w:tc>
          <w:tcPr>
            <w:tcW w:w="0" w:type="auto"/>
          </w:tcPr>
          <w:p w14:paraId="275B2085" w14:textId="2D3BCAB0"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средней стоимости кредитов наличными (ПСК)</w:t>
            </w:r>
          </w:p>
        </w:tc>
        <w:tc>
          <w:tcPr>
            <w:tcW w:w="2434" w:type="dxa"/>
          </w:tcPr>
          <w:p w14:paraId="6DFB5A24" w14:textId="2533DE29" w:rsidR="00DF073D" w:rsidRPr="002733C9" w:rsidRDefault="00DF073D" w:rsidP="002733C9">
            <w:pPr>
              <w:spacing w:before="120" w:after="120" w:line="240" w:lineRule="auto"/>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Credit, </w:t>
            </w:r>
            <w:proofErr w:type="spellStart"/>
            <w:r w:rsidRPr="002733C9">
              <w:rPr>
                <w:rFonts w:ascii="Tahoma" w:hAnsi="Tahoma" w:cs="Tahoma"/>
                <w:color w:val="000000"/>
                <w:sz w:val="20"/>
              </w:rPr>
              <w:t>avg</w:t>
            </w:r>
            <w:proofErr w:type="spellEnd"/>
          </w:p>
        </w:tc>
        <w:tc>
          <w:tcPr>
            <w:tcW w:w="2443" w:type="dxa"/>
          </w:tcPr>
          <w:p w14:paraId="5EBE1063" w14:textId="51DE9FA3" w:rsidR="00DF073D" w:rsidRPr="002733C9" w:rsidRDefault="00DF073D" w:rsidP="002733C9">
            <w:pPr>
              <w:spacing w:before="120" w:after="120" w:line="240" w:lineRule="auto"/>
              <w:rPr>
                <w:rFonts w:ascii="Tahoma" w:eastAsia="Times New Roman" w:hAnsi="Tahoma" w:cs="Tahoma"/>
                <w:color w:val="000000"/>
                <w:kern w:val="0"/>
                <w:sz w:val="20"/>
                <w:szCs w:val="20"/>
                <w:lang w:val="ru-RU"/>
                <w14:ligatures w14:val="none"/>
              </w:rPr>
            </w:pPr>
            <w:r w:rsidRPr="002733C9">
              <w:rPr>
                <w:rFonts w:ascii="Tahoma" w:hAnsi="Tahoma" w:cs="Tahoma"/>
                <w:color w:val="000000"/>
                <w:sz w:val="20"/>
                <w:lang w:val="ru-RU"/>
              </w:rPr>
              <w:t xml:space="preserve">Индекс </w:t>
            </w:r>
            <w:proofErr w:type="spellStart"/>
            <w:r w:rsidRPr="002733C9">
              <w:rPr>
                <w:rFonts w:ascii="Tahoma" w:hAnsi="Tahoma" w:cs="Tahoma"/>
                <w:color w:val="000000"/>
                <w:sz w:val="20"/>
                <w:lang w:val="ru-RU"/>
              </w:rPr>
              <w:t>Финуслуг</w:t>
            </w:r>
            <w:proofErr w:type="spellEnd"/>
            <w:r w:rsidRPr="002733C9">
              <w:rPr>
                <w:rFonts w:ascii="Tahoma" w:hAnsi="Tahoma" w:cs="Tahoma"/>
                <w:color w:val="000000"/>
                <w:sz w:val="20"/>
                <w:lang w:val="ru-RU"/>
              </w:rPr>
              <w:t xml:space="preserve"> кредитов наличными, </w:t>
            </w:r>
          </w:p>
          <w:p w14:paraId="3C8782CD" w14:textId="77777777" w:rsidR="00DF073D" w:rsidRPr="002733C9" w:rsidRDefault="00DF073D" w:rsidP="002733C9">
            <w:pPr>
              <w:spacing w:before="120" w:after="120" w:line="240" w:lineRule="auto"/>
              <w:rPr>
                <w:rFonts w:ascii="Tahoma" w:eastAsia="Times New Roman" w:hAnsi="Tahoma" w:cs="Tahoma"/>
                <w:color w:val="262626"/>
                <w:kern w:val="0"/>
                <w:sz w:val="20"/>
                <w:szCs w:val="20"/>
                <w:shd w:val="clear" w:color="auto" w:fill="FFFFFF"/>
                <w:lang w:val="ru-RU"/>
                <w14:ligatures w14:val="none"/>
              </w:rPr>
            </w:pPr>
            <w:r w:rsidRPr="002733C9">
              <w:rPr>
                <w:rFonts w:ascii="Tahoma" w:hAnsi="Tahoma" w:cs="Tahoma"/>
                <w:color w:val="000000"/>
                <w:sz w:val="20"/>
                <w:lang w:val="ru-RU"/>
              </w:rPr>
              <w:t>ср ПСК</w:t>
            </w:r>
          </w:p>
        </w:tc>
        <w:tc>
          <w:tcPr>
            <w:tcW w:w="0" w:type="auto"/>
          </w:tcPr>
          <w:p w14:paraId="0145873F" w14:textId="16E8057D" w:rsidR="00DF073D" w:rsidRPr="002733C9" w:rsidRDefault="00DF073D" w:rsidP="002733C9">
            <w:pPr>
              <w:spacing w:before="120" w:after="120" w:line="240" w:lineRule="auto"/>
              <w:ind w:left="95"/>
              <w:rPr>
                <w:rFonts w:ascii="Tahoma" w:eastAsia="Times New Roman" w:hAnsi="Tahoma" w:cs="Tahoma"/>
                <w:color w:val="000000"/>
                <w:kern w:val="0"/>
                <w:sz w:val="20"/>
                <w:szCs w:val="20"/>
                <w14:ligatures w14:val="none"/>
              </w:rPr>
            </w:pPr>
            <w:r w:rsidRPr="002733C9">
              <w:rPr>
                <w:rFonts w:ascii="Tahoma" w:hAnsi="Tahoma" w:cs="Tahoma"/>
                <w:color w:val="000000"/>
                <w:sz w:val="20"/>
              </w:rPr>
              <w:t xml:space="preserve">Index </w:t>
            </w:r>
            <w:proofErr w:type="spellStart"/>
            <w:r w:rsidRPr="002733C9">
              <w:rPr>
                <w:rFonts w:ascii="Tahoma" w:hAnsi="Tahoma" w:cs="Tahoma"/>
                <w:color w:val="000000"/>
                <w:sz w:val="20"/>
              </w:rPr>
              <w:t>Finuslugi</w:t>
            </w:r>
            <w:proofErr w:type="spellEnd"/>
            <w:r w:rsidRPr="002733C9">
              <w:rPr>
                <w:rFonts w:ascii="Tahoma" w:hAnsi="Tahoma" w:cs="Tahoma"/>
                <w:color w:val="000000"/>
                <w:sz w:val="20"/>
              </w:rPr>
              <w:t xml:space="preserve"> Credit, </w:t>
            </w:r>
            <w:proofErr w:type="spellStart"/>
            <w:r w:rsidRPr="002733C9">
              <w:rPr>
                <w:rFonts w:ascii="Tahoma" w:hAnsi="Tahoma" w:cs="Tahoma"/>
                <w:color w:val="000000"/>
                <w:sz w:val="20"/>
              </w:rPr>
              <w:t>avg</w:t>
            </w:r>
            <w:proofErr w:type="spellEnd"/>
          </w:p>
        </w:tc>
        <w:tc>
          <w:tcPr>
            <w:tcW w:w="0" w:type="auto"/>
            <w:vMerge/>
          </w:tcPr>
          <w:p w14:paraId="636232BB" w14:textId="77777777" w:rsidR="00DF073D" w:rsidRPr="002733C9" w:rsidRDefault="00DF073D" w:rsidP="002733C9">
            <w:pPr>
              <w:spacing w:before="120" w:after="120" w:line="240" w:lineRule="auto"/>
              <w:ind w:hanging="520"/>
              <w:rPr>
                <w:rFonts w:ascii="Tahoma" w:eastAsia="Times New Roman" w:hAnsi="Tahoma" w:cs="Tahoma"/>
                <w:color w:val="262626"/>
                <w:kern w:val="0"/>
                <w:sz w:val="20"/>
                <w:szCs w:val="20"/>
                <w:shd w:val="clear" w:color="auto" w:fill="FFFFFF"/>
                <w:lang w:val="en-US" w:eastAsia="ru-RU"/>
                <w14:ligatures w14:val="none"/>
              </w:rPr>
            </w:pPr>
          </w:p>
        </w:tc>
      </w:tr>
      <w:bookmarkEnd w:id="10"/>
    </w:tbl>
    <w:p w14:paraId="64A70E6F" w14:textId="77777777" w:rsidR="008B6A1A" w:rsidRPr="002733C9" w:rsidRDefault="008B6A1A" w:rsidP="002733C9">
      <w:pPr>
        <w:tabs>
          <w:tab w:val="left" w:pos="993"/>
        </w:tabs>
        <w:spacing w:before="120" w:after="120" w:line="240" w:lineRule="auto"/>
        <w:ind w:left="397"/>
        <w:jc w:val="right"/>
        <w:rPr>
          <w:rFonts w:ascii="Tahoma" w:eastAsia="Times New Roman" w:hAnsi="Tahoma" w:cs="Tahoma"/>
          <w:b/>
          <w:kern w:val="0"/>
          <w:sz w:val="20"/>
          <w:szCs w:val="20"/>
          <w:lang w:val="en-US" w:eastAsia="ru-RU"/>
          <w14:ligatures w14:val="none"/>
        </w:rPr>
      </w:pPr>
    </w:p>
    <w:p w14:paraId="7592AEF3" w14:textId="77777777" w:rsidR="009D2EAC" w:rsidRPr="002733C9" w:rsidRDefault="009D2EAC" w:rsidP="002733C9">
      <w:pPr>
        <w:pStyle w:val="2"/>
        <w:spacing w:before="120" w:after="120" w:line="240" w:lineRule="auto"/>
        <w:rPr>
          <w:rFonts w:ascii="Tahoma" w:hAnsi="Tahoma" w:cs="Tahoma"/>
          <w:sz w:val="34"/>
          <w:lang w:val="en-US"/>
        </w:rPr>
      </w:pPr>
    </w:p>
    <w:sectPr w:rsidR="009D2EAC" w:rsidRPr="002733C9" w:rsidSect="005F71C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D"/>
    <w:multiLevelType w:val="multilevel"/>
    <w:tmpl w:val="339A0D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1A0C67"/>
    <w:multiLevelType w:val="hybridMultilevel"/>
    <w:tmpl w:val="0282A5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B9526C6"/>
    <w:multiLevelType w:val="hybridMultilevel"/>
    <w:tmpl w:val="4920A6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8D46B0F"/>
    <w:multiLevelType w:val="multilevel"/>
    <w:tmpl w:val="DA0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13965"/>
    <w:multiLevelType w:val="hybridMultilevel"/>
    <w:tmpl w:val="1412613E"/>
    <w:lvl w:ilvl="0" w:tplc="F9805F7A">
      <w:start w:val="1"/>
      <w:numFmt w:val="bullet"/>
      <w:lvlText w:val="—"/>
      <w:lvlJc w:val="left"/>
      <w:pPr>
        <w:ind w:left="1800" w:hanging="360"/>
      </w:pPr>
      <w:rPr>
        <w:rFonts w:ascii="Tahoma" w:hAnsi="Tahom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3D603B71"/>
    <w:multiLevelType w:val="hybridMultilevel"/>
    <w:tmpl w:val="25E2D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750BE4"/>
    <w:multiLevelType w:val="multilevel"/>
    <w:tmpl w:val="D4B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2346E"/>
    <w:multiLevelType w:val="hybridMultilevel"/>
    <w:tmpl w:val="188E48DE"/>
    <w:lvl w:ilvl="0" w:tplc="548855F0">
      <w:start w:val="1"/>
      <w:numFmt w:val="bullet"/>
      <w:lvlText w:val="―"/>
      <w:lvlJc w:val="left"/>
      <w:pPr>
        <w:ind w:left="1080" w:hanging="360"/>
      </w:pPr>
      <w:rPr>
        <w:rFonts w:ascii="Tahoma" w:hAnsi="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AB759CA"/>
    <w:multiLevelType w:val="hybridMultilevel"/>
    <w:tmpl w:val="8C5E62AE"/>
    <w:lvl w:ilvl="0" w:tplc="548855F0">
      <w:start w:val="1"/>
      <w:numFmt w:val="bullet"/>
      <w:lvlText w:val="―"/>
      <w:lvlJc w:val="left"/>
      <w:pPr>
        <w:ind w:left="1080" w:hanging="360"/>
      </w:pPr>
      <w:rPr>
        <w:rFonts w:ascii="Tahoma" w:hAnsi="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C835945"/>
    <w:multiLevelType w:val="hybridMultilevel"/>
    <w:tmpl w:val="F24A7FDC"/>
    <w:lvl w:ilvl="0" w:tplc="F9805F7A">
      <w:start w:val="1"/>
      <w:numFmt w:val="bullet"/>
      <w:lvlText w:val="—"/>
      <w:lvlJc w:val="left"/>
      <w:pPr>
        <w:ind w:left="1080" w:hanging="360"/>
      </w:pPr>
      <w:rPr>
        <w:rFonts w:ascii="Tahoma" w:hAnsi="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0CB08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5861D0"/>
    <w:multiLevelType w:val="multilevel"/>
    <w:tmpl w:val="339A0D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9A23E99"/>
    <w:multiLevelType w:val="hybridMultilevel"/>
    <w:tmpl w:val="53045952"/>
    <w:lvl w:ilvl="0" w:tplc="548855F0">
      <w:start w:val="1"/>
      <w:numFmt w:val="bullet"/>
      <w:lvlText w:val="―"/>
      <w:lvlJc w:val="left"/>
      <w:pPr>
        <w:ind w:left="1080" w:hanging="360"/>
      </w:pPr>
      <w:rPr>
        <w:rFonts w:ascii="Tahoma" w:hAnsi="Tahom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C3D138C"/>
    <w:multiLevelType w:val="hybridMultilevel"/>
    <w:tmpl w:val="209C5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1"/>
  </w:num>
  <w:num w:numId="5">
    <w:abstractNumId w:val="0"/>
  </w:num>
  <w:num w:numId="6">
    <w:abstractNumId w:val="1"/>
  </w:num>
  <w:num w:numId="7">
    <w:abstractNumId w:val="2"/>
  </w:num>
  <w:num w:numId="8">
    <w:abstractNumId w:val="9"/>
  </w:num>
  <w:num w:numId="9">
    <w:abstractNumId w:val="7"/>
  </w:num>
  <w:num w:numId="10">
    <w:abstractNumId w:val="8"/>
  </w:num>
  <w:num w:numId="11">
    <w:abstractNumId w:val="13"/>
  </w:num>
  <w:num w:numId="12">
    <w:abstractNumId w:val="4"/>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36"/>
    <w:rsid w:val="00031485"/>
    <w:rsid w:val="0004773C"/>
    <w:rsid w:val="00054CE1"/>
    <w:rsid w:val="00105432"/>
    <w:rsid w:val="00123A6E"/>
    <w:rsid w:val="001B3171"/>
    <w:rsid w:val="001E0C8F"/>
    <w:rsid w:val="002175DC"/>
    <w:rsid w:val="002733C9"/>
    <w:rsid w:val="002736BF"/>
    <w:rsid w:val="0029073D"/>
    <w:rsid w:val="002C4C7C"/>
    <w:rsid w:val="00310368"/>
    <w:rsid w:val="00326EC3"/>
    <w:rsid w:val="003561AA"/>
    <w:rsid w:val="003D1149"/>
    <w:rsid w:val="0042157D"/>
    <w:rsid w:val="00432AA8"/>
    <w:rsid w:val="004A4C36"/>
    <w:rsid w:val="00500E50"/>
    <w:rsid w:val="00517C21"/>
    <w:rsid w:val="00542635"/>
    <w:rsid w:val="005601FD"/>
    <w:rsid w:val="00583E7A"/>
    <w:rsid w:val="00595A27"/>
    <w:rsid w:val="005A54C4"/>
    <w:rsid w:val="005B0018"/>
    <w:rsid w:val="005B0339"/>
    <w:rsid w:val="005F46EB"/>
    <w:rsid w:val="005F71C3"/>
    <w:rsid w:val="00602734"/>
    <w:rsid w:val="0061473A"/>
    <w:rsid w:val="00621A2E"/>
    <w:rsid w:val="006700CA"/>
    <w:rsid w:val="00717132"/>
    <w:rsid w:val="007A7843"/>
    <w:rsid w:val="007C1DB7"/>
    <w:rsid w:val="007D3409"/>
    <w:rsid w:val="00806CEC"/>
    <w:rsid w:val="008A1B3B"/>
    <w:rsid w:val="008B6A1A"/>
    <w:rsid w:val="008D044C"/>
    <w:rsid w:val="008D5C36"/>
    <w:rsid w:val="008F301E"/>
    <w:rsid w:val="009129B0"/>
    <w:rsid w:val="009B4912"/>
    <w:rsid w:val="009C7750"/>
    <w:rsid w:val="009D2EAC"/>
    <w:rsid w:val="009D5EE5"/>
    <w:rsid w:val="009F26FE"/>
    <w:rsid w:val="009F65AF"/>
    <w:rsid w:val="00A1342B"/>
    <w:rsid w:val="00A14FC5"/>
    <w:rsid w:val="00A307FF"/>
    <w:rsid w:val="00A83348"/>
    <w:rsid w:val="00AD16E0"/>
    <w:rsid w:val="00B62F28"/>
    <w:rsid w:val="00B637D9"/>
    <w:rsid w:val="00B7309F"/>
    <w:rsid w:val="00B730E8"/>
    <w:rsid w:val="00B94C83"/>
    <w:rsid w:val="00BB53E1"/>
    <w:rsid w:val="00BF038C"/>
    <w:rsid w:val="00C00E03"/>
    <w:rsid w:val="00C15FE9"/>
    <w:rsid w:val="00C61ED8"/>
    <w:rsid w:val="00C7192D"/>
    <w:rsid w:val="00CD342E"/>
    <w:rsid w:val="00D110AC"/>
    <w:rsid w:val="00D62A0F"/>
    <w:rsid w:val="00D80569"/>
    <w:rsid w:val="00D81193"/>
    <w:rsid w:val="00DF073D"/>
    <w:rsid w:val="00E04931"/>
    <w:rsid w:val="00E63782"/>
    <w:rsid w:val="00E75B28"/>
    <w:rsid w:val="00EF45C8"/>
    <w:rsid w:val="00EF5F1B"/>
    <w:rsid w:val="00F227FD"/>
    <w:rsid w:val="00F84527"/>
    <w:rsid w:val="00FE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D5A0"/>
  <w15:chartTrackingRefBased/>
  <w15:docId w15:val="{9CF69847-49AA-45EF-86F8-EF84CF90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A4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A4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A4C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A4C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A4C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A4C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4C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4C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4C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C15FE9"/>
    <w:pPr>
      <w:spacing w:before="240" w:after="340"/>
      <w:jc w:val="center"/>
    </w:pPr>
    <w:rPr>
      <w:rFonts w:ascii="Times New Roman" w:hAnsi="Times New Roman"/>
      <w:b/>
      <w:sz w:val="28"/>
    </w:rPr>
  </w:style>
  <w:style w:type="character" w:customStyle="1" w:styleId="10">
    <w:name w:val="Заголовок 1 Знак"/>
    <w:basedOn w:val="a0"/>
    <w:link w:val="1"/>
    <w:uiPriority w:val="9"/>
    <w:rsid w:val="004A4C3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A4C3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A4C3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A4C3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A4C3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A4C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4C36"/>
    <w:rPr>
      <w:rFonts w:eastAsiaTheme="majorEastAsia" w:cstheme="majorBidi"/>
      <w:color w:val="595959" w:themeColor="text1" w:themeTint="A6"/>
    </w:rPr>
  </w:style>
  <w:style w:type="character" w:customStyle="1" w:styleId="80">
    <w:name w:val="Заголовок 8 Знак"/>
    <w:basedOn w:val="a0"/>
    <w:link w:val="8"/>
    <w:uiPriority w:val="9"/>
    <w:semiHidden/>
    <w:rsid w:val="004A4C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4C36"/>
    <w:rPr>
      <w:rFonts w:eastAsiaTheme="majorEastAsia" w:cstheme="majorBidi"/>
      <w:color w:val="272727" w:themeColor="text1" w:themeTint="D8"/>
    </w:rPr>
  </w:style>
  <w:style w:type="paragraph" w:styleId="a3">
    <w:name w:val="Title"/>
    <w:basedOn w:val="a"/>
    <w:next w:val="a"/>
    <w:link w:val="a4"/>
    <w:uiPriority w:val="10"/>
    <w:qFormat/>
    <w:rsid w:val="004A4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4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C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4C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4C36"/>
    <w:pPr>
      <w:spacing w:before="160"/>
      <w:jc w:val="center"/>
    </w:pPr>
    <w:rPr>
      <w:i/>
      <w:iCs/>
      <w:color w:val="404040" w:themeColor="text1" w:themeTint="BF"/>
    </w:rPr>
  </w:style>
  <w:style w:type="character" w:customStyle="1" w:styleId="22">
    <w:name w:val="Цитата 2 Знак"/>
    <w:basedOn w:val="a0"/>
    <w:link w:val="21"/>
    <w:uiPriority w:val="29"/>
    <w:rsid w:val="004A4C36"/>
    <w:rPr>
      <w:i/>
      <w:iCs/>
      <w:color w:val="404040" w:themeColor="text1" w:themeTint="BF"/>
    </w:rPr>
  </w:style>
  <w:style w:type="paragraph" w:styleId="a7">
    <w:name w:val="List Paragraph"/>
    <w:basedOn w:val="a"/>
    <w:uiPriority w:val="34"/>
    <w:qFormat/>
    <w:rsid w:val="004A4C36"/>
    <w:pPr>
      <w:ind w:left="720"/>
      <w:contextualSpacing/>
    </w:pPr>
  </w:style>
  <w:style w:type="character" w:styleId="a8">
    <w:name w:val="Intense Emphasis"/>
    <w:basedOn w:val="a0"/>
    <w:uiPriority w:val="21"/>
    <w:qFormat/>
    <w:rsid w:val="004A4C36"/>
    <w:rPr>
      <w:i/>
      <w:iCs/>
      <w:color w:val="0F4761" w:themeColor="accent1" w:themeShade="BF"/>
    </w:rPr>
  </w:style>
  <w:style w:type="paragraph" w:styleId="a9">
    <w:name w:val="Intense Quote"/>
    <w:basedOn w:val="a"/>
    <w:next w:val="a"/>
    <w:link w:val="aa"/>
    <w:uiPriority w:val="30"/>
    <w:qFormat/>
    <w:rsid w:val="004A4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A4C36"/>
    <w:rPr>
      <w:i/>
      <w:iCs/>
      <w:color w:val="0F4761" w:themeColor="accent1" w:themeShade="BF"/>
    </w:rPr>
  </w:style>
  <w:style w:type="character" w:styleId="ab">
    <w:name w:val="Intense Reference"/>
    <w:basedOn w:val="a0"/>
    <w:uiPriority w:val="32"/>
    <w:qFormat/>
    <w:rsid w:val="004A4C36"/>
    <w:rPr>
      <w:b/>
      <w:bCs/>
      <w:smallCaps/>
      <w:color w:val="0F4761" w:themeColor="accent1" w:themeShade="BF"/>
      <w:spacing w:val="5"/>
    </w:rPr>
  </w:style>
  <w:style w:type="character" w:styleId="ac">
    <w:name w:val="Placeholder Text"/>
    <w:basedOn w:val="a0"/>
    <w:uiPriority w:val="99"/>
    <w:semiHidden/>
    <w:rsid w:val="00E63782"/>
    <w:rPr>
      <w:color w:val="666666"/>
    </w:rPr>
  </w:style>
  <w:style w:type="character" w:styleId="ad">
    <w:name w:val="annotation reference"/>
    <w:basedOn w:val="a0"/>
    <w:uiPriority w:val="99"/>
    <w:semiHidden/>
    <w:unhideWhenUsed/>
    <w:rsid w:val="00F227FD"/>
    <w:rPr>
      <w:sz w:val="16"/>
      <w:szCs w:val="16"/>
    </w:rPr>
  </w:style>
  <w:style w:type="paragraph" w:styleId="ae">
    <w:name w:val="annotation text"/>
    <w:basedOn w:val="a"/>
    <w:link w:val="af"/>
    <w:uiPriority w:val="99"/>
    <w:semiHidden/>
    <w:unhideWhenUsed/>
    <w:rsid w:val="00F227FD"/>
    <w:pPr>
      <w:spacing w:line="240" w:lineRule="auto"/>
    </w:pPr>
    <w:rPr>
      <w:sz w:val="20"/>
      <w:szCs w:val="20"/>
    </w:rPr>
  </w:style>
  <w:style w:type="character" w:customStyle="1" w:styleId="af">
    <w:name w:val="Текст примечания Знак"/>
    <w:basedOn w:val="a0"/>
    <w:link w:val="ae"/>
    <w:uiPriority w:val="99"/>
    <w:semiHidden/>
    <w:rsid w:val="00F227FD"/>
    <w:rPr>
      <w:sz w:val="20"/>
      <w:szCs w:val="20"/>
    </w:rPr>
  </w:style>
  <w:style w:type="paragraph" w:styleId="af0">
    <w:name w:val="annotation subject"/>
    <w:basedOn w:val="ae"/>
    <w:next w:val="ae"/>
    <w:link w:val="af1"/>
    <w:uiPriority w:val="99"/>
    <w:semiHidden/>
    <w:unhideWhenUsed/>
    <w:rsid w:val="00F227FD"/>
    <w:rPr>
      <w:b/>
      <w:bCs/>
    </w:rPr>
  </w:style>
  <w:style w:type="character" w:customStyle="1" w:styleId="af1">
    <w:name w:val="Тема примечания Знак"/>
    <w:basedOn w:val="af"/>
    <w:link w:val="af0"/>
    <w:uiPriority w:val="99"/>
    <w:semiHidden/>
    <w:rsid w:val="00F227FD"/>
    <w:rPr>
      <w:b/>
      <w:bCs/>
      <w:sz w:val="20"/>
      <w:szCs w:val="20"/>
    </w:rPr>
  </w:style>
  <w:style w:type="paragraph" w:styleId="af2">
    <w:name w:val="Balloon Text"/>
    <w:basedOn w:val="a"/>
    <w:link w:val="af3"/>
    <w:uiPriority w:val="99"/>
    <w:semiHidden/>
    <w:unhideWhenUsed/>
    <w:rsid w:val="00F227F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F227FD"/>
    <w:rPr>
      <w:rFonts w:ascii="Segoe UI" w:hAnsi="Segoe UI" w:cs="Segoe UI"/>
      <w:sz w:val="18"/>
      <w:szCs w:val="18"/>
    </w:rPr>
  </w:style>
  <w:style w:type="paragraph" w:styleId="af4">
    <w:name w:val="No Spacing"/>
    <w:uiPriority w:val="1"/>
    <w:qFormat/>
    <w:rsid w:val="009D2EAC"/>
    <w:pPr>
      <w:spacing w:after="0" w:line="240" w:lineRule="auto"/>
    </w:pPr>
  </w:style>
  <w:style w:type="paragraph" w:styleId="af5">
    <w:name w:val="Revision"/>
    <w:hidden/>
    <w:uiPriority w:val="99"/>
    <w:semiHidden/>
    <w:rsid w:val="005B0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07458-5F73-46E1-B249-84DFF3D0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1052</Words>
  <Characters>7171</Characters>
  <Application>Microsoft Office Word</Application>
  <DocSecurity>0</DocSecurity>
  <Lines>224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Савостина</dc:creator>
  <cp:keywords/>
  <dc:description/>
  <cp:lastModifiedBy>Лошкарева Кристина Викторовна</cp:lastModifiedBy>
  <cp:revision>4</cp:revision>
  <dcterms:created xsi:type="dcterms:W3CDTF">2025-10-08T10:17:00Z</dcterms:created>
  <dcterms:modified xsi:type="dcterms:W3CDTF">2025-10-08T11:35:00Z</dcterms:modified>
</cp:coreProperties>
</file>