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874E1" w14:textId="77777777" w:rsidR="0017567D" w:rsidRPr="006B5A3E" w:rsidRDefault="006B5A3E" w:rsidP="00261FC4">
      <w:pPr>
        <w:pStyle w:val="1"/>
        <w:ind w:left="4956"/>
        <w:rPr>
          <w:sz w:val="20"/>
          <w:szCs w:val="20"/>
        </w:rPr>
      </w:pPr>
      <w:r w:rsidRPr="006B5A3E">
        <w:rPr>
          <w:sz w:val="20"/>
          <w:szCs w:val="20"/>
        </w:rPr>
        <w:t>УТВЕРЖДЕНА</w:t>
      </w:r>
    </w:p>
    <w:p w14:paraId="5558ACF6" w14:textId="77777777" w:rsid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</w:p>
    <w:p w14:paraId="45F02F4F" w14:textId="64A9C41E" w:rsidR="006B5A3E" w:rsidRP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  <w:r w:rsidRPr="006B5A3E">
        <w:rPr>
          <w:rFonts w:ascii="Arial" w:hAnsi="Arial" w:cs="Arial"/>
          <w:sz w:val="20"/>
          <w:szCs w:val="20"/>
        </w:rPr>
        <w:t xml:space="preserve">Правлением </w:t>
      </w:r>
      <w:r w:rsidR="002445C0">
        <w:rPr>
          <w:rFonts w:ascii="Arial" w:hAnsi="Arial" w:cs="Arial"/>
          <w:sz w:val="20"/>
          <w:szCs w:val="20"/>
        </w:rPr>
        <w:t>П</w:t>
      </w:r>
      <w:r w:rsidRPr="006B5A3E">
        <w:rPr>
          <w:rFonts w:ascii="Arial" w:hAnsi="Arial" w:cs="Arial"/>
          <w:sz w:val="20"/>
          <w:szCs w:val="20"/>
        </w:rPr>
        <w:t>АО Московская Биржа</w:t>
      </w:r>
    </w:p>
    <w:p w14:paraId="2A53D0A7" w14:textId="76335B7E" w:rsidR="006B5A3E" w:rsidRP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  <w:r w:rsidRPr="006B5A3E">
        <w:rPr>
          <w:rFonts w:ascii="Arial" w:hAnsi="Arial" w:cs="Arial"/>
          <w:sz w:val="20"/>
          <w:szCs w:val="20"/>
        </w:rPr>
        <w:t>«</w:t>
      </w:r>
      <w:r w:rsidR="00A803F5">
        <w:rPr>
          <w:rFonts w:ascii="Arial" w:hAnsi="Arial" w:cs="Arial"/>
          <w:sz w:val="20"/>
          <w:szCs w:val="20"/>
        </w:rPr>
        <w:t>23</w:t>
      </w:r>
      <w:r w:rsidR="00583A62">
        <w:rPr>
          <w:rFonts w:ascii="Arial" w:hAnsi="Arial" w:cs="Arial"/>
          <w:sz w:val="20"/>
          <w:szCs w:val="20"/>
        </w:rPr>
        <w:t xml:space="preserve"> </w:t>
      </w:r>
      <w:r w:rsidR="00343502">
        <w:rPr>
          <w:rFonts w:ascii="Arial" w:hAnsi="Arial" w:cs="Arial"/>
          <w:sz w:val="20"/>
          <w:szCs w:val="20"/>
        </w:rPr>
        <w:t>октября</w:t>
      </w:r>
      <w:r w:rsidR="009C2EC1">
        <w:rPr>
          <w:rFonts w:ascii="Arial" w:hAnsi="Arial" w:cs="Arial"/>
          <w:sz w:val="20"/>
          <w:szCs w:val="20"/>
        </w:rPr>
        <w:t xml:space="preserve"> </w:t>
      </w:r>
      <w:r w:rsidRPr="006B5A3E">
        <w:rPr>
          <w:rFonts w:ascii="Arial" w:hAnsi="Arial" w:cs="Arial"/>
          <w:sz w:val="20"/>
          <w:szCs w:val="20"/>
        </w:rPr>
        <w:t>20</w:t>
      </w:r>
      <w:r w:rsidR="002445C0">
        <w:rPr>
          <w:rFonts w:ascii="Arial" w:hAnsi="Arial" w:cs="Arial"/>
          <w:sz w:val="20"/>
          <w:szCs w:val="20"/>
        </w:rPr>
        <w:t>2</w:t>
      </w:r>
      <w:r w:rsidR="009C2EC1">
        <w:rPr>
          <w:rFonts w:ascii="Arial" w:hAnsi="Arial" w:cs="Arial"/>
          <w:sz w:val="20"/>
          <w:szCs w:val="20"/>
        </w:rPr>
        <w:t>4</w:t>
      </w:r>
      <w:r w:rsidRPr="006B5A3E">
        <w:rPr>
          <w:rFonts w:ascii="Arial" w:hAnsi="Arial" w:cs="Arial"/>
          <w:sz w:val="20"/>
          <w:szCs w:val="20"/>
        </w:rPr>
        <w:t xml:space="preserve"> года, Протокол №</w:t>
      </w:r>
      <w:r w:rsidR="00477FB0">
        <w:rPr>
          <w:rFonts w:ascii="Arial" w:hAnsi="Arial" w:cs="Arial"/>
          <w:sz w:val="20"/>
          <w:szCs w:val="20"/>
        </w:rPr>
        <w:t xml:space="preserve"> </w:t>
      </w:r>
      <w:r w:rsidR="00A803F5">
        <w:rPr>
          <w:rFonts w:ascii="Arial" w:hAnsi="Arial" w:cs="Arial"/>
          <w:sz w:val="20"/>
          <w:szCs w:val="20"/>
        </w:rPr>
        <w:t>84</w:t>
      </w:r>
      <w:bookmarkStart w:id="0" w:name="_GoBack"/>
      <w:bookmarkEnd w:id="0"/>
    </w:p>
    <w:p w14:paraId="6C78602C" w14:textId="77777777" w:rsidR="006B5A3E" w:rsidRP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</w:p>
    <w:p w14:paraId="610E5917" w14:textId="77777777" w:rsidR="006B5A3E" w:rsidRP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  <w:r w:rsidRPr="006B5A3E">
        <w:rPr>
          <w:rFonts w:ascii="Arial" w:hAnsi="Arial" w:cs="Arial"/>
          <w:sz w:val="20"/>
          <w:szCs w:val="20"/>
        </w:rPr>
        <w:t xml:space="preserve">Председатель Правления </w:t>
      </w:r>
    </w:p>
    <w:p w14:paraId="7E7CB0C7" w14:textId="5B4DA7AB" w:rsidR="006B5A3E" w:rsidRPr="006B5A3E" w:rsidRDefault="002445C0" w:rsidP="00261FC4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6B5A3E" w:rsidRPr="006B5A3E">
        <w:rPr>
          <w:rFonts w:ascii="Arial" w:hAnsi="Arial" w:cs="Arial"/>
          <w:sz w:val="20"/>
          <w:szCs w:val="20"/>
        </w:rPr>
        <w:t>АО Московская Биржа</w:t>
      </w:r>
    </w:p>
    <w:p w14:paraId="1096B1F0" w14:textId="77777777" w:rsidR="006B5A3E" w:rsidRP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</w:p>
    <w:p w14:paraId="0035108B" w14:textId="2197974E" w:rsidR="006B5A3E" w:rsidRP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  <w:r w:rsidRPr="006B5A3E">
        <w:rPr>
          <w:rFonts w:ascii="Arial" w:hAnsi="Arial" w:cs="Arial"/>
          <w:sz w:val="20"/>
          <w:szCs w:val="20"/>
        </w:rPr>
        <w:t xml:space="preserve">________________ </w:t>
      </w:r>
      <w:proofErr w:type="spellStart"/>
      <w:r w:rsidR="00583A62">
        <w:rPr>
          <w:rFonts w:ascii="Arial" w:hAnsi="Arial" w:cs="Arial"/>
          <w:sz w:val="20"/>
          <w:szCs w:val="20"/>
        </w:rPr>
        <w:t>В.О.Жидков</w:t>
      </w:r>
      <w:proofErr w:type="spellEnd"/>
    </w:p>
    <w:p w14:paraId="0EC85B7F" w14:textId="77777777" w:rsidR="00CD73AC" w:rsidRDefault="00CD73AC" w:rsidP="00CD73AC"/>
    <w:p w14:paraId="376AD70E" w14:textId="77777777" w:rsidR="006B5A3E" w:rsidRPr="00CD73AC" w:rsidRDefault="006B5A3E" w:rsidP="00CD73AC"/>
    <w:p w14:paraId="18C8F39C" w14:textId="4A70C83B" w:rsidR="00ED2700" w:rsidRPr="00C35C17" w:rsidRDefault="008F409E" w:rsidP="00ED2700">
      <w:pPr>
        <w:pStyle w:val="1"/>
        <w:jc w:val="center"/>
        <w:rPr>
          <w:sz w:val="24"/>
          <w:szCs w:val="24"/>
        </w:rPr>
      </w:pPr>
      <w:bookmarkStart w:id="1" w:name="OLE_LINK2"/>
      <w:bookmarkStart w:id="2" w:name="OLE_LINK3"/>
      <w:r>
        <w:rPr>
          <w:sz w:val="24"/>
          <w:szCs w:val="24"/>
        </w:rPr>
        <w:t>Методика</w:t>
      </w:r>
      <w:r w:rsidR="00ED2700" w:rsidRPr="000C6B64">
        <w:rPr>
          <w:sz w:val="24"/>
          <w:szCs w:val="24"/>
        </w:rPr>
        <w:t xml:space="preserve"> расчета </w:t>
      </w:r>
      <w:bookmarkEnd w:id="1"/>
      <w:bookmarkEnd w:id="2"/>
      <w:r w:rsidR="005C487B">
        <w:rPr>
          <w:sz w:val="24"/>
          <w:szCs w:val="24"/>
        </w:rPr>
        <w:t>и</w:t>
      </w:r>
      <w:r w:rsidR="00A340E3">
        <w:rPr>
          <w:sz w:val="24"/>
          <w:szCs w:val="24"/>
        </w:rPr>
        <w:t>ндикат</w:t>
      </w:r>
      <w:r w:rsidR="005C487B">
        <w:rPr>
          <w:sz w:val="24"/>
          <w:szCs w:val="24"/>
        </w:rPr>
        <w:t xml:space="preserve">ивных ставок </w:t>
      </w:r>
    </w:p>
    <w:p w14:paraId="70366436" w14:textId="77777777" w:rsidR="00107F25" w:rsidRDefault="00107F25" w:rsidP="000E01D8">
      <w:pPr>
        <w:spacing w:beforeLines="50" w:before="120" w:afterLines="50" w:after="120"/>
        <w:rPr>
          <w:rFonts w:ascii="Arial" w:hAnsi="Arial" w:cs="Arial"/>
          <w:b/>
          <w:sz w:val="20"/>
          <w:szCs w:val="20"/>
        </w:rPr>
      </w:pPr>
    </w:p>
    <w:p w14:paraId="71AF62D3" w14:textId="1CCB9CB2" w:rsidR="001E22ED" w:rsidRPr="00C6787C" w:rsidRDefault="001E22ED" w:rsidP="001E22ED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Настоящая Методика определяет порядок расчета</w:t>
      </w:r>
      <w:r w:rsidR="002445C0">
        <w:rPr>
          <w:rFonts w:cs="Arial"/>
          <w:szCs w:val="20"/>
        </w:rPr>
        <w:t xml:space="preserve"> Публичным </w:t>
      </w:r>
      <w:r w:rsidR="002445C0" w:rsidRPr="00707E72">
        <w:rPr>
          <w:rFonts w:cs="Arial"/>
          <w:szCs w:val="20"/>
        </w:rPr>
        <w:t>акционерным обществом</w:t>
      </w:r>
      <w:r w:rsidR="002445C0">
        <w:rPr>
          <w:rFonts w:cs="Arial"/>
          <w:szCs w:val="20"/>
        </w:rPr>
        <w:t xml:space="preserve"> </w:t>
      </w:r>
      <w:r w:rsidR="002445C0" w:rsidRPr="00707E72">
        <w:rPr>
          <w:rFonts w:cs="Arial"/>
          <w:szCs w:val="20"/>
        </w:rPr>
        <w:t xml:space="preserve">«Московская Биржа ММВБ-РТС» </w:t>
      </w:r>
      <w:r w:rsidR="00D0586A">
        <w:rPr>
          <w:rFonts w:cs="Arial"/>
          <w:szCs w:val="20"/>
        </w:rPr>
        <w:t>(далее – Биржа) и</w:t>
      </w:r>
      <w:r w:rsidR="00D42D47">
        <w:rPr>
          <w:rFonts w:cs="Arial"/>
          <w:szCs w:val="20"/>
        </w:rPr>
        <w:t>ндикативн</w:t>
      </w:r>
      <w:r w:rsidR="00694703">
        <w:rPr>
          <w:rFonts w:cs="Arial"/>
          <w:szCs w:val="20"/>
        </w:rPr>
        <w:t>ой</w:t>
      </w:r>
      <w:r w:rsidR="005C487B">
        <w:rPr>
          <w:rFonts w:cs="Arial"/>
          <w:szCs w:val="20"/>
        </w:rPr>
        <w:t xml:space="preserve"> ставк</w:t>
      </w:r>
      <w:r w:rsidR="00694703">
        <w:rPr>
          <w:rFonts w:cs="Arial"/>
          <w:szCs w:val="20"/>
        </w:rPr>
        <w:t>и</w:t>
      </w:r>
      <w:r w:rsidR="00D42D47">
        <w:rPr>
          <w:rFonts w:cs="Arial"/>
          <w:szCs w:val="20"/>
        </w:rPr>
        <w:t xml:space="preserve"> </w:t>
      </w:r>
      <w:r w:rsidR="002A5B0E" w:rsidRPr="00C6787C">
        <w:rPr>
          <w:rFonts w:cs="Arial"/>
          <w:szCs w:val="20"/>
        </w:rPr>
        <w:t xml:space="preserve">(далее – </w:t>
      </w:r>
      <w:r w:rsidR="002A5B0E">
        <w:rPr>
          <w:rFonts w:cs="Arial"/>
          <w:szCs w:val="20"/>
        </w:rPr>
        <w:t>Индикатор</w:t>
      </w:r>
      <w:r w:rsidR="002A5B0E" w:rsidRPr="00C6787C">
        <w:rPr>
          <w:rFonts w:cs="Arial"/>
          <w:szCs w:val="20"/>
        </w:rPr>
        <w:t>)</w:t>
      </w:r>
      <w:r w:rsidR="002A5B0E">
        <w:rPr>
          <w:rFonts w:cs="Arial"/>
          <w:szCs w:val="20"/>
        </w:rPr>
        <w:t xml:space="preserve"> </w:t>
      </w:r>
      <w:r w:rsidR="005C487B">
        <w:rPr>
          <w:rFonts w:cs="Arial"/>
          <w:szCs w:val="20"/>
        </w:rPr>
        <w:t xml:space="preserve">по </w:t>
      </w:r>
      <w:r w:rsidR="007E2D19">
        <w:rPr>
          <w:rFonts w:cs="Arial"/>
          <w:szCs w:val="20"/>
        </w:rPr>
        <w:t xml:space="preserve">заключаемым </w:t>
      </w:r>
      <w:r w:rsidR="002A5B0E">
        <w:rPr>
          <w:rFonts w:cs="Arial"/>
          <w:szCs w:val="20"/>
        </w:rPr>
        <w:t>н</w:t>
      </w:r>
      <w:r w:rsidR="007E2D19">
        <w:rPr>
          <w:rFonts w:cs="Arial"/>
          <w:szCs w:val="20"/>
        </w:rPr>
        <w:t xml:space="preserve">а Бирже </w:t>
      </w:r>
      <w:r w:rsidR="005C487B">
        <w:rPr>
          <w:rFonts w:cs="Arial"/>
          <w:szCs w:val="20"/>
        </w:rPr>
        <w:t>сдел</w:t>
      </w:r>
      <w:r w:rsidR="00A340E3">
        <w:rPr>
          <w:rFonts w:cs="Arial"/>
          <w:szCs w:val="20"/>
        </w:rPr>
        <w:t>к</w:t>
      </w:r>
      <w:r w:rsidR="005C487B">
        <w:rPr>
          <w:rFonts w:cs="Arial"/>
          <w:szCs w:val="20"/>
        </w:rPr>
        <w:t>ам</w:t>
      </w:r>
      <w:r w:rsidR="00947B20">
        <w:rPr>
          <w:rFonts w:cs="Arial"/>
          <w:szCs w:val="20"/>
        </w:rPr>
        <w:t xml:space="preserve">, </w:t>
      </w:r>
      <w:r w:rsidR="007E2D19">
        <w:rPr>
          <w:rFonts w:cs="Arial"/>
          <w:szCs w:val="20"/>
        </w:rPr>
        <w:t xml:space="preserve">указанным в п. </w:t>
      </w:r>
      <w:r w:rsidR="00950C79">
        <w:rPr>
          <w:rFonts w:cs="Arial"/>
          <w:szCs w:val="20"/>
        </w:rPr>
        <w:t>5</w:t>
      </w:r>
      <w:r w:rsidR="007E2D19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.</w:t>
      </w:r>
    </w:p>
    <w:p w14:paraId="4B6FDC77" w14:textId="4A47161B" w:rsidR="002445C0" w:rsidRPr="00887A96" w:rsidRDefault="002445C0" w:rsidP="00C40944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FC44C9">
        <w:rPr>
          <w:rFonts w:cs="Arial"/>
          <w:szCs w:val="20"/>
        </w:rPr>
        <w:t>Ведение деятельности по созданию, расчету</w:t>
      </w:r>
      <w:r w:rsidR="000419DB">
        <w:rPr>
          <w:rFonts w:cs="Arial"/>
          <w:szCs w:val="20"/>
        </w:rPr>
        <w:t>,</w:t>
      </w:r>
      <w:r w:rsidR="000419DB" w:rsidRPr="000419DB">
        <w:rPr>
          <w:rFonts w:cs="Arial"/>
          <w:szCs w:val="20"/>
        </w:rPr>
        <w:t xml:space="preserve"> </w:t>
      </w:r>
      <w:r w:rsidR="000419DB" w:rsidRPr="00FC44C9">
        <w:rPr>
          <w:rFonts w:cs="Arial"/>
          <w:szCs w:val="20"/>
        </w:rPr>
        <w:t>пересмотру</w:t>
      </w:r>
      <w:r w:rsidRPr="00FC44C9">
        <w:rPr>
          <w:rFonts w:cs="Arial"/>
          <w:szCs w:val="20"/>
        </w:rPr>
        <w:t xml:space="preserve"> и обновлению </w:t>
      </w:r>
      <w:r w:rsidRPr="00502DCD">
        <w:rPr>
          <w:rFonts w:cs="Arial"/>
          <w:szCs w:val="20"/>
        </w:rPr>
        <w:t>Индикат</w:t>
      </w:r>
      <w:r>
        <w:rPr>
          <w:rFonts w:cs="Arial"/>
          <w:szCs w:val="20"/>
        </w:rPr>
        <w:t>ор</w:t>
      </w:r>
      <w:r w:rsidR="00694703">
        <w:rPr>
          <w:rFonts w:cs="Arial"/>
          <w:szCs w:val="20"/>
        </w:rPr>
        <w:t>а</w:t>
      </w:r>
      <w:r>
        <w:rPr>
          <w:rFonts w:cs="Arial"/>
          <w:szCs w:val="20"/>
        </w:rPr>
        <w:t>, а также</w:t>
      </w:r>
      <w:r w:rsidRPr="00FC44C9">
        <w:rPr>
          <w:rFonts w:cs="Arial"/>
          <w:szCs w:val="20"/>
        </w:rPr>
        <w:t xml:space="preserve"> </w:t>
      </w:r>
      <w:r w:rsidR="00A967FF" w:rsidRPr="00FC44C9">
        <w:rPr>
          <w:rFonts w:cs="Arial"/>
          <w:szCs w:val="20"/>
        </w:rPr>
        <w:t xml:space="preserve">пересмотру </w:t>
      </w:r>
      <w:r w:rsidRPr="00FC44C9">
        <w:rPr>
          <w:rFonts w:cs="Arial"/>
          <w:szCs w:val="20"/>
        </w:rPr>
        <w:t xml:space="preserve">настоящей Методики </w:t>
      </w:r>
      <w:r w:rsidRPr="006C7572">
        <w:rPr>
          <w:rFonts w:cs="Arial"/>
          <w:szCs w:val="20"/>
        </w:rPr>
        <w:t>основано на совокупности административных принципов и правил, описанных в Политике Индекс-менеджмента Московской Биржи</w:t>
      </w:r>
      <w:r w:rsidR="00A967FF">
        <w:rPr>
          <w:rFonts w:cs="Arial"/>
          <w:szCs w:val="20"/>
        </w:rPr>
        <w:t>.</w:t>
      </w:r>
    </w:p>
    <w:p w14:paraId="706F388D" w14:textId="69C3EC41" w:rsidR="009157ED" w:rsidRPr="00C6787C" w:rsidRDefault="009157ED" w:rsidP="009157ED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Настоящая Методика, а также все изменения и дополнения к ней утверждаются Биржей и вступают в силу в дату, определяемую Биржей.</w:t>
      </w:r>
    </w:p>
    <w:p w14:paraId="75D97BD2" w14:textId="44562B87" w:rsidR="009157ED" w:rsidRDefault="009157ED" w:rsidP="009157ED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Текст утвержденной Биржей Методики (изменений и дополнений к ней) раскрывается </w:t>
      </w:r>
      <w:r w:rsidR="007E2D19">
        <w:rPr>
          <w:rFonts w:cs="Arial"/>
          <w:szCs w:val="20"/>
        </w:rPr>
        <w:t xml:space="preserve">на сайте </w:t>
      </w:r>
      <w:r w:rsidRPr="00C6787C">
        <w:rPr>
          <w:rFonts w:cs="Arial"/>
          <w:szCs w:val="20"/>
        </w:rPr>
        <w:t>Биржи в сети Интернет не позднее, чем за</w:t>
      </w:r>
      <w:r w:rsidR="00D974D2">
        <w:rPr>
          <w:rFonts w:cs="Arial"/>
          <w:szCs w:val="20"/>
        </w:rPr>
        <w:t xml:space="preserve"> три</w:t>
      </w:r>
      <w:r w:rsidRPr="00C6787C">
        <w:rPr>
          <w:rFonts w:cs="Arial"/>
          <w:szCs w:val="20"/>
        </w:rPr>
        <w:t xml:space="preserve"> рабочи</w:t>
      </w:r>
      <w:r w:rsidR="00D974D2">
        <w:rPr>
          <w:rFonts w:cs="Arial"/>
          <w:szCs w:val="20"/>
        </w:rPr>
        <w:t>х</w:t>
      </w:r>
      <w:r w:rsidRPr="00C6787C">
        <w:rPr>
          <w:rFonts w:cs="Arial"/>
          <w:szCs w:val="20"/>
        </w:rPr>
        <w:t xml:space="preserve"> дн</w:t>
      </w:r>
      <w:r w:rsidR="00D974D2">
        <w:rPr>
          <w:rFonts w:cs="Arial"/>
          <w:szCs w:val="20"/>
        </w:rPr>
        <w:t>я</w:t>
      </w:r>
      <w:r w:rsidRPr="00C6787C">
        <w:rPr>
          <w:rFonts w:cs="Arial"/>
          <w:szCs w:val="20"/>
        </w:rPr>
        <w:t xml:space="preserve"> до даты вступления ее в силу, если иное не предусмотрено решением Биржи.</w:t>
      </w:r>
    </w:p>
    <w:p w14:paraId="33701835" w14:textId="561E75BA" w:rsidR="00D42D47" w:rsidRPr="00697E3E" w:rsidRDefault="00AF57A4" w:rsidP="00720C52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7E2D19">
        <w:rPr>
          <w:rFonts w:cs="Arial"/>
          <w:szCs w:val="20"/>
        </w:rPr>
        <w:t>Биржа производит расчет И</w:t>
      </w:r>
      <w:r w:rsidR="00D42D47" w:rsidRPr="007E2D19">
        <w:rPr>
          <w:rFonts w:cs="Arial"/>
          <w:szCs w:val="20"/>
        </w:rPr>
        <w:t>ндикатор</w:t>
      </w:r>
      <w:r w:rsidR="004035F9">
        <w:rPr>
          <w:rFonts w:cs="Arial"/>
          <w:szCs w:val="20"/>
        </w:rPr>
        <w:t>а</w:t>
      </w:r>
      <w:r w:rsidR="00D42D47" w:rsidRPr="007E2D19">
        <w:rPr>
          <w:rFonts w:cs="Arial"/>
          <w:szCs w:val="20"/>
        </w:rPr>
        <w:t xml:space="preserve"> по инструмент</w:t>
      </w:r>
      <w:r w:rsidR="00583A62">
        <w:rPr>
          <w:rFonts w:cs="Arial"/>
          <w:szCs w:val="20"/>
        </w:rPr>
        <w:t>у</w:t>
      </w:r>
      <w:r w:rsidR="00D42D47" w:rsidRPr="007E2D19">
        <w:rPr>
          <w:rFonts w:cs="Arial"/>
          <w:szCs w:val="20"/>
        </w:rPr>
        <w:t xml:space="preserve"> </w:t>
      </w:r>
      <w:r w:rsidR="00720C52" w:rsidRPr="00720C52">
        <w:rPr>
          <w:rFonts w:cs="Arial"/>
          <w:szCs w:val="20"/>
        </w:rPr>
        <w:t>CNY_TODTOM</w:t>
      </w:r>
      <w:r w:rsidR="00583A62">
        <w:rPr>
          <w:rFonts w:cs="Arial"/>
          <w:szCs w:val="20"/>
        </w:rPr>
        <w:t xml:space="preserve"> </w:t>
      </w:r>
      <w:r w:rsidR="005A1DDA" w:rsidRPr="00697E3E">
        <w:rPr>
          <w:rFonts w:cs="Arial"/>
          <w:szCs w:val="20"/>
        </w:rPr>
        <w:t>(далее –</w:t>
      </w:r>
      <w:r w:rsidR="00D32F38" w:rsidRPr="00697E3E">
        <w:rPr>
          <w:rFonts w:cs="Arial"/>
          <w:szCs w:val="20"/>
        </w:rPr>
        <w:t xml:space="preserve"> </w:t>
      </w:r>
      <w:r w:rsidR="007E2D19" w:rsidRPr="00697E3E">
        <w:rPr>
          <w:rFonts w:cs="Arial"/>
          <w:szCs w:val="20"/>
        </w:rPr>
        <w:t>Инструмент</w:t>
      </w:r>
      <w:r w:rsidR="005A1DDA" w:rsidRPr="00697E3E">
        <w:rPr>
          <w:rFonts w:cs="Arial"/>
          <w:szCs w:val="20"/>
        </w:rPr>
        <w:t>).</w:t>
      </w:r>
    </w:p>
    <w:p w14:paraId="6E5D78E6" w14:textId="6CB0BCE5" w:rsidR="00AA0F99" w:rsidRPr="00C6787C" w:rsidRDefault="00222B4D" w:rsidP="0048609B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Биржа производит расчет</w:t>
      </w:r>
      <w:r w:rsidR="00A340E3">
        <w:rPr>
          <w:rFonts w:cs="Arial"/>
          <w:szCs w:val="20"/>
        </w:rPr>
        <w:t xml:space="preserve"> </w:t>
      </w:r>
      <w:r w:rsidR="00A70F6D">
        <w:rPr>
          <w:rFonts w:cs="Arial"/>
          <w:szCs w:val="20"/>
        </w:rPr>
        <w:t>И</w:t>
      </w:r>
      <w:r w:rsidR="00A340E3">
        <w:rPr>
          <w:rFonts w:cs="Arial"/>
          <w:szCs w:val="20"/>
        </w:rPr>
        <w:t>ндикатор</w:t>
      </w:r>
      <w:r w:rsidR="004035F9">
        <w:rPr>
          <w:rFonts w:cs="Arial"/>
          <w:szCs w:val="20"/>
        </w:rPr>
        <w:t>а</w:t>
      </w:r>
      <w:r>
        <w:rPr>
          <w:rFonts w:cs="Arial"/>
          <w:szCs w:val="20"/>
        </w:rPr>
        <w:t xml:space="preserve"> </w:t>
      </w:r>
      <w:r w:rsidR="00AA0F99" w:rsidRPr="00C6787C">
        <w:rPr>
          <w:rFonts w:cs="Arial"/>
          <w:szCs w:val="20"/>
        </w:rPr>
        <w:t xml:space="preserve">на основании </w:t>
      </w:r>
      <w:r w:rsidR="008F409E" w:rsidRPr="00C6787C">
        <w:rPr>
          <w:rFonts w:cs="Arial"/>
          <w:szCs w:val="20"/>
        </w:rPr>
        <w:t xml:space="preserve">следующей информации о </w:t>
      </w:r>
      <w:r w:rsidR="00AA0F99" w:rsidRPr="00C6787C">
        <w:rPr>
          <w:rFonts w:cs="Arial"/>
          <w:szCs w:val="20"/>
        </w:rPr>
        <w:t>торг</w:t>
      </w:r>
      <w:r w:rsidR="008F409E" w:rsidRPr="00C6787C">
        <w:rPr>
          <w:rFonts w:cs="Arial"/>
          <w:szCs w:val="20"/>
        </w:rPr>
        <w:t>ах</w:t>
      </w:r>
      <w:r w:rsidR="00AA0F99" w:rsidRPr="00C6787C">
        <w:rPr>
          <w:rFonts w:cs="Arial"/>
          <w:szCs w:val="20"/>
        </w:rPr>
        <w:t xml:space="preserve"> </w:t>
      </w:r>
      <w:r w:rsidR="007E2D19">
        <w:rPr>
          <w:rFonts w:cs="Arial"/>
          <w:szCs w:val="20"/>
        </w:rPr>
        <w:t>Инструмент</w:t>
      </w:r>
      <w:r w:rsidR="00583A62">
        <w:rPr>
          <w:rFonts w:cs="Arial"/>
          <w:szCs w:val="20"/>
        </w:rPr>
        <w:t>ом</w:t>
      </w:r>
      <w:r w:rsidR="007E2D19">
        <w:rPr>
          <w:rFonts w:cs="Arial"/>
          <w:szCs w:val="20"/>
        </w:rPr>
        <w:t xml:space="preserve"> </w:t>
      </w:r>
      <w:r w:rsidR="00C316BF">
        <w:rPr>
          <w:rFonts w:cs="Arial"/>
          <w:szCs w:val="20"/>
        </w:rPr>
        <w:t>на организованных торгах Биржи</w:t>
      </w:r>
      <w:r w:rsidR="008F409E" w:rsidRPr="00C6787C">
        <w:rPr>
          <w:rFonts w:cs="Arial"/>
          <w:szCs w:val="20"/>
        </w:rPr>
        <w:t>:</w:t>
      </w:r>
    </w:p>
    <w:p w14:paraId="12F412FB" w14:textId="77777777" w:rsidR="008F409E" w:rsidRPr="00C6787C" w:rsidRDefault="00361746" w:rsidP="008F409E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об </w:t>
      </w:r>
      <w:r w:rsidR="008F409E" w:rsidRPr="00C6787C">
        <w:rPr>
          <w:rFonts w:cs="Arial"/>
          <w:szCs w:val="20"/>
        </w:rPr>
        <w:t>адресованных всем участникам торгов заявках (далее - безадресные заявки);</w:t>
      </w:r>
    </w:p>
    <w:p w14:paraId="3888F1BD" w14:textId="77777777" w:rsidR="008F409E" w:rsidRPr="00C6787C" w:rsidRDefault="00361746" w:rsidP="008F409E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о </w:t>
      </w:r>
      <w:r w:rsidR="008F409E" w:rsidRPr="00C6787C">
        <w:rPr>
          <w:rFonts w:cs="Arial"/>
          <w:szCs w:val="20"/>
        </w:rPr>
        <w:t>сделках, соверш</w:t>
      </w:r>
      <w:r w:rsidR="00C316BF">
        <w:rPr>
          <w:rFonts w:cs="Arial"/>
          <w:szCs w:val="20"/>
        </w:rPr>
        <w:t>енных</w:t>
      </w:r>
      <w:r w:rsidR="008F409E" w:rsidRPr="00C6787C">
        <w:rPr>
          <w:rFonts w:cs="Arial"/>
          <w:szCs w:val="20"/>
        </w:rPr>
        <w:t xml:space="preserve"> на основании безадресных заявок.</w:t>
      </w:r>
    </w:p>
    <w:p w14:paraId="78AEAF3B" w14:textId="16CAFE7A" w:rsidR="00296AB2" w:rsidRDefault="0048609B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3" w:name="_Ref351627290"/>
      <w:r>
        <w:rPr>
          <w:rFonts w:cs="Arial"/>
          <w:szCs w:val="20"/>
        </w:rPr>
        <w:t xml:space="preserve">Индикатор </w:t>
      </w:r>
      <w:r w:rsidR="00296AB2">
        <w:rPr>
          <w:rFonts w:cs="Arial"/>
          <w:szCs w:val="20"/>
        </w:rPr>
        <w:t>рассчитыва</w:t>
      </w:r>
      <w:r w:rsidR="00583A62">
        <w:rPr>
          <w:rFonts w:cs="Arial"/>
          <w:szCs w:val="20"/>
        </w:rPr>
        <w:t>е</w:t>
      </w:r>
      <w:r w:rsidR="00296AB2">
        <w:rPr>
          <w:rFonts w:cs="Arial"/>
          <w:szCs w:val="20"/>
        </w:rPr>
        <w:t>тся на основании агрегированной информации о</w:t>
      </w:r>
      <w:r w:rsidR="00BE0DE6">
        <w:rPr>
          <w:rFonts w:cs="Arial"/>
          <w:szCs w:val="20"/>
        </w:rPr>
        <w:t xml:space="preserve"> </w:t>
      </w:r>
      <w:r w:rsidR="00BE0DE6" w:rsidRPr="00BE0DE6">
        <w:rPr>
          <w:rFonts w:cs="Arial"/>
          <w:szCs w:val="20"/>
        </w:rPr>
        <w:t xml:space="preserve">20 лучших </w:t>
      </w:r>
      <w:r w:rsidR="00296AB2">
        <w:rPr>
          <w:rFonts w:cs="Arial"/>
          <w:szCs w:val="20"/>
        </w:rPr>
        <w:t>ценах</w:t>
      </w:r>
      <w:r w:rsidR="00BE0DE6" w:rsidRPr="00BE0DE6">
        <w:t xml:space="preserve"> </w:t>
      </w:r>
      <w:r w:rsidR="004A74EB">
        <w:rPr>
          <w:rFonts w:cs="Arial"/>
          <w:szCs w:val="20"/>
        </w:rPr>
        <w:t xml:space="preserve">безадресных </w:t>
      </w:r>
      <w:r w:rsidR="00296AB2">
        <w:rPr>
          <w:rFonts w:cs="Arial"/>
          <w:szCs w:val="20"/>
        </w:rPr>
        <w:t xml:space="preserve">заявок на покупку и </w:t>
      </w:r>
      <w:r w:rsidR="00BE0DE6" w:rsidRPr="00BE0DE6">
        <w:rPr>
          <w:rFonts w:cs="Arial"/>
          <w:szCs w:val="20"/>
        </w:rPr>
        <w:t xml:space="preserve">20 лучших </w:t>
      </w:r>
      <w:r w:rsidR="00296AB2">
        <w:rPr>
          <w:rFonts w:cs="Arial"/>
          <w:szCs w:val="20"/>
        </w:rPr>
        <w:t xml:space="preserve">ценах </w:t>
      </w:r>
      <w:r w:rsidR="004A74EB">
        <w:rPr>
          <w:rFonts w:cs="Arial"/>
          <w:szCs w:val="20"/>
        </w:rPr>
        <w:t xml:space="preserve">безадресных </w:t>
      </w:r>
      <w:r w:rsidR="00296AB2">
        <w:rPr>
          <w:rFonts w:cs="Arial"/>
          <w:szCs w:val="20"/>
        </w:rPr>
        <w:t>заявок на продажу.</w:t>
      </w:r>
      <w:bookmarkEnd w:id="3"/>
    </w:p>
    <w:p w14:paraId="608566E3" w14:textId="6F50B8C7" w:rsidR="008F409E" w:rsidRDefault="0048609B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Индикатор</w:t>
      </w:r>
      <w:r w:rsidR="008F409E" w:rsidRPr="00C6787C">
        <w:rPr>
          <w:rFonts w:cs="Arial"/>
          <w:szCs w:val="20"/>
        </w:rPr>
        <w:t xml:space="preserve"> рассчитывается</w:t>
      </w:r>
      <w:r w:rsidR="00B37B9E" w:rsidRPr="005A1DDA">
        <w:rPr>
          <w:rFonts w:cs="Arial"/>
          <w:szCs w:val="20"/>
        </w:rPr>
        <w:t xml:space="preserve"> </w:t>
      </w:r>
      <w:r w:rsidR="00B37B9E">
        <w:rPr>
          <w:rFonts w:cs="Arial"/>
          <w:szCs w:val="20"/>
        </w:rPr>
        <w:t>ежедневно</w:t>
      </w:r>
      <w:r w:rsidR="008F409E" w:rsidRPr="00C6787C">
        <w:rPr>
          <w:rFonts w:cs="Arial"/>
          <w:szCs w:val="20"/>
        </w:rPr>
        <w:t xml:space="preserve"> </w:t>
      </w:r>
      <w:r w:rsidR="00B37B9E">
        <w:rPr>
          <w:rFonts w:cs="Arial"/>
          <w:szCs w:val="20"/>
        </w:rPr>
        <w:t>по состоянию на 12</w:t>
      </w:r>
      <w:r w:rsidR="00B37B9E" w:rsidRPr="005A1DDA">
        <w:rPr>
          <w:rFonts w:cs="Arial"/>
          <w:szCs w:val="20"/>
        </w:rPr>
        <w:t>:30:00</w:t>
      </w:r>
      <w:r w:rsidR="003A4DB3" w:rsidRPr="00C6787C">
        <w:rPr>
          <w:rFonts w:cs="Arial"/>
          <w:szCs w:val="20"/>
        </w:rPr>
        <w:t xml:space="preserve"> </w:t>
      </w:r>
      <w:r w:rsidR="00C316BF">
        <w:rPr>
          <w:rFonts w:cs="Arial"/>
          <w:szCs w:val="20"/>
        </w:rPr>
        <w:t>МСК</w:t>
      </w:r>
      <w:r w:rsidR="008F409E" w:rsidRPr="00C6787C">
        <w:rPr>
          <w:rFonts w:cs="Arial"/>
          <w:szCs w:val="20"/>
        </w:rPr>
        <w:t>.</w:t>
      </w:r>
    </w:p>
    <w:p w14:paraId="78C9076D" w14:textId="06CD9A77" w:rsidR="00B37B9E" w:rsidRPr="00C6787C" w:rsidRDefault="00B37B9E" w:rsidP="00B37B9E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4" w:name="_Ref358906693"/>
      <w:r w:rsidRPr="00C6787C">
        <w:rPr>
          <w:rFonts w:cs="Arial"/>
          <w:szCs w:val="20"/>
        </w:rPr>
        <w:t>Значени</w:t>
      </w:r>
      <w:r w:rsidR="00C316BF">
        <w:rPr>
          <w:rFonts w:cs="Arial"/>
          <w:szCs w:val="20"/>
        </w:rPr>
        <w:t>я</w:t>
      </w:r>
      <w:r w:rsidRPr="00C6787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Индикатор</w:t>
      </w:r>
      <w:r w:rsidR="00583A62">
        <w:rPr>
          <w:rFonts w:cs="Arial"/>
          <w:szCs w:val="20"/>
        </w:rPr>
        <w:t>а</w:t>
      </w:r>
      <w:r w:rsidRPr="00C6787C">
        <w:rPr>
          <w:rFonts w:cs="Arial"/>
          <w:szCs w:val="20"/>
        </w:rPr>
        <w:t xml:space="preserve"> </w:t>
      </w:r>
      <w:r w:rsidR="00C316BF" w:rsidRPr="00C6787C">
        <w:rPr>
          <w:rFonts w:cs="Arial"/>
          <w:szCs w:val="20"/>
        </w:rPr>
        <w:t>(</w:t>
      </w:r>
      <w:r w:rsidR="00C316BF" w:rsidRPr="00C6787C">
        <w:rPr>
          <w:rFonts w:cs="Arial"/>
          <w:szCs w:val="20"/>
          <w:lang w:val="en-US"/>
        </w:rPr>
        <w:t>P</w:t>
      </w:r>
      <w:r w:rsidR="00697E3E">
        <w:rPr>
          <w:rFonts w:cs="Arial"/>
          <w:szCs w:val="20"/>
          <w:vertAlign w:val="subscript"/>
          <w:lang w:val="en-US"/>
        </w:rPr>
        <w:t>n</w:t>
      </w:r>
      <w:r w:rsidR="00C316BF" w:rsidRPr="00C6787C">
        <w:rPr>
          <w:rFonts w:cs="Arial"/>
          <w:szCs w:val="20"/>
        </w:rPr>
        <w:t>)</w:t>
      </w:r>
      <w:r w:rsidR="00697E3E" w:rsidRPr="00261FC4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>определя</w:t>
      </w:r>
      <w:r w:rsidR="00C316BF">
        <w:rPr>
          <w:rFonts w:cs="Arial"/>
          <w:szCs w:val="20"/>
        </w:rPr>
        <w:t>ю</w:t>
      </w:r>
      <w:r w:rsidRPr="00C6787C">
        <w:rPr>
          <w:rFonts w:cs="Arial"/>
          <w:szCs w:val="20"/>
        </w:rPr>
        <w:t>тся на основании усредненных цен сделок и заявок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FIX</w:t>
      </w:r>
      <w:r w:rsidRPr="00C6787C">
        <w:rPr>
          <w:rFonts w:cs="Arial"/>
          <w:szCs w:val="20"/>
        </w:rPr>
        <w:t xml:space="preserve">), рассчитанных </w:t>
      </w:r>
      <w:proofErr w:type="spellStart"/>
      <w:r w:rsidRPr="00C6787C">
        <w:rPr>
          <w:rFonts w:cs="Arial"/>
          <w:szCs w:val="20"/>
        </w:rPr>
        <w:t>посекундно</w:t>
      </w:r>
      <w:proofErr w:type="spellEnd"/>
      <w:r w:rsidRPr="00C6787C">
        <w:rPr>
          <w:rFonts w:cs="Arial"/>
          <w:szCs w:val="20"/>
        </w:rPr>
        <w:t xml:space="preserve"> за период </w:t>
      </w:r>
      <w:r>
        <w:rPr>
          <w:rFonts w:cs="Arial"/>
          <w:szCs w:val="20"/>
        </w:rPr>
        <w:t>12</w:t>
      </w:r>
      <w:r w:rsidRPr="00C6787C">
        <w:rPr>
          <w:rFonts w:cs="Arial"/>
          <w:szCs w:val="20"/>
        </w:rPr>
        <w:t>:</w:t>
      </w:r>
      <w:r>
        <w:rPr>
          <w:rFonts w:cs="Arial"/>
          <w:szCs w:val="20"/>
        </w:rPr>
        <w:t>25</w:t>
      </w:r>
      <w:r w:rsidRPr="00C6787C">
        <w:rPr>
          <w:rFonts w:cs="Arial"/>
          <w:szCs w:val="20"/>
        </w:rPr>
        <w:t>:01 – 12:</w:t>
      </w:r>
      <w:r>
        <w:rPr>
          <w:rFonts w:cs="Arial"/>
          <w:szCs w:val="20"/>
        </w:rPr>
        <w:t>30</w:t>
      </w:r>
      <w:r w:rsidRPr="00C6787C">
        <w:rPr>
          <w:rFonts w:cs="Arial"/>
          <w:szCs w:val="20"/>
        </w:rPr>
        <w:t>:00 МСК включительно</w:t>
      </w:r>
      <w:r>
        <w:rPr>
          <w:rFonts w:cs="Arial"/>
          <w:szCs w:val="20"/>
        </w:rPr>
        <w:t>, если иное не установлено Биржей</w:t>
      </w:r>
      <w:r w:rsidRPr="00C6787C">
        <w:rPr>
          <w:rFonts w:cs="Arial"/>
          <w:szCs w:val="20"/>
        </w:rPr>
        <w:t>, по формуле:</w:t>
      </w:r>
      <w:bookmarkEnd w:id="4"/>
    </w:p>
    <w:p w14:paraId="532ECF31" w14:textId="77777777" w:rsidR="00B37B9E" w:rsidRPr="00C6787C" w:rsidRDefault="00C316BF" w:rsidP="00B37B9E">
      <w:pPr>
        <w:pStyle w:val="3"/>
        <w:spacing w:beforeLines="50" w:before="120" w:after="0"/>
        <w:ind w:left="360"/>
        <w:jc w:val="center"/>
        <w:rPr>
          <w:rFonts w:cs="Arial"/>
          <w:szCs w:val="20"/>
        </w:rPr>
      </w:pPr>
      <w:r w:rsidRPr="00C6787C">
        <w:rPr>
          <w:color w:val="FF0000"/>
          <w:position w:val="-28"/>
        </w:rPr>
        <w:object w:dxaOrig="1860" w:dyaOrig="680" w14:anchorId="6DD332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9pt;height:32.75pt" o:ole="">
            <v:imagedata r:id="rId7" o:title=""/>
          </v:shape>
          <o:OLEObject Type="Embed" ProgID="Equation.3" ShapeID="_x0000_i1025" DrawAspect="Content" ObjectID="_1791775517" r:id="rId8"/>
        </w:object>
      </w:r>
    </w:p>
    <w:p w14:paraId="45CF6889" w14:textId="77777777" w:rsidR="008F409E" w:rsidRPr="00C6787C" w:rsidRDefault="00065E3E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Значение</w:t>
      </w:r>
      <w:r w:rsidR="008F409E" w:rsidRPr="00C6787C">
        <w:rPr>
          <w:rFonts w:cs="Arial"/>
          <w:szCs w:val="20"/>
        </w:rPr>
        <w:t xml:space="preserve"> </w:t>
      </w:r>
      <w:r w:rsidR="00A70F6D" w:rsidRPr="00C6787C">
        <w:rPr>
          <w:rFonts w:cs="Arial"/>
          <w:szCs w:val="20"/>
        </w:rPr>
        <w:t>(</w:t>
      </w:r>
      <w:r w:rsidR="00A70F6D" w:rsidRPr="00C6787C">
        <w:rPr>
          <w:rFonts w:cs="Arial"/>
          <w:szCs w:val="20"/>
          <w:lang w:val="en-US"/>
        </w:rPr>
        <w:t>P</w:t>
      </w:r>
      <w:r w:rsidR="00A70F6D" w:rsidRPr="00C6787C">
        <w:rPr>
          <w:rFonts w:cs="Arial"/>
          <w:szCs w:val="20"/>
          <w:vertAlign w:val="subscript"/>
          <w:lang w:val="en-US"/>
        </w:rPr>
        <w:t>FIX</w:t>
      </w:r>
      <w:r w:rsidR="00A70F6D" w:rsidRPr="00C6787C">
        <w:rPr>
          <w:rFonts w:cs="Arial"/>
          <w:szCs w:val="20"/>
        </w:rPr>
        <w:t>)</w:t>
      </w:r>
      <w:r w:rsidR="00B37B9E">
        <w:rPr>
          <w:rFonts w:cs="Arial"/>
          <w:szCs w:val="20"/>
        </w:rPr>
        <w:t xml:space="preserve"> в каждый </w:t>
      </w:r>
      <w:r w:rsidR="00A70F6D">
        <w:rPr>
          <w:rFonts w:cs="Arial"/>
          <w:szCs w:val="20"/>
          <w:lang w:val="en-US"/>
        </w:rPr>
        <w:t>n</w:t>
      </w:r>
      <w:r w:rsidR="00B37B9E" w:rsidRPr="005A1DDA">
        <w:rPr>
          <w:rFonts w:cs="Arial"/>
          <w:szCs w:val="20"/>
        </w:rPr>
        <w:t>-</w:t>
      </w:r>
      <w:r w:rsidR="00B37B9E">
        <w:rPr>
          <w:rFonts w:cs="Arial"/>
          <w:szCs w:val="20"/>
        </w:rPr>
        <w:t xml:space="preserve">ый момент времени </w:t>
      </w:r>
      <w:r w:rsidRPr="00C6787C">
        <w:rPr>
          <w:rFonts w:cs="Arial"/>
          <w:szCs w:val="20"/>
        </w:rPr>
        <w:t>определяется</w:t>
      </w:r>
      <w:r w:rsidR="008F409E" w:rsidRPr="00C6787C">
        <w:rPr>
          <w:rFonts w:cs="Arial"/>
          <w:szCs w:val="20"/>
        </w:rPr>
        <w:t xml:space="preserve"> по следующему алгоритму:</w:t>
      </w:r>
    </w:p>
    <w:p w14:paraId="40EA3286" w14:textId="77777777" w:rsidR="008F409E" w:rsidRPr="00C6787C" w:rsidRDefault="00065E3E" w:rsidP="008F409E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5" w:name="_Ref333421231"/>
      <w:r w:rsidRPr="00C6787C">
        <w:rPr>
          <w:rFonts w:cs="Arial"/>
          <w:szCs w:val="20"/>
        </w:rPr>
        <w:t>Производится расчет усредненного значения цены безадресных заявок на покупку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BID</w:t>
      </w:r>
      <w:r w:rsidRPr="00C6787C">
        <w:rPr>
          <w:rFonts w:cs="Arial"/>
          <w:szCs w:val="20"/>
        </w:rPr>
        <w:t>)</w:t>
      </w:r>
      <w:r w:rsidR="000C46FD" w:rsidRPr="00C6787C">
        <w:rPr>
          <w:rFonts w:cs="Arial"/>
          <w:szCs w:val="20"/>
        </w:rPr>
        <w:t xml:space="preserve">, выставленных участниками торгов по состоянию на </w:t>
      </w:r>
      <w:r w:rsidR="000C46FD" w:rsidRPr="00C6787C">
        <w:rPr>
          <w:rFonts w:cs="Arial"/>
          <w:szCs w:val="20"/>
          <w:lang w:val="en-US"/>
        </w:rPr>
        <w:t>n</w:t>
      </w:r>
      <w:r w:rsidR="000C46FD" w:rsidRPr="00C6787C">
        <w:rPr>
          <w:rFonts w:cs="Arial"/>
          <w:szCs w:val="20"/>
        </w:rPr>
        <w:t>-й момент расчета</w:t>
      </w:r>
      <w:r w:rsidRPr="00C6787C">
        <w:rPr>
          <w:rFonts w:cs="Arial"/>
          <w:szCs w:val="20"/>
        </w:rPr>
        <w:t>:</w:t>
      </w:r>
      <w:bookmarkEnd w:id="5"/>
    </w:p>
    <w:p w14:paraId="73A127F3" w14:textId="77777777" w:rsidR="00065E3E" w:rsidRPr="00C6787C" w:rsidRDefault="00D90D7B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60"/>
        </w:rPr>
        <w:object w:dxaOrig="2020" w:dyaOrig="1320" w14:anchorId="5A51C375">
          <v:shape id="_x0000_i1026" type="#_x0000_t75" style="width:90.7pt;height:60.8pt" o:ole="">
            <v:imagedata r:id="rId9" o:title=""/>
          </v:shape>
          <o:OLEObject Type="Embed" ProgID="Equation.3" ShapeID="_x0000_i1026" DrawAspect="Content" ObjectID="_1791775518" r:id="rId10"/>
        </w:object>
      </w:r>
    </w:p>
    <w:p w14:paraId="08869D5A" w14:textId="77777777" w:rsidR="00065E3E" w:rsidRPr="00C6787C" w:rsidRDefault="00A32C04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Pi</w:t>
      </w:r>
      <w:r w:rsidRPr="00C6787C">
        <w:rPr>
          <w:rFonts w:cs="Arial"/>
          <w:szCs w:val="20"/>
        </w:rPr>
        <w:t xml:space="preserve"> – цена </w:t>
      </w:r>
      <w:r w:rsidRPr="00C6787C">
        <w:rPr>
          <w:rFonts w:cs="Arial"/>
          <w:szCs w:val="20"/>
          <w:lang w:val="en-US"/>
        </w:rPr>
        <w:t>i</w:t>
      </w:r>
      <w:r w:rsidRPr="00C6787C">
        <w:rPr>
          <w:rFonts w:cs="Arial"/>
          <w:szCs w:val="20"/>
        </w:rPr>
        <w:t>-й безадресной заявки на покупку;</w:t>
      </w:r>
    </w:p>
    <w:p w14:paraId="2F4F33C7" w14:textId="77777777" w:rsidR="00A32C04" w:rsidRPr="00C6787C" w:rsidRDefault="00A32C04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Qi</w:t>
      </w:r>
      <w:r w:rsidRPr="00C6787C">
        <w:rPr>
          <w:rFonts w:cs="Arial"/>
          <w:szCs w:val="20"/>
        </w:rPr>
        <w:t xml:space="preserve"> – объем </w:t>
      </w:r>
      <w:r w:rsidRPr="00C6787C">
        <w:rPr>
          <w:rFonts w:cs="Arial"/>
          <w:szCs w:val="20"/>
          <w:lang w:val="en-US"/>
        </w:rPr>
        <w:t>i</w:t>
      </w:r>
      <w:r w:rsidRPr="00C6787C">
        <w:rPr>
          <w:rFonts w:cs="Arial"/>
          <w:szCs w:val="20"/>
        </w:rPr>
        <w:t>-й безадресной заявки на покупку;</w:t>
      </w:r>
    </w:p>
    <w:p w14:paraId="0C8227F9" w14:textId="77777777" w:rsidR="00A23624" w:rsidRPr="00C6787C" w:rsidRDefault="00A23624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 – количество безадресных заявок на покупку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-й момент расчета </w:t>
      </w:r>
      <w:r w:rsidR="0048609B">
        <w:rPr>
          <w:rFonts w:cs="Arial"/>
          <w:szCs w:val="20"/>
        </w:rPr>
        <w:t>Индикатора</w:t>
      </w:r>
      <w:r w:rsidRPr="00C6787C">
        <w:rPr>
          <w:rFonts w:cs="Arial"/>
          <w:szCs w:val="20"/>
        </w:rPr>
        <w:t>;</w:t>
      </w:r>
    </w:p>
    <w:p w14:paraId="7844244A" w14:textId="77777777" w:rsidR="00065E3E" w:rsidRPr="00C6787C" w:rsidRDefault="00A23624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lastRenderedPageBreak/>
        <w:t>Wi</w:t>
      </w:r>
      <w:r w:rsidRPr="00C6787C">
        <w:rPr>
          <w:rFonts w:cs="Arial"/>
          <w:szCs w:val="20"/>
        </w:rPr>
        <w:t xml:space="preserve"> – весовой коэффициент, определяемый по следующей формуле:</w:t>
      </w:r>
    </w:p>
    <w:bookmarkStart w:id="6" w:name="OLE_LINK1"/>
    <w:p w14:paraId="69312ADC" w14:textId="77777777" w:rsidR="00065E3E" w:rsidRPr="00C6787C" w:rsidRDefault="008B008E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24"/>
        </w:rPr>
        <w:object w:dxaOrig="840" w:dyaOrig="620" w14:anchorId="0DC4549F">
          <v:shape id="_x0000_i1027" type="#_x0000_t75" style="width:35.55pt;height:26.2pt" o:ole="">
            <v:imagedata r:id="rId11" o:title=""/>
          </v:shape>
          <o:OLEObject Type="Embed" ProgID="Equation.3" ShapeID="_x0000_i1027" DrawAspect="Content" ObjectID="_1791775519" r:id="rId12"/>
        </w:object>
      </w:r>
      <w:bookmarkEnd w:id="6"/>
    </w:p>
    <w:p w14:paraId="1E461D0E" w14:textId="77777777" w:rsidR="00ED39D7" w:rsidRPr="00C6787C" w:rsidRDefault="00ED39D7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k=2, если иное значение параметра не установлено Биржей.</w:t>
      </w:r>
    </w:p>
    <w:p w14:paraId="02D5617B" w14:textId="77777777" w:rsidR="00ED39D7" w:rsidRPr="00C6787C" w:rsidRDefault="00AC65FD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i</w:t>
      </w:r>
      <w:r w:rsidRPr="00C6787C">
        <w:rPr>
          <w:rFonts w:cs="Arial"/>
          <w:szCs w:val="20"/>
        </w:rPr>
        <w:t xml:space="preserve"> – </w:t>
      </w:r>
      <w:r w:rsidR="00C95A46" w:rsidRPr="00C6787C">
        <w:rPr>
          <w:rFonts w:cs="Arial"/>
          <w:szCs w:val="20"/>
        </w:rPr>
        <w:t xml:space="preserve">условный </w:t>
      </w:r>
      <w:r w:rsidRPr="00C6787C">
        <w:rPr>
          <w:rFonts w:cs="Arial"/>
          <w:szCs w:val="20"/>
        </w:rPr>
        <w:t xml:space="preserve">номер </w:t>
      </w:r>
      <w:r w:rsidR="00ED39D7" w:rsidRPr="00C6787C">
        <w:rPr>
          <w:rFonts w:cs="Arial"/>
          <w:szCs w:val="20"/>
        </w:rPr>
        <w:t xml:space="preserve">группы </w:t>
      </w:r>
      <w:r w:rsidR="00C95A46" w:rsidRPr="00C6787C">
        <w:rPr>
          <w:rFonts w:cs="Arial"/>
          <w:szCs w:val="20"/>
        </w:rPr>
        <w:t>заяв</w:t>
      </w:r>
      <w:r w:rsidR="00ED39D7" w:rsidRPr="00C6787C">
        <w:rPr>
          <w:rFonts w:cs="Arial"/>
          <w:szCs w:val="20"/>
        </w:rPr>
        <w:t>ок</w:t>
      </w:r>
      <w:r w:rsidR="00EF68FF" w:rsidRPr="00C6787C">
        <w:rPr>
          <w:rFonts w:cs="Arial"/>
          <w:szCs w:val="20"/>
        </w:rPr>
        <w:t>, определяемый по следующей формуле путем округления результата до ближайшего меньшего целого числа</w:t>
      </w:r>
      <w:r w:rsidR="00ED39D7" w:rsidRPr="00C6787C">
        <w:rPr>
          <w:rFonts w:cs="Arial"/>
          <w:szCs w:val="20"/>
        </w:rPr>
        <w:t>:</w:t>
      </w:r>
    </w:p>
    <w:p w14:paraId="4F09526C" w14:textId="77777777" w:rsidR="00ED39D7" w:rsidRPr="00C6787C" w:rsidRDefault="008E642A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24"/>
        </w:rPr>
        <w:object w:dxaOrig="1680" w:dyaOrig="740" w14:anchorId="3FEF0791">
          <v:shape id="_x0000_i1028" type="#_x0000_t75" style="width:83.2pt;height:36.45pt" o:ole="">
            <v:imagedata r:id="rId13" o:title=""/>
          </v:shape>
          <o:OLEObject Type="Embed" ProgID="Equation.3" ShapeID="_x0000_i1028" DrawAspect="Content" ObjectID="_1791775520" r:id="rId14"/>
        </w:object>
      </w:r>
      <w:r w:rsidR="00EF68FF" w:rsidRPr="00C6787C">
        <w:t>,</w:t>
      </w:r>
    </w:p>
    <w:p w14:paraId="33ABCF8E" w14:textId="77777777" w:rsidR="00ED39D7" w:rsidRPr="00C6787C" w:rsidRDefault="00E36339" w:rsidP="00AC65FD">
      <w:pPr>
        <w:pStyle w:val="3"/>
        <w:spacing w:beforeLines="50" w:before="120" w:after="0"/>
        <w:ind w:left="720"/>
        <w:jc w:val="both"/>
      </w:pPr>
      <w:r w:rsidRPr="00C6787C">
        <w:rPr>
          <w:position w:val="-10"/>
        </w:rPr>
        <w:object w:dxaOrig="600" w:dyaOrig="360" w14:anchorId="50021B2B">
          <v:shape id="_x0000_i1029" type="#_x0000_t75" style="width:26.2pt;height:15.9pt" o:ole="">
            <v:imagedata r:id="rId15" o:title=""/>
          </v:shape>
          <o:OLEObject Type="Embed" ProgID="Equation.3" ShapeID="_x0000_i1029" DrawAspect="Content" ObjectID="_1791775521" r:id="rId16"/>
        </w:object>
      </w:r>
      <w:r w:rsidR="00EF68FF" w:rsidRPr="00C6787C">
        <w:t xml:space="preserve"> - лучшая котировка на </w:t>
      </w:r>
      <w:r w:rsidR="0028619B" w:rsidRPr="00C6787C">
        <w:t>покупку</w:t>
      </w:r>
      <w:r w:rsidR="00EF68FF" w:rsidRPr="00C6787C">
        <w:t>,</w:t>
      </w:r>
    </w:p>
    <w:p w14:paraId="61464EA7" w14:textId="1D788081" w:rsidR="00EF68FF" w:rsidRPr="00C6787C" w:rsidRDefault="00EF68FF" w:rsidP="00AC65FD">
      <w:pPr>
        <w:pStyle w:val="3"/>
        <w:spacing w:beforeLines="50" w:before="120" w:after="0"/>
        <w:ind w:left="720"/>
        <w:jc w:val="both"/>
      </w:pPr>
      <w:r w:rsidRPr="00C6787C">
        <w:rPr>
          <w:lang w:val="en-US"/>
        </w:rPr>
        <w:t>m</w:t>
      </w:r>
      <w:r w:rsidRPr="00C6787C">
        <w:t xml:space="preserve"> – шаг цены, </w:t>
      </w:r>
      <w:r w:rsidR="00676655" w:rsidRPr="00676655">
        <w:t xml:space="preserve">установленный Биржей для </w:t>
      </w:r>
      <w:r w:rsidR="00676655">
        <w:t>И</w:t>
      </w:r>
      <w:r w:rsidR="00676655" w:rsidRPr="00676655">
        <w:t>нструмента</w:t>
      </w:r>
      <w:r w:rsidR="008C7DF0">
        <w:t>.</w:t>
      </w:r>
      <w:r w:rsidR="00676655" w:rsidRPr="00676655">
        <w:t xml:space="preserve"> </w:t>
      </w:r>
    </w:p>
    <w:p w14:paraId="158675E1" w14:textId="77777777" w:rsidR="00564E7E" w:rsidRPr="00C6787C" w:rsidRDefault="00564E7E" w:rsidP="00564E7E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7" w:name="_Ref359322881"/>
      <w:r w:rsidRPr="00C6787C">
        <w:rPr>
          <w:rFonts w:cs="Arial"/>
          <w:szCs w:val="20"/>
        </w:rPr>
        <w:t>Производится расчет усредненного значения цены безадресных заявок на продажу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ASK</w:t>
      </w:r>
      <w:r w:rsidRPr="00C6787C">
        <w:rPr>
          <w:rFonts w:cs="Arial"/>
          <w:szCs w:val="20"/>
        </w:rPr>
        <w:t xml:space="preserve">), выставленных участниками торгов по состоянию на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 расчета:</w:t>
      </w:r>
      <w:bookmarkEnd w:id="7"/>
    </w:p>
    <w:p w14:paraId="6264EA1D" w14:textId="77777777" w:rsidR="00564E7E" w:rsidRPr="00C6787C" w:rsidRDefault="00D90D7B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60"/>
        </w:rPr>
        <w:object w:dxaOrig="2020" w:dyaOrig="1320" w14:anchorId="7BD9241F">
          <v:shape id="_x0000_i1030" type="#_x0000_t75" style="width:90.7pt;height:60.8pt" o:ole="">
            <v:imagedata r:id="rId17" o:title=""/>
          </v:shape>
          <o:OLEObject Type="Embed" ProgID="Equation.3" ShapeID="_x0000_i1030" DrawAspect="Content" ObjectID="_1791775522" r:id="rId18"/>
        </w:object>
      </w:r>
    </w:p>
    <w:p w14:paraId="54764F46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Pi</w:t>
      </w:r>
      <w:r w:rsidRPr="00C6787C">
        <w:rPr>
          <w:rFonts w:cs="Arial"/>
          <w:szCs w:val="20"/>
        </w:rPr>
        <w:t xml:space="preserve"> – цена </w:t>
      </w:r>
      <w:r w:rsidRPr="00C6787C">
        <w:rPr>
          <w:rFonts w:cs="Arial"/>
          <w:szCs w:val="20"/>
          <w:lang w:val="en-US"/>
        </w:rPr>
        <w:t>i</w:t>
      </w:r>
      <w:r w:rsidRPr="00C6787C">
        <w:rPr>
          <w:rFonts w:cs="Arial"/>
          <w:szCs w:val="20"/>
        </w:rPr>
        <w:t>-й безадресной заявки на продажу;</w:t>
      </w:r>
    </w:p>
    <w:p w14:paraId="59CC0A1E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Qi</w:t>
      </w:r>
      <w:r w:rsidRPr="00C6787C">
        <w:rPr>
          <w:rFonts w:cs="Arial"/>
          <w:szCs w:val="20"/>
        </w:rPr>
        <w:t xml:space="preserve"> – объем </w:t>
      </w:r>
      <w:r w:rsidRPr="00C6787C">
        <w:rPr>
          <w:rFonts w:cs="Arial"/>
          <w:szCs w:val="20"/>
          <w:lang w:val="en-US"/>
        </w:rPr>
        <w:t>i</w:t>
      </w:r>
      <w:r w:rsidRPr="00C6787C">
        <w:rPr>
          <w:rFonts w:cs="Arial"/>
          <w:szCs w:val="20"/>
        </w:rPr>
        <w:t>-й безадресной заявки на продажу;</w:t>
      </w:r>
    </w:p>
    <w:p w14:paraId="03AD0B00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 – количество безадресных заявок на продажу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 расчета</w:t>
      </w:r>
      <w:r w:rsidR="0048609B">
        <w:rPr>
          <w:rFonts w:cs="Arial"/>
          <w:szCs w:val="20"/>
        </w:rPr>
        <w:t xml:space="preserve"> Индикатора</w:t>
      </w:r>
      <w:r w:rsidRPr="00C6787C">
        <w:rPr>
          <w:rFonts w:cs="Arial"/>
          <w:szCs w:val="20"/>
        </w:rPr>
        <w:t>;</w:t>
      </w:r>
    </w:p>
    <w:p w14:paraId="208BBA45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Wi</w:t>
      </w:r>
      <w:r w:rsidRPr="00C6787C">
        <w:rPr>
          <w:rFonts w:cs="Arial"/>
          <w:szCs w:val="20"/>
        </w:rPr>
        <w:t xml:space="preserve"> – весовой коэффициент, определяемый по следующей формуле:</w:t>
      </w:r>
    </w:p>
    <w:p w14:paraId="2B75B68B" w14:textId="77777777" w:rsidR="00564E7E" w:rsidRPr="00C6787C" w:rsidRDefault="008B008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24"/>
        </w:rPr>
        <w:object w:dxaOrig="840" w:dyaOrig="620" w14:anchorId="544BC1DB">
          <v:shape id="_x0000_i1031" type="#_x0000_t75" style="width:35.55pt;height:26.2pt" o:ole="">
            <v:imagedata r:id="rId11" o:title=""/>
          </v:shape>
          <o:OLEObject Type="Embed" ProgID="Equation.3" ShapeID="_x0000_i1031" DrawAspect="Content" ObjectID="_1791775523" r:id="rId19"/>
        </w:object>
      </w:r>
    </w:p>
    <w:p w14:paraId="73DBB25C" w14:textId="0895EBF8" w:rsidR="00FC2DF7" w:rsidRDefault="00676655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676655">
        <w:rPr>
          <w:rFonts w:cs="Arial"/>
          <w:szCs w:val="20"/>
        </w:rPr>
        <w:t>k=2, если иное значение параметра не установлено Биржей.</w:t>
      </w:r>
    </w:p>
    <w:p w14:paraId="45E59D12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i</w:t>
      </w:r>
      <w:r w:rsidRPr="00C6787C">
        <w:rPr>
          <w:rFonts w:cs="Arial"/>
          <w:szCs w:val="20"/>
        </w:rPr>
        <w:t xml:space="preserve"> – условный номер группы заявок, определяемый по следующей формуле путем округления результата до ближайшего меньшего целого числа:</w:t>
      </w:r>
    </w:p>
    <w:p w14:paraId="14C798AE" w14:textId="77777777" w:rsidR="00564E7E" w:rsidRPr="00C6787C" w:rsidRDefault="00D90D7B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24"/>
        </w:rPr>
        <w:object w:dxaOrig="1700" w:dyaOrig="720" w14:anchorId="7958CD7D">
          <v:shape id="_x0000_i1032" type="#_x0000_t75" style="width:82.3pt;height:35.55pt" o:ole="">
            <v:imagedata r:id="rId20" o:title=""/>
          </v:shape>
          <o:OLEObject Type="Embed" ProgID="Equation.3" ShapeID="_x0000_i1032" DrawAspect="Content" ObjectID="_1791775524" r:id="rId21"/>
        </w:object>
      </w:r>
      <w:r w:rsidR="00564E7E" w:rsidRPr="00C6787C">
        <w:t>,</w:t>
      </w:r>
    </w:p>
    <w:p w14:paraId="4838F638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</w:pPr>
      <w:r w:rsidRPr="00C6787C">
        <w:rPr>
          <w:position w:val="-12"/>
        </w:rPr>
        <w:object w:dxaOrig="600" w:dyaOrig="380" w14:anchorId="5ED039EE">
          <v:shape id="_x0000_i1033" type="#_x0000_t75" style="width:29.9pt;height:18.7pt" o:ole="">
            <v:imagedata r:id="rId22" o:title=""/>
          </v:shape>
          <o:OLEObject Type="Embed" ProgID="Equation.3" ShapeID="_x0000_i1033" DrawAspect="Content" ObjectID="_1791775525" r:id="rId23"/>
        </w:object>
      </w:r>
      <w:r w:rsidRPr="00C6787C">
        <w:t xml:space="preserve"> - лучшая котировка на продажу,</w:t>
      </w:r>
    </w:p>
    <w:p w14:paraId="4C4AA639" w14:textId="410CA50F" w:rsidR="00564E7E" w:rsidRPr="00C6787C" w:rsidRDefault="00564E7E" w:rsidP="007A09A7">
      <w:pPr>
        <w:pStyle w:val="3"/>
        <w:spacing w:beforeLines="50" w:before="120" w:after="0"/>
        <w:ind w:left="708"/>
        <w:jc w:val="both"/>
        <w:rPr>
          <w:rFonts w:cs="Arial"/>
          <w:szCs w:val="20"/>
        </w:rPr>
      </w:pPr>
      <w:r w:rsidRPr="00C6787C">
        <w:rPr>
          <w:lang w:val="en-US"/>
        </w:rPr>
        <w:t>m</w:t>
      </w:r>
      <w:r w:rsidRPr="00C6787C">
        <w:t xml:space="preserve"> – шаг цены,</w:t>
      </w:r>
      <w:r w:rsidR="00676655">
        <w:t xml:space="preserve"> </w:t>
      </w:r>
      <w:r w:rsidR="00676655" w:rsidRPr="00676655">
        <w:t>установленный Биржей для Инструмента, используемого для расчета значения соответствующего</w:t>
      </w:r>
      <w:r w:rsidR="008C7DF0">
        <w:t xml:space="preserve"> Индикатора</w:t>
      </w:r>
      <w:r w:rsidR="00676655" w:rsidRPr="00676655">
        <w:t>.</w:t>
      </w:r>
    </w:p>
    <w:p w14:paraId="7CA44E1F" w14:textId="77777777" w:rsidR="004626D4" w:rsidRPr="00C6787C" w:rsidRDefault="004626D4" w:rsidP="004626D4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Рассчитывается среднее значение цен безадресных заявок на покупку и продажу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>):</w:t>
      </w:r>
    </w:p>
    <w:p w14:paraId="4655FBB0" w14:textId="77777777" w:rsidR="00A23624" w:rsidRPr="00C6787C" w:rsidRDefault="00D90D7B" w:rsidP="00065E3E">
      <w:pPr>
        <w:pStyle w:val="3"/>
        <w:spacing w:beforeLines="50" w:before="120" w:after="0"/>
        <w:ind w:left="360"/>
        <w:jc w:val="both"/>
        <w:rPr>
          <w:rFonts w:cs="Arial"/>
          <w:szCs w:val="20"/>
          <w:lang w:val="en-US"/>
        </w:rPr>
      </w:pPr>
      <w:r w:rsidRPr="00C6787C">
        <w:rPr>
          <w:position w:val="-24"/>
        </w:rPr>
        <w:object w:dxaOrig="1860" w:dyaOrig="639" w14:anchorId="754B53AC">
          <v:shape id="_x0000_i1034" type="#_x0000_t75" style="width:82.3pt;height:28.05pt" o:ole="">
            <v:imagedata r:id="rId24" o:title=""/>
          </v:shape>
          <o:OLEObject Type="Embed" ProgID="Equation.3" ShapeID="_x0000_i1034" DrawAspect="Content" ObjectID="_1791775526" r:id="rId25"/>
        </w:object>
      </w:r>
      <w:r w:rsidR="000C46FD" w:rsidRPr="00C6787C">
        <w:rPr>
          <w:lang w:val="en-US"/>
        </w:rPr>
        <w:t>.</w:t>
      </w:r>
    </w:p>
    <w:p w14:paraId="6BA575A9" w14:textId="77777777" w:rsidR="00F22449" w:rsidRPr="00C6787C" w:rsidRDefault="00F22449" w:rsidP="000C46F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Если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-й момент расчета заявки на покупку и/или продажу отсутствуют, значение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 xml:space="preserve"> принимается равным значению</w:t>
      </w:r>
      <w:r w:rsidR="008445AC" w:rsidRPr="00C6787C">
        <w:rPr>
          <w:rFonts w:cs="Arial"/>
          <w:szCs w:val="20"/>
        </w:rPr>
        <w:t xml:space="preserve"> данной величины в </w:t>
      </w:r>
      <w:r w:rsidR="008445AC" w:rsidRPr="00C6787C">
        <w:rPr>
          <w:rFonts w:cs="Arial"/>
          <w:szCs w:val="20"/>
          <w:lang w:val="en-US"/>
        </w:rPr>
        <w:t>n</w:t>
      </w:r>
      <w:r w:rsidR="008445AC" w:rsidRPr="00C6787C">
        <w:rPr>
          <w:rFonts w:cs="Arial"/>
          <w:szCs w:val="20"/>
        </w:rPr>
        <w:t>-1-й момент расчета</w:t>
      </w:r>
      <w:r w:rsidRPr="00C6787C">
        <w:rPr>
          <w:rFonts w:cs="Arial"/>
          <w:szCs w:val="20"/>
        </w:rPr>
        <w:t>.</w:t>
      </w:r>
    </w:p>
    <w:p w14:paraId="459FD5B9" w14:textId="51CCBA7B" w:rsidR="000C46FD" w:rsidRPr="00C6787C" w:rsidRDefault="000C46FD" w:rsidP="000C46F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Рассчитывается среднее значение цен </w:t>
      </w:r>
      <w:bookmarkStart w:id="8" w:name="OLE_LINK4"/>
      <w:bookmarkStart w:id="9" w:name="OLE_LINK5"/>
      <w:r w:rsidR="003F4F2C" w:rsidRPr="00C6787C">
        <w:rPr>
          <w:rFonts w:cs="Arial"/>
          <w:szCs w:val="20"/>
        </w:rPr>
        <w:t>сделок</w:t>
      </w:r>
      <w:r w:rsidR="007C6F40" w:rsidRPr="00C6787C">
        <w:rPr>
          <w:rFonts w:cs="Arial"/>
          <w:szCs w:val="20"/>
        </w:rPr>
        <w:t xml:space="preserve"> (</w:t>
      </w:r>
      <w:r w:rsidR="007C6F40" w:rsidRPr="00C6787C">
        <w:rPr>
          <w:rFonts w:cs="Arial"/>
          <w:szCs w:val="20"/>
          <w:lang w:val="en-US"/>
        </w:rPr>
        <w:t>P</w:t>
      </w:r>
      <w:r w:rsidR="007C6F40" w:rsidRPr="00C6787C">
        <w:rPr>
          <w:rFonts w:cs="Arial"/>
          <w:szCs w:val="20"/>
          <w:vertAlign w:val="subscript"/>
          <w:lang w:val="en-US"/>
        </w:rPr>
        <w:t>DEAL</w:t>
      </w:r>
      <w:r w:rsidR="007C6F40" w:rsidRPr="00C6787C">
        <w:rPr>
          <w:rFonts w:cs="Arial"/>
          <w:szCs w:val="20"/>
        </w:rPr>
        <w:t>)</w:t>
      </w:r>
      <w:r w:rsidR="003F4F2C" w:rsidRPr="00C6787C">
        <w:rPr>
          <w:rFonts w:cs="Arial"/>
          <w:szCs w:val="20"/>
        </w:rPr>
        <w:t>, заключенных за период</w:t>
      </w:r>
      <w:r w:rsidR="0028619B" w:rsidRPr="00C6787C">
        <w:rPr>
          <w:rFonts w:cs="Arial"/>
          <w:szCs w:val="20"/>
        </w:rPr>
        <w:t xml:space="preserve"> </w:t>
      </w:r>
      <w:r w:rsidR="0028619B" w:rsidRPr="00C6787C">
        <w:rPr>
          <w:rFonts w:cs="Arial"/>
          <w:szCs w:val="20"/>
          <w:lang w:val="en-US"/>
        </w:rPr>
        <w:t>t</w:t>
      </w:r>
      <w:r w:rsidR="0028619B" w:rsidRPr="00C6787C">
        <w:rPr>
          <w:rFonts w:cs="Arial"/>
          <w:szCs w:val="20"/>
        </w:rPr>
        <w:t>, где</w:t>
      </w:r>
      <w:r w:rsidR="003F4F2C" w:rsidRPr="00C6787C">
        <w:rPr>
          <w:rFonts w:cs="Arial"/>
          <w:szCs w:val="20"/>
        </w:rPr>
        <w:t xml:space="preserve"> </w:t>
      </w:r>
      <w:r w:rsidR="001F110E" w:rsidRPr="00C6787C">
        <w:rPr>
          <w:position w:val="-6"/>
        </w:rPr>
        <w:object w:dxaOrig="1200" w:dyaOrig="279" w14:anchorId="65D5E31F">
          <v:shape id="_x0000_i1035" type="#_x0000_t75" style="width:50.5pt;height:11.2pt" o:ole="">
            <v:imagedata r:id="rId26" o:title=""/>
          </v:shape>
          <o:OLEObject Type="Embed" ProgID="Equation.3" ShapeID="_x0000_i1035" DrawAspect="Content" ObjectID="_1791775527" r:id="rId27"/>
        </w:object>
      </w:r>
      <w:bookmarkEnd w:id="8"/>
      <w:bookmarkEnd w:id="9"/>
      <w:r w:rsidR="003F4F2C" w:rsidRPr="00C6787C">
        <w:t xml:space="preserve"> (</w:t>
      </w:r>
      <w:r w:rsidR="003F4F2C" w:rsidRPr="00C6787C">
        <w:rPr>
          <w:lang w:val="en-US"/>
        </w:rPr>
        <w:t>n</w:t>
      </w:r>
      <w:r w:rsidR="003F4F2C" w:rsidRPr="00C6787C">
        <w:t xml:space="preserve"> – момент расчета текущего значения </w:t>
      </w:r>
      <w:r w:rsidR="00A70F6D">
        <w:t>Индикатор</w:t>
      </w:r>
      <w:r w:rsidR="00583A62">
        <w:t>а</w:t>
      </w:r>
      <w:r w:rsidR="003F4F2C" w:rsidRPr="00C6787C">
        <w:t xml:space="preserve">, </w:t>
      </w:r>
      <w:r w:rsidR="003F4F2C" w:rsidRPr="00C6787C">
        <w:rPr>
          <w:lang w:val="en-US"/>
        </w:rPr>
        <w:t>n</w:t>
      </w:r>
      <w:r w:rsidR="003F4F2C" w:rsidRPr="00C6787C">
        <w:t xml:space="preserve">-1 – момент расчета предыдущего значения </w:t>
      </w:r>
      <w:r w:rsidR="00A70F6D">
        <w:t>Индикатор</w:t>
      </w:r>
      <w:r w:rsidR="00583A62">
        <w:t>а</w:t>
      </w:r>
      <w:r w:rsidR="003F4F2C" w:rsidRPr="00C6787C">
        <w:t>):</w:t>
      </w:r>
    </w:p>
    <w:p w14:paraId="1FD6E177" w14:textId="77777777" w:rsidR="004541BA" w:rsidRPr="00C6787C" w:rsidRDefault="00D90D7B" w:rsidP="00065E3E">
      <w:pPr>
        <w:pStyle w:val="3"/>
        <w:spacing w:beforeLines="50" w:before="120" w:after="0"/>
        <w:ind w:left="360"/>
        <w:jc w:val="both"/>
        <w:rPr>
          <w:rFonts w:cs="Arial"/>
          <w:szCs w:val="20"/>
        </w:rPr>
      </w:pPr>
      <w:r w:rsidRPr="00C6787C">
        <w:rPr>
          <w:position w:val="-64"/>
        </w:rPr>
        <w:object w:dxaOrig="1820" w:dyaOrig="1400" w14:anchorId="5976FCFE">
          <v:shape id="_x0000_i1036" type="#_x0000_t75" style="width:82.3pt;height:61.7pt" o:ole="">
            <v:imagedata r:id="rId28" o:title=""/>
          </v:shape>
          <o:OLEObject Type="Embed" ProgID="Equation.3" ShapeID="_x0000_i1036" DrawAspect="Content" ObjectID="_1791775528" r:id="rId29"/>
        </w:object>
      </w:r>
      <w:r w:rsidR="00560668" w:rsidRPr="00C6787C">
        <w:t>,</w:t>
      </w:r>
    </w:p>
    <w:p w14:paraId="1194621B" w14:textId="77777777" w:rsidR="00361746" w:rsidRPr="00C6787C" w:rsidRDefault="00361746" w:rsidP="00361746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lastRenderedPageBreak/>
        <w:t>Pj</w:t>
      </w:r>
      <w:r w:rsidRPr="00C6787C">
        <w:rPr>
          <w:rFonts w:cs="Arial"/>
          <w:szCs w:val="20"/>
        </w:rPr>
        <w:t xml:space="preserve"> – цена </w:t>
      </w:r>
      <w:r w:rsidRPr="00C6787C">
        <w:rPr>
          <w:rFonts w:cs="Arial"/>
          <w:szCs w:val="20"/>
          <w:lang w:val="en-US"/>
        </w:rPr>
        <w:t>j</w:t>
      </w:r>
      <w:r w:rsidRPr="00C6787C">
        <w:rPr>
          <w:rFonts w:cs="Arial"/>
          <w:szCs w:val="20"/>
        </w:rPr>
        <w:t>-й сделки;</w:t>
      </w:r>
    </w:p>
    <w:p w14:paraId="0484716A" w14:textId="77777777" w:rsidR="00361746" w:rsidRPr="00C6787C" w:rsidRDefault="00361746" w:rsidP="00361746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Qj</w:t>
      </w:r>
      <w:r w:rsidRPr="00C6787C">
        <w:rPr>
          <w:rFonts w:cs="Arial"/>
          <w:szCs w:val="20"/>
        </w:rPr>
        <w:t xml:space="preserve"> – объем </w:t>
      </w:r>
      <w:r w:rsidRPr="00C6787C">
        <w:rPr>
          <w:rFonts w:cs="Arial"/>
          <w:szCs w:val="20"/>
          <w:lang w:val="en-US"/>
        </w:rPr>
        <w:t>j</w:t>
      </w:r>
      <w:r w:rsidRPr="00C6787C">
        <w:rPr>
          <w:rFonts w:cs="Arial"/>
          <w:szCs w:val="20"/>
        </w:rPr>
        <w:t>-й сделки;</w:t>
      </w:r>
    </w:p>
    <w:p w14:paraId="67FFAD8C" w14:textId="77777777" w:rsidR="00361746" w:rsidRPr="00C6787C" w:rsidRDefault="00361746" w:rsidP="00361746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M</w:t>
      </w:r>
      <w:r w:rsidRPr="00C6787C">
        <w:rPr>
          <w:rFonts w:cs="Arial"/>
          <w:szCs w:val="20"/>
        </w:rPr>
        <w:t xml:space="preserve"> – количество сделок, заключенных за период </w:t>
      </w:r>
      <w:r w:rsidR="001F110E" w:rsidRPr="00C6787C">
        <w:rPr>
          <w:position w:val="-6"/>
        </w:rPr>
        <w:object w:dxaOrig="1200" w:dyaOrig="279" w14:anchorId="44D48938">
          <v:shape id="_x0000_i1037" type="#_x0000_t75" style="width:51.45pt;height:11.2pt" o:ole="">
            <v:imagedata r:id="rId26" o:title=""/>
          </v:shape>
          <o:OLEObject Type="Embed" ProgID="Equation.3" ShapeID="_x0000_i1037" DrawAspect="Content" ObjectID="_1791775529" r:id="rId30"/>
        </w:object>
      </w:r>
      <w:r w:rsidR="003220E0" w:rsidRPr="00C6787C">
        <w:rPr>
          <w:rFonts w:cs="Arial"/>
          <w:szCs w:val="20"/>
        </w:rPr>
        <w:t>.</w:t>
      </w:r>
    </w:p>
    <w:p w14:paraId="56B1BCFC" w14:textId="107DD3D2" w:rsidR="003A4DB3" w:rsidRPr="004A74EB" w:rsidRDefault="007C6F40" w:rsidP="004A74EB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4A74EB">
        <w:rPr>
          <w:rFonts w:cs="Arial"/>
          <w:szCs w:val="20"/>
        </w:rPr>
        <w:t>Рассчитывается усредненное значение цен сделок</w:t>
      </w:r>
      <w:r w:rsidR="004A74EB" w:rsidRPr="004A74EB">
        <w:rPr>
          <w:rFonts w:cs="Arial"/>
          <w:szCs w:val="20"/>
        </w:rPr>
        <w:t xml:space="preserve"> </w:t>
      </w:r>
      <w:r w:rsidR="004A74EB" w:rsidRPr="00C6787C">
        <w:t>(</w:t>
      </w:r>
      <w:r w:rsidR="004A74EB" w:rsidRPr="004A74EB">
        <w:rPr>
          <w:rFonts w:cs="Arial"/>
          <w:szCs w:val="20"/>
          <w:lang w:val="en-US"/>
        </w:rPr>
        <w:t>P</w:t>
      </w:r>
      <w:r w:rsidR="004A74EB" w:rsidRPr="004A74EB">
        <w:rPr>
          <w:rFonts w:cs="Arial"/>
          <w:szCs w:val="20"/>
          <w:vertAlign w:val="subscript"/>
          <w:lang w:val="en-US"/>
        </w:rPr>
        <w:t>FIX</w:t>
      </w:r>
      <w:proofErr w:type="gramStart"/>
      <w:r w:rsidR="004A74EB" w:rsidRPr="00C6787C">
        <w:t>):</w:t>
      </w:r>
      <w:r w:rsidRPr="004A74EB">
        <w:rPr>
          <w:rFonts w:cs="Arial"/>
          <w:szCs w:val="20"/>
        </w:rPr>
        <w:t>,</w:t>
      </w:r>
      <w:proofErr w:type="gramEnd"/>
      <w:r w:rsidRPr="004A74EB">
        <w:rPr>
          <w:rFonts w:cs="Arial"/>
          <w:szCs w:val="20"/>
        </w:rPr>
        <w:t xml:space="preserve"> заключенных </w:t>
      </w:r>
      <w:r w:rsidR="004A74EB" w:rsidRPr="004A74EB">
        <w:rPr>
          <w:rFonts w:cs="Arial"/>
          <w:szCs w:val="20"/>
        </w:rPr>
        <w:t>за</w:t>
      </w:r>
      <w:r w:rsidRPr="004A74EB">
        <w:rPr>
          <w:rFonts w:cs="Arial"/>
          <w:szCs w:val="20"/>
        </w:rPr>
        <w:t xml:space="preserve"> период</w:t>
      </w:r>
      <w:r w:rsidR="00564E7E" w:rsidRPr="004A74EB">
        <w:rPr>
          <w:rFonts w:cs="Arial"/>
          <w:szCs w:val="20"/>
        </w:rPr>
        <w:t xml:space="preserve"> </w:t>
      </w:r>
      <w:r w:rsidR="00564E7E" w:rsidRPr="004A74EB">
        <w:rPr>
          <w:rFonts w:cs="Arial"/>
          <w:szCs w:val="20"/>
          <w:lang w:val="en-US"/>
        </w:rPr>
        <w:t>t</w:t>
      </w:r>
      <w:r w:rsidR="00564E7E" w:rsidRPr="004A74EB">
        <w:rPr>
          <w:rFonts w:cs="Arial"/>
          <w:szCs w:val="20"/>
        </w:rPr>
        <w:t>, где</w:t>
      </w:r>
      <w:r w:rsidRPr="004A74EB">
        <w:rPr>
          <w:rFonts w:cs="Arial"/>
          <w:szCs w:val="20"/>
        </w:rPr>
        <w:t xml:space="preserve"> </w:t>
      </w:r>
      <w:r w:rsidR="001F110E" w:rsidRPr="00C6787C">
        <w:rPr>
          <w:position w:val="-6"/>
        </w:rPr>
        <w:object w:dxaOrig="1200" w:dyaOrig="279" w14:anchorId="28A1073B">
          <v:shape id="_x0000_i1038" type="#_x0000_t75" style="width:50.5pt;height:11.2pt" o:ole="">
            <v:imagedata r:id="rId26" o:title=""/>
          </v:shape>
          <o:OLEObject Type="Embed" ProgID="Equation.3" ShapeID="_x0000_i1038" DrawAspect="Content" ObjectID="_1791775530" r:id="rId31"/>
        </w:object>
      </w:r>
      <w:r w:rsidR="004A74EB">
        <w:t xml:space="preserve"> </w:t>
      </w:r>
      <w:r w:rsidR="004A74EB" w:rsidRPr="00C6787C">
        <w:t>(</w:t>
      </w:r>
      <w:r w:rsidR="004A74EB" w:rsidRPr="004A74EB">
        <w:rPr>
          <w:lang w:val="en-US"/>
        </w:rPr>
        <w:t>n</w:t>
      </w:r>
      <w:r w:rsidR="004A74EB" w:rsidRPr="00C6787C">
        <w:t xml:space="preserve"> – мо</w:t>
      </w:r>
      <w:r w:rsidR="00A70F6D">
        <w:t>мент расчета текущего значения Индикатор</w:t>
      </w:r>
      <w:r w:rsidR="00A23987">
        <w:t>а</w:t>
      </w:r>
      <w:r w:rsidR="004A74EB" w:rsidRPr="00C6787C">
        <w:t xml:space="preserve">, </w:t>
      </w:r>
      <w:r w:rsidR="004A74EB" w:rsidRPr="004A74EB">
        <w:rPr>
          <w:lang w:val="en-US"/>
        </w:rPr>
        <w:t>n</w:t>
      </w:r>
      <w:r w:rsidR="004A74EB" w:rsidRPr="00C6787C">
        <w:t>-1 – момен</w:t>
      </w:r>
      <w:r w:rsidR="00A70F6D">
        <w:t>т расчета предыдущего значения Индикатор</w:t>
      </w:r>
      <w:r w:rsidR="00583A62">
        <w:t>а</w:t>
      </w:r>
      <w:r w:rsidR="004A74EB" w:rsidRPr="00C6787C">
        <w:t>)</w:t>
      </w:r>
      <w:r w:rsidRPr="00C6787C">
        <w:t xml:space="preserve">, и котировок на </w:t>
      </w:r>
      <w:r w:rsidRPr="004A74EB">
        <w:rPr>
          <w:lang w:val="en-US"/>
        </w:rPr>
        <w:t>n</w:t>
      </w:r>
      <w:r w:rsidRPr="00C6787C">
        <w:t xml:space="preserve">-й </w:t>
      </w:r>
      <w:r w:rsidR="003A4DB3" w:rsidRPr="00C6787C">
        <w:t xml:space="preserve">момент расчета </w:t>
      </w:r>
      <w:r w:rsidR="00A70F6D">
        <w:t>Индикатор</w:t>
      </w:r>
      <w:r w:rsidR="00583A62">
        <w:t>а</w:t>
      </w:r>
      <w:r w:rsidR="003A4DB3" w:rsidRPr="00C6787C">
        <w:t xml:space="preserve"> :</w:t>
      </w:r>
    </w:p>
    <w:p w14:paraId="7BABE350" w14:textId="77777777" w:rsidR="002C5560" w:rsidRPr="00C6787C" w:rsidRDefault="002C5560" w:rsidP="003A4DB3">
      <w:pPr>
        <w:pStyle w:val="3"/>
        <w:spacing w:beforeLines="50" w:before="120" w:after="0"/>
        <w:ind w:left="360"/>
        <w:jc w:val="both"/>
      </w:pPr>
      <w:r w:rsidRPr="00C6787C">
        <w:rPr>
          <w:position w:val="-10"/>
        </w:rPr>
        <w:object w:dxaOrig="2860" w:dyaOrig="340" w14:anchorId="449F2CC3">
          <v:shape id="_x0000_i1039" type="#_x0000_t75" style="width:143.05pt;height:18.7pt" o:ole="">
            <v:imagedata r:id="rId32" o:title=""/>
          </v:shape>
          <o:OLEObject Type="Embed" ProgID="Equation.3" ShapeID="_x0000_i1039" DrawAspect="Content" ObjectID="_1791775531" r:id="rId33"/>
        </w:object>
      </w:r>
      <w:r w:rsidRPr="00C6787C">
        <w:t>,</w:t>
      </w:r>
    </w:p>
    <w:p w14:paraId="0C3C771E" w14:textId="77777777" w:rsidR="002C5560" w:rsidRPr="00C6787C" w:rsidRDefault="002C5560" w:rsidP="003A4DB3">
      <w:pPr>
        <w:pStyle w:val="3"/>
        <w:spacing w:beforeLines="50" w:before="120" w:after="0"/>
        <w:ind w:left="360"/>
        <w:jc w:val="both"/>
      </w:pPr>
      <w:r w:rsidRPr="00C6787C">
        <w:t xml:space="preserve">где: </w:t>
      </w:r>
    </w:p>
    <w:p w14:paraId="06B2618A" w14:textId="77777777" w:rsidR="002C5560" w:rsidRPr="00C6787C" w:rsidRDefault="002C5560" w:rsidP="003A4DB3">
      <w:pPr>
        <w:pStyle w:val="3"/>
        <w:spacing w:beforeLines="50" w:before="120" w:after="0"/>
        <w:ind w:left="360"/>
        <w:jc w:val="both"/>
      </w:pPr>
      <w:r w:rsidRPr="00C6787C">
        <w:rPr>
          <w:lang w:val="en-US"/>
        </w:rPr>
        <w:t>q</w:t>
      </w:r>
      <w:r w:rsidRPr="00C6787C">
        <w:t xml:space="preserve"> – параметр, </w:t>
      </w:r>
      <w:r w:rsidR="009E2F61" w:rsidRPr="00C6787C">
        <w:rPr>
          <w:position w:val="-10"/>
        </w:rPr>
        <w:object w:dxaOrig="900" w:dyaOrig="320" w14:anchorId="298515E0">
          <v:shape id="_x0000_i1040" type="#_x0000_t75" style="width:45.8pt;height:15.9pt" o:ole="">
            <v:imagedata r:id="rId34" o:title=""/>
          </v:shape>
          <o:OLEObject Type="Embed" ProgID="Equation.3" ShapeID="_x0000_i1040" DrawAspect="Content" ObjectID="_1791775532" r:id="rId35"/>
        </w:object>
      </w:r>
      <w:r w:rsidR="009E2F61" w:rsidRPr="00C6787C">
        <w:t>;</w:t>
      </w:r>
    </w:p>
    <w:p w14:paraId="0454A1FC" w14:textId="77777777" w:rsidR="002C5560" w:rsidRPr="00C6787C" w:rsidRDefault="00D90D7B" w:rsidP="003A4DB3">
      <w:pPr>
        <w:pStyle w:val="3"/>
        <w:spacing w:beforeLines="50" w:before="120" w:after="0"/>
        <w:ind w:left="360"/>
        <w:jc w:val="both"/>
      </w:pPr>
      <w:r w:rsidRPr="00C6787C">
        <w:rPr>
          <w:position w:val="-30"/>
        </w:rPr>
        <w:object w:dxaOrig="1180" w:dyaOrig="700" w14:anchorId="71A4EE77">
          <v:shape id="_x0000_i1041" type="#_x0000_t75" style="width:53.3pt;height:31.8pt" o:ole="">
            <v:imagedata r:id="rId36" o:title=""/>
          </v:shape>
          <o:OLEObject Type="Embed" ProgID="Equation.3" ShapeID="_x0000_i1041" DrawAspect="Content" ObjectID="_1791775533" r:id="rId37"/>
        </w:object>
      </w:r>
      <w:r w:rsidR="008656D6" w:rsidRPr="00C6787C">
        <w:t>;</w:t>
      </w:r>
    </w:p>
    <w:p w14:paraId="3DD6F286" w14:textId="77777777" w:rsidR="008656D6" w:rsidRPr="00C6787C" w:rsidRDefault="008656D6" w:rsidP="003A4DB3">
      <w:pPr>
        <w:pStyle w:val="3"/>
        <w:spacing w:beforeLines="50" w:before="120" w:after="0"/>
        <w:ind w:left="36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</w:t>
      </w:r>
      <w:r w:rsidRPr="00C6787C">
        <w:rPr>
          <w:rFonts w:cs="Arial"/>
          <w:szCs w:val="20"/>
          <w:vertAlign w:val="subscript"/>
          <w:lang w:val="en-US"/>
        </w:rPr>
        <w:t>t</w:t>
      </w:r>
      <w:r w:rsidRPr="00C6787C">
        <w:rPr>
          <w:rFonts w:cs="Arial"/>
          <w:szCs w:val="20"/>
        </w:rPr>
        <w:t xml:space="preserve"> – объем сделок за секунду </w:t>
      </w:r>
      <w:r w:rsidRPr="00C6787C">
        <w:rPr>
          <w:rFonts w:cs="Arial"/>
          <w:szCs w:val="20"/>
          <w:lang w:val="en-US"/>
        </w:rPr>
        <w:t>t</w:t>
      </w:r>
      <w:r w:rsidRPr="00C6787C">
        <w:rPr>
          <w:rFonts w:cs="Arial"/>
          <w:szCs w:val="20"/>
        </w:rPr>
        <w:t>;</w:t>
      </w:r>
    </w:p>
    <w:p w14:paraId="7A22DE6F" w14:textId="77777777" w:rsidR="008656D6" w:rsidRPr="00C6787C" w:rsidRDefault="008656D6" w:rsidP="003A4DB3">
      <w:pPr>
        <w:pStyle w:val="3"/>
        <w:spacing w:beforeLines="50" w:before="120" w:after="0"/>
        <w:ind w:left="360"/>
        <w:jc w:val="both"/>
      </w:pPr>
      <w:r w:rsidRPr="00C6787C">
        <w:rPr>
          <w:position w:val="-10"/>
        </w:rPr>
        <w:object w:dxaOrig="279" w:dyaOrig="360" w14:anchorId="5F5D3EFE">
          <v:shape id="_x0000_i1042" type="#_x0000_t75" style="width:14.05pt;height:18.7pt" o:ole="">
            <v:imagedata r:id="rId38" o:title=""/>
          </v:shape>
          <o:OLEObject Type="Embed" ProgID="Equation.3" ShapeID="_x0000_i1042" DrawAspect="Content" ObjectID="_1791775534" r:id="rId39"/>
        </w:object>
      </w:r>
      <w:r w:rsidRPr="00C6787C">
        <w:t xml:space="preserve"> </w:t>
      </w:r>
      <w:r w:rsidR="004541BA" w:rsidRPr="00C6787C">
        <w:rPr>
          <w:rFonts w:cs="Arial"/>
          <w:szCs w:val="20"/>
        </w:rPr>
        <w:t>= 1 000 000, если иное не установлено Биржей</w:t>
      </w:r>
      <w:r w:rsidRPr="00C6787C">
        <w:t>.</w:t>
      </w:r>
    </w:p>
    <w:p w14:paraId="26BC4DC6" w14:textId="35962451" w:rsidR="003A4DB3" w:rsidRPr="00C6787C" w:rsidRDefault="003A4DB3" w:rsidP="003A4DB3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Если в период</w:t>
      </w:r>
      <w:r w:rsidR="00564E7E" w:rsidRPr="00C6787C">
        <w:rPr>
          <w:rFonts w:cs="Arial"/>
          <w:szCs w:val="20"/>
        </w:rPr>
        <w:t xml:space="preserve"> </w:t>
      </w:r>
      <w:r w:rsidR="00564E7E" w:rsidRPr="00C6787C">
        <w:rPr>
          <w:rFonts w:cs="Arial"/>
          <w:szCs w:val="20"/>
          <w:lang w:val="en-US"/>
        </w:rPr>
        <w:t>t</w:t>
      </w:r>
      <w:r w:rsidR="00564E7E" w:rsidRPr="00C6787C">
        <w:rPr>
          <w:rFonts w:cs="Arial"/>
          <w:szCs w:val="20"/>
        </w:rPr>
        <w:t>, где</w:t>
      </w:r>
      <w:r w:rsidRPr="00C6787C">
        <w:rPr>
          <w:rFonts w:cs="Arial"/>
          <w:szCs w:val="20"/>
        </w:rPr>
        <w:t xml:space="preserve"> </w:t>
      </w:r>
      <w:r w:rsidR="00120D99" w:rsidRPr="00C6787C">
        <w:rPr>
          <w:position w:val="-6"/>
        </w:rPr>
        <w:object w:dxaOrig="1200" w:dyaOrig="279" w14:anchorId="1746888B">
          <v:shape id="_x0000_i1043" type="#_x0000_t75" style="width:48.6pt;height:11.2pt" o:ole="">
            <v:imagedata r:id="rId26" o:title=""/>
          </v:shape>
          <o:OLEObject Type="Embed" ProgID="Equation.3" ShapeID="_x0000_i1043" DrawAspect="Content" ObjectID="_1791775535" r:id="rId40"/>
        </w:object>
      </w:r>
      <w:r w:rsidRPr="00C6787C">
        <w:t xml:space="preserve"> </w:t>
      </w:r>
      <w:r w:rsidR="00141732" w:rsidRPr="00C6787C">
        <w:t>(</w:t>
      </w:r>
      <w:r w:rsidR="00141732" w:rsidRPr="00C6787C">
        <w:rPr>
          <w:lang w:val="en-US"/>
        </w:rPr>
        <w:t>n</w:t>
      </w:r>
      <w:r w:rsidR="00141732" w:rsidRPr="00C6787C">
        <w:t xml:space="preserve"> – момент расчета текущего значения </w:t>
      </w:r>
      <w:r w:rsidR="00A70F6D">
        <w:t>Индикатор</w:t>
      </w:r>
      <w:r w:rsidR="00583A62">
        <w:t>а</w:t>
      </w:r>
      <w:r w:rsidR="00141732" w:rsidRPr="00C6787C">
        <w:t xml:space="preserve">, </w:t>
      </w:r>
      <w:r w:rsidR="00141732" w:rsidRPr="00C6787C">
        <w:rPr>
          <w:lang w:val="en-US"/>
        </w:rPr>
        <w:t>n</w:t>
      </w:r>
      <w:r w:rsidR="00141732" w:rsidRPr="00C6787C">
        <w:t xml:space="preserve">-1 – момент расчета предыдущего значения </w:t>
      </w:r>
      <w:r w:rsidR="00A70F6D">
        <w:t>Индикатор</w:t>
      </w:r>
      <w:r w:rsidR="00583A62">
        <w:t>а</w:t>
      </w:r>
      <w:r w:rsidR="00141732" w:rsidRPr="00C6787C">
        <w:t>)</w:t>
      </w:r>
      <w:r w:rsidR="00141732">
        <w:t xml:space="preserve">, </w:t>
      </w:r>
      <w:r w:rsidRPr="00C6787C">
        <w:t xml:space="preserve">не было заключено сделок, учитываемых при расчете </w:t>
      </w:r>
      <w:r w:rsidR="00A70F6D">
        <w:t>Индикатор</w:t>
      </w:r>
      <w:r w:rsidR="00583A62">
        <w:t>а</w:t>
      </w:r>
      <w:r w:rsidRPr="00C6787C">
        <w:t>,</w:t>
      </w:r>
      <w:r w:rsidRPr="00C6787C">
        <w:rPr>
          <w:rFonts w:cs="Arial"/>
          <w:szCs w:val="20"/>
        </w:rPr>
        <w:t xml:space="preserve"> значение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DEAL</w:t>
      </w:r>
      <w:r w:rsidRPr="00C6787C">
        <w:rPr>
          <w:rFonts w:cs="Arial"/>
          <w:szCs w:val="20"/>
        </w:rPr>
        <w:t xml:space="preserve"> не рассчитывается, а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FIX</w:t>
      </w:r>
      <w:r w:rsidRPr="00C6787C">
        <w:rPr>
          <w:rFonts w:cs="Arial"/>
          <w:szCs w:val="20"/>
        </w:rPr>
        <w:t xml:space="preserve"> </w:t>
      </w:r>
      <w:r w:rsidR="00E53485" w:rsidRPr="00C6787C">
        <w:rPr>
          <w:rFonts w:cs="Arial"/>
          <w:szCs w:val="20"/>
        </w:rPr>
        <w:t xml:space="preserve">принимается </w:t>
      </w:r>
      <w:r w:rsidRPr="00C6787C">
        <w:rPr>
          <w:rFonts w:cs="Arial"/>
          <w:szCs w:val="20"/>
        </w:rPr>
        <w:t xml:space="preserve">равным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>.</w:t>
      </w:r>
    </w:p>
    <w:p w14:paraId="1815E5B1" w14:textId="2FBE2693" w:rsidR="00321F0B" w:rsidRDefault="00321F0B" w:rsidP="00321F0B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10" w:name="_Ref240086419"/>
      <w:r w:rsidRPr="00EA3B2B">
        <w:rPr>
          <w:rFonts w:cs="Arial"/>
          <w:szCs w:val="20"/>
        </w:rPr>
        <w:t xml:space="preserve">В случае возникновения технического сбоя (в том числе при расчете </w:t>
      </w:r>
      <w:r>
        <w:rPr>
          <w:rFonts w:cs="Arial"/>
          <w:szCs w:val="20"/>
        </w:rPr>
        <w:t>Индикатор</w:t>
      </w:r>
      <w:r w:rsidR="00694703">
        <w:rPr>
          <w:rFonts w:cs="Arial"/>
          <w:szCs w:val="20"/>
        </w:rPr>
        <w:t>а</w:t>
      </w:r>
      <w:r w:rsidRPr="00EA3B2B">
        <w:rPr>
          <w:rFonts w:cs="Arial"/>
          <w:szCs w:val="20"/>
        </w:rPr>
        <w:t xml:space="preserve"> или в ходе торгов </w:t>
      </w:r>
      <w:r>
        <w:rPr>
          <w:rFonts w:cs="Arial"/>
          <w:szCs w:val="20"/>
        </w:rPr>
        <w:t>И</w:t>
      </w:r>
      <w:r w:rsidRPr="00EA3B2B">
        <w:rPr>
          <w:rFonts w:cs="Arial"/>
          <w:szCs w:val="20"/>
        </w:rPr>
        <w:t>нструментом, используемым для расчета</w:t>
      </w:r>
      <w:r>
        <w:rPr>
          <w:rFonts w:cs="Arial"/>
          <w:szCs w:val="20"/>
        </w:rPr>
        <w:t xml:space="preserve"> Индикатора</w:t>
      </w:r>
      <w:r w:rsidRPr="00EA3B2B">
        <w:rPr>
          <w:rFonts w:cs="Arial"/>
          <w:szCs w:val="20"/>
        </w:rPr>
        <w:t>, приведшего к искажению данных, использовавшихся для расчета</w:t>
      </w:r>
      <w:r>
        <w:rPr>
          <w:rFonts w:cs="Arial"/>
          <w:szCs w:val="20"/>
        </w:rPr>
        <w:t xml:space="preserve"> Индикатор</w:t>
      </w:r>
      <w:r w:rsidR="00694703">
        <w:rPr>
          <w:rFonts w:cs="Arial"/>
          <w:szCs w:val="20"/>
        </w:rPr>
        <w:t>а</w:t>
      </w:r>
      <w:r w:rsidRPr="00EA3B2B">
        <w:rPr>
          <w:rFonts w:cs="Arial"/>
          <w:szCs w:val="20"/>
        </w:rPr>
        <w:t xml:space="preserve">, допускается перерасчет рассчитанных ранее значений </w:t>
      </w:r>
      <w:r>
        <w:rPr>
          <w:rFonts w:cs="Arial"/>
          <w:szCs w:val="20"/>
        </w:rPr>
        <w:t>Индикатор</w:t>
      </w:r>
      <w:r w:rsidR="00694703">
        <w:rPr>
          <w:rFonts w:cs="Arial"/>
          <w:szCs w:val="20"/>
        </w:rPr>
        <w:t>а</w:t>
      </w:r>
      <w:r w:rsidRPr="00EA3B2B">
        <w:rPr>
          <w:rFonts w:cs="Arial"/>
          <w:szCs w:val="20"/>
        </w:rPr>
        <w:t>. Указанный перерасчет осуществляется в возможно короткие сроки с момента обнаружения технического сбоя.</w:t>
      </w:r>
    </w:p>
    <w:p w14:paraId="71A1F22C" w14:textId="2CDAADD2" w:rsidR="0046399D" w:rsidRPr="0046399D" w:rsidRDefault="00FF281F" w:rsidP="00A016C9">
      <w:pPr>
        <w:pStyle w:val="3"/>
        <w:numPr>
          <w:ilvl w:val="0"/>
          <w:numId w:val="1"/>
        </w:numPr>
        <w:spacing w:beforeLines="50" w:before="120" w:after="0"/>
        <w:jc w:val="both"/>
      </w:pPr>
      <w:r w:rsidRPr="0046399D">
        <w:rPr>
          <w:rFonts w:cs="Arial"/>
          <w:szCs w:val="20"/>
        </w:rPr>
        <w:t>Публикация значени</w:t>
      </w:r>
      <w:r w:rsidR="00A70F6D" w:rsidRPr="0046399D">
        <w:rPr>
          <w:rFonts w:cs="Arial"/>
          <w:szCs w:val="20"/>
        </w:rPr>
        <w:t>й</w:t>
      </w:r>
      <w:r w:rsidRPr="0046399D">
        <w:rPr>
          <w:rFonts w:cs="Arial"/>
          <w:szCs w:val="20"/>
        </w:rPr>
        <w:t xml:space="preserve"> </w:t>
      </w:r>
      <w:r w:rsidR="00A70F6D" w:rsidRPr="0046399D">
        <w:rPr>
          <w:rFonts w:cs="Arial"/>
          <w:szCs w:val="20"/>
        </w:rPr>
        <w:t>Индикатор</w:t>
      </w:r>
      <w:r w:rsidR="00694703">
        <w:rPr>
          <w:rFonts w:cs="Arial"/>
          <w:szCs w:val="20"/>
        </w:rPr>
        <w:t>а</w:t>
      </w:r>
      <w:r w:rsidRPr="0046399D">
        <w:rPr>
          <w:rFonts w:cs="Arial"/>
          <w:szCs w:val="20"/>
        </w:rPr>
        <w:t xml:space="preserve"> производится ежедневно не позднее </w:t>
      </w:r>
      <w:r w:rsidR="005A3782" w:rsidRPr="0046399D">
        <w:rPr>
          <w:rFonts w:cs="Arial"/>
          <w:szCs w:val="20"/>
        </w:rPr>
        <w:t xml:space="preserve">5 минут после осуществления </w:t>
      </w:r>
      <w:r w:rsidR="00697E3E" w:rsidRPr="0046399D">
        <w:rPr>
          <w:rFonts w:cs="Arial"/>
          <w:szCs w:val="20"/>
        </w:rPr>
        <w:t xml:space="preserve">их </w:t>
      </w:r>
      <w:r w:rsidR="005A3782" w:rsidRPr="0046399D">
        <w:rPr>
          <w:rFonts w:cs="Arial"/>
          <w:szCs w:val="20"/>
        </w:rPr>
        <w:t xml:space="preserve">расчета </w:t>
      </w:r>
      <w:r w:rsidR="00697E3E" w:rsidRPr="0046399D">
        <w:rPr>
          <w:rFonts w:cs="Arial"/>
          <w:szCs w:val="20"/>
        </w:rPr>
        <w:t xml:space="preserve">на сайте </w:t>
      </w:r>
      <w:r w:rsidRPr="0046399D">
        <w:rPr>
          <w:rFonts w:cs="Arial"/>
          <w:szCs w:val="20"/>
        </w:rPr>
        <w:t>Биржи в сети Интернет.</w:t>
      </w:r>
      <w:bookmarkEnd w:id="10"/>
      <w:r w:rsidR="00321F0B" w:rsidRPr="0046399D">
        <w:rPr>
          <w:rFonts w:cs="Arial"/>
          <w:szCs w:val="20"/>
        </w:rPr>
        <w:t xml:space="preserve"> Информация, подлежащая в соответствии с настоящей Методикой раскрытию на официальном сайте Биржи в сети Интернет,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 Бирже.</w:t>
      </w:r>
    </w:p>
    <w:p w14:paraId="2831FE17" w14:textId="30DEE272" w:rsidR="00A016C9" w:rsidRDefault="005A1DDA" w:rsidP="00A016C9">
      <w:pPr>
        <w:pStyle w:val="3"/>
        <w:numPr>
          <w:ilvl w:val="0"/>
          <w:numId w:val="1"/>
        </w:numPr>
        <w:spacing w:beforeLines="50" w:before="120" w:after="0"/>
        <w:jc w:val="both"/>
      </w:pPr>
      <w:r>
        <w:rPr>
          <w:rFonts w:cs="Arial"/>
          <w:szCs w:val="20"/>
        </w:rPr>
        <w:t xml:space="preserve">Все термины и определения, </w:t>
      </w:r>
      <w:r w:rsidR="002A5B0E">
        <w:rPr>
          <w:rFonts w:cs="Arial"/>
          <w:szCs w:val="20"/>
        </w:rPr>
        <w:t xml:space="preserve">специально не определенные </w:t>
      </w:r>
      <w:r>
        <w:rPr>
          <w:rFonts w:cs="Arial"/>
          <w:szCs w:val="20"/>
        </w:rPr>
        <w:t xml:space="preserve">в настоящей Методике, </w:t>
      </w:r>
      <w:r w:rsidR="002A5B0E">
        <w:rPr>
          <w:rFonts w:cs="Arial"/>
          <w:szCs w:val="20"/>
        </w:rPr>
        <w:t>используются в значениях</w:t>
      </w:r>
      <w:r>
        <w:rPr>
          <w:rFonts w:cs="Arial"/>
          <w:szCs w:val="20"/>
        </w:rPr>
        <w:t>, присвоенны</w:t>
      </w:r>
      <w:r w:rsidR="002A5B0E">
        <w:rPr>
          <w:rFonts w:cs="Arial"/>
          <w:szCs w:val="20"/>
        </w:rPr>
        <w:t>х</w:t>
      </w:r>
      <w:r>
        <w:rPr>
          <w:rFonts w:cs="Arial"/>
          <w:szCs w:val="20"/>
        </w:rPr>
        <w:t xml:space="preserve"> им в </w:t>
      </w:r>
      <w:r w:rsidR="00697E3E">
        <w:rPr>
          <w:rFonts w:cs="Arial"/>
          <w:szCs w:val="20"/>
        </w:rPr>
        <w:t>п</w:t>
      </w:r>
      <w:r>
        <w:rPr>
          <w:rFonts w:cs="Arial"/>
          <w:szCs w:val="20"/>
        </w:rPr>
        <w:t xml:space="preserve">равилах Биржи, определяющих порядок </w:t>
      </w:r>
      <w:r w:rsidR="00697E3E">
        <w:rPr>
          <w:rFonts w:cs="Arial"/>
          <w:szCs w:val="20"/>
        </w:rPr>
        <w:t>заключения на Бирже сделок с Инструментами</w:t>
      </w:r>
      <w:r>
        <w:rPr>
          <w:rFonts w:cs="Arial"/>
          <w:szCs w:val="20"/>
        </w:rPr>
        <w:t>.</w:t>
      </w:r>
    </w:p>
    <w:p w14:paraId="20ED7653" w14:textId="77777777" w:rsidR="00A016C9" w:rsidRDefault="00A016C9" w:rsidP="00A016C9">
      <w:pPr>
        <w:pStyle w:val="3"/>
        <w:spacing w:beforeLines="50" w:before="120" w:after="0"/>
        <w:jc w:val="both"/>
      </w:pPr>
    </w:p>
    <w:p w14:paraId="50E109F2" w14:textId="77777777" w:rsidR="00A016C9" w:rsidRDefault="00A016C9" w:rsidP="00A016C9">
      <w:pPr>
        <w:pStyle w:val="3"/>
        <w:spacing w:beforeLines="50" w:before="120" w:after="0"/>
        <w:jc w:val="both"/>
      </w:pPr>
    </w:p>
    <w:p w14:paraId="644760CE" w14:textId="77777777" w:rsidR="00D32F38" w:rsidRDefault="00A016C9" w:rsidP="00D32F38">
      <w:pPr>
        <w:pStyle w:val="3"/>
        <w:spacing w:beforeLines="50" w:before="120" w:after="0"/>
        <w:ind w:left="5664"/>
        <w:jc w:val="both"/>
      </w:pPr>
      <w:r>
        <w:br w:type="page"/>
      </w:r>
      <w:r>
        <w:lastRenderedPageBreak/>
        <w:t>Приложение 1</w:t>
      </w:r>
      <w:r w:rsidR="00D32F38">
        <w:t xml:space="preserve"> к</w:t>
      </w:r>
      <w:r>
        <w:t xml:space="preserve"> Методике расчета</w:t>
      </w:r>
    </w:p>
    <w:p w14:paraId="21599B26" w14:textId="7EA63151" w:rsidR="00A016C9" w:rsidRDefault="00A016C9" w:rsidP="00D32F38">
      <w:pPr>
        <w:pStyle w:val="3"/>
        <w:spacing w:beforeLines="50" w:before="120" w:after="0"/>
        <w:ind w:left="5664"/>
        <w:jc w:val="both"/>
      </w:pPr>
      <w:r>
        <w:t>индикатив</w:t>
      </w:r>
      <w:r w:rsidR="00697E3E">
        <w:t>н</w:t>
      </w:r>
      <w:r>
        <w:t xml:space="preserve">ых ставок </w:t>
      </w:r>
    </w:p>
    <w:p w14:paraId="05A1D241" w14:textId="77777777" w:rsidR="00D32F38" w:rsidRDefault="00D32F38" w:rsidP="00D32F38">
      <w:pPr>
        <w:pStyle w:val="3"/>
        <w:spacing w:beforeLines="50" w:before="120" w:after="0"/>
        <w:ind w:left="566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2"/>
        <w:gridCol w:w="3359"/>
        <w:gridCol w:w="3592"/>
      </w:tblGrid>
      <w:tr w:rsidR="00B011BF" w14:paraId="65C3521C" w14:textId="77777777" w:rsidTr="0046399D">
        <w:tc>
          <w:tcPr>
            <w:tcW w:w="2712" w:type="dxa"/>
          </w:tcPr>
          <w:p w14:paraId="2CE6D7C4" w14:textId="526A9E28" w:rsidR="00B011BF" w:rsidRDefault="00FB453B" w:rsidP="00300471">
            <w:pPr>
              <w:pStyle w:val="3"/>
              <w:spacing w:beforeLines="50" w:before="120" w:after="0"/>
              <w:jc w:val="both"/>
            </w:pPr>
            <w:r>
              <w:t>Наименование индикатора</w:t>
            </w:r>
          </w:p>
        </w:tc>
        <w:tc>
          <w:tcPr>
            <w:tcW w:w="3359" w:type="dxa"/>
          </w:tcPr>
          <w:p w14:paraId="2C0BCC19" w14:textId="2F10C193" w:rsidR="00B011BF" w:rsidRDefault="00FB453B" w:rsidP="00300471">
            <w:pPr>
              <w:pStyle w:val="3"/>
              <w:spacing w:beforeLines="50" w:before="120" w:after="0"/>
              <w:jc w:val="both"/>
            </w:pPr>
            <w:r>
              <w:t xml:space="preserve">Идентификатор </w:t>
            </w:r>
            <w:r w:rsidR="00B011BF">
              <w:t>индикатора</w:t>
            </w:r>
          </w:p>
        </w:tc>
        <w:tc>
          <w:tcPr>
            <w:tcW w:w="3592" w:type="dxa"/>
          </w:tcPr>
          <w:p w14:paraId="5BA1B5AB" w14:textId="0C3C425E" w:rsidR="00B011BF" w:rsidRDefault="00B011BF" w:rsidP="00064CF4">
            <w:pPr>
              <w:pStyle w:val="3"/>
              <w:spacing w:beforeLines="50" w:before="120" w:after="0"/>
              <w:jc w:val="both"/>
            </w:pPr>
            <w:r>
              <w:t>Наименование</w:t>
            </w:r>
            <w:r w:rsidRPr="00261FC4">
              <w:t xml:space="preserve"> </w:t>
            </w:r>
            <w:r>
              <w:t>Инструмент</w:t>
            </w:r>
            <w:r w:rsidR="004035F9">
              <w:t>а</w:t>
            </w:r>
            <w:r>
              <w:t xml:space="preserve"> своп, используем</w:t>
            </w:r>
            <w:r w:rsidR="004035F9">
              <w:t xml:space="preserve">ого </w:t>
            </w:r>
            <w:r>
              <w:t>для расчета индикатора</w:t>
            </w:r>
          </w:p>
        </w:tc>
      </w:tr>
      <w:tr w:rsidR="00FB453B" w14:paraId="60419AD6" w14:textId="77777777" w:rsidTr="0046399D">
        <w:tc>
          <w:tcPr>
            <w:tcW w:w="2712" w:type="dxa"/>
          </w:tcPr>
          <w:p w14:paraId="2BADBB9E" w14:textId="41C9225E" w:rsidR="00FB453B" w:rsidRPr="000374BD" w:rsidRDefault="00FB453B" w:rsidP="00FB453B">
            <w:pPr>
              <w:pStyle w:val="3"/>
              <w:spacing w:beforeLines="50" w:before="120" w:after="0"/>
              <w:jc w:val="both"/>
            </w:pPr>
            <w:r>
              <w:rPr>
                <w:lang w:val="en-US"/>
              </w:rPr>
              <w:t>MOEX</w:t>
            </w:r>
            <w:r>
              <w:t xml:space="preserve"> </w:t>
            </w:r>
            <w:r w:rsidRPr="000374BD">
              <w:t>SRATE_</w:t>
            </w:r>
            <w:r>
              <w:rPr>
                <w:lang w:val="en-US"/>
              </w:rPr>
              <w:t>CNY</w:t>
            </w:r>
            <w:r w:rsidRPr="000374BD">
              <w:t>_</w:t>
            </w:r>
            <w:r>
              <w:rPr>
                <w:lang w:val="en-US"/>
              </w:rPr>
              <w:t>ON</w:t>
            </w:r>
          </w:p>
        </w:tc>
        <w:tc>
          <w:tcPr>
            <w:tcW w:w="3359" w:type="dxa"/>
          </w:tcPr>
          <w:p w14:paraId="0601B466" w14:textId="467C5AA1" w:rsidR="00FB453B" w:rsidRPr="00261FC4" w:rsidRDefault="00FB453B" w:rsidP="00FB453B">
            <w:pPr>
              <w:pStyle w:val="3"/>
              <w:spacing w:beforeLines="50" w:before="120" w:after="0"/>
              <w:jc w:val="both"/>
              <w:rPr>
                <w:lang w:val="en-US"/>
              </w:rPr>
            </w:pPr>
            <w:r w:rsidRPr="000374BD">
              <w:t>SRATE_</w:t>
            </w:r>
            <w:r>
              <w:rPr>
                <w:lang w:val="en-US"/>
              </w:rPr>
              <w:t>CNY</w:t>
            </w:r>
            <w:r w:rsidRPr="000374BD">
              <w:t>_</w:t>
            </w:r>
            <w:r>
              <w:rPr>
                <w:lang w:val="en-US"/>
              </w:rPr>
              <w:t>ON</w:t>
            </w:r>
          </w:p>
        </w:tc>
        <w:tc>
          <w:tcPr>
            <w:tcW w:w="3592" w:type="dxa"/>
          </w:tcPr>
          <w:p w14:paraId="0A725C0A" w14:textId="77777777" w:rsidR="00FB453B" w:rsidRPr="00300471" w:rsidRDefault="00FB453B" w:rsidP="00FB453B">
            <w:pPr>
              <w:pStyle w:val="3"/>
              <w:spacing w:beforeLines="50" w:before="120" w:after="0"/>
              <w:jc w:val="both"/>
              <w:rPr>
                <w:rFonts w:cs="Arial"/>
                <w:szCs w:val="20"/>
              </w:rPr>
            </w:pPr>
            <w:r w:rsidRPr="00136F3E">
              <w:rPr>
                <w:rFonts w:cs="Arial"/>
                <w:szCs w:val="20"/>
              </w:rPr>
              <w:t>CNY_TODTOM</w:t>
            </w:r>
          </w:p>
        </w:tc>
      </w:tr>
    </w:tbl>
    <w:p w14:paraId="709D9A36" w14:textId="2B083A0F" w:rsidR="00FB453B" w:rsidRPr="0046399D" w:rsidRDefault="00FB453B" w:rsidP="0046399D">
      <w:pPr>
        <w:pStyle w:val="3"/>
        <w:spacing w:beforeLines="50" w:before="120" w:after="0"/>
        <w:ind w:left="-284"/>
        <w:jc w:val="both"/>
        <w:rPr>
          <w:rFonts w:cs="Arial"/>
          <w:szCs w:val="20"/>
        </w:rPr>
      </w:pPr>
      <w:r w:rsidRPr="0046399D">
        <w:rPr>
          <w:rFonts w:cs="Arial"/>
          <w:szCs w:val="20"/>
        </w:rPr>
        <w:t>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3D486AB6" w14:textId="77777777" w:rsidR="00FB453B" w:rsidRPr="0046399D" w:rsidRDefault="00FB453B" w:rsidP="006D3C72">
      <w:pPr>
        <w:jc w:val="right"/>
      </w:pPr>
    </w:p>
    <w:sectPr w:rsidR="00FB453B" w:rsidRPr="0046399D">
      <w:footerReference w:type="default" r:id="rId4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687B7" w14:textId="77777777" w:rsidR="00373676" w:rsidRPr="00915AF5" w:rsidRDefault="00373676" w:rsidP="00FE56D0">
      <w:pPr>
        <w:rPr>
          <w:rFonts w:ascii="Verdana" w:hAnsi="Verdana" w:cs="Verdana"/>
          <w:lang w:eastAsia="en-US"/>
        </w:rPr>
      </w:pPr>
      <w:r>
        <w:separator/>
      </w:r>
    </w:p>
  </w:endnote>
  <w:endnote w:type="continuationSeparator" w:id="0">
    <w:p w14:paraId="63F9ADD1" w14:textId="77777777" w:rsidR="00373676" w:rsidRPr="00915AF5" w:rsidRDefault="00373676" w:rsidP="00FE56D0">
      <w:pPr>
        <w:rPr>
          <w:rFonts w:ascii="Verdana" w:hAnsi="Verdana" w:cs="Verdana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A82F9" w14:textId="77777777" w:rsidR="00C316BF" w:rsidRPr="00781E18" w:rsidRDefault="00C316BF" w:rsidP="00781E18">
    <w:pPr>
      <w:pStyle w:val="a8"/>
      <w:jc w:val="right"/>
      <w:rPr>
        <w:rFonts w:ascii="Arial" w:hAnsi="Arial" w:cs="Arial"/>
        <w:sz w:val="20"/>
        <w:szCs w:val="20"/>
        <w:lang w:val="en-US"/>
      </w:rPr>
    </w:pPr>
    <w:r w:rsidRPr="00781E18">
      <w:rPr>
        <w:rFonts w:ascii="Arial" w:hAnsi="Arial" w:cs="Arial"/>
        <w:sz w:val="20"/>
        <w:szCs w:val="20"/>
      </w:rPr>
      <w:fldChar w:fldCharType="begin"/>
    </w:r>
    <w:r w:rsidRPr="00781E18">
      <w:rPr>
        <w:rFonts w:ascii="Arial" w:hAnsi="Arial" w:cs="Arial"/>
        <w:sz w:val="20"/>
        <w:szCs w:val="20"/>
      </w:rPr>
      <w:instrText xml:space="preserve"> PAGE   \* MERGEFORMAT </w:instrText>
    </w:r>
    <w:r w:rsidRPr="00781E18">
      <w:rPr>
        <w:rFonts w:ascii="Arial" w:hAnsi="Arial" w:cs="Arial"/>
        <w:sz w:val="20"/>
        <w:szCs w:val="20"/>
      </w:rPr>
      <w:fldChar w:fldCharType="separate"/>
    </w:r>
    <w:r w:rsidR="00AF4E71">
      <w:rPr>
        <w:rFonts w:ascii="Arial" w:hAnsi="Arial" w:cs="Arial"/>
        <w:noProof/>
        <w:sz w:val="20"/>
        <w:szCs w:val="20"/>
      </w:rPr>
      <w:t>1</w:t>
    </w:r>
    <w:r w:rsidRPr="00781E1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93645" w14:textId="77777777" w:rsidR="00373676" w:rsidRPr="00915AF5" w:rsidRDefault="00373676" w:rsidP="00FE56D0">
      <w:pPr>
        <w:rPr>
          <w:rFonts w:ascii="Verdana" w:hAnsi="Verdana" w:cs="Verdana"/>
          <w:lang w:eastAsia="en-US"/>
        </w:rPr>
      </w:pPr>
      <w:r>
        <w:separator/>
      </w:r>
    </w:p>
  </w:footnote>
  <w:footnote w:type="continuationSeparator" w:id="0">
    <w:p w14:paraId="66D63F5A" w14:textId="77777777" w:rsidR="00373676" w:rsidRPr="00915AF5" w:rsidRDefault="00373676" w:rsidP="00FE56D0">
      <w:pPr>
        <w:rPr>
          <w:rFonts w:ascii="Verdana" w:hAnsi="Verdana" w:cs="Verdana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744FA"/>
    <w:multiLevelType w:val="hybridMultilevel"/>
    <w:tmpl w:val="CA549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C0155"/>
    <w:multiLevelType w:val="hybridMultilevel"/>
    <w:tmpl w:val="2FC4C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732E32"/>
    <w:multiLevelType w:val="hybridMultilevel"/>
    <w:tmpl w:val="BC3CFC66"/>
    <w:lvl w:ilvl="0" w:tplc="97169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56A5E"/>
    <w:multiLevelType w:val="hybridMultilevel"/>
    <w:tmpl w:val="F232EE2E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0C289A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5F576268"/>
    <w:multiLevelType w:val="hybridMultilevel"/>
    <w:tmpl w:val="DA06ACAC"/>
    <w:lvl w:ilvl="0" w:tplc="F4AE518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6D67689F"/>
    <w:multiLevelType w:val="hybridMultilevel"/>
    <w:tmpl w:val="D076F8E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E75B7"/>
    <w:multiLevelType w:val="hybridMultilevel"/>
    <w:tmpl w:val="669039B4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19"/>
    <w:rsid w:val="0000283F"/>
    <w:rsid w:val="00003FE4"/>
    <w:rsid w:val="00014BA0"/>
    <w:rsid w:val="0002164B"/>
    <w:rsid w:val="0002645C"/>
    <w:rsid w:val="00036C2C"/>
    <w:rsid w:val="00037D7B"/>
    <w:rsid w:val="000419DB"/>
    <w:rsid w:val="000429DE"/>
    <w:rsid w:val="00050276"/>
    <w:rsid w:val="00051311"/>
    <w:rsid w:val="0005432C"/>
    <w:rsid w:val="00054901"/>
    <w:rsid w:val="000564D9"/>
    <w:rsid w:val="0006326A"/>
    <w:rsid w:val="00064CF4"/>
    <w:rsid w:val="00065E3E"/>
    <w:rsid w:val="000661EA"/>
    <w:rsid w:val="00073F61"/>
    <w:rsid w:val="000829B6"/>
    <w:rsid w:val="00085FFD"/>
    <w:rsid w:val="000877F9"/>
    <w:rsid w:val="00091260"/>
    <w:rsid w:val="000A1E98"/>
    <w:rsid w:val="000A55D3"/>
    <w:rsid w:val="000B34A2"/>
    <w:rsid w:val="000C3010"/>
    <w:rsid w:val="000C3B14"/>
    <w:rsid w:val="000C46FD"/>
    <w:rsid w:val="000C4C79"/>
    <w:rsid w:val="000C6B64"/>
    <w:rsid w:val="000D031C"/>
    <w:rsid w:val="000D0AB0"/>
    <w:rsid w:val="000D5DF1"/>
    <w:rsid w:val="000D7CEF"/>
    <w:rsid w:val="000E01D8"/>
    <w:rsid w:val="000E1930"/>
    <w:rsid w:val="000E5DD0"/>
    <w:rsid w:val="001002B5"/>
    <w:rsid w:val="00100BDD"/>
    <w:rsid w:val="0010559E"/>
    <w:rsid w:val="00107F25"/>
    <w:rsid w:val="00110757"/>
    <w:rsid w:val="00114C0F"/>
    <w:rsid w:val="00120D99"/>
    <w:rsid w:val="00122A64"/>
    <w:rsid w:val="00123267"/>
    <w:rsid w:val="00131C29"/>
    <w:rsid w:val="0013437F"/>
    <w:rsid w:val="00136F3E"/>
    <w:rsid w:val="00141732"/>
    <w:rsid w:val="00147099"/>
    <w:rsid w:val="00157CDF"/>
    <w:rsid w:val="001650E8"/>
    <w:rsid w:val="001714EE"/>
    <w:rsid w:val="0017567D"/>
    <w:rsid w:val="00182C7C"/>
    <w:rsid w:val="00184C89"/>
    <w:rsid w:val="001B0DFB"/>
    <w:rsid w:val="001B1CBE"/>
    <w:rsid w:val="001B41F6"/>
    <w:rsid w:val="001D074A"/>
    <w:rsid w:val="001D1D44"/>
    <w:rsid w:val="001D5062"/>
    <w:rsid w:val="001D68D6"/>
    <w:rsid w:val="001E22ED"/>
    <w:rsid w:val="001E2570"/>
    <w:rsid w:val="001F110E"/>
    <w:rsid w:val="001F3AC2"/>
    <w:rsid w:val="00201C72"/>
    <w:rsid w:val="00212C56"/>
    <w:rsid w:val="00212F06"/>
    <w:rsid w:val="00222B4D"/>
    <w:rsid w:val="002270D7"/>
    <w:rsid w:val="002445C0"/>
    <w:rsid w:val="00251E6C"/>
    <w:rsid w:val="002615B3"/>
    <w:rsid w:val="00261FC4"/>
    <w:rsid w:val="00262459"/>
    <w:rsid w:val="0026344D"/>
    <w:rsid w:val="00275D98"/>
    <w:rsid w:val="00276751"/>
    <w:rsid w:val="00284A28"/>
    <w:rsid w:val="00284C32"/>
    <w:rsid w:val="0028619B"/>
    <w:rsid w:val="00295627"/>
    <w:rsid w:val="00296AB2"/>
    <w:rsid w:val="002A36CE"/>
    <w:rsid w:val="002A3DC7"/>
    <w:rsid w:val="002A5B0E"/>
    <w:rsid w:val="002A7321"/>
    <w:rsid w:val="002B04A2"/>
    <w:rsid w:val="002B590D"/>
    <w:rsid w:val="002C53EE"/>
    <w:rsid w:val="002C5560"/>
    <w:rsid w:val="002C7E7F"/>
    <w:rsid w:val="002F1989"/>
    <w:rsid w:val="002F7235"/>
    <w:rsid w:val="00300471"/>
    <w:rsid w:val="00306181"/>
    <w:rsid w:val="003172E2"/>
    <w:rsid w:val="00321F0B"/>
    <w:rsid w:val="003220E0"/>
    <w:rsid w:val="00322C55"/>
    <w:rsid w:val="00326D14"/>
    <w:rsid w:val="00332952"/>
    <w:rsid w:val="00332B61"/>
    <w:rsid w:val="0033626E"/>
    <w:rsid w:val="00341F41"/>
    <w:rsid w:val="00343502"/>
    <w:rsid w:val="003468A8"/>
    <w:rsid w:val="00346F6D"/>
    <w:rsid w:val="00347517"/>
    <w:rsid w:val="00356547"/>
    <w:rsid w:val="00361746"/>
    <w:rsid w:val="00373676"/>
    <w:rsid w:val="00386FAF"/>
    <w:rsid w:val="0039039F"/>
    <w:rsid w:val="003A4DB3"/>
    <w:rsid w:val="003A6527"/>
    <w:rsid w:val="003B3754"/>
    <w:rsid w:val="003D06B6"/>
    <w:rsid w:val="003D3672"/>
    <w:rsid w:val="003E1852"/>
    <w:rsid w:val="003E1F24"/>
    <w:rsid w:val="003E42E1"/>
    <w:rsid w:val="003E7841"/>
    <w:rsid w:val="003F4F2C"/>
    <w:rsid w:val="00402A69"/>
    <w:rsid w:val="004035F9"/>
    <w:rsid w:val="004101F9"/>
    <w:rsid w:val="00413F4C"/>
    <w:rsid w:val="004201BD"/>
    <w:rsid w:val="0043305D"/>
    <w:rsid w:val="00433F09"/>
    <w:rsid w:val="00434177"/>
    <w:rsid w:val="004541BA"/>
    <w:rsid w:val="00456AF4"/>
    <w:rsid w:val="00456EBB"/>
    <w:rsid w:val="00461E19"/>
    <w:rsid w:val="004626D4"/>
    <w:rsid w:val="0046399D"/>
    <w:rsid w:val="004648E3"/>
    <w:rsid w:val="00477FB0"/>
    <w:rsid w:val="00480137"/>
    <w:rsid w:val="00482F9D"/>
    <w:rsid w:val="0048609B"/>
    <w:rsid w:val="00490700"/>
    <w:rsid w:val="004A1F75"/>
    <w:rsid w:val="004A3D46"/>
    <w:rsid w:val="004A4B4A"/>
    <w:rsid w:val="004A74EB"/>
    <w:rsid w:val="004A7DA6"/>
    <w:rsid w:val="004B1B7B"/>
    <w:rsid w:val="004B22B2"/>
    <w:rsid w:val="004B2415"/>
    <w:rsid w:val="004C203F"/>
    <w:rsid w:val="004C5377"/>
    <w:rsid w:val="004C64B2"/>
    <w:rsid w:val="004C6B9D"/>
    <w:rsid w:val="004D0AFC"/>
    <w:rsid w:val="004D5F4B"/>
    <w:rsid w:val="004E3622"/>
    <w:rsid w:val="004F1E3A"/>
    <w:rsid w:val="004F7E99"/>
    <w:rsid w:val="00501762"/>
    <w:rsid w:val="005046FA"/>
    <w:rsid w:val="00510751"/>
    <w:rsid w:val="00512AC0"/>
    <w:rsid w:val="00512F66"/>
    <w:rsid w:val="00513998"/>
    <w:rsid w:val="0052211A"/>
    <w:rsid w:val="00524494"/>
    <w:rsid w:val="0054769B"/>
    <w:rsid w:val="00551A79"/>
    <w:rsid w:val="00560668"/>
    <w:rsid w:val="00560ECB"/>
    <w:rsid w:val="00563BA0"/>
    <w:rsid w:val="0056475C"/>
    <w:rsid w:val="00564E7E"/>
    <w:rsid w:val="005672B8"/>
    <w:rsid w:val="00570797"/>
    <w:rsid w:val="00571A25"/>
    <w:rsid w:val="00580D59"/>
    <w:rsid w:val="0058395B"/>
    <w:rsid w:val="00583A62"/>
    <w:rsid w:val="00583B2B"/>
    <w:rsid w:val="00592B16"/>
    <w:rsid w:val="005A021A"/>
    <w:rsid w:val="005A1DDA"/>
    <w:rsid w:val="005A274D"/>
    <w:rsid w:val="005A3341"/>
    <w:rsid w:val="005A3782"/>
    <w:rsid w:val="005B099C"/>
    <w:rsid w:val="005C487B"/>
    <w:rsid w:val="005D3E8B"/>
    <w:rsid w:val="005D5BA0"/>
    <w:rsid w:val="005D60BF"/>
    <w:rsid w:val="005D69D5"/>
    <w:rsid w:val="005D79D5"/>
    <w:rsid w:val="005E093E"/>
    <w:rsid w:val="005E44A9"/>
    <w:rsid w:val="005E5502"/>
    <w:rsid w:val="0060237C"/>
    <w:rsid w:val="00603D31"/>
    <w:rsid w:val="006242C8"/>
    <w:rsid w:val="006324E9"/>
    <w:rsid w:val="0063308D"/>
    <w:rsid w:val="00636CC9"/>
    <w:rsid w:val="006404DC"/>
    <w:rsid w:val="00641F99"/>
    <w:rsid w:val="006448F6"/>
    <w:rsid w:val="00645A8A"/>
    <w:rsid w:val="00646B89"/>
    <w:rsid w:val="00655675"/>
    <w:rsid w:val="0067185A"/>
    <w:rsid w:val="00673290"/>
    <w:rsid w:val="00674793"/>
    <w:rsid w:val="00675435"/>
    <w:rsid w:val="00676655"/>
    <w:rsid w:val="006835BE"/>
    <w:rsid w:val="0068438E"/>
    <w:rsid w:val="006871BE"/>
    <w:rsid w:val="00694703"/>
    <w:rsid w:val="00697C14"/>
    <w:rsid w:val="00697E07"/>
    <w:rsid w:val="00697E3E"/>
    <w:rsid w:val="006A6AB0"/>
    <w:rsid w:val="006B06F3"/>
    <w:rsid w:val="006B5A3E"/>
    <w:rsid w:val="006C5B12"/>
    <w:rsid w:val="006C5E53"/>
    <w:rsid w:val="006C682E"/>
    <w:rsid w:val="006C6C0D"/>
    <w:rsid w:val="006D3C72"/>
    <w:rsid w:val="006D53BE"/>
    <w:rsid w:val="006D67E4"/>
    <w:rsid w:val="006E0B0A"/>
    <w:rsid w:val="006E0B97"/>
    <w:rsid w:val="006E24AC"/>
    <w:rsid w:val="006E4BDE"/>
    <w:rsid w:val="006E6161"/>
    <w:rsid w:val="006E7659"/>
    <w:rsid w:val="00707C75"/>
    <w:rsid w:val="00713F50"/>
    <w:rsid w:val="00716D6F"/>
    <w:rsid w:val="00720C52"/>
    <w:rsid w:val="00722C2F"/>
    <w:rsid w:val="00732B1D"/>
    <w:rsid w:val="007355FD"/>
    <w:rsid w:val="0073761A"/>
    <w:rsid w:val="00742671"/>
    <w:rsid w:val="007434B0"/>
    <w:rsid w:val="00744710"/>
    <w:rsid w:val="007456E4"/>
    <w:rsid w:val="007459EF"/>
    <w:rsid w:val="007516E9"/>
    <w:rsid w:val="00754319"/>
    <w:rsid w:val="00764BED"/>
    <w:rsid w:val="007663E6"/>
    <w:rsid w:val="00771642"/>
    <w:rsid w:val="00775D09"/>
    <w:rsid w:val="00777D33"/>
    <w:rsid w:val="00780E8E"/>
    <w:rsid w:val="00781E18"/>
    <w:rsid w:val="007869E7"/>
    <w:rsid w:val="00790E82"/>
    <w:rsid w:val="007A09A7"/>
    <w:rsid w:val="007A166F"/>
    <w:rsid w:val="007A7820"/>
    <w:rsid w:val="007B2669"/>
    <w:rsid w:val="007B7B91"/>
    <w:rsid w:val="007C2B06"/>
    <w:rsid w:val="007C5F9A"/>
    <w:rsid w:val="007C6F40"/>
    <w:rsid w:val="007D4278"/>
    <w:rsid w:val="007E2D19"/>
    <w:rsid w:val="007F364D"/>
    <w:rsid w:val="007F7DAF"/>
    <w:rsid w:val="00801725"/>
    <w:rsid w:val="00801ACD"/>
    <w:rsid w:val="00802801"/>
    <w:rsid w:val="0080580F"/>
    <w:rsid w:val="00806788"/>
    <w:rsid w:val="00810575"/>
    <w:rsid w:val="008209DE"/>
    <w:rsid w:val="00820A12"/>
    <w:rsid w:val="00822E85"/>
    <w:rsid w:val="00822EAD"/>
    <w:rsid w:val="0083205B"/>
    <w:rsid w:val="00843CD1"/>
    <w:rsid w:val="008445AC"/>
    <w:rsid w:val="00856AEA"/>
    <w:rsid w:val="00857388"/>
    <w:rsid w:val="00857477"/>
    <w:rsid w:val="008656D6"/>
    <w:rsid w:val="0087235C"/>
    <w:rsid w:val="00873DAD"/>
    <w:rsid w:val="0087423A"/>
    <w:rsid w:val="00875625"/>
    <w:rsid w:val="00886DDF"/>
    <w:rsid w:val="008877B7"/>
    <w:rsid w:val="008964C3"/>
    <w:rsid w:val="00897DA8"/>
    <w:rsid w:val="008A58B5"/>
    <w:rsid w:val="008B008E"/>
    <w:rsid w:val="008C02C0"/>
    <w:rsid w:val="008C7DF0"/>
    <w:rsid w:val="008D1C36"/>
    <w:rsid w:val="008E144F"/>
    <w:rsid w:val="008E1906"/>
    <w:rsid w:val="008E642A"/>
    <w:rsid w:val="008F1094"/>
    <w:rsid w:val="008F19EA"/>
    <w:rsid w:val="008F3343"/>
    <w:rsid w:val="008F409E"/>
    <w:rsid w:val="008F63C5"/>
    <w:rsid w:val="008F7E29"/>
    <w:rsid w:val="00906C56"/>
    <w:rsid w:val="00912CBC"/>
    <w:rsid w:val="009157ED"/>
    <w:rsid w:val="00915E88"/>
    <w:rsid w:val="0092124C"/>
    <w:rsid w:val="00921540"/>
    <w:rsid w:val="009257B4"/>
    <w:rsid w:val="00932F1A"/>
    <w:rsid w:val="00937E5C"/>
    <w:rsid w:val="009448F0"/>
    <w:rsid w:val="00947B20"/>
    <w:rsid w:val="00950C79"/>
    <w:rsid w:val="00973173"/>
    <w:rsid w:val="0097621C"/>
    <w:rsid w:val="00983F4D"/>
    <w:rsid w:val="009843EE"/>
    <w:rsid w:val="00990701"/>
    <w:rsid w:val="009918BE"/>
    <w:rsid w:val="00991932"/>
    <w:rsid w:val="009A0773"/>
    <w:rsid w:val="009A3E62"/>
    <w:rsid w:val="009A6E12"/>
    <w:rsid w:val="009B6310"/>
    <w:rsid w:val="009C07A3"/>
    <w:rsid w:val="009C17DE"/>
    <w:rsid w:val="009C2EC1"/>
    <w:rsid w:val="009D2B6A"/>
    <w:rsid w:val="009E2F61"/>
    <w:rsid w:val="009F1D4B"/>
    <w:rsid w:val="009F2AB7"/>
    <w:rsid w:val="009F3B2F"/>
    <w:rsid w:val="009F4482"/>
    <w:rsid w:val="00A016C9"/>
    <w:rsid w:val="00A02B4F"/>
    <w:rsid w:val="00A12BFF"/>
    <w:rsid w:val="00A23624"/>
    <w:rsid w:val="00A23987"/>
    <w:rsid w:val="00A32C04"/>
    <w:rsid w:val="00A340E3"/>
    <w:rsid w:val="00A36224"/>
    <w:rsid w:val="00A402E6"/>
    <w:rsid w:val="00A57EDF"/>
    <w:rsid w:val="00A60D63"/>
    <w:rsid w:val="00A62449"/>
    <w:rsid w:val="00A70F6D"/>
    <w:rsid w:val="00A75EB1"/>
    <w:rsid w:val="00A803F5"/>
    <w:rsid w:val="00A8578E"/>
    <w:rsid w:val="00A8730D"/>
    <w:rsid w:val="00A93503"/>
    <w:rsid w:val="00A967FF"/>
    <w:rsid w:val="00A97AB7"/>
    <w:rsid w:val="00AA008B"/>
    <w:rsid w:val="00AA094A"/>
    <w:rsid w:val="00AA0F99"/>
    <w:rsid w:val="00AB2231"/>
    <w:rsid w:val="00AB44CD"/>
    <w:rsid w:val="00AB5838"/>
    <w:rsid w:val="00AC0515"/>
    <w:rsid w:val="00AC65FD"/>
    <w:rsid w:val="00AD0438"/>
    <w:rsid w:val="00AD5AB8"/>
    <w:rsid w:val="00AD5B7F"/>
    <w:rsid w:val="00AD7966"/>
    <w:rsid w:val="00AF4E71"/>
    <w:rsid w:val="00AF57A4"/>
    <w:rsid w:val="00B011BF"/>
    <w:rsid w:val="00B07545"/>
    <w:rsid w:val="00B205F6"/>
    <w:rsid w:val="00B21B83"/>
    <w:rsid w:val="00B2255B"/>
    <w:rsid w:val="00B257E5"/>
    <w:rsid w:val="00B264EF"/>
    <w:rsid w:val="00B267F5"/>
    <w:rsid w:val="00B361EC"/>
    <w:rsid w:val="00B36576"/>
    <w:rsid w:val="00B37B9E"/>
    <w:rsid w:val="00B451E8"/>
    <w:rsid w:val="00B527C9"/>
    <w:rsid w:val="00B6029B"/>
    <w:rsid w:val="00B7143F"/>
    <w:rsid w:val="00B73CED"/>
    <w:rsid w:val="00B83DFA"/>
    <w:rsid w:val="00B97EC2"/>
    <w:rsid w:val="00BA4F35"/>
    <w:rsid w:val="00BB2421"/>
    <w:rsid w:val="00BC1F9F"/>
    <w:rsid w:val="00BC276F"/>
    <w:rsid w:val="00BD3548"/>
    <w:rsid w:val="00BE0DE6"/>
    <w:rsid w:val="00BE44D4"/>
    <w:rsid w:val="00BE7DDA"/>
    <w:rsid w:val="00BF4B90"/>
    <w:rsid w:val="00BF587D"/>
    <w:rsid w:val="00BF6E13"/>
    <w:rsid w:val="00C025B9"/>
    <w:rsid w:val="00C10D54"/>
    <w:rsid w:val="00C11DBB"/>
    <w:rsid w:val="00C1211A"/>
    <w:rsid w:val="00C142E4"/>
    <w:rsid w:val="00C20215"/>
    <w:rsid w:val="00C26618"/>
    <w:rsid w:val="00C316BF"/>
    <w:rsid w:val="00C3209A"/>
    <w:rsid w:val="00C35C17"/>
    <w:rsid w:val="00C40944"/>
    <w:rsid w:val="00C43EFA"/>
    <w:rsid w:val="00C4525D"/>
    <w:rsid w:val="00C45723"/>
    <w:rsid w:val="00C62617"/>
    <w:rsid w:val="00C6451A"/>
    <w:rsid w:val="00C6787C"/>
    <w:rsid w:val="00C679C1"/>
    <w:rsid w:val="00C71EDE"/>
    <w:rsid w:val="00C83D4C"/>
    <w:rsid w:val="00C85571"/>
    <w:rsid w:val="00C932B1"/>
    <w:rsid w:val="00C94650"/>
    <w:rsid w:val="00C9471D"/>
    <w:rsid w:val="00C95A46"/>
    <w:rsid w:val="00CA2DAF"/>
    <w:rsid w:val="00CA5546"/>
    <w:rsid w:val="00CA6C89"/>
    <w:rsid w:val="00CA7C02"/>
    <w:rsid w:val="00CC58ED"/>
    <w:rsid w:val="00CC7E6E"/>
    <w:rsid w:val="00CD73AC"/>
    <w:rsid w:val="00CE2F63"/>
    <w:rsid w:val="00CE4166"/>
    <w:rsid w:val="00D0586A"/>
    <w:rsid w:val="00D15C5B"/>
    <w:rsid w:val="00D16B6F"/>
    <w:rsid w:val="00D202CD"/>
    <w:rsid w:val="00D250DA"/>
    <w:rsid w:val="00D3009F"/>
    <w:rsid w:val="00D32F38"/>
    <w:rsid w:val="00D3531A"/>
    <w:rsid w:val="00D3538F"/>
    <w:rsid w:val="00D35C51"/>
    <w:rsid w:val="00D42D47"/>
    <w:rsid w:val="00D45992"/>
    <w:rsid w:val="00D508D3"/>
    <w:rsid w:val="00D51415"/>
    <w:rsid w:val="00D6480B"/>
    <w:rsid w:val="00D80B5C"/>
    <w:rsid w:val="00D823D7"/>
    <w:rsid w:val="00D82488"/>
    <w:rsid w:val="00D84742"/>
    <w:rsid w:val="00D90D7B"/>
    <w:rsid w:val="00D9575F"/>
    <w:rsid w:val="00D96E8F"/>
    <w:rsid w:val="00D974D2"/>
    <w:rsid w:val="00DA73D2"/>
    <w:rsid w:val="00DB4A8E"/>
    <w:rsid w:val="00DB5AEA"/>
    <w:rsid w:val="00DB68E5"/>
    <w:rsid w:val="00DC187A"/>
    <w:rsid w:val="00DD3C4C"/>
    <w:rsid w:val="00DE28A7"/>
    <w:rsid w:val="00DE5380"/>
    <w:rsid w:val="00DF3BFC"/>
    <w:rsid w:val="00E0003A"/>
    <w:rsid w:val="00E26C16"/>
    <w:rsid w:val="00E3112A"/>
    <w:rsid w:val="00E327E4"/>
    <w:rsid w:val="00E36339"/>
    <w:rsid w:val="00E366C2"/>
    <w:rsid w:val="00E460C9"/>
    <w:rsid w:val="00E529F0"/>
    <w:rsid w:val="00E53485"/>
    <w:rsid w:val="00E61447"/>
    <w:rsid w:val="00E6168B"/>
    <w:rsid w:val="00E9114D"/>
    <w:rsid w:val="00EA7FA7"/>
    <w:rsid w:val="00EB63A7"/>
    <w:rsid w:val="00EB77D5"/>
    <w:rsid w:val="00ED2700"/>
    <w:rsid w:val="00ED292A"/>
    <w:rsid w:val="00ED34C5"/>
    <w:rsid w:val="00ED39D7"/>
    <w:rsid w:val="00ED3A4F"/>
    <w:rsid w:val="00ED3EC8"/>
    <w:rsid w:val="00EE6CA0"/>
    <w:rsid w:val="00EF0EA5"/>
    <w:rsid w:val="00EF5CCD"/>
    <w:rsid w:val="00EF68FF"/>
    <w:rsid w:val="00EF7896"/>
    <w:rsid w:val="00F076BD"/>
    <w:rsid w:val="00F11133"/>
    <w:rsid w:val="00F13BB2"/>
    <w:rsid w:val="00F15D2A"/>
    <w:rsid w:val="00F16972"/>
    <w:rsid w:val="00F204FA"/>
    <w:rsid w:val="00F21D5B"/>
    <w:rsid w:val="00F22449"/>
    <w:rsid w:val="00F24AAA"/>
    <w:rsid w:val="00F324C3"/>
    <w:rsid w:val="00F3679F"/>
    <w:rsid w:val="00F37C3A"/>
    <w:rsid w:val="00F415C8"/>
    <w:rsid w:val="00F57F49"/>
    <w:rsid w:val="00F60B5C"/>
    <w:rsid w:val="00F60E57"/>
    <w:rsid w:val="00F700E9"/>
    <w:rsid w:val="00F7250F"/>
    <w:rsid w:val="00F74849"/>
    <w:rsid w:val="00F7660C"/>
    <w:rsid w:val="00F8616D"/>
    <w:rsid w:val="00F86A13"/>
    <w:rsid w:val="00F90983"/>
    <w:rsid w:val="00F90B7A"/>
    <w:rsid w:val="00FA652E"/>
    <w:rsid w:val="00FB453B"/>
    <w:rsid w:val="00FB775E"/>
    <w:rsid w:val="00FC2DF7"/>
    <w:rsid w:val="00FC3C3F"/>
    <w:rsid w:val="00FC4923"/>
    <w:rsid w:val="00FD0FAF"/>
    <w:rsid w:val="00FE0D91"/>
    <w:rsid w:val="00FE56D0"/>
    <w:rsid w:val="00FE5AAD"/>
    <w:rsid w:val="00FF281F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4DC64DAB"/>
  <w15:chartTrackingRefBased/>
  <w15:docId w15:val="{C2A0AE1C-E60C-4865-9086-0022077A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64BED"/>
    <w:rPr>
      <w:sz w:val="24"/>
      <w:szCs w:val="24"/>
    </w:rPr>
  </w:style>
  <w:style w:type="paragraph" w:styleId="1">
    <w:name w:val="heading 1"/>
    <w:basedOn w:val="a"/>
    <w:next w:val="a"/>
    <w:qFormat/>
    <w:rsid w:val="00764B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64BED"/>
    <w:pPr>
      <w:spacing w:after="120"/>
    </w:pPr>
    <w:rPr>
      <w:szCs w:val="20"/>
    </w:rPr>
  </w:style>
  <w:style w:type="paragraph" w:styleId="3">
    <w:name w:val="Body Text 3"/>
    <w:basedOn w:val="a"/>
    <w:link w:val="30"/>
    <w:rsid w:val="00D202CD"/>
    <w:pPr>
      <w:spacing w:after="120"/>
    </w:pPr>
    <w:rPr>
      <w:rFonts w:ascii="Arial" w:hAnsi="Arial"/>
      <w:sz w:val="20"/>
      <w:szCs w:val="16"/>
    </w:rPr>
  </w:style>
  <w:style w:type="character" w:styleId="a4">
    <w:name w:val="Hyperlink"/>
    <w:rsid w:val="00641F99"/>
    <w:rPr>
      <w:color w:val="0000FF"/>
      <w:u w:val="single"/>
    </w:rPr>
  </w:style>
  <w:style w:type="paragraph" w:styleId="a5">
    <w:name w:val="Balloon Text"/>
    <w:basedOn w:val="a"/>
    <w:semiHidden/>
    <w:rsid w:val="00C025B9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7516E9"/>
    <w:pPr>
      <w:spacing w:before="100" w:beforeAutospacing="1" w:after="100" w:afterAutospacing="1"/>
    </w:pPr>
  </w:style>
  <w:style w:type="paragraph" w:styleId="a6">
    <w:name w:val="header"/>
    <w:basedOn w:val="a"/>
    <w:link w:val="a7"/>
    <w:rsid w:val="00FE56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FE56D0"/>
    <w:rPr>
      <w:sz w:val="24"/>
      <w:szCs w:val="24"/>
    </w:rPr>
  </w:style>
  <w:style w:type="paragraph" w:styleId="a8">
    <w:name w:val="footer"/>
    <w:basedOn w:val="a"/>
    <w:link w:val="a9"/>
    <w:uiPriority w:val="99"/>
    <w:rsid w:val="00FE56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FE56D0"/>
    <w:rPr>
      <w:sz w:val="24"/>
      <w:szCs w:val="24"/>
    </w:rPr>
  </w:style>
  <w:style w:type="character" w:styleId="aa">
    <w:name w:val="annotation reference"/>
    <w:rsid w:val="00991932"/>
    <w:rPr>
      <w:sz w:val="16"/>
      <w:szCs w:val="16"/>
    </w:rPr>
  </w:style>
  <w:style w:type="paragraph" w:styleId="ab">
    <w:name w:val="annotation text"/>
    <w:basedOn w:val="a"/>
    <w:link w:val="ac"/>
    <w:rsid w:val="009919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991932"/>
  </w:style>
  <w:style w:type="paragraph" w:styleId="ad">
    <w:name w:val="annotation subject"/>
    <w:basedOn w:val="ab"/>
    <w:next w:val="ab"/>
    <w:link w:val="ae"/>
    <w:rsid w:val="00991932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991932"/>
    <w:rPr>
      <w:b/>
      <w:bCs/>
    </w:rPr>
  </w:style>
  <w:style w:type="table" w:styleId="af">
    <w:name w:val="Table Grid"/>
    <w:basedOn w:val="a1"/>
    <w:rsid w:val="001D5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CharChar">
    <w:name w:val="Знак Знак1 Знак Знак Знак1 Знак Знак Знак Знак Char Знак Char Знак"/>
    <w:basedOn w:val="a"/>
    <w:rsid w:val="00FC4923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781E18"/>
    <w:rPr>
      <w:lang w:val="en-US"/>
    </w:rPr>
  </w:style>
  <w:style w:type="paragraph" w:styleId="2">
    <w:name w:val="Body Text Indent 2"/>
    <w:basedOn w:val="a"/>
    <w:link w:val="20"/>
    <w:rsid w:val="0017567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locked/>
    <w:rsid w:val="0017567D"/>
    <w:rPr>
      <w:sz w:val="24"/>
      <w:szCs w:val="24"/>
      <w:lang w:val="ru-RU" w:eastAsia="ru-RU" w:bidi="ar-SA"/>
    </w:rPr>
  </w:style>
  <w:style w:type="character" w:customStyle="1" w:styleId="30">
    <w:name w:val="Основной текст 3 Знак"/>
    <w:link w:val="3"/>
    <w:rsid w:val="002445C0"/>
    <w:rPr>
      <w:rFonts w:ascii="Arial" w:hAnsi="Arial"/>
      <w:szCs w:val="16"/>
    </w:rPr>
  </w:style>
  <w:style w:type="paragraph" w:styleId="af0">
    <w:name w:val="List Paragraph"/>
    <w:basedOn w:val="a"/>
    <w:uiPriority w:val="34"/>
    <w:qFormat/>
    <w:rsid w:val="007459EF"/>
    <w:pPr>
      <w:ind w:left="720"/>
      <w:contextualSpacing/>
    </w:pPr>
  </w:style>
  <w:style w:type="paragraph" w:styleId="af1">
    <w:name w:val="Revision"/>
    <w:hidden/>
    <w:uiPriority w:val="99"/>
    <w:semiHidden/>
    <w:rsid w:val="00F367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3.wmf"/><Relationship Id="rId42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4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Губин Денис Борисович</dc:creator>
  <cp:keywords/>
  <cp:lastModifiedBy>Губин Денис Борисович</cp:lastModifiedBy>
  <cp:revision>5</cp:revision>
  <cp:lastPrinted>2014-02-19T13:59:00Z</cp:lastPrinted>
  <dcterms:created xsi:type="dcterms:W3CDTF">2024-10-16T12:34:00Z</dcterms:created>
  <dcterms:modified xsi:type="dcterms:W3CDTF">2024-10-30T03:38:00Z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