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НКО НКЦ (АО)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25F" w:rsidRPr="00EC125F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EC125F" w:rsidRPr="00EC125F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спонсируемого доступа на фондовом рынке</w:t>
      </w: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C125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C125F" w:rsidRPr="00EC125F" w:rsidTr="006E439F">
        <w:tc>
          <w:tcPr>
            <w:tcW w:w="2660" w:type="dxa"/>
            <w:shd w:val="clear" w:color="auto" w:fill="D9D9D9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EC125F" w:rsidRPr="00EC125F" w:rsidTr="006E439F">
        <w:tc>
          <w:tcPr>
            <w:tcW w:w="2660" w:type="dxa"/>
            <w:shd w:val="clear" w:color="auto" w:fill="D9D9D9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C125F">
        <w:rPr>
          <w:rFonts w:ascii="Times New Roman" w:eastAsia="Times New Roman" w:hAnsi="Times New Roman" w:cs="Times New Roman"/>
          <w:lang w:eastAsia="ru-RU"/>
        </w:rPr>
        <w:t>Просит</w:t>
      </w:r>
      <w:r w:rsidR="00017B79"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="00017B79" w:rsidRPr="007665F3">
        <w:rPr>
          <w:rFonts w:ascii="Times New Roman" w:eastAsia="Times New Roman" w:hAnsi="Times New Roman" w:cs="Times New Roman"/>
          <w:lang w:eastAsia="ru-RU"/>
        </w:rPr>
        <w:t xml:space="preserve">Интегрированного технологического </w:t>
      </w:r>
      <w:proofErr w:type="gramStart"/>
      <w:r w:rsidR="00017B79" w:rsidRPr="007665F3">
        <w:rPr>
          <w:rFonts w:ascii="Times New Roman" w:eastAsia="Times New Roman" w:hAnsi="Times New Roman" w:cs="Times New Roman"/>
          <w:lang w:eastAsia="ru-RU"/>
        </w:rPr>
        <w:t>сервиса</w:t>
      </w:r>
      <w:r w:rsidR="00017B79">
        <w:rPr>
          <w:rFonts w:ascii="Times New Roman" w:eastAsia="Times New Roman" w:hAnsi="Times New Roman" w:cs="Times New Roman"/>
          <w:lang w:eastAsia="ru-RU"/>
        </w:rPr>
        <w:t>,</w:t>
      </w:r>
      <w:r w:rsidR="00B772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017B79"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35901">
        <w:rPr>
          <w:rFonts w:ascii="Times New Roman" w:eastAsia="Times New Roman" w:hAnsi="Times New Roman" w:cs="Times New Roman"/>
          <w:lang w:eastAsia="ru-RU"/>
        </w:rPr>
        <w:t>№</w:t>
      </w:r>
      <w:proofErr w:type="gramEnd"/>
      <w:r w:rsidR="00B35901">
        <w:rPr>
          <w:rFonts w:ascii="Times New Roman" w:eastAsia="Times New Roman" w:hAnsi="Times New Roman" w:cs="Times New Roman"/>
          <w:lang w:eastAsia="ru-RU"/>
        </w:rPr>
        <w:t xml:space="preserve"> _______ от «___» ________ 20___, </w:t>
      </w:r>
      <w:r w:rsidRPr="00EC125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</w:t>
      </w:r>
      <w:r w:rsidR="000B160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0B160C" w:rsidRPr="00EC125F">
        <w:rPr>
          <w:rFonts w:ascii="Times New Roman" w:eastAsia="Times New Roman" w:hAnsi="Times New Roman" w:cs="Times New Roman"/>
          <w:i/>
          <w:lang w:eastAsia="ru-RU"/>
        </w:rPr>
        <w:t xml:space="preserve">или </w:t>
      </w:r>
      <w:r w:rsidRPr="00EC125F">
        <w:rPr>
          <w:rFonts w:ascii="Times New Roman" w:eastAsia="Times New Roman" w:hAnsi="Times New Roman" w:cs="Times New Roman"/>
          <w:i/>
          <w:lang w:eastAsia="ru-RU"/>
        </w:rPr>
        <w:t>С):</w:t>
      </w: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C125F" w:rsidRPr="00EC125F" w:rsidTr="006E439F">
        <w:tc>
          <w:tcPr>
            <w:tcW w:w="9747" w:type="dxa"/>
            <w:shd w:val="clear" w:color="auto" w:fill="auto"/>
          </w:tcPr>
          <w:p w:rsidR="00EC125F" w:rsidRPr="00EC125F" w:rsidRDefault="00000A0A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343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спонсируемого доступа (далее – ИСД) в количестве__________</w:t>
            </w:r>
          </w:p>
        </w:tc>
      </w:tr>
      <w:tr w:rsidR="00EC125F" w:rsidRPr="00EC125F" w:rsidTr="006E439F">
        <w:tc>
          <w:tcPr>
            <w:tcW w:w="974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с ОДИНАКОВЫМИ полномочиями</w:t>
            </w:r>
          </w:p>
        </w:tc>
      </w:tr>
      <w:tr w:rsidR="00EC125F" w:rsidRPr="00EC125F" w:rsidTr="006E439F">
        <w:tc>
          <w:tcPr>
            <w:tcW w:w="9747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 на фондовом рынке» </w:t>
            </w:r>
          </w:p>
        </w:tc>
      </w:tr>
    </w:tbl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EC125F" w:rsidRPr="00EC125F" w:rsidTr="00254701">
        <w:tc>
          <w:tcPr>
            <w:tcW w:w="5524" w:type="dxa"/>
            <w:shd w:val="clear" w:color="auto" w:fill="auto"/>
          </w:tcPr>
          <w:p w:rsidR="00EC125F" w:rsidRPr="00EC125F" w:rsidRDefault="00000A0A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235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</w:p>
        </w:tc>
        <w:tc>
          <w:tcPr>
            <w:tcW w:w="4110" w:type="dxa"/>
          </w:tcPr>
          <w:p w:rsidR="00EC125F" w:rsidRPr="00EC125F" w:rsidRDefault="00000A0A" w:rsidP="00EC125F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8835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EC125F" w:rsidRPr="00EC125F" w:rsidTr="00254701">
        <w:tc>
          <w:tcPr>
            <w:tcW w:w="5524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110" w:type="dxa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EC125F" w:rsidRPr="00EC125F" w:rsidTr="00254701">
        <w:tc>
          <w:tcPr>
            <w:tcW w:w="5524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ИСД на фондовом рынке»</w:t>
            </w:r>
          </w:p>
        </w:tc>
        <w:tc>
          <w:tcPr>
            <w:tcW w:w="4110" w:type="dxa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EC125F" w:rsidRPr="00EC125F" w:rsidTr="006E439F">
        <w:tc>
          <w:tcPr>
            <w:tcW w:w="9634" w:type="dxa"/>
            <w:gridSpan w:val="2"/>
            <w:shd w:val="clear" w:color="auto" w:fill="D9D9D9"/>
            <w:vAlign w:val="center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которому(</w:t>
            </w:r>
            <w:proofErr w:type="spellStart"/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изменить Торговый(е) идентификатор(ы); идентификатор(ы), который(</w:t>
            </w:r>
            <w:proofErr w:type="spellStart"/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EC125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EC125F" w:rsidRPr="00EC125F" w:rsidTr="006E439F">
        <w:tc>
          <w:tcPr>
            <w:tcW w:w="9634" w:type="dxa"/>
            <w:gridSpan w:val="2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54701" w:rsidRPr="008D1B00" w:rsidRDefault="00254701" w:rsidP="002547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EC125F" w:rsidRPr="0025470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119"/>
        <w:gridCol w:w="425"/>
        <w:gridCol w:w="397"/>
        <w:gridCol w:w="1304"/>
        <w:gridCol w:w="284"/>
        <w:gridCol w:w="1842"/>
        <w:gridCol w:w="2835"/>
      </w:tblGrid>
      <w:tr w:rsidR="00EC125F" w:rsidRPr="00EC125F" w:rsidTr="002268E4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C125F" w:rsidRPr="00EC125F" w:rsidTr="002268E4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425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835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A505D" w:rsidRPr="00BD26E2" w:rsidRDefault="001A505D" w:rsidP="001A505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EC125F" w:rsidRPr="00C418C3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5307" w:type="dxa"/>
        <w:tblInd w:w="4629" w:type="dxa"/>
        <w:tblLook w:val="04A0" w:firstRow="1" w:lastRow="0" w:firstColumn="1" w:lastColumn="0" w:noHBand="0" w:noVBand="1"/>
      </w:tblPr>
      <w:tblGrid>
        <w:gridCol w:w="1114"/>
        <w:gridCol w:w="4193"/>
      </w:tblGrid>
      <w:tr w:rsidR="00EC125F" w:rsidRPr="00EC125F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C125F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C125F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125F" w:rsidRPr="00EC125F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C125F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EC125F" w:rsidRPr="00EC125F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bookmarkStart w:id="0" w:name="_GoBack"/>
      <w:bookmarkEnd w:id="0"/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EC125F" w:rsidRPr="00EC125F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EC125F" w:rsidRPr="00EC125F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EC125F" w:rsidRPr="00EC125F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EC125F" w:rsidRPr="00EC125F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125F" w:rsidRPr="00EC125F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EC125F" w:rsidRPr="00EC125F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125F" w:rsidRPr="00EC125F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254701" w:rsidRPr="00254701" w:rsidRDefault="00254701">
      <w:pPr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254701"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br w:type="page"/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 на фондовом рынке</w:t>
      </w: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2949"/>
        <w:gridCol w:w="1628"/>
        <w:gridCol w:w="1628"/>
        <w:gridCol w:w="99"/>
        <w:gridCol w:w="71"/>
        <w:gridCol w:w="1840"/>
        <w:gridCol w:w="1454"/>
      </w:tblGrid>
      <w:tr w:rsidR="00EC125F" w:rsidRPr="00EC125F" w:rsidTr="006E439F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gram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:rsidR="00EC125F" w:rsidRPr="00EC125F" w:rsidRDefault="00000A0A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3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:rsidR="00EC125F" w:rsidRPr="00EC125F" w:rsidRDefault="00000A0A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8745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EC125F" w:rsidRPr="00EC125F" w:rsidRDefault="00000A0A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353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3461" w:type="dxa"/>
            <w:gridSpan w:val="4"/>
            <w:shd w:val="clear" w:color="auto" w:fill="auto"/>
            <w:vAlign w:val="center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EC125F" w:rsidRPr="00EC125F" w:rsidRDefault="00000A0A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884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3461" w:type="dxa"/>
            <w:gridSpan w:val="4"/>
            <w:shd w:val="clear" w:color="auto" w:fill="auto"/>
            <w:vAlign w:val="center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Краткий(е) код(ы) зарегистрированного(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ых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Клиента(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proofErr w:type="gram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6719" w:type="dxa"/>
            <w:gridSpan w:val="6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3357" w:type="dxa"/>
            <w:gridSpan w:val="3"/>
            <w:shd w:val="clear" w:color="auto" w:fill="auto"/>
            <w:vAlign w:val="center"/>
          </w:tcPr>
          <w:p w:rsidR="00EC125F" w:rsidRPr="00EC125F" w:rsidRDefault="00000A0A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774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362" w:type="dxa"/>
            <w:gridSpan w:val="3"/>
            <w:shd w:val="clear" w:color="auto" w:fill="auto"/>
            <w:vAlign w:val="center"/>
          </w:tcPr>
          <w:p w:rsidR="00EC125F" w:rsidRPr="00EC125F" w:rsidRDefault="00000A0A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7403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EC125F" w:rsidRPr="00EC125F" w:rsidTr="00EC125F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3357" w:type="dxa"/>
            <w:gridSpan w:val="3"/>
            <w:shd w:val="clear" w:color="auto" w:fill="D9D9D9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proofErr w:type="gram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3362" w:type="dxa"/>
            <w:gridSpan w:val="3"/>
            <w:shd w:val="clear" w:color="auto" w:fill="D9D9D9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proofErr w:type="gram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EC125F" w:rsidRPr="00EC125F" w:rsidRDefault="00000A0A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332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EC125F" w:rsidRPr="00EC125F" w:rsidRDefault="00000A0A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92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EC125F" w:rsidRPr="00EC125F" w:rsidRDefault="00000A0A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582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3362" w:type="dxa"/>
            <w:gridSpan w:val="3"/>
            <w:shd w:val="clear" w:color="auto" w:fill="auto"/>
          </w:tcPr>
          <w:p w:rsidR="00EC125F" w:rsidRPr="00EC125F" w:rsidRDefault="00000A0A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98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</w:p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719" w:type="dxa"/>
            <w:gridSpan w:val="6"/>
            <w:shd w:val="clear" w:color="auto" w:fill="D9D9D9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ИСД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EC125F" w:rsidRPr="00EC125F" w:rsidRDefault="00000A0A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690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EC125F" w:rsidRPr="00EC125F" w:rsidRDefault="00000A0A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6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</w:t>
            </w:r>
            <w:proofErr w:type="gram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Drop-Copy disconnect</w:t>
            </w:r>
          </w:p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719" w:type="dxa"/>
            <w:gridSpan w:val="6"/>
            <w:shd w:val="clear" w:color="auto" w:fill="D9D9D9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с основным и резервным (при его наличии) Торговыми идентификаторами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EC125F" w:rsidRPr="00EC125F" w:rsidRDefault="00000A0A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6859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EC125F" w:rsidRPr="00EC125F" w:rsidRDefault="00000A0A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915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C125F" w:rsidRPr="00EC125F" w:rsidTr="006E439F">
        <w:trPr>
          <w:trHeight w:val="20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</w:p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Необходимо указать один или несколько ТКС</w:t>
            </w:r>
          </w:p>
        </w:tc>
        <w:tc>
          <w:tcPr>
            <w:tcW w:w="6719" w:type="dxa"/>
            <w:gridSpan w:val="6"/>
            <w:shd w:val="clear" w:color="auto" w:fill="auto"/>
          </w:tcPr>
          <w:p w:rsidR="00EC125F" w:rsidRPr="00EC125F" w:rsidRDefault="00000A0A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9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EC125F" w:rsidRPr="00EC125F" w:rsidRDefault="00000A0A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29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:rsidR="00EC125F" w:rsidRPr="00EC125F" w:rsidRDefault="00000A0A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457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EC125F" w:rsidRPr="00EC125F" w:rsidTr="003B344D">
        <w:trPr>
          <w:trHeight w:val="20"/>
          <w:jc w:val="center"/>
        </w:trPr>
        <w:tc>
          <w:tcPr>
            <w:tcW w:w="4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1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EC125F" w:rsidRPr="00EC125F" w:rsidTr="003B3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5F" w:rsidRPr="00EC125F" w:rsidRDefault="00EC125F" w:rsidP="00EC125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5F" w:rsidRPr="00EC125F" w:rsidRDefault="00EC125F" w:rsidP="00EC125F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EC125F" w:rsidRPr="00EC125F" w:rsidRDefault="00EC125F" w:rsidP="00EC125F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По умолчанию информация не транслируется (вследствие наличия ограничений по ТКС).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5F" w:rsidRPr="00EC125F" w:rsidRDefault="00EC125F" w:rsidP="00EC125F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:rsidR="00EC125F" w:rsidRPr="00EC125F" w:rsidRDefault="00EC125F" w:rsidP="00EC125F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влечет невозможность выставить заявку с признаком «Заявка </w:t>
            </w:r>
            <w:proofErr w:type="spellStart"/>
            <w:r w:rsidRPr="00EC125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маркет-мейкера</w:t>
            </w:r>
            <w:proofErr w:type="spellEnd"/>
            <w:r w:rsidRPr="00EC125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25F" w:rsidRPr="00EC125F" w:rsidRDefault="00000A0A" w:rsidP="00EC125F">
            <w:pPr>
              <w:overflowPunct w:val="0"/>
              <w:autoSpaceDE w:val="0"/>
              <w:autoSpaceDN w:val="0"/>
              <w:spacing w:after="6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99216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25F" w:rsidRPr="00EC125F" w:rsidRDefault="00000A0A" w:rsidP="00EC125F">
            <w:pPr>
              <w:overflowPunct w:val="0"/>
              <w:autoSpaceDE w:val="0"/>
              <w:autoSpaceDN w:val="0"/>
              <w:spacing w:after="6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27390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</w:tbl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EC125F" w:rsidRPr="00EC125F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C125F" w:rsidRPr="00EC125F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C125F" w:rsidRPr="00EC125F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224EB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Необходимо указать один Торговый идентификатор (основной) или два Торговых идентификатора (основной и резервный). Указываемый(е) Торговый(е) идентификатор(ы) должны быть подключены с помощью программного обеспечения, которое вызывает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Участник торгов сам определяет, какой идентификатор является основным. В случае ограничения Торговых идентификаторов по ТКС Участник торгов обеспечивает подачу поручений с использованием ИСД только в рамках ТКС, разрешенных Торговому(</w:t>
      </w:r>
      <w:proofErr w:type="spellStart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ым</w:t>
      </w:r>
      <w:proofErr w:type="spellEnd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идентификатору(</w:t>
      </w:r>
      <w:proofErr w:type="spellStart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ам</w:t>
      </w:r>
      <w:proofErr w:type="spellEnd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(</w:t>
      </w:r>
      <w:proofErr w:type="spellStart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master-login</w:t>
      </w:r>
      <w:proofErr w:type="spellEnd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).</w:t>
      </w:r>
    </w:p>
    <w:p w:rsidR="00EC125F" w:rsidRPr="00E224EB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Указываются Краткие коды зарегистрированных Клиентов, которым будут передан(ы) ИСД.</w:t>
      </w:r>
    </w:p>
    <w:p w:rsidR="00E36ED7" w:rsidRPr="00E224EB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подачу отчетов на исполнение в клиринговую систему</w:t>
      </w:r>
      <w:r w:rsidR="00AD2A24"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:rsidR="00EC125F" w:rsidRPr="00E224EB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системе.</w:t>
      </w:r>
    </w:p>
    <w:p w:rsidR="00EC125F" w:rsidRPr="00EC125F" w:rsidRDefault="00EC125F" w:rsidP="00EC125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hanging="709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EC125F" w:rsidRPr="00EC125F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об </w:t>
      </w:r>
    </w:p>
    <w:p w:rsidR="00EC125F" w:rsidRPr="00622D89" w:rsidRDefault="00EC125F" w:rsidP="00622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:rsidR="00EC125F" w:rsidRP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 на фондовом рынке</w:t>
      </w:r>
    </w:p>
    <w:p w:rsidR="00EC125F" w:rsidRPr="00294D86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C125F" w:rsidRPr="00EC125F" w:rsidRDefault="00000A0A" w:rsidP="00EC125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56614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1A6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EC125F" w:rsidRPr="00EC1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C125F" w:rsidRPr="00EC125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C125F" w:rsidRPr="00EC125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EC125F" w:rsidRPr="00EC125F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F875D3" w:rsidRPr="00622D89">
        <w:rPr>
          <w:rFonts w:ascii="Times New Roman" w:eastAsia="Times New Roman" w:hAnsi="Times New Roman" w:cs="Times New Roman"/>
          <w:b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F875D3" w:rsidRPr="00622D89">
        <w:rPr>
          <w:rFonts w:ascii="Times New Roman" w:eastAsia="Times New Roman" w:hAnsi="Times New Roman" w:cs="Times New Roman"/>
          <w:b/>
          <w:spacing w:val="-5"/>
          <w:sz w:val="20"/>
          <w:szCs w:val="20"/>
          <w:vertAlign w:val="superscript"/>
          <w:lang w:eastAsia="ru-RU"/>
        </w:rPr>
        <w:t>1)</w:t>
      </w:r>
      <w:r w:rsidR="00EC125F" w:rsidRPr="00EC125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(</w:t>
      </w:r>
      <w:r w:rsidR="00EC125F" w:rsidRPr="00EC125F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тип идентификатора Торговый или Просмотровый</w:t>
      </w:r>
      <w:r w:rsidR="00EC125F" w:rsidRPr="00EC125F">
        <w:rPr>
          <w:rFonts w:ascii="Times New Roman" w:eastAsia="Times New Roman" w:hAnsi="Times New Roman" w:cs="Times New Roman"/>
          <w:b/>
          <w:u w:val="single"/>
          <w:lang w:eastAsia="ru-RU"/>
        </w:rPr>
        <w:t>)</w:t>
      </w:r>
    </w:p>
    <w:tbl>
      <w:tblPr>
        <w:tblW w:w="100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399"/>
      </w:tblGrid>
      <w:tr w:rsidR="00EC125F" w:rsidRPr="00EC125F" w:rsidTr="00E224EB">
        <w:trPr>
          <w:trHeight w:val="49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терминала</w:t>
            </w:r>
          </w:p>
          <w:p w:rsidR="00EC125F" w:rsidRPr="00EC125F" w:rsidRDefault="00EC125F" w:rsidP="00DB15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</w:t>
            </w:r>
            <w:r w:rsidR="00DB15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F" w:rsidRPr="001A505D" w:rsidRDefault="00000A0A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958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017B7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017B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</w:t>
            </w:r>
            <w:r w:rsidR="00F875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EX</w:t>
            </w:r>
            <w:r w:rsidR="00EC125F" w:rsidRPr="00017B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="00EC125F" w:rsidRPr="00017B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SE</w:t>
            </w:r>
          </w:p>
          <w:p w:rsidR="00E224EB" w:rsidRPr="00E224EB" w:rsidRDefault="00E224EB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224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EC125F" w:rsidRPr="00EC125F" w:rsidRDefault="00000A0A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0335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Универсальное рабочее место CMA </w:t>
            </w:r>
          </w:p>
        </w:tc>
      </w:tr>
      <w:tr w:rsidR="00EC125F" w:rsidRPr="00EC125F" w:rsidTr="00E224EB"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000A0A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9547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 xml:space="preserve">прямое </w:t>
            </w:r>
            <w:r w:rsidR="00EC125F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gramStart"/>
            <w:r w:rsidR="00EC125F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Интернет</w:t>
            </w:r>
            <w:r w:rsidR="00EC125F" w:rsidRPr="00622D8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22D89" w:rsidRPr="00622D8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2</w:t>
            </w:r>
            <w:r w:rsidR="00EC125F" w:rsidRPr="00622D8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EC125F" w:rsidRPr="00EC125F" w:rsidRDefault="00F875D3" w:rsidP="00F875D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BD34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криптоимя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. </w:t>
            </w:r>
            <w:r w:rsidR="00294D8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с областью действия «Электронный документооборот фондового рынка».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br/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Образец формата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криптоимени</w:t>
            </w:r>
            <w:proofErr w:type="spellEnd"/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INN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OGRN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SNILS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=____, С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OU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L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C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</w:t>
            </w:r>
          </w:p>
        </w:tc>
        <w:tc>
          <w:tcPr>
            <w:tcW w:w="2399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125F" w:rsidRPr="00EC125F" w:rsidTr="00E224EB">
        <w:tc>
          <w:tcPr>
            <w:tcW w:w="7655" w:type="dxa"/>
            <w:shd w:val="clear" w:color="auto" w:fill="auto"/>
          </w:tcPr>
          <w:p w:rsidR="00EC125F" w:rsidRPr="00EC125F" w:rsidRDefault="00000A0A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125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Выделенный канал </w:t>
            </w:r>
          </w:p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</w:t>
            </w:r>
            <w:r w:rsidRPr="00EC1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</w:t>
            </w:r>
          </w:p>
        </w:tc>
        <w:tc>
          <w:tcPr>
            <w:tcW w:w="2399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D89" w:rsidRPr="00EC125F" w:rsidTr="00E224EB">
        <w:tc>
          <w:tcPr>
            <w:tcW w:w="7655" w:type="dxa"/>
            <w:shd w:val="clear" w:color="auto" w:fill="auto"/>
          </w:tcPr>
          <w:p w:rsidR="00622D89" w:rsidRPr="00EC125F" w:rsidRDefault="00000A0A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1577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D8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Colocation</w:t>
            </w:r>
            <w:proofErr w:type="spellEnd"/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4)</w:t>
            </w:r>
          </w:p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2399" w:type="dxa"/>
            <w:shd w:val="clear" w:color="auto" w:fill="auto"/>
          </w:tcPr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D89" w:rsidRPr="00EC125F" w:rsidTr="00E224EB">
        <w:tc>
          <w:tcPr>
            <w:tcW w:w="7655" w:type="dxa"/>
            <w:shd w:val="clear" w:color="auto" w:fill="auto"/>
          </w:tcPr>
          <w:p w:rsidR="00622D89" w:rsidRPr="00EC125F" w:rsidRDefault="00000A0A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226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D89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22D89"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шлюз </w:t>
            </w:r>
            <w:proofErr w:type="spellStart"/>
            <w:r w:rsidR="00622D89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Personal</w:t>
            </w:r>
            <w:proofErr w:type="spellEnd"/>
            <w:r w:rsidR="00622D89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2D89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622D89" w:rsidRPr="00622D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622D89" w:rsidRPr="00622D8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(2)</w:t>
            </w:r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 (4)</w:t>
            </w:r>
          </w:p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подключения.</w:t>
            </w:r>
          </w:p>
        </w:tc>
        <w:tc>
          <w:tcPr>
            <w:tcW w:w="2399" w:type="dxa"/>
            <w:shd w:val="clear" w:color="auto" w:fill="auto"/>
          </w:tcPr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D89" w:rsidRPr="00EC125F" w:rsidTr="00E224EB">
        <w:tc>
          <w:tcPr>
            <w:tcW w:w="7655" w:type="dxa"/>
            <w:shd w:val="clear" w:color="auto" w:fill="auto"/>
          </w:tcPr>
          <w:p w:rsidR="00622D89" w:rsidRPr="00EC125F" w:rsidRDefault="00000A0A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5749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D89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22D89"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622D89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Выделенный канал)</w:t>
            </w:r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 (4)</w:t>
            </w:r>
          </w:p>
          <w:p w:rsidR="00622D89" w:rsidRPr="00E224EB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E224E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224E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224E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CLT</w:t>
            </w:r>
            <w:r w:rsidRPr="00E224E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сегмента закрытой корпоративной сети, через который организуется подключение</w:t>
            </w:r>
          </w:p>
          <w:p w:rsidR="00E224EB" w:rsidRPr="00E224EB" w:rsidRDefault="00E224EB" w:rsidP="00E224E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</w:pPr>
            <w:r w:rsidRPr="00E224EB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>Данный тип подключения доступен только при первоначальном заказе идентификатора.</w:t>
            </w:r>
          </w:p>
          <w:p w:rsidR="00E224EB" w:rsidRPr="00EC125F" w:rsidRDefault="00E224EB" w:rsidP="00E224E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224EB">
              <w:rPr>
                <w:rFonts w:ascii="Times New Roman" w:eastAsia="Times New Roman" w:hAnsi="Times New Roman" w:cs="Times New Roman"/>
                <w:b/>
                <w:i/>
                <w:spacing w:val="-5"/>
                <w:sz w:val="18"/>
                <w:szCs w:val="20"/>
                <w:lang w:eastAsia="ru-RU"/>
              </w:rPr>
              <w:t>Отказ от данного типа подключения осуществляется путём аннулирования идентификатора.</w:t>
            </w:r>
          </w:p>
        </w:tc>
        <w:tc>
          <w:tcPr>
            <w:tcW w:w="2399" w:type="dxa"/>
            <w:shd w:val="clear" w:color="auto" w:fill="auto"/>
          </w:tcPr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D89" w:rsidRPr="00EC125F" w:rsidTr="00E224EB">
        <w:tc>
          <w:tcPr>
            <w:tcW w:w="7655" w:type="dxa"/>
            <w:shd w:val="clear" w:color="auto" w:fill="auto"/>
          </w:tcPr>
          <w:p w:rsidR="00622D89" w:rsidRPr="00EC125F" w:rsidRDefault="00000A0A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767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D89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22D89" w:rsidRPr="00EC125F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622D89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622D89"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  <w:t>POP</w:t>
            </w:r>
            <w:r w:rsidR="00622D89" w:rsidRPr="00622D8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)</w:t>
            </w:r>
            <w:r w:rsidR="00622D89" w:rsidRPr="00622D8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 (2)</w:t>
            </w:r>
            <w:r w:rsidR="00622D89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 (4)</w:t>
            </w:r>
          </w:p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сегмента сети</w:t>
            </w:r>
            <w:r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,</w:t>
            </w: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C125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настроенный Участнику в международной точке присутствия</w:t>
            </w:r>
          </w:p>
        </w:tc>
        <w:tc>
          <w:tcPr>
            <w:tcW w:w="2399" w:type="dxa"/>
            <w:shd w:val="clear" w:color="auto" w:fill="auto"/>
          </w:tcPr>
          <w:p w:rsidR="00622D89" w:rsidRPr="00EC125F" w:rsidRDefault="00622D89" w:rsidP="00622D8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C125F" w:rsidRPr="00EC125F" w:rsidRDefault="00EC125F" w:rsidP="00294D8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C125F">
        <w:rPr>
          <w:rFonts w:ascii="Times New Roman" w:eastAsia="Times New Roman" w:hAnsi="Times New Roman" w:cs="Times New Roman"/>
          <w:b/>
          <w:lang w:eastAsia="ru-RU"/>
        </w:rPr>
        <w:t>или</w:t>
      </w:r>
    </w:p>
    <w:p w:rsidR="00EC125F" w:rsidRPr="00EC125F" w:rsidRDefault="00000A0A" w:rsidP="00EC125F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1558520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25F" w:rsidRPr="00EC125F">
            <w:rPr>
              <w:rFonts w:ascii="Segoe UI Symbol" w:eastAsia="Times New Roman" w:hAnsi="Segoe UI Symbol" w:cs="Segoe UI Symbol"/>
              <w:sz w:val="20"/>
              <w:szCs w:val="20"/>
              <w:lang w:eastAsia="ru-RU"/>
            </w:rPr>
            <w:t>☐</w:t>
          </w:r>
        </w:sdtContent>
      </w:sdt>
      <w:r w:rsidR="00EC125F" w:rsidRPr="00EC1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C125F" w:rsidRPr="00EC125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C125F" w:rsidRPr="00EC125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EC125F" w:rsidRPr="00EC125F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F875D3" w:rsidRPr="00622D89">
        <w:rPr>
          <w:rFonts w:ascii="Times New Roman" w:eastAsia="Times New Roman" w:hAnsi="Times New Roman" w:cs="Times New Roman"/>
          <w:b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F875D3" w:rsidRPr="00622D89">
        <w:rPr>
          <w:rFonts w:ascii="Times New Roman" w:eastAsia="Times New Roman" w:hAnsi="Times New Roman" w:cs="Times New Roman"/>
          <w:b/>
          <w:spacing w:val="-5"/>
          <w:sz w:val="20"/>
          <w:szCs w:val="20"/>
          <w:vertAlign w:val="superscript"/>
          <w:lang w:eastAsia="ru-RU"/>
        </w:rPr>
        <w:t>1)</w:t>
      </w:r>
      <w:r w:rsidR="00EC125F" w:rsidRPr="00EC125F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EC125F" w:rsidRPr="00EC125F">
        <w:rPr>
          <w:rFonts w:ascii="Times New Roman" w:eastAsia="Times New Roman" w:hAnsi="Times New Roman" w:cs="Times New Roman"/>
          <w:b/>
          <w:i/>
          <w:lang w:eastAsia="ru-RU"/>
        </w:rPr>
        <w:t>тип идентификатора Торговый ВПТС или Просмотровый ВПТС</w:t>
      </w:r>
      <w:r w:rsidR="00EC125F" w:rsidRPr="00EC125F">
        <w:rPr>
          <w:rFonts w:ascii="Times New Roman" w:eastAsia="Times New Roman" w:hAnsi="Times New Roman" w:cs="Times New Roman"/>
          <w:b/>
          <w:lang w:eastAsia="ru-RU"/>
        </w:rPr>
        <w:t>)</w:t>
      </w:r>
    </w:p>
    <w:tbl>
      <w:tblPr>
        <w:tblW w:w="100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2399"/>
        <w:gridCol w:w="2268"/>
      </w:tblGrid>
      <w:tr w:rsidR="00EC125F" w:rsidRPr="00EC125F" w:rsidTr="00E224EB">
        <w:trPr>
          <w:trHeight w:val="7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EC125F" w:rsidRPr="00EC125F" w:rsidRDefault="00EC125F" w:rsidP="00F875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F" w:rsidRDefault="00000A0A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5146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F875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F875D3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E224EB" w:rsidRPr="00EC125F" w:rsidRDefault="00E224EB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EC125F" w:rsidRPr="00EC125F" w:rsidRDefault="00000A0A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6019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EC125F" w:rsidRPr="00EC1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F" w:rsidRPr="001A505D" w:rsidRDefault="00000A0A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5381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1A505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1A505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EC125F" w:rsidRPr="001A505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E224EB" w:rsidRPr="00E224EB" w:rsidRDefault="00E224EB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EC125F" w:rsidRPr="001A505D" w:rsidRDefault="00000A0A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2574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1A505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1A50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EC125F" w:rsidRPr="001A50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EC125F" w:rsidRPr="001A505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EC125F" w:rsidRPr="001A505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EC125F" w:rsidRPr="001A505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5F" w:rsidRDefault="00000A0A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1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EC125F" w:rsidRPr="00EC125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EC125F" w:rsidRPr="001A50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E224EB" w:rsidRPr="00EC125F" w:rsidRDefault="00E224EB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EC125F" w:rsidRPr="00F875D3" w:rsidRDefault="00000A0A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4415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</w:t>
            </w:r>
            <w:proofErr w:type="gramStart"/>
            <w:r w:rsidR="00EC125F" w:rsidRPr="00EC125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L</w:t>
            </w:r>
            <w:r w:rsidR="00F875D3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F875D3" w:rsidRPr="001A50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3</w:t>
            </w:r>
            <w:r w:rsidR="00F875D3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EC125F" w:rsidRPr="00EC125F" w:rsidTr="00E224EB">
        <w:tc>
          <w:tcPr>
            <w:tcW w:w="3119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:rsidR="00EC125F" w:rsidRPr="00EC125F" w:rsidRDefault="00EC125F" w:rsidP="00F875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EC125F" w:rsidRPr="00EC125F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EC125F" w:rsidRPr="00EC125F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EC125F" w:rsidTr="00E224EB">
        <w:tc>
          <w:tcPr>
            <w:tcW w:w="3119" w:type="dxa"/>
            <w:shd w:val="clear" w:color="auto" w:fill="DDDDDD"/>
            <w:vAlign w:val="center"/>
          </w:tcPr>
          <w:p w:rsidR="00EC125F" w:rsidRPr="00EC125F" w:rsidRDefault="00EC125F" w:rsidP="00F875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EC125F" w:rsidTr="00E224EB">
        <w:trPr>
          <w:trHeight w:val="539"/>
        </w:trPr>
        <w:tc>
          <w:tcPr>
            <w:tcW w:w="3119" w:type="dxa"/>
            <w:shd w:val="clear" w:color="auto" w:fill="DDDDDD"/>
            <w:vAlign w:val="center"/>
          </w:tcPr>
          <w:p w:rsidR="00EC125F" w:rsidRPr="00EC125F" w:rsidRDefault="00EC125F" w:rsidP="00DB15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EC125F" w:rsidTr="00E224EB">
        <w:tc>
          <w:tcPr>
            <w:tcW w:w="3119" w:type="dxa"/>
            <w:shd w:val="clear" w:color="auto" w:fill="DDDDDD"/>
            <w:vAlign w:val="center"/>
          </w:tcPr>
          <w:p w:rsidR="00EC125F" w:rsidRPr="00EC125F" w:rsidRDefault="00EC125F" w:rsidP="00F875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EC125F" w:rsidTr="00E224EB">
        <w:tc>
          <w:tcPr>
            <w:tcW w:w="3119" w:type="dxa"/>
            <w:shd w:val="clear" w:color="auto" w:fill="DDDDDD"/>
            <w:vAlign w:val="center"/>
          </w:tcPr>
          <w:p w:rsidR="00EC125F" w:rsidRPr="00EC125F" w:rsidRDefault="00EC125F" w:rsidP="00F875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C125F" w:rsidRPr="00EC125F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C125F" w:rsidRPr="001A505D" w:rsidTr="00E224EB">
        <w:tc>
          <w:tcPr>
            <w:tcW w:w="3119" w:type="dxa"/>
            <w:shd w:val="clear" w:color="auto" w:fill="DDDDDD"/>
            <w:vAlign w:val="center"/>
          </w:tcPr>
          <w:p w:rsidR="00EC125F" w:rsidRPr="00294D86" w:rsidRDefault="00EC125F" w:rsidP="00294D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EC1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Криптомя</w:t>
            </w:r>
            <w:proofErr w:type="spellEnd"/>
            <w:r w:rsidR="00294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94D8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294D86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фондового рынка».</w:t>
            </w:r>
            <w:r w:rsidR="00294D86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Образец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 xml:space="preserve">: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INN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OGRN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SNILS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T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С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N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OU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L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ST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 xml:space="preserve">=___, </w:t>
            </w:r>
            <w:r w:rsidR="00F875D3"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C</w:t>
            </w:r>
            <w:r w:rsidR="00F875D3" w:rsidRPr="00294D8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=__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294D86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39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C125F" w:rsidRPr="00294D86" w:rsidRDefault="00EC125F" w:rsidP="00EC125F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</w:tcPr>
          <w:p w:rsidR="00EC125F" w:rsidRPr="00294D86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</w:tbl>
    <w:p w:rsidR="00EC125F" w:rsidRPr="00294D86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en-US" w:eastAsia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261"/>
        <w:gridCol w:w="283"/>
        <w:gridCol w:w="1418"/>
        <w:gridCol w:w="283"/>
        <w:gridCol w:w="2268"/>
        <w:gridCol w:w="2268"/>
      </w:tblGrid>
      <w:tr w:rsidR="00EC125F" w:rsidRPr="00EC125F" w:rsidTr="00F875D3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E224EB" w:rsidRPr="00294D86" w:rsidRDefault="00E224EB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EC125F" w:rsidRPr="00294D86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C125F" w:rsidRPr="00294D86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</w:tcPr>
          <w:p w:rsidR="00EC125F" w:rsidRPr="00294D86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C125F" w:rsidRPr="00294D86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224EB" w:rsidRPr="001A505D" w:rsidRDefault="00E224EB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C125F" w:rsidRPr="00EC125F" w:rsidTr="00F875D3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83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EC125F" w:rsidRPr="00EC125F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C125F" w:rsidRPr="00F875D3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224EB" w:rsidRPr="00E224EB" w:rsidRDefault="00E224EB" w:rsidP="00E224EB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SE</w:t>
      </w:r>
      <w:r w:rsidRPr="00E224EB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E224EB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E224EB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,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E224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E224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WEB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2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L</w:t>
      </w: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:rsidR="00F875D3" w:rsidRPr="00E224EB" w:rsidRDefault="00F875D3" w:rsidP="00F875D3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:rsidR="00F875D3" w:rsidRPr="00E224EB" w:rsidRDefault="00F875D3" w:rsidP="00F875D3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 xml:space="preserve">Технический центр осуществляет абонентское обслуживание ПО WEB2L, совокупность услуг и права на получение </w:t>
      </w:r>
      <w:proofErr w:type="gramStart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удаленного доступа</w:t>
      </w:r>
      <w:proofErr w:type="gramEnd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к которому было предоставлено Клиенту до 25 октября 2018 года. Клиенту, обратившемуся в Технический центр с целью получения информационно-технологического обеспечения в отношении программы для ЭВМ WEB2L после указанной даты, данная услуга не предоставляется</w:t>
      </w:r>
    </w:p>
    <w:p w:rsidR="00622D89" w:rsidRPr="00E224EB" w:rsidRDefault="00622D89" w:rsidP="00622D89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1" w:name="_Hlk11149203"/>
      <w:r w:rsidRPr="00E224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  <w:bookmarkEnd w:id="1"/>
    </w:p>
    <w:p w:rsidR="00622D89" w:rsidRPr="00144AB1" w:rsidRDefault="00622D89" w:rsidP="00622D8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sectPr w:rsidR="00622D89" w:rsidRPr="00144AB1" w:rsidSect="00E224EB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4430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10BAC"/>
    <w:multiLevelType w:val="hybridMultilevel"/>
    <w:tmpl w:val="6C881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5F"/>
    <w:rsid w:val="00000A0A"/>
    <w:rsid w:val="00017B79"/>
    <w:rsid w:val="000521A6"/>
    <w:rsid w:val="00052DCB"/>
    <w:rsid w:val="00057F74"/>
    <w:rsid w:val="000B160C"/>
    <w:rsid w:val="001A505D"/>
    <w:rsid w:val="002268E4"/>
    <w:rsid w:val="00254701"/>
    <w:rsid w:val="00294D86"/>
    <w:rsid w:val="003B344D"/>
    <w:rsid w:val="00622D89"/>
    <w:rsid w:val="0064618E"/>
    <w:rsid w:val="00A47873"/>
    <w:rsid w:val="00AA520F"/>
    <w:rsid w:val="00AD2A24"/>
    <w:rsid w:val="00B35901"/>
    <w:rsid w:val="00B7728B"/>
    <w:rsid w:val="00C418C3"/>
    <w:rsid w:val="00DB1528"/>
    <w:rsid w:val="00E224EB"/>
    <w:rsid w:val="00E36ED7"/>
    <w:rsid w:val="00EC125F"/>
    <w:rsid w:val="00F8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1370"/>
  <w15:chartTrackingRefBased/>
  <w15:docId w15:val="{A5243A1F-7A37-437E-84A8-D5ADA705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dcterms:created xsi:type="dcterms:W3CDTF">2019-09-20T10:37:00Z</dcterms:created>
  <dcterms:modified xsi:type="dcterms:W3CDTF">2019-09-20T10:37:00Z</dcterms:modified>
</cp:coreProperties>
</file>