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85A5A" w14:textId="77777777" w:rsidR="005104AD" w:rsidRPr="0016178B" w:rsidRDefault="005104AD" w:rsidP="005104AD">
      <w:pPr>
        <w:ind w:left="4678" w:right="-81"/>
        <w:rPr>
          <w:rFonts w:ascii="Tahoma" w:hAnsi="Tahoma" w:cs="Tahoma"/>
          <w:b/>
          <w:sz w:val="20"/>
          <w:szCs w:val="20"/>
        </w:rPr>
      </w:pPr>
      <w:bookmarkStart w:id="0" w:name="_Hlk94266662"/>
      <w:r>
        <w:rPr>
          <w:rFonts w:ascii="Tahoma" w:hAnsi="Tahoma"/>
          <w:b/>
          <w:sz w:val="20"/>
        </w:rPr>
        <w:t>APPROVED</w:t>
      </w:r>
    </w:p>
    <w:p w14:paraId="151EFD99" w14:textId="31E9497F" w:rsidR="005104AD" w:rsidRPr="0016178B" w:rsidRDefault="005104AD" w:rsidP="005104AD">
      <w:pPr>
        <w:pStyle w:val="a9"/>
        <w:tabs>
          <w:tab w:val="left" w:pos="5387"/>
          <w:tab w:val="left" w:pos="5670"/>
        </w:tabs>
        <w:spacing w:after="0"/>
        <w:ind w:left="4678" w:right="-79"/>
        <w:rPr>
          <w:rFonts w:ascii="Tahoma"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60F39452" w14:textId="2355251B" w:rsidR="005104AD" w:rsidRPr="0016178B" w:rsidRDefault="005104AD" w:rsidP="005104AD">
      <w:pPr>
        <w:pStyle w:val="a9"/>
        <w:tabs>
          <w:tab w:val="left" w:pos="4962"/>
        </w:tabs>
        <w:spacing w:after="0"/>
        <w:ind w:left="4678" w:right="27"/>
        <w:rPr>
          <w:rFonts w:ascii="Tahoma" w:hAnsi="Tahoma" w:cs="Tahoma"/>
          <w:sz w:val="20"/>
          <w:szCs w:val="20"/>
        </w:rPr>
      </w:pPr>
      <w:r>
        <w:rPr>
          <w:rFonts w:ascii="Tahoma" w:hAnsi="Tahoma"/>
          <w:sz w:val="20"/>
        </w:rPr>
        <w:t>(Order No. МБ-П-</w:t>
      </w:r>
      <w:r w:rsidR="00B257D3" w:rsidRPr="000E7CEC">
        <w:rPr>
          <w:rFonts w:ascii="Tahoma" w:hAnsi="Tahoma"/>
          <w:sz w:val="20"/>
          <w:lang w:val="en-US"/>
        </w:rPr>
        <w:t>202</w:t>
      </w:r>
      <w:r w:rsidR="007527B2" w:rsidRPr="007527B2">
        <w:rPr>
          <w:rFonts w:ascii="Tahoma" w:hAnsi="Tahoma"/>
          <w:sz w:val="20"/>
          <w:lang w:val="en-US"/>
        </w:rPr>
        <w:t>4</w:t>
      </w:r>
      <w:r w:rsidR="00B257D3" w:rsidRPr="000E7CEC">
        <w:rPr>
          <w:rFonts w:ascii="Tahoma" w:hAnsi="Tahoma"/>
          <w:sz w:val="20"/>
          <w:lang w:val="en-US"/>
        </w:rPr>
        <w:t>-</w:t>
      </w:r>
      <w:r w:rsidR="007527B2" w:rsidRPr="007527B2">
        <w:rPr>
          <w:rFonts w:ascii="Tahoma" w:hAnsi="Tahoma"/>
          <w:sz w:val="20"/>
          <w:lang w:val="en-US"/>
        </w:rPr>
        <w:t>2129</w:t>
      </w:r>
      <w:r w:rsidR="00B257D3" w:rsidRPr="000E7CEC">
        <w:rPr>
          <w:rFonts w:ascii="Tahoma" w:hAnsi="Tahoma"/>
          <w:sz w:val="20"/>
          <w:lang w:val="en-US"/>
        </w:rPr>
        <w:t xml:space="preserve"> </w:t>
      </w:r>
      <w:r>
        <w:rPr>
          <w:rFonts w:ascii="Tahoma" w:hAnsi="Tahoma"/>
          <w:sz w:val="20"/>
        </w:rPr>
        <w:t xml:space="preserve">of </w:t>
      </w:r>
      <w:r w:rsidR="007527B2" w:rsidRPr="007527B2">
        <w:rPr>
          <w:rFonts w:ascii="Tahoma" w:hAnsi="Tahoma"/>
          <w:sz w:val="20"/>
          <w:lang w:val="en-US"/>
        </w:rPr>
        <w:t xml:space="preserve">8 </w:t>
      </w:r>
      <w:r w:rsidR="007527B2">
        <w:rPr>
          <w:rFonts w:ascii="Tahoma" w:hAnsi="Tahoma"/>
          <w:sz w:val="20"/>
          <w:lang w:val="en-US"/>
        </w:rPr>
        <w:t xml:space="preserve">July </w:t>
      </w:r>
      <w:r w:rsidR="00B257D3" w:rsidRPr="000E7CEC">
        <w:rPr>
          <w:rFonts w:ascii="Tahoma" w:hAnsi="Tahoma"/>
          <w:sz w:val="20"/>
          <w:lang w:val="en-US"/>
        </w:rPr>
        <w:t>202</w:t>
      </w:r>
      <w:r w:rsidR="007527B2">
        <w:rPr>
          <w:rFonts w:ascii="Tahoma" w:hAnsi="Tahoma"/>
          <w:sz w:val="20"/>
          <w:lang w:val="en-US"/>
        </w:rPr>
        <w:t>4</w:t>
      </w:r>
      <w:r>
        <w:rPr>
          <w:rFonts w:ascii="Tahoma" w:hAnsi="Tahoma"/>
          <w:sz w:val="20"/>
        </w:rPr>
        <w:t>)</w:t>
      </w:r>
    </w:p>
    <w:bookmarkEnd w:id="0"/>
    <w:p w14:paraId="7B8E0166" w14:textId="77777777" w:rsidR="005104AD" w:rsidRPr="0016178B" w:rsidRDefault="005104AD" w:rsidP="005104AD">
      <w:pPr>
        <w:rPr>
          <w:rFonts w:ascii="Tahoma" w:hAnsi="Tahoma" w:cs="Tahoma"/>
          <w:sz w:val="20"/>
          <w:szCs w:val="20"/>
          <w:lang w:val="x-none"/>
        </w:rPr>
      </w:pPr>
    </w:p>
    <w:p w14:paraId="11D8B0AD" w14:textId="5DC31887" w:rsidR="005104AD" w:rsidRPr="0016178B" w:rsidRDefault="005104AD" w:rsidP="005104AD">
      <w:pPr>
        <w:jc w:val="center"/>
        <w:rPr>
          <w:rFonts w:ascii="Tahoma" w:hAnsi="Tahoma" w:cs="Tahoma"/>
          <w:b/>
          <w:bCs/>
          <w:sz w:val="20"/>
          <w:szCs w:val="20"/>
        </w:rPr>
      </w:pPr>
      <w:r>
        <w:rPr>
          <w:rFonts w:ascii="Tahoma" w:hAnsi="Tahoma"/>
          <w:b/>
          <w:sz w:val="20"/>
        </w:rPr>
        <w:t xml:space="preserve">Specification of premium options on foreign currency exchange rates to the Russian rouble </w:t>
      </w:r>
    </w:p>
    <w:p w14:paraId="40FE91D2" w14:textId="070CAE90" w:rsidR="005104AD" w:rsidRPr="0016178B" w:rsidRDefault="005104AD" w:rsidP="005104AD">
      <w:pPr>
        <w:pStyle w:val="ab"/>
        <w:spacing w:after="120" w:afterAutospacing="0"/>
        <w:ind w:right="96"/>
        <w:rPr>
          <w:rFonts w:ascii="Tahoma" w:hAnsi="Tahoma" w:cs="Tahoma"/>
          <w:color w:val="auto"/>
        </w:rPr>
      </w:pPr>
      <w:r>
        <w:rPr>
          <w:rFonts w:ascii="Tahoma" w:hAnsi="Tahoma"/>
        </w:rPr>
        <w:t xml:space="preserve">This Specification for Premium Options on Foreign Currency Exchange Rates to the Russian Rouble (the "Specification") defines the standard terms and conditions of European-style premium cash-settled options with foreign currency exchange rates to the Russian Rouble as the underlying asset. </w:t>
      </w:r>
    </w:p>
    <w:p w14:paraId="012D0F3E" w14:textId="685FDF43" w:rsidR="005104AD" w:rsidRPr="0016178B" w:rsidRDefault="005104AD" w:rsidP="005104AD">
      <w:pPr>
        <w:pStyle w:val="ab"/>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premium options on foreign currency exchange rates to the Russian roubles (the "Contract", "Contracts") as well as the procedure for such obligations to arise, be changed or terminated.</w:t>
      </w:r>
    </w:p>
    <w:p w14:paraId="38AE6ADB" w14:textId="007B0D93" w:rsidR="005104AD" w:rsidRPr="0016178B" w:rsidRDefault="005104AD" w:rsidP="005104AD">
      <w:pPr>
        <w:pStyle w:val="ab"/>
        <w:spacing w:before="120" w:beforeAutospacing="0" w:after="0" w:afterAutospacing="0"/>
        <w:ind w:right="57"/>
        <w:rPr>
          <w:rFonts w:ascii="Tahoma" w:hAnsi="Tahoma" w:cs="Tahoma"/>
        </w:rPr>
      </w:pPr>
      <w:r>
        <w:rPr>
          <w:rFonts w:ascii="Tahoma" w:hAnsi="Tahoma"/>
        </w:rPr>
        <w:t>Moscow Exchange (the "Exchange") approves the List of Parameters for premium Options on Foreign Currency Exchange Rates to the Russian Rouble as set out in Appendix this Specification (the "List of Parameters"), which contains:</w:t>
      </w:r>
    </w:p>
    <w:p w14:paraId="16462948" w14:textId="77777777" w:rsidR="005104AD" w:rsidRPr="0016178B" w:rsidRDefault="005104AD" w:rsidP="005104AD">
      <w:pPr>
        <w:pStyle w:val="ab"/>
        <w:numPr>
          <w:ilvl w:val="0"/>
          <w:numId w:val="2"/>
        </w:numPr>
        <w:spacing w:before="120" w:beforeAutospacing="0" w:after="0" w:afterAutospacing="0"/>
        <w:ind w:right="57"/>
        <w:rPr>
          <w:rFonts w:ascii="Tahoma" w:hAnsi="Tahoma" w:cs="Tahoma"/>
        </w:rPr>
      </w:pPr>
      <w:r>
        <w:rPr>
          <w:rFonts w:ascii="Tahoma" w:hAnsi="Tahoma"/>
        </w:rPr>
        <w:t>name of the Contract;</w:t>
      </w:r>
    </w:p>
    <w:p w14:paraId="1CAA664E"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underlying asset of the Contract;</w:t>
      </w:r>
    </w:p>
    <w:p w14:paraId="50238C30"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code of the underlying asset;</w:t>
      </w:r>
    </w:p>
    <w:p w14:paraId="7EC5DCB5"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minimum price movement for the Contract in the course of trading on MOEX (the "tick");</w:t>
      </w:r>
    </w:p>
    <w:p w14:paraId="07B112B4"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the tick value;</w:t>
      </w:r>
    </w:p>
    <w:p w14:paraId="2F273C1D" w14:textId="77777777" w:rsidR="003955BC" w:rsidRPr="0016178B" w:rsidRDefault="003955BC" w:rsidP="003955BC">
      <w:pPr>
        <w:pStyle w:val="ab"/>
        <w:numPr>
          <w:ilvl w:val="0"/>
          <w:numId w:val="2"/>
        </w:numPr>
        <w:spacing w:before="0" w:beforeAutospacing="0" w:after="0" w:afterAutospacing="0"/>
        <w:ind w:right="57"/>
        <w:rPr>
          <w:rFonts w:ascii="Tahoma" w:hAnsi="Tahoma" w:cs="Tahoma"/>
        </w:rPr>
      </w:pPr>
      <w:r>
        <w:rPr>
          <w:rFonts w:ascii="Tahoma" w:hAnsi="Tahoma"/>
        </w:rPr>
        <w:t>coefficient indicating the quantity of the underlying asset in the Contract Price and Strike Price (</w:t>
      </w:r>
      <w:proofErr w:type="spellStart"/>
      <w:r>
        <w:rPr>
          <w:rFonts w:ascii="Tahoma" w:hAnsi="Tahoma"/>
        </w:rPr>
        <w:t>Lot_Coeff</w:t>
      </w:r>
      <w:proofErr w:type="spellEnd"/>
      <w:r>
        <w:rPr>
          <w:rFonts w:ascii="Tahoma" w:hAnsi="Tahoma"/>
        </w:rPr>
        <w:t>);</w:t>
      </w:r>
    </w:p>
    <w:p w14:paraId="0F39EB45"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number of foreign currency units being the underlying asset of one contract (the "Lot").</w:t>
      </w:r>
    </w:p>
    <w:p w14:paraId="3C037B87" w14:textId="62A42DBF" w:rsidR="005104AD" w:rsidRPr="0016178B" w:rsidRDefault="005104AD" w:rsidP="005104AD">
      <w:pPr>
        <w:pStyle w:val="a1"/>
        <w:numPr>
          <w:ilvl w:val="0"/>
          <w:numId w:val="0"/>
        </w:numPr>
        <w:tabs>
          <w:tab w:val="clear" w:pos="720"/>
          <w:tab w:val="num" w:pos="0"/>
          <w:tab w:val="num" w:pos="1440"/>
        </w:tabs>
        <w:rPr>
          <w:rFonts w:ascii="Tahoma" w:hAnsi="Tahoma" w:cs="Tahoma"/>
          <w:szCs w:val="20"/>
        </w:rPr>
      </w:pPr>
      <w:r>
        <w:rPr>
          <w:rFonts w:ascii="Tahoma" w:hAnsi="Tahoma"/>
        </w:rPr>
        <w:t>The underlying assets of the Contracts the terms of which are determined in this Specification and in the List of Parameters shall be foreign currency exchange rates to the Russian Rouble (the "Exchange Rates").</w:t>
      </w:r>
    </w:p>
    <w:p w14:paraId="6CA6AC21" w14:textId="77777777" w:rsidR="005104AD" w:rsidRPr="0016178B" w:rsidRDefault="005104AD" w:rsidP="005104AD">
      <w:pPr>
        <w:pStyle w:val="ab"/>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Rules and the Clearing Rules. </w:t>
      </w:r>
    </w:p>
    <w:p w14:paraId="51264FC5" w14:textId="77777777" w:rsidR="005104AD" w:rsidRPr="0016178B" w:rsidRDefault="005104AD" w:rsidP="005104AD">
      <w:pPr>
        <w:jc w:val="both"/>
        <w:rPr>
          <w:rFonts w:ascii="Tahoma" w:hAnsi="Tahoma" w:cs="Tahoma"/>
          <w:sz w:val="20"/>
          <w:szCs w:val="20"/>
        </w:rPr>
      </w:pPr>
    </w:p>
    <w:p w14:paraId="45CF140E"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Entering into the Contract</w:t>
      </w:r>
    </w:p>
    <w:p w14:paraId="34412E9C" w14:textId="77777777" w:rsidR="005104AD" w:rsidRPr="0016178B" w:rsidRDefault="005104AD" w:rsidP="005104AD">
      <w:pPr>
        <w:pStyle w:val="ae"/>
        <w:ind w:left="360"/>
        <w:jc w:val="both"/>
        <w:rPr>
          <w:rFonts w:ascii="Tahoma" w:hAnsi="Tahoma" w:cs="Tahoma"/>
          <w:b/>
          <w:bCs/>
          <w:sz w:val="20"/>
          <w:szCs w:val="20"/>
        </w:rPr>
      </w:pPr>
    </w:p>
    <w:p w14:paraId="43A5E220" w14:textId="77777777" w:rsidR="005104AD" w:rsidRPr="0016178B"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7AB27F48" w14:textId="59B21372" w:rsidR="005429F1" w:rsidRPr="005429F1" w:rsidRDefault="00F0680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 xml:space="preserve">Contract </w:t>
      </w:r>
      <w:r w:rsidR="005429F1">
        <w:rPr>
          <w:rFonts w:ascii="Tahoma" w:hAnsi="Tahoma"/>
          <w:sz w:val="20"/>
        </w:rPr>
        <w:t>code</w:t>
      </w:r>
    </w:p>
    <w:p w14:paraId="4DE0BC17" w14:textId="2CC9EDBC" w:rsidR="005104AD" w:rsidRPr="0016178B" w:rsidRDefault="005429F1"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first</w:t>
      </w:r>
      <w:r w:rsidR="00F0680D">
        <w:rPr>
          <w:rFonts w:ascii="Tahoma" w:hAnsi="Tahoma"/>
          <w:sz w:val="20"/>
        </w:rPr>
        <w:t xml:space="preserve"> trading day during which the Contract may trade (hereinafter the First Trading Day);</w:t>
      </w:r>
    </w:p>
    <w:p w14:paraId="419CAFB9" w14:textId="7AE04F68" w:rsidR="005104AD" w:rsidRPr="0016178B" w:rsidRDefault="005429F1"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Pr>
          <w:rFonts w:ascii="Tahoma" w:hAnsi="Tahoma"/>
          <w:sz w:val="20"/>
        </w:rPr>
        <w:t>t</w:t>
      </w:r>
      <w:r w:rsidR="005104AD">
        <w:rPr>
          <w:rFonts w:ascii="Tahoma" w:hAnsi="Tahoma"/>
          <w:sz w:val="20"/>
        </w:rPr>
        <w:t>he time from which the Contract may be executed (hereinafter the “Start of Trading in the Contract”).</w:t>
      </w:r>
    </w:p>
    <w:p w14:paraId="330E1F3B" w14:textId="77777777" w:rsidR="005104AD" w:rsidRPr="0016178B"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code (designation) is formed as follows:</w:t>
      </w:r>
    </w:p>
    <w:p w14:paraId="3FD0D7CD" w14:textId="7CAE3B97" w:rsidR="005104AD" w:rsidRPr="0016178B" w:rsidRDefault="005104AD" w:rsidP="005104AD">
      <w:pPr>
        <w:pStyle w:val="ae"/>
        <w:tabs>
          <w:tab w:val="num" w:pos="567"/>
        </w:tabs>
        <w:ind w:left="993" w:hanging="142"/>
        <w:jc w:val="both"/>
        <w:rPr>
          <w:rFonts w:ascii="Tahoma" w:hAnsi="Tahoma" w:cs="Tahoma"/>
          <w:sz w:val="20"/>
          <w:szCs w:val="20"/>
        </w:rPr>
      </w:pPr>
      <w:r>
        <w:rPr>
          <w:rFonts w:ascii="Tahoma" w:hAnsi="Tahoma"/>
          <w:sz w:val="20"/>
        </w:rPr>
        <w:t>&lt;Code of the Contract&gt;P&lt;last trading day for the Contract&gt;&lt;type of the Contract&gt;E&lt;exercise price&gt;</w:t>
      </w:r>
    </w:p>
    <w:p w14:paraId="49F3A43F" w14:textId="77777777" w:rsidR="005104AD" w:rsidRPr="0016178B"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"P" means that the Contract is with a Premium; </w:t>
      </w:r>
    </w:p>
    <w:p w14:paraId="22F0D763" w14:textId="77777777" w:rsidR="005104AD" w:rsidRPr="0016178B"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the last trading day for the Contract shall be indicated in Arabic numerals in the format DDMMYYY (e.g., 150923 - 21 September 2023);</w:t>
      </w:r>
    </w:p>
    <w:p w14:paraId="0C83A3EB" w14:textId="77777777" w:rsidR="005104AD" w:rsidRPr="0016178B"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type of the Contract - the Contract to buy (Call) - "C" or the Contract to sell (Put) - "P";</w:t>
      </w:r>
    </w:p>
    <w:p w14:paraId="313435A1" w14:textId="392391B6" w:rsidR="005104AD" w:rsidRPr="0016178B" w:rsidRDefault="005429F1"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c</w:t>
      </w:r>
      <w:r w:rsidR="005104AD">
        <w:rPr>
          <w:rFonts w:ascii="Tahoma" w:hAnsi="Tahoma"/>
          <w:sz w:val="20"/>
        </w:rPr>
        <w:t xml:space="preserve">haracter "E" means that the Contract is a European option. </w:t>
      </w:r>
    </w:p>
    <w:p w14:paraId="3AFA315D" w14:textId="6536B1D6" w:rsidR="005104AD" w:rsidRPr="0016178B"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When entering the order and executing the Contract, the Contract price (premium) is stated in RUB.</w:t>
      </w:r>
    </w:p>
    <w:p w14:paraId="2B448864" w14:textId="512AF984" w:rsidR="005104AD" w:rsidRPr="0016178B" w:rsidRDefault="007527B2" w:rsidP="005104AD">
      <w:pPr>
        <w:pStyle w:val="ae"/>
        <w:numPr>
          <w:ilvl w:val="1"/>
          <w:numId w:val="3"/>
        </w:numPr>
        <w:tabs>
          <w:tab w:val="clear" w:pos="1080"/>
          <w:tab w:val="num" w:pos="851"/>
        </w:tabs>
        <w:ind w:left="851" w:hanging="425"/>
        <w:jc w:val="both"/>
        <w:rPr>
          <w:rFonts w:ascii="Tahoma" w:hAnsi="Tahoma" w:cs="Tahoma"/>
          <w:sz w:val="20"/>
          <w:szCs w:val="20"/>
        </w:rPr>
      </w:pPr>
      <w:r w:rsidRPr="007527B2">
        <w:rPr>
          <w:rFonts w:ascii="Tahoma" w:hAnsi="Tahoma"/>
          <w:sz w:val="20"/>
        </w:rPr>
        <w:t>The term of the Contract is the period from the start of Trading in the Contract to the beginning of the clearing session of the last day of conclusion (day of execution) of the Contract specified in the List of Parameters</w:t>
      </w:r>
      <w:r w:rsidR="005104AD">
        <w:rPr>
          <w:rFonts w:ascii="Tahoma" w:hAnsi="Tahoma"/>
          <w:sz w:val="20"/>
        </w:rPr>
        <w:t>.</w:t>
      </w:r>
    </w:p>
    <w:p w14:paraId="7F31225D" w14:textId="77777777" w:rsidR="005104AD" w:rsidRPr="0016178B" w:rsidRDefault="005104AD" w:rsidP="005104AD">
      <w:pPr>
        <w:pStyle w:val="ae"/>
        <w:numPr>
          <w:ilvl w:val="1"/>
          <w:numId w:val="3"/>
        </w:numPr>
        <w:tabs>
          <w:tab w:val="clear" w:pos="1080"/>
          <w:tab w:val="num" w:pos="851"/>
        </w:tabs>
        <w:ind w:left="851" w:hanging="425"/>
        <w:jc w:val="both"/>
        <w:rPr>
          <w:rFonts w:ascii="Tahoma" w:hAnsi="Tahoma" w:cs="Tahoma"/>
          <w:sz w:val="20"/>
          <w:szCs w:val="20"/>
        </w:rPr>
      </w:pPr>
      <w:bookmarkStart w:id="1" w:name="_Ref240708523"/>
      <w:r>
        <w:rPr>
          <w:rFonts w:ascii="Tahoma" w:hAnsi="Tahoma"/>
          <w:sz w:val="20"/>
        </w:rPr>
        <w:lastRenderedPageBreak/>
        <w:t xml:space="preserve">The date of the last Trading Day during which the Contract can be executed (hereinafter referred to as the last trading day for the Contract) is determined in accordance with the List of dates which are the last trading days for options, as one Thursday of the month and year of expiration of the Contract.  </w:t>
      </w:r>
    </w:p>
    <w:p w14:paraId="1B005947" w14:textId="5518768A" w:rsidR="005104AD" w:rsidRPr="0016178B" w:rsidRDefault="005104AD" w:rsidP="005104AD">
      <w:pPr>
        <w:tabs>
          <w:tab w:val="num" w:pos="851"/>
        </w:tabs>
        <w:ind w:left="851"/>
        <w:jc w:val="both"/>
        <w:rPr>
          <w:rFonts w:ascii="Tahoma" w:hAnsi="Tahoma" w:cs="Tahoma"/>
          <w:sz w:val="20"/>
          <w:szCs w:val="20"/>
        </w:rPr>
      </w:pPr>
      <w:r>
        <w:rPr>
          <w:rFonts w:ascii="Tahoma" w:hAnsi="Tahoma"/>
          <w:sz w:val="20"/>
        </w:rPr>
        <w:t>If that Thursday is not a Trading Day, the date of the last trading day for the Contract specified in the Contract code shall be determined in accordance with the List of Dates which are the last trading days for options as the date of the last Trading Day preceding the relevant Thursday of the month and year of expiration of the Contract.</w:t>
      </w:r>
    </w:p>
    <w:p w14:paraId="776DA645" w14:textId="77777777" w:rsidR="005104AD" w:rsidRPr="007C59F9" w:rsidRDefault="005104AD" w:rsidP="005104AD">
      <w:pPr>
        <w:pStyle w:val="ae"/>
        <w:tabs>
          <w:tab w:val="num" w:pos="851"/>
        </w:tabs>
        <w:ind w:left="851"/>
        <w:jc w:val="both"/>
        <w:rPr>
          <w:rFonts w:ascii="Tahoma" w:hAnsi="Tahoma" w:cs="Tahoma"/>
          <w:sz w:val="20"/>
          <w:szCs w:val="20"/>
        </w:rPr>
      </w:pPr>
      <w:r>
        <w:rPr>
          <w:rFonts w:ascii="Tahoma" w:hAnsi="Tahoma"/>
          <w:sz w:val="20"/>
        </w:rPr>
        <w:t>The list of dates being the last trading days for options is approved by the Exchange upon agreement with the Clearing Centre and is published on the Exchange website.</w:t>
      </w:r>
    </w:p>
    <w:p w14:paraId="4490AF16" w14:textId="77777777" w:rsidR="005104AD" w:rsidRPr="00BA25C8" w:rsidRDefault="005104AD" w:rsidP="005104AD">
      <w:pPr>
        <w:pStyle w:val="ae"/>
        <w:tabs>
          <w:tab w:val="num" w:pos="851"/>
        </w:tabs>
        <w:ind w:left="851"/>
        <w:jc w:val="both"/>
        <w:rPr>
          <w:rFonts w:ascii="Tahoma" w:hAnsi="Tahoma" w:cs="Tahoma"/>
          <w:sz w:val="20"/>
          <w:szCs w:val="20"/>
        </w:rPr>
      </w:pPr>
      <w:r>
        <w:rPr>
          <w:rFonts w:ascii="Tahoma" w:hAnsi="Tahoma"/>
          <w:sz w:val="20"/>
        </w:rPr>
        <w:t xml:space="preserve">The Exchange is entitled, upon agreement with the Clearing Centre, to amend the List of Dates, which are the last trading days for options. </w:t>
      </w:r>
    </w:p>
    <w:p w14:paraId="7D99A8F1" w14:textId="77777777" w:rsidR="0041621A" w:rsidRPr="0016178B" w:rsidRDefault="0041621A" w:rsidP="0041621A">
      <w:pPr>
        <w:pStyle w:val="ae"/>
        <w:tabs>
          <w:tab w:val="num" w:pos="851"/>
        </w:tabs>
        <w:ind w:left="851"/>
        <w:jc w:val="both"/>
        <w:rPr>
          <w:rFonts w:ascii="Tahoma" w:hAnsi="Tahoma" w:cs="Tahoma"/>
          <w:sz w:val="20"/>
          <w:szCs w:val="20"/>
        </w:rPr>
      </w:pPr>
      <w:r>
        <w:rPr>
          <w:rFonts w:ascii="Tahoma" w:hAnsi="Tahoma"/>
          <w:sz w:val="20"/>
        </w:rPr>
        <w:t xml:space="preserve">The settlement day for the Contract is its Last Trading Day, except to the extent mentioned in sections 5.1 and 5.2 below. </w:t>
      </w:r>
    </w:p>
    <w:p w14:paraId="0AF33079" w14:textId="77777777" w:rsidR="0041621A" w:rsidRPr="0016178B" w:rsidRDefault="0041621A" w:rsidP="005104AD">
      <w:pPr>
        <w:pStyle w:val="ae"/>
        <w:tabs>
          <w:tab w:val="num" w:pos="851"/>
        </w:tabs>
        <w:ind w:left="851"/>
        <w:jc w:val="both"/>
        <w:rPr>
          <w:rFonts w:ascii="Tahoma" w:hAnsi="Tahoma" w:cs="Tahoma"/>
          <w:sz w:val="20"/>
          <w:szCs w:val="20"/>
        </w:rPr>
      </w:pPr>
    </w:p>
    <w:p w14:paraId="2E973C71" w14:textId="77777777" w:rsidR="005104AD" w:rsidRPr="0016178B" w:rsidRDefault="005104AD" w:rsidP="005104AD">
      <w:pPr>
        <w:pStyle w:val="ae"/>
        <w:ind w:left="1080"/>
        <w:rPr>
          <w:rFonts w:ascii="Tahoma" w:hAnsi="Tahoma" w:cs="Tahoma"/>
          <w:sz w:val="20"/>
          <w:szCs w:val="20"/>
        </w:rPr>
      </w:pPr>
    </w:p>
    <w:bookmarkEnd w:id="1"/>
    <w:p w14:paraId="7AF69483" w14:textId="77777777" w:rsidR="005104AD" w:rsidRPr="0016178B" w:rsidRDefault="005104AD" w:rsidP="005104AD">
      <w:pPr>
        <w:pStyle w:val="ae"/>
        <w:numPr>
          <w:ilvl w:val="0"/>
          <w:numId w:val="3"/>
        </w:numPr>
        <w:rPr>
          <w:rFonts w:ascii="Tahoma" w:hAnsi="Tahoma" w:cs="Tahoma"/>
          <w:b/>
          <w:bCs/>
          <w:sz w:val="20"/>
          <w:szCs w:val="20"/>
        </w:rPr>
      </w:pPr>
      <w:r>
        <w:rPr>
          <w:rFonts w:ascii="Tahoma" w:hAnsi="Tahoma"/>
          <w:b/>
          <w:sz w:val="20"/>
        </w:rPr>
        <w:t>Obligations under the Contract</w:t>
      </w:r>
    </w:p>
    <w:p w14:paraId="60AC6125" w14:textId="77777777" w:rsidR="005104AD" w:rsidRPr="0016178B" w:rsidRDefault="005104AD" w:rsidP="005104AD">
      <w:pPr>
        <w:pStyle w:val="ae"/>
        <w:ind w:left="360"/>
        <w:rPr>
          <w:rFonts w:ascii="Tahoma" w:hAnsi="Tahoma" w:cs="Tahoma"/>
          <w:b/>
          <w:bCs/>
          <w:sz w:val="20"/>
          <w:szCs w:val="20"/>
        </w:rPr>
      </w:pPr>
    </w:p>
    <w:p w14:paraId="5017B683" w14:textId="77777777" w:rsidR="005104AD" w:rsidRPr="0016178B" w:rsidRDefault="005104AD" w:rsidP="005104AD">
      <w:pPr>
        <w:pStyle w:val="ae"/>
        <w:numPr>
          <w:ilvl w:val="1"/>
          <w:numId w:val="3"/>
        </w:numPr>
        <w:tabs>
          <w:tab w:val="clear" w:pos="1080"/>
          <w:tab w:val="num" w:pos="851"/>
        </w:tabs>
        <w:ind w:hanging="654"/>
        <w:rPr>
          <w:rFonts w:ascii="Tahoma" w:hAnsi="Tahoma" w:cs="Tahoma"/>
          <w:sz w:val="20"/>
          <w:szCs w:val="20"/>
        </w:rPr>
      </w:pPr>
      <w:r>
        <w:rPr>
          <w:rFonts w:ascii="Tahoma" w:hAnsi="Tahoma"/>
          <w:sz w:val="20"/>
        </w:rPr>
        <w:t>Obligation to pay the premium.</w:t>
      </w:r>
    </w:p>
    <w:p w14:paraId="38C192E9"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t>The Option Holder/Buyer is obliged to pay the Writer/Seller cash (the premium), the amount of which is determined during trading hours based on orders entered by trading members.</w:t>
      </w:r>
      <w:r>
        <w:rPr>
          <w:rFonts w:ascii="Tahoma" w:hAnsi="Tahoma"/>
          <w:sz w:val="20"/>
        </w:rPr>
        <w:t xml:space="preserve"> </w:t>
      </w:r>
    </w:p>
    <w:p w14:paraId="752DCDE2" w14:textId="380E6A92"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obligation of the Buyer to pay the premium arises in </w:t>
      </w:r>
      <w:r w:rsidR="005429F1">
        <w:rPr>
          <w:rFonts w:ascii="Tahoma" w:hAnsi="Tahoma"/>
          <w:sz w:val="20"/>
        </w:rPr>
        <w:t>the clearing</w:t>
      </w:r>
      <w:r>
        <w:rPr>
          <w:rFonts w:ascii="Tahoma" w:hAnsi="Tahoma"/>
          <w:sz w:val="20"/>
        </w:rPr>
        <w:t xml:space="preserve"> session immediately following the trade execution.</w:t>
      </w:r>
    </w:p>
    <w:p w14:paraId="79403DC0"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premium shall be paid in RUB and shall be calculated in respect of each Contract as follows:</w:t>
      </w:r>
    </w:p>
    <w:p w14:paraId="308DE942" w14:textId="77777777" w:rsidR="005104AD" w:rsidRPr="0016178B"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Premium = </w:t>
      </w:r>
      <w:proofErr w:type="gramStart"/>
      <w:r>
        <w:rPr>
          <w:rFonts w:ascii="Tahoma" w:hAnsi="Tahoma"/>
          <w:b/>
          <w:sz w:val="20"/>
        </w:rPr>
        <w:t>Round(</w:t>
      </w:r>
      <w:proofErr w:type="gramEnd"/>
      <w:r>
        <w:rPr>
          <w:rFonts w:ascii="Tahoma" w:hAnsi="Tahoma"/>
          <w:b/>
          <w:sz w:val="20"/>
        </w:rPr>
        <w:t>Contract price (premium) * Round(W/R; 5); 2)</w:t>
      </w:r>
    </w:p>
    <w:p w14:paraId="4F3A6237"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sz w:val="20"/>
        </w:rPr>
        <w:t>where:</w:t>
      </w:r>
    </w:p>
    <w:p w14:paraId="0DD6BEA3" w14:textId="58E4D8F9" w:rsidR="005104AD" w:rsidRPr="0016178B"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is a mathematical rounding function with a specified accuracy;</w:t>
      </w:r>
    </w:p>
    <w:p w14:paraId="025C20DA"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session;</w:t>
      </w:r>
    </w:p>
    <w:p w14:paraId="2364F010"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 the tick value;</w:t>
      </w:r>
    </w:p>
    <w:p w14:paraId="725A5760"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w:t>
      </w:r>
    </w:p>
    <w:p w14:paraId="0ED6EC3F" w14:textId="77777777" w:rsidR="005104AD" w:rsidRPr="0016178B" w:rsidRDefault="005104AD" w:rsidP="005104AD">
      <w:pPr>
        <w:pStyle w:val="ae"/>
        <w:numPr>
          <w:ilvl w:val="1"/>
          <w:numId w:val="3"/>
        </w:numPr>
        <w:tabs>
          <w:tab w:val="clear" w:pos="1080"/>
          <w:tab w:val="num" w:pos="851"/>
        </w:tabs>
        <w:ind w:hanging="654"/>
        <w:jc w:val="both"/>
        <w:rPr>
          <w:rFonts w:ascii="Tahoma" w:hAnsi="Tahoma" w:cs="Tahoma"/>
          <w:sz w:val="20"/>
          <w:szCs w:val="20"/>
        </w:rPr>
      </w:pPr>
      <w:r>
        <w:rPr>
          <w:rFonts w:ascii="Tahoma" w:hAnsi="Tahoma"/>
          <w:sz w:val="20"/>
        </w:rPr>
        <w:t>Settlement obligation</w:t>
      </w:r>
    </w:p>
    <w:p w14:paraId="6631F5CA" w14:textId="5B9B5408" w:rsidR="005104AD" w:rsidRPr="0016178B" w:rsidRDefault="007527B2" w:rsidP="005104AD">
      <w:pPr>
        <w:pStyle w:val="ae"/>
        <w:numPr>
          <w:ilvl w:val="2"/>
          <w:numId w:val="3"/>
        </w:numPr>
        <w:tabs>
          <w:tab w:val="clear" w:pos="2160"/>
          <w:tab w:val="num" w:pos="1560"/>
        </w:tabs>
        <w:ind w:left="1560" w:hanging="709"/>
        <w:jc w:val="both"/>
        <w:rPr>
          <w:rFonts w:ascii="Tahoma" w:hAnsi="Tahoma" w:cs="Tahoma"/>
          <w:sz w:val="20"/>
          <w:szCs w:val="20"/>
        </w:rPr>
      </w:pPr>
      <w:r w:rsidRPr="007527B2">
        <w:rPr>
          <w:rFonts w:ascii="Tahoma" w:hAnsi="Tahoma"/>
          <w:sz w:val="20"/>
        </w:rPr>
        <w:t xml:space="preserve">The obligation to pay cash in an amount equal to the intrinsic value of the option, determined during the clearing session specified in the List of Parameters on the day of execution of the Contract, is a Settlement Obligation and is calculated in Russian </w:t>
      </w:r>
      <w:proofErr w:type="spellStart"/>
      <w:r w:rsidRPr="007527B2">
        <w:rPr>
          <w:rFonts w:ascii="Tahoma" w:hAnsi="Tahoma"/>
          <w:sz w:val="20"/>
        </w:rPr>
        <w:t>rubles</w:t>
      </w:r>
      <w:proofErr w:type="spellEnd"/>
      <w:r w:rsidR="005104AD">
        <w:rPr>
          <w:rFonts w:ascii="Tahoma" w:hAnsi="Tahoma"/>
          <w:sz w:val="20"/>
        </w:rPr>
        <w:t>.</w:t>
      </w:r>
    </w:p>
    <w:p w14:paraId="25AF3C79" w14:textId="77777777" w:rsidR="005104AD" w:rsidRPr="0016178B" w:rsidRDefault="005104AD" w:rsidP="007739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For the purpose of determining the Settlement Obligation, the intrinsic value of the option on the day of exercise shall be determined as follows: </w:t>
      </w:r>
    </w:p>
    <w:p w14:paraId="4EAFAB9F" w14:textId="452A2FFA" w:rsidR="005104AD" w:rsidRPr="0016178B" w:rsidRDefault="0016178B"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 xml:space="preserve">Exchange Rate* </w:t>
      </w:r>
      <w:proofErr w:type="spellStart"/>
      <w:r>
        <w:rPr>
          <w:rFonts w:ascii="Tahoma" w:hAnsi="Tahoma"/>
          <w:sz w:val="20"/>
        </w:rPr>
        <w:t>Lot_Coeff</w:t>
      </w:r>
      <w:proofErr w:type="spellEnd"/>
      <w:r>
        <w:rPr>
          <w:rFonts w:ascii="Tahoma" w:hAnsi="Tahoma"/>
          <w:sz w:val="20"/>
        </w:rPr>
        <w:t xml:space="preserve"> – Strike Price; 0) for Call options</w:t>
      </w:r>
    </w:p>
    <w:p w14:paraId="4457DF68" w14:textId="264A50B8" w:rsidR="005104AD" w:rsidRPr="0016178B"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 xml:space="preserve">Strike Price – Exchange Rate* </w:t>
      </w:r>
      <w:proofErr w:type="spellStart"/>
      <w:r>
        <w:rPr>
          <w:rFonts w:ascii="Tahoma" w:hAnsi="Tahoma"/>
          <w:sz w:val="20"/>
        </w:rPr>
        <w:t>Lot_Coeff</w:t>
      </w:r>
      <w:proofErr w:type="spellEnd"/>
      <w:r>
        <w:rPr>
          <w:rFonts w:ascii="Tahoma" w:hAnsi="Tahoma"/>
          <w:sz w:val="20"/>
        </w:rPr>
        <w:t>; 0) for put options,</w:t>
      </w:r>
    </w:p>
    <w:p w14:paraId="7A228127" w14:textId="3A201ABB" w:rsidR="00A34DCC" w:rsidRPr="0016178B" w:rsidRDefault="005104AD" w:rsidP="005104AD">
      <w:pPr>
        <w:pStyle w:val="ae"/>
        <w:tabs>
          <w:tab w:val="num" w:pos="1560"/>
        </w:tabs>
        <w:ind w:left="1560"/>
        <w:jc w:val="both"/>
        <w:rPr>
          <w:rFonts w:ascii="Tahoma" w:hAnsi="Tahoma" w:cs="Tahoma"/>
          <w:sz w:val="20"/>
          <w:szCs w:val="20"/>
        </w:rPr>
      </w:pPr>
      <w:r>
        <w:rPr>
          <w:rFonts w:ascii="Tahoma" w:hAnsi="Tahoma"/>
          <w:sz w:val="20"/>
        </w:rPr>
        <w:t>where the Exchange Rate of the currency being the underlying asset of the Contract is equal to the fixing determined on the Contract exercise day in accordance with the Moscow Exchange Fixing Methodology (the "Methodology") approved by the Exchange and published on the Exchange's website (the "fixing");</w:t>
      </w:r>
    </w:p>
    <w:p w14:paraId="72D9569D" w14:textId="0021793A" w:rsidR="008A6FEF" w:rsidRDefault="008A6FEF" w:rsidP="007739AD">
      <w:pPr>
        <w:pStyle w:val="ae"/>
        <w:tabs>
          <w:tab w:val="num" w:pos="1560"/>
        </w:tabs>
        <w:ind w:left="1560"/>
        <w:jc w:val="both"/>
        <w:rPr>
          <w:rFonts w:ascii="Tahoma" w:hAnsi="Tahoma"/>
          <w:sz w:val="20"/>
        </w:rPr>
      </w:pPr>
      <w:bookmarkStart w:id="2" w:name="_Hlk108017987"/>
      <w:r w:rsidRPr="008A6FEF">
        <w:rPr>
          <w:rFonts w:ascii="Tahoma" w:hAnsi="Tahoma"/>
          <w:sz w:val="20"/>
        </w:rPr>
        <w:t xml:space="preserve">If, </w:t>
      </w:r>
      <w:r w:rsidR="0099643C" w:rsidRPr="0099643C">
        <w:rPr>
          <w:rFonts w:ascii="Tahoma" w:hAnsi="Tahoma"/>
          <w:sz w:val="20"/>
        </w:rPr>
        <w:t>on the day of execution of the Contract, trading on the Exchange in the currency that is the basic asset of the Contract was not carried out or was suspended during the fixing period established by the Methodology, the value of the Currency Exchange Rate is set equal to the last value of the corresponding currency exchange rate published at the time of execution of the Contract, set by the Central Bank of the Russian Federation</w:t>
      </w:r>
      <w:r w:rsidRPr="008A6FEF">
        <w:rPr>
          <w:rFonts w:ascii="Tahoma" w:hAnsi="Tahoma"/>
          <w:sz w:val="20"/>
        </w:rPr>
        <w:t>.</w:t>
      </w:r>
    </w:p>
    <w:bookmarkEnd w:id="2"/>
    <w:p w14:paraId="0F47780C" w14:textId="77777777" w:rsidR="005104AD" w:rsidRPr="0016178B" w:rsidRDefault="00A34DCC" w:rsidP="007F6EA9">
      <w:pPr>
        <w:pStyle w:val="ae"/>
        <w:ind w:left="1560"/>
        <w:jc w:val="both"/>
        <w:rPr>
          <w:rFonts w:ascii="Tahoma" w:hAnsi="Tahoma" w:cs="Tahoma"/>
          <w:sz w:val="20"/>
          <w:szCs w:val="20"/>
        </w:rPr>
      </w:pPr>
      <w:proofErr w:type="spellStart"/>
      <w:r>
        <w:rPr>
          <w:rFonts w:ascii="Tahoma" w:hAnsi="Tahoma"/>
          <w:sz w:val="20"/>
        </w:rPr>
        <w:t>Lot_Coeff</w:t>
      </w:r>
      <w:proofErr w:type="spellEnd"/>
      <w:r>
        <w:rPr>
          <w:rFonts w:ascii="Tahoma" w:hAnsi="Tahoma"/>
          <w:sz w:val="20"/>
        </w:rPr>
        <w:t xml:space="preserve"> is the coefficient indicating the quantity of the underlying asset in the Contract Price and the Strike Price which is determined in the List of Parameters.</w:t>
      </w:r>
    </w:p>
    <w:p w14:paraId="43D51117"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lastRenderedPageBreak/>
        <w:t>The amount of cash equal to the intrinsic value of the option shall be paid in RUB, and shall be calculated for each Contract as follows:</w:t>
      </w:r>
    </w:p>
    <w:p w14:paraId="5FFD8A0D" w14:textId="77777777" w:rsidR="005104AD" w:rsidRPr="0016178B"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Option Intrinsic Value = Round (Option Intrinsic Value * </w:t>
      </w:r>
      <w:proofErr w:type="gramStart"/>
      <w:r>
        <w:rPr>
          <w:rFonts w:ascii="Tahoma" w:hAnsi="Tahoma"/>
          <w:b/>
          <w:sz w:val="20"/>
        </w:rPr>
        <w:t>Round(</w:t>
      </w:r>
      <w:proofErr w:type="gramEnd"/>
      <w:r>
        <w:rPr>
          <w:rFonts w:ascii="Tahoma" w:hAnsi="Tahoma"/>
          <w:b/>
          <w:sz w:val="20"/>
        </w:rPr>
        <w:t>W/R; 5); 2)</w:t>
      </w:r>
    </w:p>
    <w:p w14:paraId="1CA607BD" w14:textId="77777777" w:rsidR="005104AD" w:rsidRPr="0016178B" w:rsidRDefault="005104AD" w:rsidP="005104AD">
      <w:pPr>
        <w:pStyle w:val="ae"/>
        <w:tabs>
          <w:tab w:val="num" w:pos="1560"/>
        </w:tabs>
        <w:ind w:left="1560" w:hanging="709"/>
        <w:jc w:val="both"/>
        <w:rPr>
          <w:rFonts w:ascii="Tahoma" w:hAnsi="Tahoma" w:cs="Tahoma"/>
          <w:sz w:val="20"/>
          <w:szCs w:val="20"/>
        </w:rPr>
      </w:pPr>
      <w:r>
        <w:rPr>
          <w:rFonts w:ascii="Tahoma" w:hAnsi="Tahoma"/>
          <w:sz w:val="20"/>
        </w:rPr>
        <w:t xml:space="preserve">           where:</w:t>
      </w:r>
    </w:p>
    <w:p w14:paraId="2883B088" w14:textId="77777777" w:rsidR="005104AD" w:rsidRPr="0016178B"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5F182733"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Option Intrinsic Value</w:t>
      </w:r>
      <w:r>
        <w:rPr>
          <w:rFonts w:ascii="Tahoma" w:hAnsi="Tahoma"/>
          <w:sz w:val="20"/>
        </w:rPr>
        <w:t xml:space="preserve"> – a value determined in accordance with the procedure laid down in point 2.2.2 of this Specification;</w:t>
      </w:r>
    </w:p>
    <w:p w14:paraId="3CA4A88B"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the tick value in RUB; </w:t>
      </w:r>
    </w:p>
    <w:p w14:paraId="13E2AE3F"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 of the Contract.</w:t>
      </w:r>
    </w:p>
    <w:p w14:paraId="7A4360E1" w14:textId="3AF4DFE5" w:rsidR="005104AD" w:rsidRPr="002A0FA5" w:rsidRDefault="0099643C" w:rsidP="005104AD">
      <w:pPr>
        <w:pStyle w:val="ae"/>
        <w:numPr>
          <w:ilvl w:val="2"/>
          <w:numId w:val="3"/>
        </w:numPr>
        <w:tabs>
          <w:tab w:val="clear" w:pos="2160"/>
          <w:tab w:val="num" w:pos="1560"/>
        </w:tabs>
        <w:ind w:left="1560" w:hanging="709"/>
        <w:jc w:val="both"/>
        <w:rPr>
          <w:rFonts w:ascii="Tahoma" w:hAnsi="Tahoma" w:cs="Tahoma"/>
          <w:sz w:val="20"/>
          <w:szCs w:val="20"/>
        </w:rPr>
      </w:pPr>
      <w:r w:rsidRPr="0099643C">
        <w:rPr>
          <w:rFonts w:ascii="Tahoma" w:hAnsi="Tahoma"/>
          <w:sz w:val="20"/>
        </w:rPr>
        <w:t>Requirements and obligations for the execution of the Contract arise automatically during the clearing session specified in the List of Parameters, the day of execution of the contract for options "in the money", namely, for contracts whose Intrinsic value is positive.</w:t>
      </w:r>
      <w:r w:rsidR="005104AD">
        <w:rPr>
          <w:rFonts w:ascii="Tahoma" w:hAnsi="Tahoma"/>
          <w:sz w:val="20"/>
        </w:rPr>
        <w:t xml:space="preserve"> </w:t>
      </w:r>
    </w:p>
    <w:p w14:paraId="4DAFC8ED" w14:textId="77777777" w:rsidR="005104AD" w:rsidRPr="002A0FA5"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2.2.4 of this Specification. </w:t>
      </w:r>
    </w:p>
    <w:p w14:paraId="6BBC1A9D"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Buyer/Holder shall not be entitled to waive the automatic exercise of the 'in-the-money' option on the day of exercise of the Contract. </w:t>
      </w:r>
    </w:p>
    <w:p w14:paraId="2A55F62B" w14:textId="77777777" w:rsidR="005104AD" w:rsidRPr="0016178B" w:rsidRDefault="005104AD" w:rsidP="005104AD">
      <w:pPr>
        <w:pStyle w:val="ae"/>
        <w:ind w:left="2160"/>
        <w:jc w:val="both"/>
        <w:rPr>
          <w:rFonts w:ascii="Tahoma" w:hAnsi="Tahoma" w:cs="Tahoma"/>
          <w:sz w:val="20"/>
          <w:szCs w:val="20"/>
        </w:rPr>
      </w:pPr>
    </w:p>
    <w:p w14:paraId="3ED19049" w14:textId="77777777" w:rsidR="005104AD" w:rsidRPr="00BA25C8" w:rsidRDefault="005104AD" w:rsidP="005104AD">
      <w:pPr>
        <w:pStyle w:val="ae"/>
        <w:numPr>
          <w:ilvl w:val="0"/>
          <w:numId w:val="3"/>
        </w:numPr>
        <w:jc w:val="both"/>
        <w:rPr>
          <w:rFonts w:ascii="Tahoma" w:hAnsi="Tahoma" w:cs="Tahoma"/>
          <w:b/>
          <w:bCs/>
          <w:sz w:val="20"/>
          <w:szCs w:val="20"/>
        </w:rPr>
      </w:pPr>
      <w:r>
        <w:rPr>
          <w:rFonts w:ascii="Tahoma" w:hAnsi="Tahoma"/>
          <w:b/>
          <w:sz w:val="20"/>
        </w:rPr>
        <w:t>Grounds and procedure for termination of obligations under the Contract</w:t>
      </w:r>
    </w:p>
    <w:p w14:paraId="089910FF" w14:textId="77777777" w:rsidR="005104AD" w:rsidRPr="00BA25C8"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Obligations under the Contract are terminated in full upon due performance thereof.</w:t>
      </w:r>
    </w:p>
    <w:p w14:paraId="732DBD42" w14:textId="77777777" w:rsidR="005104AD" w:rsidRPr="0016178B"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A party’s obligations under the Contract will be terminated prior to the final settlement by entering into an offsetting Contract with the same Contract code (designation), subject to the procedures and time frames set forth in the Clearing Rules.</w:t>
      </w:r>
    </w:p>
    <w:p w14:paraId="3CC276C7" w14:textId="77777777" w:rsidR="005104AD" w:rsidRPr="0016178B"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Pr>
          <w:rFonts w:ascii="Tahoma" w:hAnsi="Tahoma"/>
        </w:rPr>
        <w:t>Obligations under the Contract may be terminated on other grounds provided for in the Clearing Rules, in accordance with the procedures set forth thereof.</w:t>
      </w:r>
    </w:p>
    <w:p w14:paraId="0B53760E" w14:textId="77777777" w:rsidR="005104AD" w:rsidRPr="0016178B"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1BE4AEAF"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Liability of the parties for failure to perform the obligations under the Contract</w:t>
      </w:r>
    </w:p>
    <w:p w14:paraId="2F0E40DF" w14:textId="77777777" w:rsidR="005104AD" w:rsidRPr="0016178B"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 xml:space="preserve">The parties shall be liable for non-performance or improper performance of obligations under the Contract in accordance with the legislation of the Russian Federation, the Trading Rules and the Clearing Rules. </w:t>
      </w:r>
    </w:p>
    <w:p w14:paraId="50DB87EC"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Special provisions</w:t>
      </w:r>
    </w:p>
    <w:p w14:paraId="10FA4B91" w14:textId="77777777" w:rsidR="005104AD" w:rsidRPr="0016178B"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In case of suspension/termination of Contract trading on the Exchange, suspension of trading on the Moscow Exchange FX Market and/or suspension/termination of fixing calculation, the Exchange shall be entitled, upon agreement with the Clearing Centre, to take one or more of the following decisions:</w:t>
      </w:r>
    </w:p>
    <w:p w14:paraId="6D31C38D" w14:textId="24C3D8C2"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last trading date for the Contract</w:t>
      </w:r>
      <w:r w:rsidR="000E7CEC" w:rsidRPr="000E7CEC">
        <w:rPr>
          <w:rFonts w:ascii="Tahoma" w:hAnsi="Tahoma"/>
          <w:lang w:val="en-US"/>
        </w:rPr>
        <w:t>;</w:t>
      </w:r>
    </w:p>
    <w:p w14:paraId="2927FC2C" w14:textId="4B2E706A"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settlement date for the Contract</w:t>
      </w:r>
      <w:r w:rsidR="000E7CEC" w:rsidRPr="000E7CEC">
        <w:rPr>
          <w:rFonts w:ascii="Tahoma" w:hAnsi="Tahoma"/>
          <w:lang w:val="en-US"/>
        </w:rPr>
        <w:t>;</w:t>
      </w:r>
    </w:p>
    <w:p w14:paraId="7E01F8E0" w14:textId="77777777"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Strike Price of the option; </w:t>
      </w:r>
    </w:p>
    <w:p w14:paraId="2CB5A1DC" w14:textId="77777777"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undertake other actions provided for in the Trading Rules.</w:t>
      </w:r>
    </w:p>
    <w:p w14:paraId="4F0F51C2" w14:textId="77777777" w:rsidR="005104AD" w:rsidRPr="0016178B"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19C05B57" w14:textId="77777777" w:rsidR="005104AD" w:rsidRPr="0016178B"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Any changes adopted by the Exchange pursuant to Sections 5.1-5.2 above will be published on the Exchange website at least 3 (three) trading days prior to their taking effect, which serves as notice to the Trading Members. In case the grounds for decisions provided by clauses 5.1-5.2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037CE69C" w14:textId="77777777" w:rsidR="005104AD" w:rsidRPr="0016178B"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lastRenderedPageBreak/>
        <w:t>As soon as the decision(s) made by the Exchange in accordance with clauses 5.1-5.2 of the Specification come into force, the terms of existing obligations under previously concluded Contracts shall be deemed to have been modified to take account of the said decision(s).</w:t>
      </w:r>
    </w:p>
    <w:p w14:paraId="69A7A584" w14:textId="2A89B6A9" w:rsidR="005104AD" w:rsidRPr="0016178B"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t>If the Exchange Rate of the currency being the underlying asset of the Contract ceases to meet the requirements set by the legislation for the underlying asset of contracts which are derivative financial instruments, the terms and conditions of the obligations under the previously concluded Contracts shall not be changed.</w:t>
      </w:r>
    </w:p>
    <w:p w14:paraId="5F85B7A8" w14:textId="77777777" w:rsidR="005104AD" w:rsidRPr="0016178B" w:rsidRDefault="005104AD" w:rsidP="005104AD">
      <w:pPr>
        <w:pStyle w:val="a1"/>
        <w:numPr>
          <w:ilvl w:val="0"/>
          <w:numId w:val="0"/>
        </w:numPr>
        <w:tabs>
          <w:tab w:val="left" w:pos="426"/>
        </w:tabs>
        <w:autoSpaceDE w:val="0"/>
        <w:autoSpaceDN w:val="0"/>
        <w:ind w:left="1080"/>
        <w:rPr>
          <w:rFonts w:ascii="Tahoma" w:hAnsi="Tahoma" w:cs="Tahoma"/>
          <w:szCs w:val="20"/>
        </w:rPr>
      </w:pPr>
    </w:p>
    <w:p w14:paraId="27E387CB"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Amendments and Supplements to the Specification</w:t>
      </w:r>
    </w:p>
    <w:p w14:paraId="5EDD2F77" w14:textId="77777777" w:rsidR="005104AD" w:rsidRPr="0016178B"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6672D553" w14:textId="77777777" w:rsidR="005104AD" w:rsidRPr="0016178B"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E6EBCF9" w14:textId="4F9B5EB6" w:rsidR="005104AD" w:rsidRPr="000E7CEC"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entered into are deemed to have been amended or supplemented accordingly. </w:t>
      </w:r>
    </w:p>
    <w:p w14:paraId="168D3B8B" w14:textId="43320BA7" w:rsidR="000E7CEC" w:rsidRDefault="000E7CEC" w:rsidP="000E7CEC">
      <w:pPr>
        <w:pStyle w:val="1"/>
        <w:numPr>
          <w:ilvl w:val="0"/>
          <w:numId w:val="0"/>
        </w:numPr>
        <w:tabs>
          <w:tab w:val="clear" w:pos="900"/>
        </w:tabs>
        <w:ind w:left="896" w:hanging="539"/>
        <w:rPr>
          <w:rFonts w:ascii="Tahoma" w:hAnsi="Tahoma"/>
        </w:rPr>
      </w:pPr>
    </w:p>
    <w:p w14:paraId="71F5DC6F" w14:textId="00167534" w:rsidR="000E7CEC" w:rsidRDefault="000E7CEC" w:rsidP="000E7CEC">
      <w:pPr>
        <w:pStyle w:val="1"/>
        <w:numPr>
          <w:ilvl w:val="0"/>
          <w:numId w:val="0"/>
        </w:numPr>
        <w:tabs>
          <w:tab w:val="clear" w:pos="900"/>
        </w:tabs>
        <w:ind w:left="896" w:hanging="539"/>
        <w:rPr>
          <w:rFonts w:ascii="Tahoma" w:hAnsi="Tahoma"/>
        </w:rPr>
      </w:pPr>
    </w:p>
    <w:p w14:paraId="789B0E80" w14:textId="6F8830B2" w:rsidR="000E7CEC" w:rsidRDefault="000E7CEC" w:rsidP="000E7CEC">
      <w:pPr>
        <w:pStyle w:val="1"/>
        <w:numPr>
          <w:ilvl w:val="0"/>
          <w:numId w:val="0"/>
        </w:numPr>
        <w:tabs>
          <w:tab w:val="clear" w:pos="900"/>
        </w:tabs>
        <w:ind w:left="896" w:hanging="539"/>
        <w:rPr>
          <w:rFonts w:ascii="Tahoma" w:hAnsi="Tahoma"/>
        </w:rPr>
      </w:pPr>
    </w:p>
    <w:p w14:paraId="56C10F61" w14:textId="10BC71DF" w:rsidR="000E7CEC" w:rsidRDefault="000E7CEC" w:rsidP="000E7CEC">
      <w:pPr>
        <w:pStyle w:val="1"/>
        <w:numPr>
          <w:ilvl w:val="0"/>
          <w:numId w:val="0"/>
        </w:numPr>
        <w:tabs>
          <w:tab w:val="clear" w:pos="900"/>
        </w:tabs>
        <w:ind w:left="896" w:hanging="539"/>
        <w:rPr>
          <w:rFonts w:ascii="Tahoma" w:hAnsi="Tahoma"/>
        </w:rPr>
      </w:pPr>
    </w:p>
    <w:p w14:paraId="28694351" w14:textId="694842F4" w:rsidR="000E7CEC" w:rsidRDefault="000E7CEC" w:rsidP="000E7CEC">
      <w:pPr>
        <w:pStyle w:val="1"/>
        <w:numPr>
          <w:ilvl w:val="0"/>
          <w:numId w:val="0"/>
        </w:numPr>
        <w:tabs>
          <w:tab w:val="clear" w:pos="900"/>
        </w:tabs>
        <w:ind w:left="896" w:hanging="539"/>
        <w:rPr>
          <w:rFonts w:ascii="Tahoma" w:hAnsi="Tahoma"/>
        </w:rPr>
      </w:pPr>
    </w:p>
    <w:p w14:paraId="143D8441" w14:textId="17075D86" w:rsidR="000E7CEC" w:rsidRDefault="000E7CEC" w:rsidP="000E7CEC">
      <w:pPr>
        <w:pStyle w:val="1"/>
        <w:numPr>
          <w:ilvl w:val="0"/>
          <w:numId w:val="0"/>
        </w:numPr>
        <w:tabs>
          <w:tab w:val="clear" w:pos="900"/>
        </w:tabs>
        <w:ind w:left="896" w:hanging="539"/>
        <w:rPr>
          <w:rFonts w:ascii="Tahoma" w:hAnsi="Tahoma"/>
        </w:rPr>
      </w:pPr>
    </w:p>
    <w:p w14:paraId="109BA218" w14:textId="3DA61FFA" w:rsidR="000E7CEC" w:rsidRDefault="000E7CEC" w:rsidP="000E7CEC">
      <w:pPr>
        <w:pStyle w:val="1"/>
        <w:numPr>
          <w:ilvl w:val="0"/>
          <w:numId w:val="0"/>
        </w:numPr>
        <w:tabs>
          <w:tab w:val="clear" w:pos="900"/>
        </w:tabs>
        <w:ind w:left="896" w:hanging="539"/>
        <w:rPr>
          <w:rFonts w:ascii="Tahoma" w:hAnsi="Tahoma"/>
        </w:rPr>
      </w:pPr>
    </w:p>
    <w:p w14:paraId="29258892" w14:textId="1FF51F35" w:rsidR="000E7CEC" w:rsidRDefault="000E7CEC" w:rsidP="000E7CEC">
      <w:pPr>
        <w:pStyle w:val="1"/>
        <w:numPr>
          <w:ilvl w:val="0"/>
          <w:numId w:val="0"/>
        </w:numPr>
        <w:tabs>
          <w:tab w:val="clear" w:pos="900"/>
        </w:tabs>
        <w:ind w:left="896" w:hanging="539"/>
        <w:rPr>
          <w:rFonts w:ascii="Tahoma" w:hAnsi="Tahoma"/>
        </w:rPr>
      </w:pPr>
    </w:p>
    <w:p w14:paraId="19BB09C0" w14:textId="3771C7E4" w:rsidR="000E7CEC" w:rsidRDefault="000E7CEC" w:rsidP="000E7CEC">
      <w:pPr>
        <w:pStyle w:val="1"/>
        <w:numPr>
          <w:ilvl w:val="0"/>
          <w:numId w:val="0"/>
        </w:numPr>
        <w:tabs>
          <w:tab w:val="clear" w:pos="900"/>
        </w:tabs>
        <w:ind w:left="896" w:hanging="539"/>
        <w:rPr>
          <w:rFonts w:ascii="Tahoma" w:hAnsi="Tahoma"/>
        </w:rPr>
      </w:pPr>
    </w:p>
    <w:p w14:paraId="230E5810" w14:textId="7855164E" w:rsidR="000E7CEC" w:rsidRDefault="000E7CEC" w:rsidP="000E7CEC">
      <w:pPr>
        <w:pStyle w:val="1"/>
        <w:numPr>
          <w:ilvl w:val="0"/>
          <w:numId w:val="0"/>
        </w:numPr>
        <w:tabs>
          <w:tab w:val="clear" w:pos="900"/>
        </w:tabs>
        <w:ind w:left="896" w:hanging="539"/>
        <w:rPr>
          <w:rFonts w:ascii="Tahoma" w:hAnsi="Tahoma"/>
        </w:rPr>
      </w:pPr>
    </w:p>
    <w:p w14:paraId="7345ACE3" w14:textId="530678B9" w:rsidR="000E7CEC" w:rsidRDefault="000E7CEC" w:rsidP="000E7CEC">
      <w:pPr>
        <w:pStyle w:val="1"/>
        <w:numPr>
          <w:ilvl w:val="0"/>
          <w:numId w:val="0"/>
        </w:numPr>
        <w:tabs>
          <w:tab w:val="clear" w:pos="900"/>
        </w:tabs>
        <w:ind w:left="896" w:hanging="539"/>
        <w:rPr>
          <w:rFonts w:ascii="Tahoma" w:hAnsi="Tahoma"/>
        </w:rPr>
      </w:pPr>
    </w:p>
    <w:p w14:paraId="3A523F94" w14:textId="005DD99A" w:rsidR="000E7CEC" w:rsidRDefault="000E7CEC" w:rsidP="000E7CEC">
      <w:pPr>
        <w:pStyle w:val="1"/>
        <w:numPr>
          <w:ilvl w:val="0"/>
          <w:numId w:val="0"/>
        </w:numPr>
        <w:tabs>
          <w:tab w:val="clear" w:pos="900"/>
        </w:tabs>
        <w:ind w:left="896" w:hanging="539"/>
        <w:rPr>
          <w:rFonts w:ascii="Tahoma" w:hAnsi="Tahoma"/>
        </w:rPr>
      </w:pPr>
    </w:p>
    <w:p w14:paraId="2B718B57" w14:textId="3DFB4A65" w:rsidR="000E7CEC" w:rsidRDefault="000E7CEC" w:rsidP="000E7CEC">
      <w:pPr>
        <w:pStyle w:val="1"/>
        <w:numPr>
          <w:ilvl w:val="0"/>
          <w:numId w:val="0"/>
        </w:numPr>
        <w:tabs>
          <w:tab w:val="clear" w:pos="900"/>
        </w:tabs>
        <w:ind w:left="896" w:hanging="539"/>
        <w:rPr>
          <w:rFonts w:ascii="Tahoma" w:hAnsi="Tahoma"/>
        </w:rPr>
      </w:pPr>
    </w:p>
    <w:p w14:paraId="6C61D8FC" w14:textId="00CE22A7" w:rsidR="000E7CEC" w:rsidRDefault="000E7CEC" w:rsidP="000E7CEC">
      <w:pPr>
        <w:pStyle w:val="1"/>
        <w:numPr>
          <w:ilvl w:val="0"/>
          <w:numId w:val="0"/>
        </w:numPr>
        <w:tabs>
          <w:tab w:val="clear" w:pos="900"/>
        </w:tabs>
        <w:ind w:left="896" w:hanging="539"/>
        <w:rPr>
          <w:rFonts w:ascii="Tahoma" w:hAnsi="Tahoma"/>
        </w:rPr>
      </w:pPr>
    </w:p>
    <w:p w14:paraId="7F1411BE" w14:textId="3FF9A541" w:rsidR="000E7CEC" w:rsidRDefault="000E7CEC" w:rsidP="000E7CEC">
      <w:pPr>
        <w:pStyle w:val="1"/>
        <w:numPr>
          <w:ilvl w:val="0"/>
          <w:numId w:val="0"/>
        </w:numPr>
        <w:tabs>
          <w:tab w:val="clear" w:pos="900"/>
        </w:tabs>
        <w:ind w:left="896" w:hanging="539"/>
        <w:rPr>
          <w:rFonts w:ascii="Tahoma" w:hAnsi="Tahoma"/>
        </w:rPr>
      </w:pPr>
    </w:p>
    <w:p w14:paraId="67457DF6" w14:textId="6FFE2DEA" w:rsidR="000E7CEC" w:rsidRDefault="000E7CEC" w:rsidP="000E7CEC">
      <w:pPr>
        <w:pStyle w:val="1"/>
        <w:numPr>
          <w:ilvl w:val="0"/>
          <w:numId w:val="0"/>
        </w:numPr>
        <w:tabs>
          <w:tab w:val="clear" w:pos="900"/>
        </w:tabs>
        <w:ind w:left="896" w:hanging="539"/>
        <w:rPr>
          <w:rFonts w:ascii="Tahoma" w:hAnsi="Tahoma"/>
        </w:rPr>
      </w:pPr>
    </w:p>
    <w:p w14:paraId="05346B43" w14:textId="4703A98E" w:rsidR="000E7CEC" w:rsidRDefault="000E7CEC" w:rsidP="000E7CEC">
      <w:pPr>
        <w:pStyle w:val="1"/>
        <w:numPr>
          <w:ilvl w:val="0"/>
          <w:numId w:val="0"/>
        </w:numPr>
        <w:tabs>
          <w:tab w:val="clear" w:pos="900"/>
        </w:tabs>
        <w:ind w:left="896" w:hanging="539"/>
        <w:rPr>
          <w:rFonts w:ascii="Tahoma" w:hAnsi="Tahoma"/>
        </w:rPr>
      </w:pPr>
    </w:p>
    <w:p w14:paraId="728C799C" w14:textId="12224B63" w:rsidR="000E7CEC" w:rsidRDefault="000E7CEC" w:rsidP="000E7CEC">
      <w:pPr>
        <w:pStyle w:val="1"/>
        <w:numPr>
          <w:ilvl w:val="0"/>
          <w:numId w:val="0"/>
        </w:numPr>
        <w:tabs>
          <w:tab w:val="clear" w:pos="900"/>
        </w:tabs>
        <w:ind w:left="896" w:hanging="539"/>
        <w:rPr>
          <w:rFonts w:ascii="Tahoma" w:hAnsi="Tahoma"/>
        </w:rPr>
      </w:pPr>
    </w:p>
    <w:p w14:paraId="48B2D63A" w14:textId="0FD150EE" w:rsidR="000E7CEC" w:rsidRDefault="000E7CEC" w:rsidP="000E7CEC">
      <w:pPr>
        <w:pStyle w:val="1"/>
        <w:numPr>
          <w:ilvl w:val="0"/>
          <w:numId w:val="0"/>
        </w:numPr>
        <w:tabs>
          <w:tab w:val="clear" w:pos="900"/>
        </w:tabs>
        <w:ind w:left="896" w:hanging="539"/>
        <w:rPr>
          <w:rFonts w:ascii="Tahoma" w:hAnsi="Tahoma"/>
        </w:rPr>
      </w:pPr>
    </w:p>
    <w:p w14:paraId="6C1A767A" w14:textId="4E40131E" w:rsidR="000E7CEC" w:rsidRDefault="000E7CEC" w:rsidP="000E7CEC">
      <w:pPr>
        <w:pStyle w:val="1"/>
        <w:numPr>
          <w:ilvl w:val="0"/>
          <w:numId w:val="0"/>
        </w:numPr>
        <w:tabs>
          <w:tab w:val="clear" w:pos="900"/>
        </w:tabs>
        <w:ind w:left="896" w:hanging="539"/>
        <w:rPr>
          <w:rFonts w:ascii="Tahoma" w:hAnsi="Tahoma"/>
        </w:rPr>
      </w:pPr>
    </w:p>
    <w:p w14:paraId="0B2A35DA" w14:textId="6D609867" w:rsidR="000E7CEC" w:rsidRDefault="000E7CEC" w:rsidP="000E7CEC">
      <w:pPr>
        <w:pStyle w:val="1"/>
        <w:numPr>
          <w:ilvl w:val="0"/>
          <w:numId w:val="0"/>
        </w:numPr>
        <w:tabs>
          <w:tab w:val="clear" w:pos="900"/>
        </w:tabs>
        <w:ind w:left="896" w:hanging="539"/>
        <w:rPr>
          <w:rFonts w:ascii="Tahoma" w:hAnsi="Tahoma"/>
        </w:rPr>
      </w:pPr>
    </w:p>
    <w:p w14:paraId="2DC387B4" w14:textId="4139C79A" w:rsidR="000E7CEC" w:rsidRDefault="000E7CEC" w:rsidP="000E7CEC">
      <w:pPr>
        <w:pStyle w:val="1"/>
        <w:numPr>
          <w:ilvl w:val="0"/>
          <w:numId w:val="0"/>
        </w:numPr>
        <w:tabs>
          <w:tab w:val="clear" w:pos="900"/>
        </w:tabs>
        <w:ind w:left="896" w:hanging="539"/>
        <w:rPr>
          <w:rFonts w:ascii="Tahoma" w:hAnsi="Tahoma"/>
        </w:rPr>
      </w:pPr>
    </w:p>
    <w:p w14:paraId="60AB3629" w14:textId="2349AD38" w:rsidR="000E7CEC" w:rsidRDefault="000E7CEC" w:rsidP="000E7CEC">
      <w:pPr>
        <w:pStyle w:val="1"/>
        <w:numPr>
          <w:ilvl w:val="0"/>
          <w:numId w:val="0"/>
        </w:numPr>
        <w:tabs>
          <w:tab w:val="clear" w:pos="900"/>
        </w:tabs>
        <w:ind w:left="896" w:hanging="539"/>
        <w:rPr>
          <w:rFonts w:ascii="Tahoma" w:hAnsi="Tahoma"/>
        </w:rPr>
      </w:pPr>
    </w:p>
    <w:p w14:paraId="5C870D84" w14:textId="441E686E" w:rsidR="000E7CEC" w:rsidRDefault="000E7CEC" w:rsidP="000E7CEC">
      <w:pPr>
        <w:pStyle w:val="1"/>
        <w:numPr>
          <w:ilvl w:val="0"/>
          <w:numId w:val="0"/>
        </w:numPr>
        <w:tabs>
          <w:tab w:val="clear" w:pos="900"/>
        </w:tabs>
        <w:ind w:left="896" w:hanging="539"/>
        <w:rPr>
          <w:rFonts w:ascii="Tahoma" w:hAnsi="Tahoma"/>
        </w:rPr>
      </w:pPr>
    </w:p>
    <w:p w14:paraId="5D9917E1" w14:textId="5535FD5C" w:rsidR="000E7CEC" w:rsidRDefault="000E7CEC" w:rsidP="000E7CEC">
      <w:pPr>
        <w:pStyle w:val="1"/>
        <w:numPr>
          <w:ilvl w:val="0"/>
          <w:numId w:val="0"/>
        </w:numPr>
        <w:tabs>
          <w:tab w:val="clear" w:pos="900"/>
        </w:tabs>
        <w:ind w:left="896" w:hanging="539"/>
        <w:rPr>
          <w:rFonts w:ascii="Tahoma" w:hAnsi="Tahoma"/>
        </w:rPr>
      </w:pPr>
    </w:p>
    <w:p w14:paraId="13459E79" w14:textId="70DD3895" w:rsidR="000E7CEC" w:rsidRDefault="000E7CEC" w:rsidP="000E7CEC">
      <w:pPr>
        <w:pStyle w:val="1"/>
        <w:numPr>
          <w:ilvl w:val="0"/>
          <w:numId w:val="0"/>
        </w:numPr>
        <w:tabs>
          <w:tab w:val="clear" w:pos="900"/>
        </w:tabs>
        <w:ind w:left="896" w:hanging="539"/>
        <w:rPr>
          <w:rFonts w:ascii="Tahoma" w:hAnsi="Tahoma"/>
        </w:rPr>
      </w:pPr>
    </w:p>
    <w:p w14:paraId="0D3E7CDF" w14:textId="77777777" w:rsidR="000E7CEC" w:rsidRDefault="000E7CEC" w:rsidP="000E7CEC">
      <w:pPr>
        <w:pStyle w:val="1"/>
        <w:numPr>
          <w:ilvl w:val="0"/>
          <w:numId w:val="0"/>
        </w:numPr>
        <w:tabs>
          <w:tab w:val="clear" w:pos="900"/>
        </w:tabs>
        <w:ind w:left="896" w:hanging="539"/>
        <w:rPr>
          <w:rFonts w:ascii="Tahoma" w:hAnsi="Tahoma"/>
        </w:rPr>
        <w:sectPr w:rsidR="000E7CEC">
          <w:headerReference w:type="default" r:id="rId7"/>
          <w:pgSz w:w="11906" w:h="16838"/>
          <w:pgMar w:top="1134" w:right="850" w:bottom="1134" w:left="1701" w:header="708" w:footer="708" w:gutter="0"/>
          <w:cols w:space="708"/>
          <w:docGrid w:linePitch="360"/>
        </w:sectPr>
      </w:pPr>
    </w:p>
    <w:p w14:paraId="75851092" w14:textId="05841835" w:rsidR="000E7CEC" w:rsidRDefault="000E7CEC" w:rsidP="000E7CEC">
      <w:pPr>
        <w:pStyle w:val="a9"/>
        <w:tabs>
          <w:tab w:val="left" w:pos="4962"/>
        </w:tabs>
        <w:spacing w:after="0"/>
        <w:ind w:left="5387" w:right="27"/>
        <w:rPr>
          <w:rFonts w:ascii="Tahoma" w:hAnsi="Tahoma" w:cs="Tahoma"/>
          <w:sz w:val="22"/>
          <w:szCs w:val="20"/>
        </w:rPr>
      </w:pPr>
      <w:r>
        <w:rPr>
          <w:rFonts w:ascii="Tahoma" w:hAnsi="Tahoma"/>
          <w:sz w:val="22"/>
        </w:rPr>
        <w:lastRenderedPageBreak/>
        <w:tab/>
      </w:r>
      <w:r>
        <w:rPr>
          <w:rFonts w:ascii="Tahoma" w:hAnsi="Tahoma"/>
          <w:sz w:val="22"/>
        </w:rPr>
        <w:tab/>
        <w:t xml:space="preserve">      </w:t>
      </w:r>
    </w:p>
    <w:p w14:paraId="0CD99C7D" w14:textId="77777777" w:rsidR="000E7CEC" w:rsidRDefault="000E7CEC" w:rsidP="000E7CEC">
      <w:pPr>
        <w:pStyle w:val="ac"/>
        <w:keepNext/>
        <w:widowControl w:val="0"/>
        <w:spacing w:after="0"/>
        <w:ind w:right="11"/>
        <w:jc w:val="center"/>
        <w:rPr>
          <w:rFonts w:ascii="Tahoma" w:hAnsi="Tahoma" w:cs="Tahoma"/>
          <w:b/>
          <w:bCs/>
          <w:sz w:val="22"/>
          <w:szCs w:val="22"/>
        </w:rPr>
      </w:pPr>
    </w:p>
    <w:p w14:paraId="13552D2C" w14:textId="77777777" w:rsidR="000E7CEC" w:rsidRDefault="000E7CEC" w:rsidP="000E7CEC">
      <w:pPr>
        <w:pStyle w:val="ac"/>
        <w:keepNext/>
        <w:widowControl w:val="0"/>
        <w:spacing w:after="0"/>
        <w:ind w:right="11"/>
        <w:jc w:val="center"/>
        <w:rPr>
          <w:rFonts w:ascii="Tahoma" w:hAnsi="Tahoma" w:cs="Tahoma"/>
          <w:b/>
          <w:bCs/>
          <w:sz w:val="22"/>
          <w:szCs w:val="22"/>
        </w:rPr>
      </w:pPr>
      <w:r>
        <w:rPr>
          <w:rFonts w:ascii="Tahoma" w:hAnsi="Tahoma"/>
          <w:b/>
          <w:sz w:val="22"/>
        </w:rPr>
        <w:t xml:space="preserve">LIST OF PARAMETERS FOR PREMIUM OPTIONS ON </w:t>
      </w:r>
    </w:p>
    <w:p w14:paraId="45B2A895" w14:textId="77777777" w:rsidR="000E7CEC" w:rsidRPr="002A6513" w:rsidRDefault="000E7CEC" w:rsidP="000E7CEC">
      <w:pPr>
        <w:pStyle w:val="ac"/>
        <w:keepNext/>
        <w:widowControl w:val="0"/>
        <w:spacing w:after="0"/>
        <w:ind w:right="11"/>
        <w:jc w:val="center"/>
        <w:rPr>
          <w:rFonts w:ascii="Tahoma" w:hAnsi="Tahoma" w:cs="Tahoma"/>
          <w:b/>
          <w:bCs/>
          <w:sz w:val="22"/>
          <w:szCs w:val="22"/>
        </w:rPr>
      </w:pPr>
      <w:r>
        <w:rPr>
          <w:rFonts w:ascii="Tahoma" w:hAnsi="Tahoma"/>
          <w:b/>
          <w:sz w:val="22"/>
        </w:rPr>
        <w:t xml:space="preserve">EXCHANGE RATES OF CURRENCIES TO THE RUSSIAN ROUBLE </w:t>
      </w:r>
    </w:p>
    <w:p w14:paraId="71FA2D6C" w14:textId="77777777" w:rsidR="000E7CEC" w:rsidRPr="00125F2A" w:rsidRDefault="000E7CEC" w:rsidP="000E7CEC">
      <w:pPr>
        <w:pStyle w:val="ac"/>
        <w:keepNext/>
        <w:widowControl w:val="0"/>
        <w:spacing w:after="0"/>
        <w:ind w:right="11"/>
        <w:jc w:val="center"/>
        <w:rPr>
          <w:rFonts w:ascii="Tahoma" w:hAnsi="Tahoma" w:cs="Tahoma"/>
          <w:b/>
          <w:bCs/>
          <w:sz w:val="22"/>
          <w:szCs w:val="22"/>
        </w:rPr>
      </w:pPr>
    </w:p>
    <w:p w14:paraId="25AD8B83" w14:textId="77777777" w:rsidR="000E7CEC" w:rsidRPr="00DE3878" w:rsidRDefault="000E7CEC" w:rsidP="000E7CEC">
      <w:pPr>
        <w:jc w:val="both"/>
        <w:rPr>
          <w:rFonts w:ascii="Tahoma" w:hAnsi="Tahoma" w:cs="Tahoma"/>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276"/>
        <w:gridCol w:w="1418"/>
        <w:gridCol w:w="1842"/>
        <w:gridCol w:w="1276"/>
        <w:gridCol w:w="1559"/>
        <w:gridCol w:w="1701"/>
        <w:gridCol w:w="2694"/>
        <w:gridCol w:w="1842"/>
      </w:tblGrid>
      <w:tr w:rsidR="000E7CEC" w:rsidRPr="00F75E32" w14:paraId="143DCDFC" w14:textId="77777777" w:rsidTr="00296730">
        <w:trPr>
          <w:trHeight w:val="1191"/>
        </w:trPr>
        <w:tc>
          <w:tcPr>
            <w:tcW w:w="425" w:type="dxa"/>
            <w:shd w:val="clear" w:color="auto" w:fill="auto"/>
            <w:vAlign w:val="center"/>
          </w:tcPr>
          <w:p w14:paraId="0DCDDD0F" w14:textId="77777777" w:rsidR="000E7CEC" w:rsidRPr="009C43DA" w:rsidRDefault="000E7CEC" w:rsidP="00296730">
            <w:pPr>
              <w:jc w:val="center"/>
              <w:rPr>
                <w:rFonts w:ascii="Tahoma" w:hAnsi="Tahoma" w:cs="Tahoma"/>
                <w:bCs/>
                <w:sz w:val="20"/>
                <w:szCs w:val="16"/>
              </w:rPr>
            </w:pPr>
            <w:r>
              <w:rPr>
                <w:rFonts w:ascii="Tahoma" w:hAnsi="Tahoma"/>
                <w:sz w:val="20"/>
              </w:rPr>
              <w:t>No.</w:t>
            </w:r>
          </w:p>
        </w:tc>
        <w:tc>
          <w:tcPr>
            <w:tcW w:w="1843" w:type="dxa"/>
            <w:shd w:val="clear" w:color="auto" w:fill="auto"/>
            <w:vAlign w:val="center"/>
          </w:tcPr>
          <w:p w14:paraId="2DA65254" w14:textId="77777777" w:rsidR="000E7CEC" w:rsidRPr="008E180F" w:rsidRDefault="000E7CEC" w:rsidP="00296730">
            <w:pPr>
              <w:jc w:val="center"/>
              <w:rPr>
                <w:rFonts w:ascii="Tahoma" w:hAnsi="Tahoma" w:cs="Tahoma"/>
                <w:bCs/>
                <w:sz w:val="20"/>
                <w:szCs w:val="16"/>
              </w:rPr>
            </w:pPr>
            <w:r>
              <w:rPr>
                <w:rFonts w:ascii="Tahoma" w:hAnsi="Tahoma"/>
                <w:sz w:val="20"/>
              </w:rPr>
              <w:t xml:space="preserve">Contract name </w:t>
            </w:r>
          </w:p>
          <w:p w14:paraId="60B13E19" w14:textId="77777777" w:rsidR="000E7CEC" w:rsidRPr="00BA6A1C" w:rsidRDefault="000E7CEC" w:rsidP="00296730">
            <w:pPr>
              <w:jc w:val="center"/>
              <w:rPr>
                <w:rFonts w:ascii="Tahoma" w:hAnsi="Tahoma" w:cs="Tahoma"/>
                <w:bCs/>
                <w:sz w:val="20"/>
                <w:szCs w:val="16"/>
              </w:rPr>
            </w:pPr>
            <w:r>
              <w:rPr>
                <w:rFonts w:ascii="Tahoma" w:hAnsi="Tahoma"/>
                <w:sz w:val="20"/>
              </w:rPr>
              <w:t xml:space="preserve"> </w:t>
            </w:r>
          </w:p>
        </w:tc>
        <w:tc>
          <w:tcPr>
            <w:tcW w:w="1276" w:type="dxa"/>
            <w:shd w:val="clear" w:color="auto" w:fill="auto"/>
            <w:vAlign w:val="center"/>
          </w:tcPr>
          <w:p w14:paraId="0AA84045" w14:textId="77777777" w:rsidR="000E7CEC" w:rsidRPr="00F31852" w:rsidRDefault="000E7CEC" w:rsidP="00296730">
            <w:pPr>
              <w:jc w:val="center"/>
              <w:rPr>
                <w:rFonts w:ascii="Tahoma" w:hAnsi="Tahoma" w:cs="Tahoma"/>
                <w:bCs/>
                <w:sz w:val="20"/>
                <w:szCs w:val="16"/>
              </w:rPr>
            </w:pPr>
            <w:r>
              <w:rPr>
                <w:rFonts w:ascii="Tahoma" w:hAnsi="Tahoma"/>
                <w:sz w:val="20"/>
              </w:rPr>
              <w:t>Code of the underlying asset</w:t>
            </w:r>
          </w:p>
        </w:tc>
        <w:tc>
          <w:tcPr>
            <w:tcW w:w="1418" w:type="dxa"/>
            <w:shd w:val="clear" w:color="auto" w:fill="auto"/>
            <w:vAlign w:val="center"/>
          </w:tcPr>
          <w:p w14:paraId="73B63BDA" w14:textId="77777777" w:rsidR="000E7CEC" w:rsidRPr="00D745D4" w:rsidRDefault="000E7CEC" w:rsidP="00296730">
            <w:pPr>
              <w:jc w:val="center"/>
              <w:rPr>
                <w:rFonts w:ascii="Tahoma" w:hAnsi="Tahoma" w:cs="Tahoma"/>
                <w:bCs/>
                <w:sz w:val="20"/>
                <w:szCs w:val="16"/>
              </w:rPr>
            </w:pPr>
            <w:r>
              <w:rPr>
                <w:rFonts w:ascii="Tahoma" w:hAnsi="Tahoma"/>
                <w:sz w:val="20"/>
              </w:rPr>
              <w:t xml:space="preserve">Underling </w:t>
            </w:r>
          </w:p>
          <w:p w14:paraId="31232184" w14:textId="77777777" w:rsidR="000E7CEC" w:rsidRPr="00E2610F" w:rsidRDefault="000E7CEC" w:rsidP="00296730">
            <w:pPr>
              <w:jc w:val="center"/>
              <w:rPr>
                <w:rFonts w:ascii="Tahoma" w:hAnsi="Tahoma" w:cs="Tahoma"/>
                <w:bCs/>
                <w:sz w:val="20"/>
                <w:szCs w:val="16"/>
              </w:rPr>
            </w:pPr>
            <w:r>
              <w:rPr>
                <w:rFonts w:ascii="Tahoma" w:hAnsi="Tahoma"/>
                <w:sz w:val="20"/>
              </w:rPr>
              <w:t>asset</w:t>
            </w:r>
          </w:p>
        </w:tc>
        <w:tc>
          <w:tcPr>
            <w:tcW w:w="1842" w:type="dxa"/>
            <w:shd w:val="clear" w:color="auto" w:fill="auto"/>
            <w:vAlign w:val="center"/>
          </w:tcPr>
          <w:p w14:paraId="2BC9A098" w14:textId="77777777" w:rsidR="000E7CEC" w:rsidRPr="00E2610F" w:rsidRDefault="000E7CEC" w:rsidP="00296730">
            <w:pPr>
              <w:jc w:val="center"/>
              <w:rPr>
                <w:rFonts w:ascii="Tahoma" w:hAnsi="Tahoma" w:cs="Tahoma"/>
                <w:bCs/>
                <w:sz w:val="20"/>
                <w:szCs w:val="16"/>
              </w:rPr>
            </w:pPr>
            <w:proofErr w:type="spellStart"/>
            <w:r>
              <w:rPr>
                <w:rFonts w:ascii="Tahoma" w:hAnsi="Tahoma"/>
                <w:sz w:val="20"/>
              </w:rPr>
              <w:t>Lot_Coeff</w:t>
            </w:r>
            <w:proofErr w:type="spellEnd"/>
          </w:p>
        </w:tc>
        <w:tc>
          <w:tcPr>
            <w:tcW w:w="1276" w:type="dxa"/>
            <w:shd w:val="clear" w:color="auto" w:fill="auto"/>
            <w:vAlign w:val="center"/>
          </w:tcPr>
          <w:p w14:paraId="7122A050" w14:textId="77777777" w:rsidR="000E7CEC" w:rsidRPr="00E2610F" w:rsidRDefault="000E7CEC" w:rsidP="00296730">
            <w:pPr>
              <w:jc w:val="center"/>
              <w:rPr>
                <w:rFonts w:ascii="Tahoma" w:hAnsi="Tahoma" w:cs="Tahoma"/>
                <w:bCs/>
                <w:sz w:val="20"/>
                <w:szCs w:val="16"/>
              </w:rPr>
            </w:pPr>
            <w:r>
              <w:rPr>
                <w:rFonts w:ascii="Tahoma" w:hAnsi="Tahoma"/>
                <w:sz w:val="20"/>
              </w:rPr>
              <w:t>Lot</w:t>
            </w:r>
          </w:p>
        </w:tc>
        <w:tc>
          <w:tcPr>
            <w:tcW w:w="1559" w:type="dxa"/>
            <w:shd w:val="clear" w:color="auto" w:fill="auto"/>
            <w:vAlign w:val="center"/>
          </w:tcPr>
          <w:p w14:paraId="586D06A3" w14:textId="77777777" w:rsidR="000E7CEC" w:rsidRPr="0095205F" w:rsidRDefault="000E7CEC" w:rsidP="00296730">
            <w:pPr>
              <w:jc w:val="center"/>
              <w:rPr>
                <w:rFonts w:ascii="Tahoma" w:hAnsi="Tahoma" w:cs="Tahoma"/>
                <w:bCs/>
                <w:sz w:val="20"/>
                <w:szCs w:val="16"/>
              </w:rPr>
            </w:pPr>
            <w:r>
              <w:rPr>
                <w:rFonts w:ascii="Tahoma" w:hAnsi="Tahoma"/>
                <w:sz w:val="20"/>
              </w:rPr>
              <w:t>Tick</w:t>
            </w:r>
          </w:p>
        </w:tc>
        <w:tc>
          <w:tcPr>
            <w:tcW w:w="1701" w:type="dxa"/>
            <w:shd w:val="clear" w:color="auto" w:fill="auto"/>
            <w:vAlign w:val="center"/>
          </w:tcPr>
          <w:p w14:paraId="69A47281" w14:textId="77777777" w:rsidR="000E7CEC" w:rsidRPr="00AC7F1F" w:rsidRDefault="000E7CEC" w:rsidP="00296730">
            <w:pPr>
              <w:jc w:val="center"/>
              <w:rPr>
                <w:rFonts w:ascii="Tahoma" w:hAnsi="Tahoma" w:cs="Tahoma"/>
                <w:bCs/>
                <w:sz w:val="20"/>
                <w:szCs w:val="16"/>
              </w:rPr>
            </w:pPr>
            <w:r>
              <w:rPr>
                <w:rFonts w:ascii="Tahoma" w:hAnsi="Tahoma"/>
                <w:sz w:val="20"/>
              </w:rPr>
              <w:t>Tick value</w:t>
            </w:r>
          </w:p>
        </w:tc>
        <w:tc>
          <w:tcPr>
            <w:tcW w:w="2694" w:type="dxa"/>
            <w:shd w:val="clear" w:color="auto" w:fill="auto"/>
            <w:vAlign w:val="center"/>
          </w:tcPr>
          <w:p w14:paraId="64C9B027" w14:textId="37A159CF" w:rsidR="000E7CEC" w:rsidRPr="009C43DA" w:rsidRDefault="000E7CEC" w:rsidP="00296730">
            <w:pPr>
              <w:jc w:val="center"/>
              <w:rPr>
                <w:rFonts w:ascii="Tahoma" w:hAnsi="Tahoma" w:cs="Tahoma"/>
                <w:bCs/>
                <w:sz w:val="20"/>
                <w:szCs w:val="16"/>
              </w:rPr>
            </w:pPr>
            <w:r>
              <w:rPr>
                <w:rFonts w:ascii="Tahoma" w:hAnsi="Tahoma"/>
                <w:sz w:val="20"/>
              </w:rPr>
              <w:t>Exercise price</w:t>
            </w:r>
          </w:p>
        </w:tc>
        <w:tc>
          <w:tcPr>
            <w:tcW w:w="1842" w:type="dxa"/>
            <w:vAlign w:val="center"/>
          </w:tcPr>
          <w:p w14:paraId="2877BA96" w14:textId="77777777" w:rsidR="000E7CEC" w:rsidRPr="00F75E32" w:rsidRDefault="000E7CEC" w:rsidP="00296730">
            <w:pPr>
              <w:jc w:val="center"/>
              <w:rPr>
                <w:rFonts w:ascii="Tahoma" w:hAnsi="Tahoma" w:cs="Tahoma"/>
                <w:bCs/>
                <w:sz w:val="20"/>
                <w:szCs w:val="16"/>
              </w:rPr>
            </w:pPr>
            <w:r>
              <w:rPr>
                <w:rFonts w:ascii="Tahoma" w:hAnsi="Tahoma"/>
                <w:sz w:val="20"/>
              </w:rPr>
              <w:t>Exercise time</w:t>
            </w:r>
          </w:p>
        </w:tc>
      </w:tr>
      <w:tr w:rsidR="000E7CEC" w:rsidRPr="00F75E32" w14:paraId="11004D73" w14:textId="77777777" w:rsidTr="00296730">
        <w:trPr>
          <w:trHeight w:val="1191"/>
        </w:trPr>
        <w:tc>
          <w:tcPr>
            <w:tcW w:w="425" w:type="dxa"/>
            <w:shd w:val="clear" w:color="auto" w:fill="auto"/>
            <w:vAlign w:val="center"/>
          </w:tcPr>
          <w:p w14:paraId="2213E695" w14:textId="77777777" w:rsidR="000E7CEC" w:rsidRPr="00F75E32" w:rsidRDefault="000E7CEC" w:rsidP="00296730">
            <w:pPr>
              <w:jc w:val="center"/>
              <w:rPr>
                <w:rFonts w:ascii="Tahoma" w:hAnsi="Tahoma" w:cs="Tahoma"/>
                <w:sz w:val="20"/>
                <w:szCs w:val="16"/>
              </w:rPr>
            </w:pPr>
            <w:r>
              <w:rPr>
                <w:rFonts w:ascii="Tahoma" w:hAnsi="Tahoma"/>
                <w:sz w:val="20"/>
              </w:rPr>
              <w:t>1</w:t>
            </w:r>
          </w:p>
        </w:tc>
        <w:tc>
          <w:tcPr>
            <w:tcW w:w="1843" w:type="dxa"/>
            <w:shd w:val="clear" w:color="auto" w:fill="auto"/>
            <w:vAlign w:val="center"/>
          </w:tcPr>
          <w:p w14:paraId="7081B825" w14:textId="77777777" w:rsidR="000E7CEC" w:rsidRPr="00F75E32" w:rsidRDefault="000E7CEC" w:rsidP="00296730">
            <w:pPr>
              <w:rPr>
                <w:rFonts w:ascii="Tahoma" w:hAnsi="Tahoma" w:cs="Tahoma"/>
                <w:sz w:val="20"/>
                <w:szCs w:val="16"/>
              </w:rPr>
            </w:pPr>
            <w:r>
              <w:rPr>
                <w:rFonts w:ascii="Tahoma" w:hAnsi="Tahoma"/>
                <w:sz w:val="20"/>
              </w:rPr>
              <w:t>USD/RUB option</w:t>
            </w:r>
          </w:p>
        </w:tc>
        <w:tc>
          <w:tcPr>
            <w:tcW w:w="1276" w:type="dxa"/>
            <w:shd w:val="clear" w:color="auto" w:fill="auto"/>
            <w:vAlign w:val="center"/>
          </w:tcPr>
          <w:p w14:paraId="3B82515D" w14:textId="77777777" w:rsidR="000E7CEC" w:rsidRPr="00F75E32" w:rsidRDefault="000E7CEC" w:rsidP="00296730">
            <w:pPr>
              <w:jc w:val="center"/>
              <w:rPr>
                <w:rFonts w:ascii="Tahoma" w:hAnsi="Tahoma" w:cs="Tahoma"/>
                <w:sz w:val="20"/>
                <w:szCs w:val="16"/>
              </w:rPr>
            </w:pPr>
            <w:r>
              <w:rPr>
                <w:rFonts w:ascii="Tahoma" w:hAnsi="Tahoma"/>
                <w:sz w:val="20"/>
              </w:rPr>
              <w:t>Si</w:t>
            </w:r>
          </w:p>
        </w:tc>
        <w:tc>
          <w:tcPr>
            <w:tcW w:w="1418" w:type="dxa"/>
            <w:shd w:val="clear" w:color="auto" w:fill="auto"/>
            <w:vAlign w:val="center"/>
          </w:tcPr>
          <w:p w14:paraId="1178223F" w14:textId="77777777" w:rsidR="000E7CEC" w:rsidRPr="00F75E32" w:rsidRDefault="000E7CEC" w:rsidP="00296730">
            <w:pPr>
              <w:tabs>
                <w:tab w:val="num" w:pos="1260"/>
              </w:tabs>
              <w:rPr>
                <w:rFonts w:ascii="Tahoma" w:hAnsi="Tahoma" w:cs="Tahoma"/>
                <w:sz w:val="20"/>
                <w:szCs w:val="16"/>
              </w:rPr>
            </w:pPr>
            <w:r>
              <w:rPr>
                <w:rFonts w:ascii="Tahoma" w:hAnsi="Tahoma"/>
                <w:color w:val="000000"/>
                <w:sz w:val="20"/>
              </w:rPr>
              <w:t>USD to RUB exchange rate</w:t>
            </w:r>
          </w:p>
        </w:tc>
        <w:tc>
          <w:tcPr>
            <w:tcW w:w="1842" w:type="dxa"/>
            <w:shd w:val="clear" w:color="auto" w:fill="auto"/>
            <w:vAlign w:val="center"/>
          </w:tcPr>
          <w:p w14:paraId="48C68CF9" w14:textId="77777777" w:rsidR="000E7CEC" w:rsidRPr="002B69DB" w:rsidRDefault="000E7CEC" w:rsidP="00296730">
            <w:pPr>
              <w:tabs>
                <w:tab w:val="num" w:pos="1260"/>
              </w:tabs>
              <w:jc w:val="center"/>
              <w:rPr>
                <w:rFonts w:ascii="Tahoma" w:hAnsi="Tahoma" w:cs="Tahoma"/>
                <w:sz w:val="20"/>
                <w:szCs w:val="16"/>
              </w:rPr>
            </w:pPr>
            <w:r>
              <w:rPr>
                <w:rFonts w:ascii="Tahoma" w:hAnsi="Tahoma"/>
                <w:sz w:val="20"/>
              </w:rPr>
              <w:t>1</w:t>
            </w:r>
          </w:p>
        </w:tc>
        <w:tc>
          <w:tcPr>
            <w:tcW w:w="1276" w:type="dxa"/>
            <w:shd w:val="clear" w:color="auto" w:fill="auto"/>
            <w:vAlign w:val="center"/>
          </w:tcPr>
          <w:p w14:paraId="041B0E3E" w14:textId="77777777" w:rsidR="000E7CEC" w:rsidRPr="00F75E32" w:rsidRDefault="000E7CEC" w:rsidP="00296730">
            <w:pPr>
              <w:tabs>
                <w:tab w:val="num" w:pos="1260"/>
              </w:tabs>
              <w:jc w:val="center"/>
              <w:rPr>
                <w:rFonts w:ascii="Tahoma" w:hAnsi="Tahoma" w:cs="Tahoma"/>
                <w:sz w:val="20"/>
                <w:szCs w:val="16"/>
              </w:rPr>
            </w:pPr>
            <w:r>
              <w:rPr>
                <w:rFonts w:ascii="Tahoma" w:hAnsi="Tahoma"/>
                <w:sz w:val="20"/>
              </w:rPr>
              <w:t>USD 100</w:t>
            </w:r>
          </w:p>
        </w:tc>
        <w:tc>
          <w:tcPr>
            <w:tcW w:w="1559" w:type="dxa"/>
            <w:shd w:val="clear" w:color="auto" w:fill="auto"/>
            <w:vAlign w:val="center"/>
          </w:tcPr>
          <w:p w14:paraId="1CFE1593" w14:textId="77777777" w:rsidR="000E7CEC" w:rsidRPr="008D1141" w:rsidRDefault="000E7CEC" w:rsidP="00296730">
            <w:pPr>
              <w:tabs>
                <w:tab w:val="num" w:pos="1260"/>
              </w:tabs>
              <w:spacing w:before="60"/>
              <w:jc w:val="center"/>
              <w:rPr>
                <w:rFonts w:ascii="Tahoma" w:hAnsi="Tahoma" w:cs="Tahoma"/>
                <w:sz w:val="20"/>
                <w:szCs w:val="16"/>
              </w:rPr>
            </w:pPr>
            <w:r>
              <w:rPr>
                <w:rFonts w:ascii="Tahoma" w:hAnsi="Tahoma"/>
                <w:sz w:val="20"/>
              </w:rPr>
              <w:t>RUB 0.001</w:t>
            </w:r>
          </w:p>
        </w:tc>
        <w:tc>
          <w:tcPr>
            <w:tcW w:w="1701" w:type="dxa"/>
            <w:shd w:val="clear" w:color="auto" w:fill="auto"/>
            <w:vAlign w:val="center"/>
          </w:tcPr>
          <w:p w14:paraId="5A8E72F4" w14:textId="77777777" w:rsidR="000E7CEC" w:rsidRPr="008D1141" w:rsidRDefault="000E7CEC" w:rsidP="00296730">
            <w:pPr>
              <w:tabs>
                <w:tab w:val="num" w:pos="1260"/>
              </w:tabs>
              <w:spacing w:before="60"/>
              <w:jc w:val="center"/>
              <w:rPr>
                <w:rFonts w:ascii="Tahoma" w:hAnsi="Tahoma" w:cs="Tahoma"/>
                <w:sz w:val="20"/>
                <w:szCs w:val="16"/>
              </w:rPr>
            </w:pPr>
            <w:r>
              <w:rPr>
                <w:rFonts w:ascii="Tahoma" w:hAnsi="Tahoma"/>
                <w:sz w:val="20"/>
              </w:rPr>
              <w:t xml:space="preserve">RUB </w:t>
            </w:r>
            <w:r>
              <w:rPr>
                <w:rFonts w:ascii="Tahoma" w:hAnsi="Tahoma"/>
                <w:sz w:val="20"/>
                <w:lang w:val="ru-RU"/>
              </w:rPr>
              <w:t>0,</w:t>
            </w:r>
            <w:r>
              <w:rPr>
                <w:rFonts w:ascii="Tahoma" w:hAnsi="Tahoma"/>
                <w:sz w:val="20"/>
              </w:rPr>
              <w:t>1</w:t>
            </w:r>
          </w:p>
        </w:tc>
        <w:tc>
          <w:tcPr>
            <w:tcW w:w="2694" w:type="dxa"/>
            <w:shd w:val="clear" w:color="auto" w:fill="auto"/>
            <w:vAlign w:val="center"/>
          </w:tcPr>
          <w:p w14:paraId="25DCF094" w14:textId="77777777" w:rsidR="000E7CEC" w:rsidRPr="00F75E32" w:rsidRDefault="000E7CEC" w:rsidP="00296730">
            <w:pPr>
              <w:tabs>
                <w:tab w:val="num" w:pos="1260"/>
              </w:tabs>
              <w:spacing w:before="60"/>
              <w:jc w:val="center"/>
              <w:rPr>
                <w:rFonts w:ascii="Tahoma" w:hAnsi="Tahoma" w:cs="Tahoma"/>
                <w:sz w:val="20"/>
                <w:szCs w:val="16"/>
              </w:rPr>
            </w:pPr>
            <w:r>
              <w:rPr>
                <w:rFonts w:ascii="Tahoma" w:hAnsi="Tahoma"/>
                <w:sz w:val="20"/>
              </w:rPr>
              <w:t>USDFIXME Fixing</w:t>
            </w:r>
          </w:p>
        </w:tc>
        <w:tc>
          <w:tcPr>
            <w:tcW w:w="1842" w:type="dxa"/>
            <w:vAlign w:val="center"/>
          </w:tcPr>
          <w:p w14:paraId="280633DC" w14:textId="4C862439" w:rsidR="000E7CEC" w:rsidRPr="00F75E32" w:rsidRDefault="0099643C" w:rsidP="00296730">
            <w:pPr>
              <w:tabs>
                <w:tab w:val="num" w:pos="1260"/>
              </w:tabs>
              <w:spacing w:before="60"/>
              <w:jc w:val="center"/>
              <w:rPr>
                <w:rFonts w:ascii="Tahoma" w:hAnsi="Tahoma" w:cs="Tahoma"/>
                <w:sz w:val="20"/>
                <w:szCs w:val="16"/>
              </w:rPr>
            </w:pPr>
            <w:r>
              <w:rPr>
                <w:rFonts w:ascii="Tahoma" w:hAnsi="Tahoma"/>
                <w:sz w:val="20"/>
                <w:lang w:val="en-US"/>
              </w:rPr>
              <w:t>Evening</w:t>
            </w:r>
            <w:r w:rsidR="000E7CEC">
              <w:rPr>
                <w:rFonts w:ascii="Tahoma" w:hAnsi="Tahoma"/>
                <w:sz w:val="20"/>
              </w:rPr>
              <w:t xml:space="preserve"> clearing session </w:t>
            </w:r>
          </w:p>
        </w:tc>
      </w:tr>
      <w:tr w:rsidR="00893A0D" w:rsidRPr="00F75E32" w14:paraId="6D740E1F" w14:textId="77777777" w:rsidTr="00893A0D">
        <w:trPr>
          <w:trHeight w:val="1191"/>
        </w:trPr>
        <w:tc>
          <w:tcPr>
            <w:tcW w:w="425" w:type="dxa"/>
            <w:shd w:val="clear" w:color="auto" w:fill="auto"/>
            <w:vAlign w:val="center"/>
          </w:tcPr>
          <w:p w14:paraId="53A7F60A" w14:textId="77777777" w:rsidR="00893A0D" w:rsidRPr="00F75E32" w:rsidRDefault="00893A0D" w:rsidP="00893A0D">
            <w:pPr>
              <w:jc w:val="center"/>
              <w:rPr>
                <w:rFonts w:ascii="Tahoma" w:hAnsi="Tahoma" w:cs="Tahoma"/>
                <w:sz w:val="20"/>
                <w:szCs w:val="16"/>
              </w:rPr>
            </w:pPr>
            <w:r>
              <w:rPr>
                <w:rFonts w:ascii="Tahoma" w:hAnsi="Tahoma"/>
                <w:sz w:val="20"/>
              </w:rPr>
              <w:t>2</w:t>
            </w:r>
          </w:p>
        </w:tc>
        <w:tc>
          <w:tcPr>
            <w:tcW w:w="1843" w:type="dxa"/>
            <w:shd w:val="clear" w:color="auto" w:fill="auto"/>
            <w:vAlign w:val="center"/>
          </w:tcPr>
          <w:p w14:paraId="6D96BF7D" w14:textId="77777777" w:rsidR="00893A0D" w:rsidRPr="00F75E32" w:rsidRDefault="00893A0D" w:rsidP="00893A0D">
            <w:pPr>
              <w:rPr>
                <w:rFonts w:ascii="Tahoma" w:hAnsi="Tahoma" w:cs="Tahoma"/>
                <w:sz w:val="20"/>
                <w:szCs w:val="16"/>
              </w:rPr>
            </w:pPr>
            <w:r>
              <w:rPr>
                <w:rFonts w:ascii="Tahoma" w:hAnsi="Tahoma"/>
                <w:sz w:val="20"/>
              </w:rPr>
              <w:t>CNY/RUB option</w:t>
            </w:r>
          </w:p>
        </w:tc>
        <w:tc>
          <w:tcPr>
            <w:tcW w:w="1276" w:type="dxa"/>
            <w:shd w:val="clear" w:color="auto" w:fill="auto"/>
            <w:vAlign w:val="center"/>
          </w:tcPr>
          <w:p w14:paraId="4B3D00CA" w14:textId="77777777" w:rsidR="00893A0D" w:rsidRPr="00F75E32" w:rsidRDefault="00893A0D" w:rsidP="00893A0D">
            <w:pPr>
              <w:jc w:val="center"/>
              <w:rPr>
                <w:rFonts w:ascii="Tahoma" w:hAnsi="Tahoma" w:cs="Tahoma"/>
                <w:sz w:val="20"/>
                <w:szCs w:val="16"/>
              </w:rPr>
            </w:pPr>
            <w:r>
              <w:rPr>
                <w:rFonts w:ascii="Tahoma" w:hAnsi="Tahoma"/>
                <w:sz w:val="20"/>
              </w:rPr>
              <w:t>Eu</w:t>
            </w:r>
          </w:p>
        </w:tc>
        <w:tc>
          <w:tcPr>
            <w:tcW w:w="1418" w:type="dxa"/>
            <w:shd w:val="clear" w:color="auto" w:fill="auto"/>
            <w:vAlign w:val="center"/>
          </w:tcPr>
          <w:p w14:paraId="7E543240" w14:textId="77777777" w:rsidR="00893A0D" w:rsidRPr="00F75E32" w:rsidRDefault="00893A0D" w:rsidP="00893A0D">
            <w:pPr>
              <w:tabs>
                <w:tab w:val="num" w:pos="1260"/>
              </w:tabs>
              <w:rPr>
                <w:rFonts w:ascii="Tahoma" w:hAnsi="Tahoma" w:cs="Tahoma"/>
                <w:color w:val="000000"/>
                <w:sz w:val="20"/>
                <w:szCs w:val="16"/>
              </w:rPr>
            </w:pPr>
            <w:r>
              <w:rPr>
                <w:rFonts w:ascii="Tahoma" w:hAnsi="Tahoma"/>
                <w:color w:val="000000"/>
                <w:sz w:val="20"/>
              </w:rPr>
              <w:t>EUR to RUB exchange rate</w:t>
            </w:r>
          </w:p>
        </w:tc>
        <w:tc>
          <w:tcPr>
            <w:tcW w:w="1842" w:type="dxa"/>
            <w:shd w:val="clear" w:color="auto" w:fill="auto"/>
            <w:vAlign w:val="center"/>
          </w:tcPr>
          <w:p w14:paraId="7F18BE87" w14:textId="77777777" w:rsidR="00893A0D" w:rsidRPr="00B75521" w:rsidRDefault="00893A0D" w:rsidP="00893A0D">
            <w:pPr>
              <w:tabs>
                <w:tab w:val="num" w:pos="1260"/>
              </w:tabs>
              <w:jc w:val="center"/>
              <w:rPr>
                <w:rFonts w:ascii="Tahoma" w:hAnsi="Tahoma" w:cs="Tahoma"/>
                <w:sz w:val="20"/>
                <w:szCs w:val="16"/>
              </w:rPr>
            </w:pPr>
            <w:r>
              <w:rPr>
                <w:rFonts w:ascii="Tahoma" w:hAnsi="Tahoma"/>
                <w:sz w:val="20"/>
              </w:rPr>
              <w:t>1</w:t>
            </w:r>
          </w:p>
        </w:tc>
        <w:tc>
          <w:tcPr>
            <w:tcW w:w="1276" w:type="dxa"/>
            <w:shd w:val="clear" w:color="auto" w:fill="auto"/>
            <w:vAlign w:val="center"/>
          </w:tcPr>
          <w:p w14:paraId="735235DA" w14:textId="77777777" w:rsidR="00893A0D" w:rsidRPr="00F75E32" w:rsidRDefault="00893A0D" w:rsidP="00893A0D">
            <w:pPr>
              <w:tabs>
                <w:tab w:val="num" w:pos="1260"/>
              </w:tabs>
              <w:jc w:val="center"/>
              <w:rPr>
                <w:rFonts w:ascii="Tahoma" w:hAnsi="Tahoma" w:cs="Tahoma"/>
                <w:sz w:val="20"/>
                <w:szCs w:val="16"/>
              </w:rPr>
            </w:pPr>
            <w:r>
              <w:rPr>
                <w:rFonts w:ascii="Tahoma" w:hAnsi="Tahoma"/>
                <w:sz w:val="20"/>
              </w:rPr>
              <w:t>EUR 100</w:t>
            </w:r>
          </w:p>
        </w:tc>
        <w:tc>
          <w:tcPr>
            <w:tcW w:w="1559" w:type="dxa"/>
            <w:shd w:val="clear" w:color="auto" w:fill="auto"/>
            <w:vAlign w:val="center"/>
          </w:tcPr>
          <w:p w14:paraId="33E8F34B" w14:textId="77777777" w:rsidR="00893A0D" w:rsidRPr="008D1141" w:rsidRDefault="00893A0D" w:rsidP="00893A0D">
            <w:pPr>
              <w:tabs>
                <w:tab w:val="num" w:pos="1260"/>
              </w:tabs>
              <w:spacing w:before="60"/>
              <w:jc w:val="center"/>
              <w:rPr>
                <w:rFonts w:ascii="Tahoma" w:hAnsi="Tahoma" w:cs="Tahoma"/>
                <w:sz w:val="20"/>
                <w:szCs w:val="16"/>
              </w:rPr>
            </w:pPr>
            <w:r>
              <w:rPr>
                <w:rFonts w:ascii="Tahoma" w:hAnsi="Tahoma"/>
                <w:sz w:val="20"/>
              </w:rPr>
              <w:t>RUB 0.001</w:t>
            </w:r>
          </w:p>
        </w:tc>
        <w:tc>
          <w:tcPr>
            <w:tcW w:w="1701" w:type="dxa"/>
            <w:shd w:val="clear" w:color="auto" w:fill="auto"/>
            <w:vAlign w:val="center"/>
          </w:tcPr>
          <w:p w14:paraId="0ACA4AE8" w14:textId="77777777" w:rsidR="00893A0D" w:rsidRPr="008D1141" w:rsidRDefault="00893A0D" w:rsidP="00893A0D">
            <w:pPr>
              <w:tabs>
                <w:tab w:val="num" w:pos="1260"/>
              </w:tabs>
              <w:spacing w:before="60"/>
              <w:jc w:val="center"/>
              <w:rPr>
                <w:rFonts w:ascii="Tahoma" w:hAnsi="Tahoma" w:cs="Tahoma"/>
                <w:sz w:val="20"/>
                <w:szCs w:val="16"/>
              </w:rPr>
            </w:pPr>
            <w:r>
              <w:rPr>
                <w:rFonts w:ascii="Tahoma" w:hAnsi="Tahoma"/>
                <w:sz w:val="20"/>
              </w:rPr>
              <w:t xml:space="preserve">RUB </w:t>
            </w:r>
            <w:r>
              <w:rPr>
                <w:rFonts w:ascii="Tahoma" w:hAnsi="Tahoma"/>
                <w:sz w:val="20"/>
                <w:lang w:val="ru-RU"/>
              </w:rPr>
              <w:t>0,</w:t>
            </w:r>
            <w:r>
              <w:rPr>
                <w:rFonts w:ascii="Tahoma" w:hAnsi="Tahoma"/>
                <w:sz w:val="20"/>
              </w:rPr>
              <w:t>1</w:t>
            </w:r>
          </w:p>
        </w:tc>
        <w:tc>
          <w:tcPr>
            <w:tcW w:w="2694" w:type="dxa"/>
            <w:shd w:val="clear" w:color="auto" w:fill="auto"/>
            <w:vAlign w:val="center"/>
          </w:tcPr>
          <w:p w14:paraId="0DA864C6" w14:textId="77777777" w:rsidR="00893A0D" w:rsidRPr="00F75E32" w:rsidRDefault="00893A0D" w:rsidP="00893A0D">
            <w:pPr>
              <w:tabs>
                <w:tab w:val="num" w:pos="1260"/>
              </w:tabs>
              <w:spacing w:before="60"/>
              <w:jc w:val="center"/>
              <w:rPr>
                <w:rFonts w:ascii="Tahoma" w:hAnsi="Tahoma" w:cs="Tahoma"/>
                <w:sz w:val="20"/>
                <w:szCs w:val="16"/>
              </w:rPr>
            </w:pPr>
            <w:r>
              <w:rPr>
                <w:rFonts w:ascii="Tahoma" w:hAnsi="Tahoma"/>
                <w:sz w:val="20"/>
              </w:rPr>
              <w:t>EURFIXME Fixing</w:t>
            </w:r>
          </w:p>
        </w:tc>
        <w:tc>
          <w:tcPr>
            <w:tcW w:w="1842" w:type="dxa"/>
            <w:vAlign w:val="center"/>
          </w:tcPr>
          <w:p w14:paraId="102EC624" w14:textId="4B0A3081" w:rsidR="00893A0D" w:rsidRPr="00F75E32" w:rsidRDefault="0099643C" w:rsidP="00893A0D">
            <w:pPr>
              <w:tabs>
                <w:tab w:val="num" w:pos="1260"/>
              </w:tabs>
              <w:spacing w:before="60"/>
              <w:jc w:val="center"/>
              <w:rPr>
                <w:rFonts w:ascii="Tahoma" w:hAnsi="Tahoma" w:cs="Tahoma"/>
                <w:sz w:val="20"/>
                <w:szCs w:val="16"/>
              </w:rPr>
            </w:pPr>
            <w:r>
              <w:rPr>
                <w:rFonts w:ascii="Tahoma" w:hAnsi="Tahoma"/>
                <w:sz w:val="20"/>
                <w:lang w:val="en-US"/>
              </w:rPr>
              <w:t>Evening</w:t>
            </w:r>
            <w:bookmarkStart w:id="3" w:name="_GoBack"/>
            <w:bookmarkEnd w:id="3"/>
            <w:r w:rsidR="00893A0D" w:rsidRPr="001F6DFE">
              <w:rPr>
                <w:rFonts w:ascii="Tahoma" w:hAnsi="Tahoma"/>
                <w:sz w:val="20"/>
              </w:rPr>
              <w:t xml:space="preserve"> clearing session </w:t>
            </w:r>
          </w:p>
        </w:tc>
      </w:tr>
      <w:tr w:rsidR="00893A0D" w:rsidRPr="00F75E32" w14:paraId="6EF72554" w14:textId="77777777" w:rsidTr="00893A0D">
        <w:trPr>
          <w:trHeight w:val="1191"/>
        </w:trPr>
        <w:tc>
          <w:tcPr>
            <w:tcW w:w="425" w:type="dxa"/>
            <w:shd w:val="clear" w:color="auto" w:fill="auto"/>
            <w:vAlign w:val="center"/>
          </w:tcPr>
          <w:p w14:paraId="184E9A33" w14:textId="77777777" w:rsidR="00893A0D" w:rsidRPr="00F75E32" w:rsidRDefault="00893A0D" w:rsidP="00893A0D">
            <w:pPr>
              <w:jc w:val="center"/>
              <w:rPr>
                <w:rFonts w:ascii="Tahoma" w:hAnsi="Tahoma" w:cs="Tahoma"/>
                <w:sz w:val="20"/>
                <w:szCs w:val="16"/>
              </w:rPr>
            </w:pPr>
            <w:r>
              <w:rPr>
                <w:rFonts w:ascii="Tahoma" w:hAnsi="Tahoma"/>
                <w:sz w:val="20"/>
              </w:rPr>
              <w:t>3</w:t>
            </w:r>
          </w:p>
        </w:tc>
        <w:tc>
          <w:tcPr>
            <w:tcW w:w="1843" w:type="dxa"/>
            <w:shd w:val="clear" w:color="auto" w:fill="auto"/>
            <w:vAlign w:val="center"/>
          </w:tcPr>
          <w:p w14:paraId="1A7E4F67" w14:textId="77777777" w:rsidR="00893A0D" w:rsidRPr="00F75E32" w:rsidRDefault="00893A0D" w:rsidP="00893A0D">
            <w:pPr>
              <w:rPr>
                <w:rFonts w:ascii="Tahoma" w:hAnsi="Tahoma" w:cs="Tahoma"/>
                <w:sz w:val="20"/>
                <w:szCs w:val="16"/>
              </w:rPr>
            </w:pPr>
            <w:r>
              <w:rPr>
                <w:rFonts w:ascii="Tahoma" w:hAnsi="Tahoma"/>
                <w:sz w:val="20"/>
              </w:rPr>
              <w:t>EUR/RUB option</w:t>
            </w:r>
          </w:p>
        </w:tc>
        <w:tc>
          <w:tcPr>
            <w:tcW w:w="1276" w:type="dxa"/>
            <w:shd w:val="clear" w:color="auto" w:fill="auto"/>
            <w:vAlign w:val="center"/>
          </w:tcPr>
          <w:p w14:paraId="7AB8D0B8" w14:textId="77777777" w:rsidR="00893A0D" w:rsidRPr="00F75E32" w:rsidRDefault="00893A0D" w:rsidP="00893A0D">
            <w:pPr>
              <w:jc w:val="center"/>
              <w:rPr>
                <w:rFonts w:ascii="Tahoma" w:hAnsi="Tahoma" w:cs="Tahoma"/>
                <w:sz w:val="20"/>
                <w:szCs w:val="16"/>
              </w:rPr>
            </w:pPr>
            <w:r>
              <w:rPr>
                <w:rFonts w:ascii="Tahoma" w:hAnsi="Tahoma"/>
                <w:sz w:val="20"/>
              </w:rPr>
              <w:t>CNY</w:t>
            </w:r>
          </w:p>
        </w:tc>
        <w:tc>
          <w:tcPr>
            <w:tcW w:w="1418" w:type="dxa"/>
            <w:shd w:val="clear" w:color="auto" w:fill="auto"/>
            <w:vAlign w:val="center"/>
          </w:tcPr>
          <w:p w14:paraId="1F2C2CCA" w14:textId="77777777" w:rsidR="00893A0D" w:rsidRPr="00F75E32" w:rsidRDefault="00893A0D" w:rsidP="00893A0D">
            <w:pPr>
              <w:tabs>
                <w:tab w:val="num" w:pos="1260"/>
              </w:tabs>
              <w:rPr>
                <w:rFonts w:ascii="Tahoma" w:hAnsi="Tahoma" w:cs="Tahoma"/>
                <w:color w:val="000000"/>
                <w:sz w:val="20"/>
                <w:szCs w:val="16"/>
              </w:rPr>
            </w:pPr>
            <w:r>
              <w:rPr>
                <w:rFonts w:ascii="Tahoma" w:hAnsi="Tahoma"/>
                <w:color w:val="000000"/>
                <w:sz w:val="20"/>
              </w:rPr>
              <w:t>CNY to RUB exchange rate</w:t>
            </w:r>
          </w:p>
        </w:tc>
        <w:tc>
          <w:tcPr>
            <w:tcW w:w="1842" w:type="dxa"/>
            <w:shd w:val="clear" w:color="auto" w:fill="auto"/>
            <w:vAlign w:val="center"/>
          </w:tcPr>
          <w:p w14:paraId="7CBF044A" w14:textId="77777777" w:rsidR="00893A0D" w:rsidRPr="00B75521" w:rsidRDefault="00893A0D" w:rsidP="00893A0D">
            <w:pPr>
              <w:tabs>
                <w:tab w:val="num" w:pos="1260"/>
              </w:tabs>
              <w:jc w:val="center"/>
              <w:rPr>
                <w:rFonts w:ascii="Tahoma" w:hAnsi="Tahoma" w:cs="Tahoma"/>
                <w:sz w:val="20"/>
                <w:szCs w:val="16"/>
              </w:rPr>
            </w:pPr>
            <w:r>
              <w:rPr>
                <w:rFonts w:ascii="Tahoma" w:hAnsi="Tahoma"/>
                <w:sz w:val="20"/>
              </w:rPr>
              <w:t>1</w:t>
            </w:r>
          </w:p>
        </w:tc>
        <w:tc>
          <w:tcPr>
            <w:tcW w:w="1276" w:type="dxa"/>
            <w:shd w:val="clear" w:color="auto" w:fill="auto"/>
            <w:vAlign w:val="center"/>
          </w:tcPr>
          <w:p w14:paraId="471492F4" w14:textId="77777777" w:rsidR="00893A0D" w:rsidRPr="00F75E32" w:rsidRDefault="00893A0D" w:rsidP="00893A0D">
            <w:pPr>
              <w:tabs>
                <w:tab w:val="num" w:pos="1260"/>
              </w:tabs>
              <w:jc w:val="center"/>
              <w:rPr>
                <w:rFonts w:ascii="Tahoma" w:hAnsi="Tahoma" w:cs="Tahoma"/>
                <w:sz w:val="20"/>
                <w:szCs w:val="16"/>
              </w:rPr>
            </w:pPr>
            <w:r>
              <w:rPr>
                <w:rFonts w:ascii="Tahoma" w:hAnsi="Tahoma"/>
                <w:sz w:val="20"/>
              </w:rPr>
              <w:t>CNY 100</w:t>
            </w:r>
          </w:p>
        </w:tc>
        <w:tc>
          <w:tcPr>
            <w:tcW w:w="1559" w:type="dxa"/>
            <w:shd w:val="clear" w:color="auto" w:fill="auto"/>
            <w:vAlign w:val="center"/>
          </w:tcPr>
          <w:p w14:paraId="7B566F15" w14:textId="77777777" w:rsidR="00893A0D" w:rsidRPr="008D1141" w:rsidRDefault="00893A0D" w:rsidP="00893A0D">
            <w:pPr>
              <w:tabs>
                <w:tab w:val="num" w:pos="1260"/>
              </w:tabs>
              <w:jc w:val="center"/>
              <w:rPr>
                <w:rFonts w:ascii="Tahoma" w:hAnsi="Tahoma" w:cs="Tahoma"/>
                <w:sz w:val="20"/>
                <w:szCs w:val="16"/>
              </w:rPr>
            </w:pPr>
            <w:r>
              <w:rPr>
                <w:rFonts w:ascii="Tahoma" w:hAnsi="Tahoma"/>
                <w:sz w:val="20"/>
              </w:rPr>
              <w:t>RUB 0.001</w:t>
            </w:r>
          </w:p>
        </w:tc>
        <w:tc>
          <w:tcPr>
            <w:tcW w:w="1701" w:type="dxa"/>
            <w:shd w:val="clear" w:color="auto" w:fill="auto"/>
            <w:vAlign w:val="center"/>
          </w:tcPr>
          <w:p w14:paraId="3DF06DAB" w14:textId="77777777" w:rsidR="00893A0D" w:rsidRPr="008D1141" w:rsidRDefault="00893A0D" w:rsidP="00893A0D">
            <w:pPr>
              <w:tabs>
                <w:tab w:val="num" w:pos="1260"/>
              </w:tabs>
              <w:jc w:val="center"/>
              <w:rPr>
                <w:rFonts w:ascii="Tahoma" w:hAnsi="Tahoma" w:cs="Tahoma"/>
                <w:sz w:val="20"/>
                <w:szCs w:val="16"/>
              </w:rPr>
            </w:pPr>
            <w:r>
              <w:rPr>
                <w:rFonts w:ascii="Tahoma" w:hAnsi="Tahoma"/>
                <w:sz w:val="20"/>
              </w:rPr>
              <w:t>RUB</w:t>
            </w:r>
            <w:r>
              <w:rPr>
                <w:rFonts w:ascii="Tahoma" w:hAnsi="Tahoma"/>
                <w:sz w:val="20"/>
                <w:lang w:val="ru-RU"/>
              </w:rPr>
              <w:t xml:space="preserve"> 0,</w:t>
            </w:r>
            <w:r>
              <w:rPr>
                <w:rFonts w:ascii="Tahoma" w:hAnsi="Tahoma"/>
                <w:sz w:val="20"/>
              </w:rPr>
              <w:t>1</w:t>
            </w:r>
          </w:p>
        </w:tc>
        <w:tc>
          <w:tcPr>
            <w:tcW w:w="2694" w:type="dxa"/>
            <w:shd w:val="clear" w:color="auto" w:fill="auto"/>
            <w:vAlign w:val="center"/>
          </w:tcPr>
          <w:p w14:paraId="4BAC0878" w14:textId="77777777" w:rsidR="00893A0D" w:rsidRPr="009C43DA" w:rsidRDefault="00893A0D" w:rsidP="00893A0D">
            <w:pPr>
              <w:tabs>
                <w:tab w:val="num" w:pos="1260"/>
              </w:tabs>
              <w:jc w:val="center"/>
              <w:rPr>
                <w:rFonts w:ascii="Tahoma" w:hAnsi="Tahoma" w:cs="Tahoma"/>
                <w:sz w:val="20"/>
                <w:szCs w:val="16"/>
              </w:rPr>
            </w:pPr>
            <w:r>
              <w:rPr>
                <w:rFonts w:ascii="Tahoma" w:hAnsi="Tahoma"/>
                <w:sz w:val="20"/>
              </w:rPr>
              <w:t>CNYFIXME Fixing</w:t>
            </w:r>
          </w:p>
        </w:tc>
        <w:tc>
          <w:tcPr>
            <w:tcW w:w="1842" w:type="dxa"/>
            <w:vAlign w:val="center"/>
          </w:tcPr>
          <w:p w14:paraId="21CDCB26" w14:textId="681A9823" w:rsidR="00893A0D" w:rsidRPr="00F75E32" w:rsidRDefault="00893A0D" w:rsidP="00893A0D">
            <w:pPr>
              <w:tabs>
                <w:tab w:val="num" w:pos="1260"/>
              </w:tabs>
              <w:jc w:val="center"/>
              <w:rPr>
                <w:rFonts w:ascii="Tahoma" w:hAnsi="Tahoma" w:cs="Tahoma"/>
                <w:sz w:val="20"/>
                <w:szCs w:val="16"/>
              </w:rPr>
            </w:pPr>
            <w:r w:rsidRPr="001F6DFE">
              <w:rPr>
                <w:rFonts w:ascii="Tahoma" w:hAnsi="Tahoma"/>
                <w:sz w:val="20"/>
                <w:lang w:val="en-US"/>
              </w:rPr>
              <w:t>D</w:t>
            </w:r>
            <w:r w:rsidRPr="001F6DFE">
              <w:rPr>
                <w:rFonts w:ascii="Tahoma" w:hAnsi="Tahoma"/>
                <w:sz w:val="20"/>
              </w:rPr>
              <w:t xml:space="preserve">ay clearing session </w:t>
            </w:r>
          </w:p>
        </w:tc>
      </w:tr>
    </w:tbl>
    <w:p w14:paraId="1A5FEE05" w14:textId="77777777" w:rsidR="000E7CEC" w:rsidRDefault="000E7CEC" w:rsidP="000E7CEC">
      <w:pPr>
        <w:jc w:val="both"/>
        <w:rPr>
          <w:rFonts w:ascii="Tahoma" w:hAnsi="Tahoma" w:cs="Tahoma"/>
        </w:rPr>
      </w:pPr>
    </w:p>
    <w:p w14:paraId="4586CB01" w14:textId="77777777" w:rsidR="000E7CEC" w:rsidRPr="0016178B" w:rsidRDefault="000E7CEC" w:rsidP="000E7CEC">
      <w:pPr>
        <w:pStyle w:val="1"/>
        <w:numPr>
          <w:ilvl w:val="0"/>
          <w:numId w:val="0"/>
        </w:numPr>
        <w:tabs>
          <w:tab w:val="clear" w:pos="900"/>
        </w:tabs>
        <w:ind w:left="896" w:hanging="539"/>
        <w:rPr>
          <w:rFonts w:ascii="Tahoma" w:hAnsi="Tahoma" w:cs="Tahoma"/>
        </w:rPr>
      </w:pPr>
    </w:p>
    <w:sectPr w:rsidR="000E7CEC" w:rsidRPr="0016178B" w:rsidSect="000E7CE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08134" w14:textId="77777777" w:rsidR="00F52592" w:rsidRDefault="00F52592">
      <w:pPr>
        <w:spacing w:after="0" w:line="240" w:lineRule="auto"/>
      </w:pPr>
      <w:r>
        <w:separator/>
      </w:r>
    </w:p>
  </w:endnote>
  <w:endnote w:type="continuationSeparator" w:id="0">
    <w:p w14:paraId="5CBBE126" w14:textId="77777777" w:rsidR="00F52592" w:rsidRDefault="00F5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00DA5" w14:textId="77777777" w:rsidR="00F52592" w:rsidRDefault="00F52592">
      <w:pPr>
        <w:spacing w:after="0" w:line="240" w:lineRule="auto"/>
      </w:pPr>
      <w:r>
        <w:separator/>
      </w:r>
    </w:p>
  </w:footnote>
  <w:footnote w:type="continuationSeparator" w:id="0">
    <w:p w14:paraId="7D49F87D" w14:textId="77777777" w:rsidR="00F52592" w:rsidRDefault="00F52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7896" w14:textId="329F96AD" w:rsidR="0035076F" w:rsidRPr="0035076F" w:rsidRDefault="001C04D6" w:rsidP="005429F1">
    <w:pPr>
      <w:pStyle w:val="a7"/>
      <w:pBdr>
        <w:bottom w:val="single" w:sz="4" w:space="10" w:color="auto"/>
      </w:pBdr>
      <w:rPr>
        <w:b/>
        <w:bCs/>
        <w:color w:val="000000" w:themeColor="text1"/>
      </w:rPr>
    </w:pPr>
    <w:r>
      <w:rPr>
        <w:b/>
        <w:color w:val="000000" w:themeColor="text1"/>
      </w:rPr>
      <w:t xml:space="preserve">Specification of premium options on foreign currency exchange rates to the Russian rouble </w:t>
    </w:r>
  </w:p>
  <w:p w14:paraId="4387DA93" w14:textId="77777777" w:rsidR="0035076F" w:rsidRDefault="0099643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7AF26FF"/>
    <w:multiLevelType w:val="singleLevel"/>
    <w:tmpl w:val="5672A898"/>
    <w:lvl w:ilvl="0">
      <w:start w:val="1"/>
      <w:numFmt w:val="bullet"/>
      <w:pStyle w:val="Pointmark"/>
      <w:lvlText w:val=""/>
      <w:lvlJc w:val="left"/>
      <w:pPr>
        <w:tabs>
          <w:tab w:val="num" w:pos="1070"/>
        </w:tabs>
        <w:ind w:left="1070" w:hanging="360"/>
      </w:pPr>
      <w:rPr>
        <w:rFonts w:ascii="Symbol" w:hAnsi="Symbol" w:hint="default"/>
      </w:rPr>
    </w:lvl>
  </w:abstractNum>
  <w:abstractNum w:abstractNumId="2"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7E653F1E"/>
    <w:multiLevelType w:val="multilevel"/>
    <w:tmpl w:val="C4F8050C"/>
    <w:lvl w:ilvl="0">
      <w:start w:val="1"/>
      <w:numFmt w:val="decimal"/>
      <w:lvlText w:val="%1."/>
      <w:lvlJc w:val="left"/>
      <w:pPr>
        <w:ind w:left="360" w:hanging="360"/>
      </w:pPr>
      <w:rPr>
        <w:rFonts w:ascii="Tahoma" w:eastAsia="Times New Roman" w:hAnsi="Tahoma" w:cs="Tahoma"/>
        <w:b/>
      </w:rPr>
    </w:lvl>
    <w:lvl w:ilvl="1">
      <w:start w:val="1"/>
      <w:numFmt w:val="decimal"/>
      <w:lvlText w:val="%1.%2."/>
      <w:lvlJc w:val="left"/>
      <w:pPr>
        <w:ind w:left="927" w:hanging="360"/>
      </w:pPr>
      <w:rPr>
        <w:rFonts w:ascii="Tahoma" w:hAnsi="Tahoma" w:cs="Tahoma" w:hint="default"/>
        <w:sz w:val="20"/>
        <w:szCs w:val="20"/>
      </w:rPr>
    </w:lvl>
    <w:lvl w:ilvl="2">
      <w:start w:val="1"/>
      <w:numFmt w:val="decimal"/>
      <w:lvlText w:val="%1.%2.%3."/>
      <w:lvlJc w:val="left"/>
      <w:pPr>
        <w:ind w:left="8092"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4"/>
  </w:num>
  <w:num w:numId="2">
    <w:abstractNumId w:val="6"/>
  </w:num>
  <w:num w:numId="3">
    <w:abstractNumId w:val="5"/>
  </w:num>
  <w:num w:numId="4">
    <w:abstractNumId w:val="2"/>
  </w:num>
  <w:num w:numId="5">
    <w:abstractNumId w:val="0"/>
  </w:num>
  <w:num w:numId="6">
    <w:abstractNumId w:val="8"/>
  </w:num>
  <w:num w:numId="7">
    <w:abstractNumId w:val="3"/>
  </w:num>
  <w:num w:numId="8">
    <w:abstractNumId w:val="7"/>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516D2"/>
    <w:rsid w:val="000D290C"/>
    <w:rsid w:val="000E7CEC"/>
    <w:rsid w:val="00106E5F"/>
    <w:rsid w:val="00160BDA"/>
    <w:rsid w:val="0016178B"/>
    <w:rsid w:val="001B19E3"/>
    <w:rsid w:val="001C04D6"/>
    <w:rsid w:val="001F54E5"/>
    <w:rsid w:val="002113CC"/>
    <w:rsid w:val="0024398A"/>
    <w:rsid w:val="002A0FA5"/>
    <w:rsid w:val="002D5F24"/>
    <w:rsid w:val="003255E1"/>
    <w:rsid w:val="00347B6A"/>
    <w:rsid w:val="003955BC"/>
    <w:rsid w:val="003A5C03"/>
    <w:rsid w:val="003E1DA4"/>
    <w:rsid w:val="003F3236"/>
    <w:rsid w:val="0041621A"/>
    <w:rsid w:val="00462A7E"/>
    <w:rsid w:val="004637B4"/>
    <w:rsid w:val="00481913"/>
    <w:rsid w:val="0049158E"/>
    <w:rsid w:val="005104AD"/>
    <w:rsid w:val="005223B6"/>
    <w:rsid w:val="005424D3"/>
    <w:rsid w:val="005429F1"/>
    <w:rsid w:val="00592EF8"/>
    <w:rsid w:val="005C74F7"/>
    <w:rsid w:val="00656580"/>
    <w:rsid w:val="00657E93"/>
    <w:rsid w:val="00660755"/>
    <w:rsid w:val="00677C3B"/>
    <w:rsid w:val="00677C3F"/>
    <w:rsid w:val="006E0FF8"/>
    <w:rsid w:val="00715457"/>
    <w:rsid w:val="007257E6"/>
    <w:rsid w:val="00734899"/>
    <w:rsid w:val="00750B65"/>
    <w:rsid w:val="007527B2"/>
    <w:rsid w:val="00764978"/>
    <w:rsid w:val="007739AD"/>
    <w:rsid w:val="00776B60"/>
    <w:rsid w:val="007A4DEF"/>
    <w:rsid w:val="007B2754"/>
    <w:rsid w:val="007C59F9"/>
    <w:rsid w:val="007F6EA9"/>
    <w:rsid w:val="00806828"/>
    <w:rsid w:val="00811EFB"/>
    <w:rsid w:val="0086789D"/>
    <w:rsid w:val="00893A0D"/>
    <w:rsid w:val="008A6FEF"/>
    <w:rsid w:val="00913E17"/>
    <w:rsid w:val="0094551D"/>
    <w:rsid w:val="0099643C"/>
    <w:rsid w:val="009D3488"/>
    <w:rsid w:val="00A11F94"/>
    <w:rsid w:val="00A34B6A"/>
    <w:rsid w:val="00A34DCC"/>
    <w:rsid w:val="00AA6C20"/>
    <w:rsid w:val="00AC62DF"/>
    <w:rsid w:val="00B257D3"/>
    <w:rsid w:val="00BA25C8"/>
    <w:rsid w:val="00BC5F00"/>
    <w:rsid w:val="00BF1E82"/>
    <w:rsid w:val="00C267C6"/>
    <w:rsid w:val="00C61AA4"/>
    <w:rsid w:val="00C775AB"/>
    <w:rsid w:val="00C97014"/>
    <w:rsid w:val="00CC300C"/>
    <w:rsid w:val="00CF1AC2"/>
    <w:rsid w:val="00D71A11"/>
    <w:rsid w:val="00D91E9C"/>
    <w:rsid w:val="00D931D0"/>
    <w:rsid w:val="00DC299E"/>
    <w:rsid w:val="00DE5778"/>
    <w:rsid w:val="00E1130C"/>
    <w:rsid w:val="00E24E90"/>
    <w:rsid w:val="00E414B5"/>
    <w:rsid w:val="00E528AD"/>
    <w:rsid w:val="00E53BBE"/>
    <w:rsid w:val="00F0680D"/>
    <w:rsid w:val="00F30A3B"/>
    <w:rsid w:val="00F52592"/>
    <w:rsid w:val="00F535F7"/>
    <w:rsid w:val="00F55926"/>
    <w:rsid w:val="00FD27C8"/>
    <w:rsid w:val="00FF0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9B10A3"/>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en-GB"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iPriority w:val="99"/>
    <w:unhideWhenUsed/>
    <w:rsid w:val="00CF1AC2"/>
    <w:pPr>
      <w:tabs>
        <w:tab w:val="center" w:pos="4677"/>
        <w:tab w:val="right" w:pos="9355"/>
      </w:tabs>
      <w:spacing w:after="0" w:line="240" w:lineRule="auto"/>
    </w:pPr>
  </w:style>
  <w:style w:type="character" w:customStyle="1" w:styleId="af0">
    <w:name w:val="Нижний колонтитул Знак"/>
    <w:basedOn w:val="a4"/>
    <w:link w:val="af"/>
    <w:uiPriority w:val="99"/>
    <w:rsid w:val="00CF1AC2"/>
  </w:style>
  <w:style w:type="paragraph" w:styleId="af1">
    <w:name w:val="Balloon Text"/>
    <w:basedOn w:val="a3"/>
    <w:link w:val="af2"/>
    <w:uiPriority w:val="99"/>
    <w:semiHidden/>
    <w:unhideWhenUsed/>
    <w:rsid w:val="00677C3B"/>
    <w:pPr>
      <w:spacing w:after="0" w:line="240" w:lineRule="auto"/>
    </w:pPr>
    <w:rPr>
      <w:rFonts w:ascii="Segoe UI" w:hAnsi="Segoe UI" w:cs="Segoe UI"/>
      <w:sz w:val="18"/>
      <w:szCs w:val="18"/>
    </w:rPr>
  </w:style>
  <w:style w:type="character" w:customStyle="1" w:styleId="af2">
    <w:name w:val="Текст выноски Знак"/>
    <w:basedOn w:val="a4"/>
    <w:link w:val="af1"/>
    <w:uiPriority w:val="99"/>
    <w:semiHidden/>
    <w:rsid w:val="00677C3B"/>
    <w:rPr>
      <w:rFonts w:ascii="Segoe UI" w:hAnsi="Segoe UI" w:cs="Segoe UI"/>
      <w:sz w:val="18"/>
      <w:szCs w:val="18"/>
    </w:rPr>
  </w:style>
  <w:style w:type="paragraph" w:customStyle="1" w:styleId="Pointmark">
    <w:name w:val="Point (mark)"/>
    <w:rsid w:val="00677C3F"/>
    <w:pPr>
      <w:numPr>
        <w:numId w:val="9"/>
      </w:numPr>
      <w:spacing w:before="60" w:after="0" w:line="240" w:lineRule="auto"/>
      <w:ind w:left="1083" w:hanging="357"/>
      <w:jc w:val="both"/>
    </w:pPr>
    <w:rPr>
      <w:rFonts w:ascii="Arial" w:eastAsia="Times New Roman" w:hAnsi="Arial" w:cs="Arial"/>
      <w:sz w:val="20"/>
      <w:szCs w:val="20"/>
    </w:rPr>
  </w:style>
  <w:style w:type="character" w:styleId="af3">
    <w:name w:val="annotation reference"/>
    <w:basedOn w:val="a4"/>
    <w:uiPriority w:val="99"/>
    <w:semiHidden/>
    <w:unhideWhenUsed/>
    <w:rsid w:val="004637B4"/>
    <w:rPr>
      <w:sz w:val="16"/>
      <w:szCs w:val="16"/>
    </w:rPr>
  </w:style>
  <w:style w:type="paragraph" w:styleId="af4">
    <w:name w:val="annotation text"/>
    <w:basedOn w:val="a3"/>
    <w:link w:val="af5"/>
    <w:uiPriority w:val="99"/>
    <w:semiHidden/>
    <w:unhideWhenUsed/>
    <w:rsid w:val="004637B4"/>
    <w:pPr>
      <w:spacing w:line="240" w:lineRule="auto"/>
    </w:pPr>
    <w:rPr>
      <w:sz w:val="20"/>
      <w:szCs w:val="20"/>
    </w:rPr>
  </w:style>
  <w:style w:type="character" w:customStyle="1" w:styleId="af5">
    <w:name w:val="Текст примечания Знак"/>
    <w:basedOn w:val="a4"/>
    <w:link w:val="af4"/>
    <w:uiPriority w:val="99"/>
    <w:semiHidden/>
    <w:rsid w:val="004637B4"/>
    <w:rPr>
      <w:sz w:val="20"/>
      <w:szCs w:val="20"/>
    </w:rPr>
  </w:style>
  <w:style w:type="paragraph" w:styleId="af6">
    <w:name w:val="annotation subject"/>
    <w:basedOn w:val="af4"/>
    <w:next w:val="af4"/>
    <w:link w:val="af7"/>
    <w:uiPriority w:val="99"/>
    <w:semiHidden/>
    <w:unhideWhenUsed/>
    <w:rsid w:val="004637B4"/>
    <w:rPr>
      <w:b/>
      <w:bCs/>
    </w:rPr>
  </w:style>
  <w:style w:type="character" w:customStyle="1" w:styleId="af7">
    <w:name w:val="Тема примечания Знак"/>
    <w:basedOn w:val="af5"/>
    <w:link w:val="af6"/>
    <w:uiPriority w:val="99"/>
    <w:semiHidden/>
    <w:rsid w:val="004637B4"/>
    <w:rPr>
      <w:b/>
      <w:bCs/>
      <w:sz w:val="20"/>
      <w:szCs w:val="20"/>
    </w:rPr>
  </w:style>
  <w:style w:type="paragraph" w:styleId="af8">
    <w:name w:val="endnote text"/>
    <w:basedOn w:val="a3"/>
    <w:link w:val="af9"/>
    <w:uiPriority w:val="99"/>
    <w:semiHidden/>
    <w:unhideWhenUsed/>
    <w:rsid w:val="000E7CE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4"/>
    <w:link w:val="af8"/>
    <w:uiPriority w:val="99"/>
    <w:semiHidden/>
    <w:rsid w:val="000E7CEC"/>
    <w:rPr>
      <w:rFonts w:ascii="Times New Roman" w:eastAsia="Times New Roman" w:hAnsi="Times New Roman" w:cs="Times New Roman"/>
      <w:sz w:val="20"/>
      <w:szCs w:val="20"/>
      <w:lang w:eastAsia="ru-RU"/>
    </w:rPr>
  </w:style>
  <w:style w:type="character" w:styleId="afa">
    <w:name w:val="endnote reference"/>
    <w:basedOn w:val="a4"/>
    <w:uiPriority w:val="99"/>
    <w:semiHidden/>
    <w:unhideWhenUsed/>
    <w:rsid w:val="000E7C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1728</Words>
  <Characters>9853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2</cp:revision>
  <dcterms:created xsi:type="dcterms:W3CDTF">2024-07-08T11:53:00Z</dcterms:created>
  <dcterms:modified xsi:type="dcterms:W3CDTF">2024-07-08T11:53:00Z</dcterms:modified>
</cp:coreProperties>
</file>