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0FB" w:rsidRPr="0077366F" w:rsidRDefault="00B930FB" w:rsidP="00B930FB">
      <w:pPr>
        <w:widowControl w:val="0"/>
        <w:autoSpaceDE w:val="0"/>
        <w:autoSpaceDN w:val="0"/>
        <w:adjustRightInd w:val="0"/>
        <w:spacing w:before="960" w:after="40" w:line="240" w:lineRule="auto"/>
        <w:jc w:val="center"/>
        <w:rPr>
          <w:b/>
          <w:bCs/>
          <w:sz w:val="32"/>
          <w:szCs w:val="32"/>
          <w:lang w:val="en-US"/>
        </w:rPr>
      </w:pPr>
      <w:bookmarkStart w:id="0" w:name="_GoBack"/>
      <w:bookmarkEnd w:id="0"/>
    </w:p>
    <w:p w:rsidR="00B930FB" w:rsidRPr="00B930FB" w:rsidRDefault="00B930FB" w:rsidP="00B930FB">
      <w:pPr>
        <w:widowControl w:val="0"/>
        <w:autoSpaceDE w:val="0"/>
        <w:autoSpaceDN w:val="0"/>
        <w:adjustRightInd w:val="0"/>
        <w:spacing w:before="960" w:after="40" w:line="240" w:lineRule="auto"/>
        <w:jc w:val="center"/>
        <w:rPr>
          <w:b/>
          <w:bCs/>
          <w:sz w:val="32"/>
          <w:szCs w:val="32"/>
        </w:rPr>
      </w:pPr>
      <w:r w:rsidRPr="00B930FB">
        <w:rPr>
          <w:b/>
          <w:bCs/>
          <w:sz w:val="32"/>
          <w:szCs w:val="32"/>
        </w:rPr>
        <w:t>ОТЧЕТ ЭМИТЕНТА ЭМИССИОННЫХ ЦЕННЫХ БУМАГ</w:t>
      </w:r>
    </w:p>
    <w:p w:rsidR="00B930FB" w:rsidRPr="00B930FB" w:rsidRDefault="00B930FB" w:rsidP="00B930FB">
      <w:pPr>
        <w:widowControl w:val="0"/>
        <w:autoSpaceDE w:val="0"/>
        <w:autoSpaceDN w:val="0"/>
        <w:adjustRightInd w:val="0"/>
        <w:spacing w:before="600" w:after="40" w:line="240" w:lineRule="auto"/>
        <w:jc w:val="center"/>
        <w:rPr>
          <w:b/>
          <w:bCs/>
          <w:i/>
          <w:iCs/>
          <w:sz w:val="32"/>
          <w:szCs w:val="32"/>
        </w:rPr>
      </w:pPr>
      <w:r w:rsidRPr="00B930FB">
        <w:rPr>
          <w:b/>
          <w:bCs/>
          <w:i/>
          <w:iCs/>
          <w:sz w:val="32"/>
          <w:szCs w:val="32"/>
        </w:rPr>
        <w:t>Публичное акционерное общество «Московская Биржа</w:t>
      </w:r>
      <w:r w:rsidR="00860493">
        <w:rPr>
          <w:b/>
          <w:bCs/>
          <w:i/>
          <w:iCs/>
          <w:sz w:val="32"/>
          <w:szCs w:val="32"/>
        </w:rPr>
        <w:br/>
      </w:r>
      <w:r w:rsidRPr="00B930FB">
        <w:rPr>
          <w:b/>
          <w:bCs/>
          <w:i/>
          <w:iCs/>
          <w:sz w:val="32"/>
          <w:szCs w:val="32"/>
        </w:rPr>
        <w:t>ММВБ-РТС»</w:t>
      </w:r>
    </w:p>
    <w:p w:rsidR="00B930FB" w:rsidRPr="00B930FB" w:rsidRDefault="00B930FB" w:rsidP="00B930FB">
      <w:pPr>
        <w:widowControl w:val="0"/>
        <w:autoSpaceDE w:val="0"/>
        <w:autoSpaceDN w:val="0"/>
        <w:adjustRightInd w:val="0"/>
        <w:spacing w:before="120" w:after="40" w:line="240" w:lineRule="auto"/>
        <w:jc w:val="center"/>
        <w:rPr>
          <w:b/>
          <w:bCs/>
          <w:i/>
          <w:iCs/>
          <w:sz w:val="28"/>
          <w:szCs w:val="28"/>
        </w:rPr>
      </w:pPr>
      <w:r w:rsidRPr="00B930FB">
        <w:rPr>
          <w:b/>
          <w:bCs/>
          <w:i/>
          <w:iCs/>
          <w:sz w:val="28"/>
          <w:szCs w:val="28"/>
        </w:rPr>
        <w:t>Код эмитента: 08443-H</w:t>
      </w:r>
    </w:p>
    <w:p w:rsidR="00B930FB" w:rsidRPr="00B930FB" w:rsidRDefault="00B930FB" w:rsidP="00B930FB">
      <w:pPr>
        <w:widowControl w:val="0"/>
        <w:autoSpaceDE w:val="0"/>
        <w:autoSpaceDN w:val="0"/>
        <w:adjustRightInd w:val="0"/>
        <w:spacing w:before="360" w:after="40" w:line="240" w:lineRule="auto"/>
        <w:jc w:val="center"/>
        <w:rPr>
          <w:b/>
          <w:bCs/>
          <w:sz w:val="32"/>
          <w:szCs w:val="32"/>
        </w:rPr>
      </w:pPr>
      <w:r w:rsidRPr="00B930FB">
        <w:rPr>
          <w:b/>
          <w:bCs/>
          <w:sz w:val="32"/>
          <w:szCs w:val="32"/>
        </w:rPr>
        <w:t xml:space="preserve">за </w:t>
      </w:r>
      <w:r w:rsidR="00921FEB" w:rsidRPr="00921FEB">
        <w:rPr>
          <w:b/>
          <w:bCs/>
          <w:sz w:val="32"/>
          <w:szCs w:val="32"/>
        </w:rPr>
        <w:t>12</w:t>
      </w:r>
      <w:r w:rsidRPr="00B930FB">
        <w:rPr>
          <w:b/>
          <w:bCs/>
          <w:sz w:val="32"/>
          <w:szCs w:val="32"/>
        </w:rPr>
        <w:t xml:space="preserve"> месяцев 20</w:t>
      </w:r>
      <w:r>
        <w:rPr>
          <w:b/>
          <w:bCs/>
          <w:sz w:val="32"/>
          <w:szCs w:val="32"/>
        </w:rPr>
        <w:t>2</w:t>
      </w:r>
      <w:r w:rsidR="0010605C">
        <w:rPr>
          <w:b/>
          <w:bCs/>
          <w:sz w:val="32"/>
          <w:szCs w:val="32"/>
        </w:rPr>
        <w:t>4</w:t>
      </w:r>
      <w:r w:rsidRPr="00B930FB">
        <w:rPr>
          <w:b/>
          <w:bCs/>
          <w:sz w:val="32"/>
          <w:szCs w:val="32"/>
        </w:rPr>
        <w:t xml:space="preserve"> г.</w:t>
      </w:r>
    </w:p>
    <w:p w:rsidR="00B930FB" w:rsidRPr="00B930FB" w:rsidRDefault="00B930FB" w:rsidP="00B930FB">
      <w:pPr>
        <w:widowControl w:val="0"/>
        <w:autoSpaceDE w:val="0"/>
        <w:autoSpaceDN w:val="0"/>
        <w:adjustRightInd w:val="0"/>
        <w:spacing w:before="600" w:after="360" w:line="240" w:lineRule="auto"/>
        <w:jc w:val="center"/>
        <w:rPr>
          <w:b/>
          <w:bCs/>
          <w:sz w:val="24"/>
          <w:szCs w:val="24"/>
        </w:rPr>
      </w:pPr>
      <w:r w:rsidRPr="00B930FB">
        <w:rPr>
          <w:b/>
          <w:bCs/>
          <w:sz w:val="24"/>
          <w:szCs w:val="24"/>
        </w:rPr>
        <w:t>Информация, содержащаяся в настоящем отчете эмитента, подлежит раскрытию в соответствии с законодательством Российской Федерации о ценных бумагах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92"/>
        <w:gridCol w:w="7360"/>
        <w:gridCol w:w="360"/>
      </w:tblGrid>
      <w:tr w:rsidR="00F02F07" w:rsidRPr="00B930FB" w:rsidTr="009030BB">
        <w:trPr>
          <w:gridAfter w:val="1"/>
          <w:wAfter w:w="360" w:type="dxa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02F07" w:rsidRPr="00B930FB" w:rsidRDefault="00F02F07" w:rsidP="009030B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  <w:r w:rsidRPr="00B930FB">
              <w:rPr>
                <w:sz w:val="20"/>
                <w:szCs w:val="20"/>
              </w:rPr>
              <w:t>Адрес эмитента</w:t>
            </w:r>
          </w:p>
        </w:tc>
        <w:tc>
          <w:tcPr>
            <w:tcW w:w="7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02F07" w:rsidRPr="00B930FB" w:rsidRDefault="00F02F07" w:rsidP="009030B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b/>
                <w:bCs/>
                <w:sz w:val="20"/>
                <w:szCs w:val="20"/>
              </w:rPr>
            </w:pPr>
            <w:r w:rsidRPr="00B930FB">
              <w:rPr>
                <w:b/>
                <w:bCs/>
                <w:sz w:val="20"/>
                <w:szCs w:val="20"/>
              </w:rPr>
              <w:t>125009, Россия, г. Москва, Большой Кисловский переулок, д. 13</w:t>
            </w:r>
          </w:p>
        </w:tc>
      </w:tr>
      <w:tr w:rsidR="00F02F07" w:rsidRPr="00B930FB" w:rsidTr="009030BB">
        <w:tc>
          <w:tcPr>
            <w:tcW w:w="18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02F07" w:rsidRPr="00B930FB" w:rsidRDefault="00F02F07" w:rsidP="009030B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  <w:r w:rsidRPr="00B930FB">
              <w:rPr>
                <w:sz w:val="20"/>
                <w:szCs w:val="20"/>
              </w:rPr>
              <w:t>Контактное лицо эмитента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02F07" w:rsidRPr="006A4310" w:rsidRDefault="00F02F07" w:rsidP="009030B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  <w:r w:rsidRPr="006A4310">
              <w:rPr>
                <w:bCs/>
                <w:sz w:val="20"/>
                <w:szCs w:val="20"/>
              </w:rPr>
              <w:t>Сафонова Ирина Сергеевна, главный специалист Отдела корпоративной инфраструктуры, раскрытия информации и отчетности Департамента корпоративного управления</w:t>
            </w:r>
          </w:p>
          <w:p w:rsidR="00F02F07" w:rsidRPr="006A4310" w:rsidRDefault="00F02F07" w:rsidP="009030B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  <w:r w:rsidRPr="006A4310">
              <w:rPr>
                <w:sz w:val="20"/>
                <w:szCs w:val="20"/>
              </w:rPr>
              <w:t>Телефон:</w:t>
            </w:r>
            <w:r w:rsidRPr="006A4310">
              <w:rPr>
                <w:b/>
                <w:bCs/>
                <w:sz w:val="20"/>
                <w:szCs w:val="20"/>
              </w:rPr>
              <w:t xml:space="preserve"> </w:t>
            </w:r>
            <w:r w:rsidRPr="006A4310">
              <w:rPr>
                <w:bCs/>
                <w:sz w:val="20"/>
                <w:szCs w:val="20"/>
              </w:rPr>
              <w:t>+7 (916) 941-1904</w:t>
            </w:r>
          </w:p>
          <w:p w:rsidR="00F02F07" w:rsidRPr="006A4310" w:rsidRDefault="00F02F07" w:rsidP="009030B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b/>
                <w:bCs/>
                <w:sz w:val="20"/>
                <w:szCs w:val="20"/>
              </w:rPr>
            </w:pPr>
            <w:r w:rsidRPr="006A4310">
              <w:rPr>
                <w:sz w:val="20"/>
                <w:szCs w:val="20"/>
              </w:rPr>
              <w:t>Адрес электронной почты:</w:t>
            </w:r>
            <w:r w:rsidRPr="006A4310">
              <w:rPr>
                <w:b/>
                <w:bCs/>
                <w:sz w:val="20"/>
                <w:szCs w:val="20"/>
              </w:rPr>
              <w:t xml:space="preserve"> </w:t>
            </w:r>
            <w:r w:rsidRPr="006A4310">
              <w:rPr>
                <w:bCs/>
                <w:sz w:val="20"/>
                <w:szCs w:val="20"/>
              </w:rPr>
              <w:t>Irina.Safonova@moex.com</w:t>
            </w:r>
          </w:p>
        </w:tc>
        <w:tc>
          <w:tcPr>
            <w:tcW w:w="360" w:type="dxa"/>
          </w:tcPr>
          <w:p w:rsidR="00F02F07" w:rsidRPr="00B930FB" w:rsidRDefault="00F02F07" w:rsidP="009030B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</w:p>
        </w:tc>
      </w:tr>
    </w:tbl>
    <w:p w:rsidR="00B930FB" w:rsidRPr="00B930FB" w:rsidRDefault="00B930FB" w:rsidP="00B930FB">
      <w:pPr>
        <w:widowControl w:val="0"/>
        <w:autoSpaceDE w:val="0"/>
        <w:autoSpaceDN w:val="0"/>
        <w:adjustRightInd w:val="0"/>
        <w:spacing w:before="20" w:after="40" w:line="240" w:lineRule="auto"/>
        <w:rPr>
          <w:sz w:val="20"/>
          <w:szCs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92"/>
        <w:gridCol w:w="7360"/>
      </w:tblGrid>
      <w:tr w:rsidR="00B930FB" w:rsidRPr="00B930FB" w:rsidTr="008634C8">
        <w:tblPrEx>
          <w:tblCellMar>
            <w:top w:w="0" w:type="dxa"/>
            <w:bottom w:w="0" w:type="dxa"/>
          </w:tblCellMar>
        </w:tblPrEx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30FB" w:rsidRPr="00B930FB" w:rsidRDefault="00B930FB" w:rsidP="00B930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  <w:r w:rsidRPr="00B930FB">
              <w:rPr>
                <w:sz w:val="20"/>
                <w:szCs w:val="20"/>
              </w:rPr>
              <w:t>Адрес страницы в сети Интернет</w:t>
            </w:r>
          </w:p>
        </w:tc>
        <w:tc>
          <w:tcPr>
            <w:tcW w:w="7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30FB" w:rsidRPr="00B930FB" w:rsidRDefault="00B930FB" w:rsidP="00921FEB">
            <w:pPr>
              <w:widowControl w:val="0"/>
              <w:tabs>
                <w:tab w:val="left" w:pos="4950"/>
              </w:tabs>
              <w:autoSpaceDE w:val="0"/>
              <w:autoSpaceDN w:val="0"/>
              <w:adjustRightInd w:val="0"/>
              <w:spacing w:before="20" w:after="40" w:line="240" w:lineRule="auto"/>
              <w:rPr>
                <w:bCs/>
                <w:sz w:val="20"/>
                <w:szCs w:val="20"/>
              </w:rPr>
            </w:pPr>
            <w:r w:rsidRPr="00B930FB">
              <w:rPr>
                <w:bCs/>
                <w:sz w:val="20"/>
                <w:szCs w:val="20"/>
              </w:rPr>
              <w:t>https://www.e-disclosure.ru/portal/company.aspx?id=43</w:t>
            </w:r>
          </w:p>
        </w:tc>
      </w:tr>
    </w:tbl>
    <w:p w:rsidR="00B930FB" w:rsidRPr="00B930FB" w:rsidRDefault="00B930FB" w:rsidP="00B930FB">
      <w:pPr>
        <w:widowControl w:val="0"/>
        <w:autoSpaceDE w:val="0"/>
        <w:autoSpaceDN w:val="0"/>
        <w:adjustRightInd w:val="0"/>
        <w:spacing w:before="20" w:after="40" w:line="240" w:lineRule="auto"/>
        <w:rPr>
          <w:sz w:val="20"/>
          <w:szCs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572"/>
        <w:gridCol w:w="3680"/>
      </w:tblGrid>
      <w:tr w:rsidR="00B930FB" w:rsidRPr="00B930FB" w:rsidTr="008634C8">
        <w:tblPrEx>
          <w:tblCellMar>
            <w:top w:w="0" w:type="dxa"/>
            <w:bottom w:w="0" w:type="dxa"/>
          </w:tblCellMar>
        </w:tblPrEx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30FB" w:rsidRPr="00B930FB" w:rsidRDefault="00B930FB" w:rsidP="00B930FB">
            <w:pPr>
              <w:widowControl w:val="0"/>
              <w:autoSpaceDE w:val="0"/>
              <w:autoSpaceDN w:val="0"/>
              <w:adjustRightInd w:val="0"/>
              <w:spacing w:before="120" w:after="40" w:line="240" w:lineRule="auto"/>
              <w:rPr>
                <w:sz w:val="20"/>
                <w:szCs w:val="20"/>
              </w:rPr>
            </w:pPr>
          </w:p>
          <w:p w:rsidR="00B930FB" w:rsidRPr="000A0C0A" w:rsidRDefault="00B930FB" w:rsidP="00B930FB">
            <w:pPr>
              <w:widowControl w:val="0"/>
              <w:autoSpaceDE w:val="0"/>
              <w:autoSpaceDN w:val="0"/>
              <w:adjustRightInd w:val="0"/>
              <w:spacing w:before="200" w:after="40" w:line="240" w:lineRule="auto"/>
              <w:rPr>
                <w:sz w:val="20"/>
                <w:szCs w:val="20"/>
              </w:rPr>
            </w:pPr>
            <w:r w:rsidRPr="000A0C0A">
              <w:rPr>
                <w:sz w:val="20"/>
                <w:szCs w:val="20"/>
              </w:rPr>
              <w:t>Председатель Правления</w:t>
            </w:r>
          </w:p>
          <w:p w:rsidR="00B930FB" w:rsidRPr="000A0C0A" w:rsidRDefault="00B930FB" w:rsidP="00B930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  <w:r w:rsidRPr="000A0C0A">
              <w:rPr>
                <w:sz w:val="20"/>
                <w:szCs w:val="20"/>
              </w:rPr>
              <w:t xml:space="preserve">Дата: </w:t>
            </w:r>
            <w:r w:rsidR="00921FEB" w:rsidRPr="001138F5">
              <w:rPr>
                <w:sz w:val="20"/>
                <w:szCs w:val="20"/>
              </w:rPr>
              <w:t>«</w:t>
            </w:r>
            <w:r w:rsidR="001138F5">
              <w:rPr>
                <w:sz w:val="20"/>
                <w:szCs w:val="20"/>
              </w:rPr>
              <w:t>4</w:t>
            </w:r>
            <w:r w:rsidR="00921FEB" w:rsidRPr="001138F5">
              <w:rPr>
                <w:sz w:val="20"/>
                <w:szCs w:val="20"/>
              </w:rPr>
              <w:t>»</w:t>
            </w:r>
            <w:r w:rsidRPr="001138F5">
              <w:rPr>
                <w:sz w:val="20"/>
                <w:szCs w:val="20"/>
              </w:rPr>
              <w:t xml:space="preserve"> </w:t>
            </w:r>
            <w:r w:rsidR="0010605C" w:rsidRPr="001138F5">
              <w:rPr>
                <w:sz w:val="20"/>
                <w:szCs w:val="20"/>
              </w:rPr>
              <w:t>апреля</w:t>
            </w:r>
            <w:r w:rsidR="006A315E" w:rsidRPr="001138F5">
              <w:rPr>
                <w:sz w:val="20"/>
                <w:szCs w:val="20"/>
              </w:rPr>
              <w:t xml:space="preserve"> </w:t>
            </w:r>
            <w:r w:rsidRPr="001138F5">
              <w:rPr>
                <w:sz w:val="20"/>
                <w:szCs w:val="20"/>
              </w:rPr>
              <w:t>202</w:t>
            </w:r>
            <w:r w:rsidR="0010605C" w:rsidRPr="001138F5">
              <w:rPr>
                <w:sz w:val="20"/>
                <w:szCs w:val="20"/>
              </w:rPr>
              <w:t>5</w:t>
            </w:r>
            <w:r w:rsidRPr="001138F5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30FB" w:rsidRPr="000A0C0A" w:rsidRDefault="00B930FB" w:rsidP="00B930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</w:p>
          <w:p w:rsidR="00B930FB" w:rsidRPr="00B930FB" w:rsidRDefault="00B930FB" w:rsidP="00B930FB">
            <w:pPr>
              <w:widowControl w:val="0"/>
              <w:autoSpaceDE w:val="0"/>
              <w:autoSpaceDN w:val="0"/>
              <w:adjustRightInd w:val="0"/>
              <w:spacing w:before="200" w:after="200" w:line="240" w:lineRule="auto"/>
              <w:rPr>
                <w:sz w:val="20"/>
                <w:szCs w:val="20"/>
              </w:rPr>
            </w:pPr>
            <w:r w:rsidRPr="000A0C0A">
              <w:rPr>
                <w:sz w:val="20"/>
                <w:szCs w:val="20"/>
              </w:rPr>
              <w:br/>
              <w:t xml:space="preserve">____________ </w:t>
            </w:r>
            <w:r w:rsidR="0010605C" w:rsidRPr="00A60182">
              <w:rPr>
                <w:sz w:val="20"/>
                <w:szCs w:val="20"/>
              </w:rPr>
              <w:t>В.</w:t>
            </w:r>
            <w:r w:rsidRPr="00A60182">
              <w:rPr>
                <w:sz w:val="20"/>
                <w:szCs w:val="20"/>
              </w:rPr>
              <w:t xml:space="preserve">О. </w:t>
            </w:r>
            <w:r w:rsidR="006E46E8" w:rsidRPr="00A60182">
              <w:rPr>
                <w:sz w:val="20"/>
                <w:szCs w:val="20"/>
              </w:rPr>
              <w:t>Жидков</w:t>
            </w:r>
            <w:r w:rsidRPr="000A0C0A">
              <w:rPr>
                <w:sz w:val="20"/>
                <w:szCs w:val="20"/>
              </w:rPr>
              <w:br/>
              <w:t xml:space="preserve">    подпись</w:t>
            </w:r>
          </w:p>
        </w:tc>
      </w:tr>
    </w:tbl>
    <w:p w:rsidR="00B930FB" w:rsidRPr="00B930FB" w:rsidRDefault="00B930FB" w:rsidP="00B930FB">
      <w:pPr>
        <w:widowControl w:val="0"/>
        <w:autoSpaceDE w:val="0"/>
        <w:autoSpaceDN w:val="0"/>
        <w:adjustRightInd w:val="0"/>
        <w:spacing w:before="20" w:after="40" w:line="240" w:lineRule="auto"/>
        <w:rPr>
          <w:sz w:val="20"/>
          <w:szCs w:val="20"/>
        </w:rPr>
      </w:pPr>
    </w:p>
    <w:p w:rsidR="00B930FB" w:rsidRPr="00B930FB" w:rsidRDefault="00B930FB" w:rsidP="00B930FB">
      <w:pPr>
        <w:widowControl w:val="0"/>
        <w:autoSpaceDE w:val="0"/>
        <w:autoSpaceDN w:val="0"/>
        <w:adjustRightInd w:val="0"/>
        <w:spacing w:before="20" w:after="40" w:line="240" w:lineRule="auto"/>
        <w:rPr>
          <w:sz w:val="20"/>
          <w:szCs w:val="20"/>
        </w:rPr>
      </w:pPr>
    </w:p>
    <w:p w:rsidR="00B930FB" w:rsidRDefault="00B930FB" w:rsidP="00B930FB">
      <w:pPr>
        <w:tabs>
          <w:tab w:val="right" w:leader="dot" w:pos="9639"/>
        </w:tabs>
        <w:rPr>
          <w:sz w:val="20"/>
          <w:szCs w:val="20"/>
        </w:rPr>
      </w:pPr>
    </w:p>
    <w:p w:rsidR="00921FEB" w:rsidRDefault="00921FEB" w:rsidP="00B930FB">
      <w:pPr>
        <w:tabs>
          <w:tab w:val="right" w:leader="dot" w:pos="9639"/>
        </w:tabs>
        <w:rPr>
          <w:rFonts w:cs="Calibri"/>
        </w:rPr>
      </w:pPr>
    </w:p>
    <w:p w:rsidR="00921FEB" w:rsidRDefault="00921FEB" w:rsidP="00B930FB">
      <w:pPr>
        <w:tabs>
          <w:tab w:val="right" w:leader="dot" w:pos="9639"/>
        </w:tabs>
        <w:rPr>
          <w:rFonts w:cs="Calibri"/>
        </w:rPr>
      </w:pPr>
    </w:p>
    <w:p w:rsidR="00921FEB" w:rsidRDefault="00921FEB" w:rsidP="00B930FB">
      <w:pPr>
        <w:tabs>
          <w:tab w:val="right" w:leader="dot" w:pos="9639"/>
        </w:tabs>
        <w:rPr>
          <w:rFonts w:cs="Calibri"/>
        </w:rPr>
      </w:pPr>
    </w:p>
    <w:p w:rsidR="00F02F07" w:rsidRDefault="00F02F07" w:rsidP="00B930FB">
      <w:pPr>
        <w:tabs>
          <w:tab w:val="right" w:leader="dot" w:pos="9639"/>
        </w:tabs>
        <w:rPr>
          <w:rFonts w:cs="Calibri"/>
        </w:rPr>
      </w:pPr>
    </w:p>
    <w:p w:rsidR="00921FEB" w:rsidRPr="00B930FB" w:rsidRDefault="00921FEB" w:rsidP="00B930FB">
      <w:pPr>
        <w:tabs>
          <w:tab w:val="right" w:leader="dot" w:pos="9639"/>
        </w:tabs>
        <w:rPr>
          <w:rFonts w:cs="Calibri"/>
        </w:rPr>
      </w:pPr>
    </w:p>
    <w:p w:rsidR="00DD402E" w:rsidRDefault="00213B54" w:rsidP="00F8397D">
      <w:pPr>
        <w:pStyle w:val="a6"/>
        <w:tabs>
          <w:tab w:val="clear" w:pos="1492"/>
        </w:tabs>
        <w:ind w:firstLine="0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bookmarkStart w:id="1" w:name="_Toc113910463"/>
      <w:bookmarkStart w:id="2" w:name="_Toc113954712"/>
      <w:r w:rsidRPr="00213B54">
        <w:rPr>
          <w:rFonts w:ascii="Times New Roman" w:hAnsi="Times New Roman"/>
          <w:b/>
          <w:bCs/>
          <w:color w:val="auto"/>
          <w:sz w:val="22"/>
          <w:szCs w:val="22"/>
        </w:rPr>
        <w:lastRenderedPageBreak/>
        <w:t>Оглавление</w:t>
      </w:r>
      <w:bookmarkEnd w:id="1"/>
      <w:bookmarkEnd w:id="2"/>
    </w:p>
    <w:p w:rsidR="00A86D68" w:rsidRPr="00276628" w:rsidRDefault="00D50A03" w:rsidP="002918E7">
      <w:pPr>
        <w:pStyle w:val="23"/>
        <w:rPr>
          <w:rFonts w:ascii="Calibri" w:hAnsi="Calibri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3301416" w:history="1">
        <w:r w:rsidR="00A86D68" w:rsidRPr="001D4091">
          <w:rPr>
            <w:rStyle w:val="a7"/>
          </w:rPr>
          <w:t>Введение</w:t>
        </w:r>
        <w:r w:rsidR="00A86D68">
          <w:rPr>
            <w:webHidden/>
          </w:rPr>
          <w:tab/>
        </w:r>
        <w:r w:rsidR="00A86D68">
          <w:rPr>
            <w:webHidden/>
          </w:rPr>
          <w:fldChar w:fldCharType="begin"/>
        </w:r>
        <w:r w:rsidR="00A86D68">
          <w:rPr>
            <w:webHidden/>
          </w:rPr>
          <w:instrText xml:space="preserve"> PAGEREF _Toc193301416 \h </w:instrText>
        </w:r>
        <w:r w:rsidR="00AD0D98">
          <w:rPr>
            <w:webHidden/>
          </w:rPr>
        </w:r>
        <w:r w:rsidR="00A86D68">
          <w:rPr>
            <w:webHidden/>
          </w:rPr>
          <w:fldChar w:fldCharType="separate"/>
        </w:r>
        <w:r w:rsidR="00AD0D98">
          <w:rPr>
            <w:webHidden/>
          </w:rPr>
          <w:t>5</w:t>
        </w:r>
        <w:r w:rsidR="00A86D68">
          <w:rPr>
            <w:webHidden/>
          </w:rPr>
          <w:fldChar w:fldCharType="end"/>
        </w:r>
      </w:hyperlink>
    </w:p>
    <w:p w:rsidR="00A86D68" w:rsidRPr="00276628" w:rsidRDefault="00A86D68">
      <w:pPr>
        <w:pStyle w:val="11"/>
        <w:tabs>
          <w:tab w:val="right" w:leader="dot" w:pos="9345"/>
        </w:tabs>
        <w:rPr>
          <w:rFonts w:ascii="Calibri" w:hAnsi="Calibri"/>
          <w:b w:val="0"/>
          <w:color w:val="auto"/>
        </w:rPr>
      </w:pPr>
      <w:hyperlink w:anchor="_Toc193301417" w:history="1">
        <w:r w:rsidRPr="001D4091">
          <w:rPr>
            <w:rStyle w:val="a7"/>
            <w:bCs/>
          </w:rPr>
          <w:t>Раздел 1. Управленческий отчет эмитента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_Toc193301417 \h </w:instrText>
        </w:r>
        <w:r w:rsidR="00AD0D98">
          <w:rPr>
            <w:webHidden/>
          </w:rPr>
        </w:r>
        <w:r>
          <w:rPr>
            <w:webHidden/>
          </w:rPr>
          <w:fldChar w:fldCharType="separate"/>
        </w:r>
        <w:r w:rsidR="00AD0D98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18" w:history="1">
        <w:r w:rsidRPr="00A86D68">
          <w:rPr>
            <w:rStyle w:val="a7"/>
          </w:rPr>
          <w:t>1.1.</w:t>
        </w:r>
        <w:r w:rsidRPr="00276628">
          <w:rPr>
            <w:rFonts w:ascii="Calibri" w:hAnsi="Calibri"/>
          </w:rPr>
          <w:tab/>
        </w:r>
        <w:r w:rsidRPr="00A86D68">
          <w:rPr>
            <w:rStyle w:val="a7"/>
          </w:rPr>
          <w:t>Общие сведения об эмитенте и его деятельности</w:t>
        </w:r>
        <w:r w:rsidRPr="00A86D68">
          <w:rPr>
            <w:webHidden/>
          </w:rPr>
          <w:tab/>
        </w:r>
        <w:r w:rsidRPr="00A86D68">
          <w:rPr>
            <w:webHidden/>
          </w:rPr>
          <w:fldChar w:fldCharType="begin"/>
        </w:r>
        <w:r w:rsidRPr="00A86D68">
          <w:rPr>
            <w:webHidden/>
          </w:rPr>
          <w:instrText xml:space="preserve"> PAGEREF _Toc193301418 \h </w:instrText>
        </w:r>
        <w:r w:rsidR="00AD0D98" w:rsidRPr="00A86D68">
          <w:rPr>
            <w:webHidden/>
          </w:rPr>
        </w:r>
        <w:r w:rsidRPr="00A86D68">
          <w:rPr>
            <w:webHidden/>
          </w:rPr>
          <w:fldChar w:fldCharType="separate"/>
        </w:r>
        <w:r w:rsidR="00AD0D98">
          <w:rPr>
            <w:webHidden/>
          </w:rPr>
          <w:t>6</w:t>
        </w:r>
        <w:r w:rsidRPr="00A86D68"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19" w:history="1">
        <w:r w:rsidRPr="00A86D68">
          <w:rPr>
            <w:rStyle w:val="a7"/>
          </w:rPr>
          <w:t>1.2.</w:t>
        </w:r>
        <w:r w:rsidRPr="00276628">
          <w:rPr>
            <w:rFonts w:ascii="Calibri" w:hAnsi="Calibri"/>
          </w:rPr>
          <w:tab/>
        </w:r>
        <w:r w:rsidRPr="00A86D68">
          <w:rPr>
            <w:rStyle w:val="a7"/>
          </w:rPr>
          <w:t>Сведения о положении эмитента в отрасли</w:t>
        </w:r>
        <w:r w:rsidRPr="00A86D68">
          <w:rPr>
            <w:webHidden/>
          </w:rPr>
          <w:tab/>
        </w:r>
        <w:r w:rsidRPr="00A86D68">
          <w:rPr>
            <w:webHidden/>
          </w:rPr>
          <w:fldChar w:fldCharType="begin"/>
        </w:r>
        <w:r w:rsidRPr="00A86D68">
          <w:rPr>
            <w:webHidden/>
          </w:rPr>
          <w:instrText xml:space="preserve"> PAGEREF _Toc193301419 \h </w:instrText>
        </w:r>
        <w:r w:rsidR="00AD0D98" w:rsidRPr="00A86D68">
          <w:rPr>
            <w:webHidden/>
          </w:rPr>
        </w:r>
        <w:r w:rsidRPr="00A86D68">
          <w:rPr>
            <w:webHidden/>
          </w:rPr>
          <w:fldChar w:fldCharType="separate"/>
        </w:r>
        <w:r w:rsidR="00AD0D98">
          <w:rPr>
            <w:webHidden/>
          </w:rPr>
          <w:t>8</w:t>
        </w:r>
        <w:r w:rsidRPr="00A86D68"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20" w:history="1">
        <w:r w:rsidRPr="00A86D68">
          <w:rPr>
            <w:rStyle w:val="a7"/>
          </w:rPr>
          <w:t>1.3.</w:t>
        </w:r>
        <w:r w:rsidRPr="00276628">
          <w:rPr>
            <w:rFonts w:ascii="Calibri" w:hAnsi="Calibri"/>
          </w:rPr>
          <w:tab/>
        </w:r>
        <w:r w:rsidRPr="00A86D68">
          <w:rPr>
            <w:rStyle w:val="a7"/>
          </w:rPr>
          <w:t>Основные операционные показатели, характеризующие деятельность эмитента</w:t>
        </w:r>
        <w:r w:rsidRPr="00A86D68">
          <w:rPr>
            <w:webHidden/>
          </w:rPr>
          <w:tab/>
        </w:r>
        <w:r w:rsidRPr="00A86D68">
          <w:rPr>
            <w:webHidden/>
          </w:rPr>
          <w:fldChar w:fldCharType="begin"/>
        </w:r>
        <w:r w:rsidRPr="00A86D68">
          <w:rPr>
            <w:webHidden/>
          </w:rPr>
          <w:instrText xml:space="preserve"> PAGEREF _Toc193301420 \h </w:instrText>
        </w:r>
        <w:r w:rsidR="00AD0D98" w:rsidRPr="00A86D68">
          <w:rPr>
            <w:webHidden/>
          </w:rPr>
        </w:r>
        <w:r w:rsidRPr="00A86D68">
          <w:rPr>
            <w:webHidden/>
          </w:rPr>
          <w:fldChar w:fldCharType="separate"/>
        </w:r>
        <w:r w:rsidR="00AD0D98">
          <w:rPr>
            <w:webHidden/>
          </w:rPr>
          <w:t>8</w:t>
        </w:r>
        <w:r w:rsidRPr="00A86D68"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21" w:history="1">
        <w:r w:rsidRPr="00A86D68">
          <w:rPr>
            <w:rStyle w:val="a7"/>
          </w:rPr>
          <w:t>1.4.</w:t>
        </w:r>
        <w:r w:rsidRPr="00276628">
          <w:rPr>
            <w:rFonts w:ascii="Calibri" w:hAnsi="Calibri"/>
          </w:rPr>
          <w:tab/>
        </w:r>
        <w:r w:rsidRPr="00A86D68">
          <w:rPr>
            <w:rStyle w:val="a7"/>
          </w:rPr>
          <w:t>Основные финансовые показатели эмитента</w:t>
        </w:r>
        <w:r w:rsidRPr="00A86D68">
          <w:rPr>
            <w:webHidden/>
          </w:rPr>
          <w:tab/>
        </w:r>
        <w:r w:rsidRPr="00A86D68">
          <w:rPr>
            <w:webHidden/>
          </w:rPr>
          <w:fldChar w:fldCharType="begin"/>
        </w:r>
        <w:r w:rsidRPr="00A86D68">
          <w:rPr>
            <w:webHidden/>
          </w:rPr>
          <w:instrText xml:space="preserve"> PAGEREF _Toc193301421 \h </w:instrText>
        </w:r>
        <w:r w:rsidR="00AD0D98" w:rsidRPr="00A86D68">
          <w:rPr>
            <w:webHidden/>
          </w:rPr>
        </w:r>
        <w:r w:rsidRPr="00A86D68">
          <w:rPr>
            <w:webHidden/>
          </w:rPr>
          <w:fldChar w:fldCharType="separate"/>
        </w:r>
        <w:r w:rsidR="00AD0D98">
          <w:rPr>
            <w:webHidden/>
          </w:rPr>
          <w:t>9</w:t>
        </w:r>
        <w:r w:rsidRPr="00A86D68"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27" w:history="1">
        <w:r w:rsidRPr="00A86D68">
          <w:rPr>
            <w:rStyle w:val="a7"/>
          </w:rPr>
          <w:t>1.5.</w:t>
        </w:r>
        <w:r w:rsidRPr="00276628">
          <w:rPr>
            <w:rFonts w:ascii="Calibri" w:hAnsi="Calibri"/>
          </w:rPr>
          <w:tab/>
        </w:r>
        <w:r w:rsidRPr="00A86D68">
          <w:rPr>
            <w:rStyle w:val="a7"/>
          </w:rPr>
          <w:t>Сведения об основных поставщиках эмитента</w:t>
        </w:r>
        <w:r w:rsidRPr="00A86D68">
          <w:rPr>
            <w:webHidden/>
          </w:rPr>
          <w:tab/>
        </w:r>
        <w:r w:rsidRPr="00A86D68">
          <w:rPr>
            <w:webHidden/>
          </w:rPr>
          <w:fldChar w:fldCharType="begin"/>
        </w:r>
        <w:r w:rsidRPr="00A86D68">
          <w:rPr>
            <w:webHidden/>
          </w:rPr>
          <w:instrText xml:space="preserve"> PAGEREF _Toc193301427 \h </w:instrText>
        </w:r>
        <w:r w:rsidR="00AD0D98" w:rsidRPr="00A86D68">
          <w:rPr>
            <w:webHidden/>
          </w:rPr>
        </w:r>
        <w:r w:rsidRPr="00A86D68">
          <w:rPr>
            <w:webHidden/>
          </w:rPr>
          <w:fldChar w:fldCharType="separate"/>
        </w:r>
        <w:r w:rsidR="00AD0D98">
          <w:rPr>
            <w:webHidden/>
          </w:rPr>
          <w:t>12</w:t>
        </w:r>
        <w:r w:rsidRPr="00A86D68"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28" w:history="1">
        <w:r w:rsidRPr="00A86D68">
          <w:rPr>
            <w:rStyle w:val="a7"/>
          </w:rPr>
          <w:t>1.6.</w:t>
        </w:r>
        <w:r w:rsidRPr="00276628">
          <w:rPr>
            <w:rFonts w:ascii="Calibri" w:hAnsi="Calibri"/>
          </w:rPr>
          <w:tab/>
        </w:r>
        <w:r w:rsidRPr="00A86D68">
          <w:rPr>
            <w:rStyle w:val="a7"/>
          </w:rPr>
          <w:t>Сведения об основных дебиторах эмитента</w:t>
        </w:r>
        <w:r w:rsidRPr="00A86D68">
          <w:rPr>
            <w:webHidden/>
          </w:rPr>
          <w:tab/>
        </w:r>
        <w:r w:rsidRPr="00A86D68">
          <w:rPr>
            <w:webHidden/>
          </w:rPr>
          <w:fldChar w:fldCharType="begin"/>
        </w:r>
        <w:r w:rsidRPr="00A86D68">
          <w:rPr>
            <w:webHidden/>
          </w:rPr>
          <w:instrText xml:space="preserve"> PAGEREF _Toc193301428 \h </w:instrText>
        </w:r>
        <w:r w:rsidR="00AD0D98" w:rsidRPr="00A86D68">
          <w:rPr>
            <w:webHidden/>
          </w:rPr>
        </w:r>
        <w:r w:rsidRPr="00A86D68">
          <w:rPr>
            <w:webHidden/>
          </w:rPr>
          <w:fldChar w:fldCharType="separate"/>
        </w:r>
        <w:r w:rsidR="00AD0D98">
          <w:rPr>
            <w:webHidden/>
          </w:rPr>
          <w:t>12</w:t>
        </w:r>
        <w:r w:rsidRPr="00A86D68"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29" w:history="1">
        <w:r w:rsidRPr="00A86D68">
          <w:rPr>
            <w:rStyle w:val="a7"/>
          </w:rPr>
          <w:t>1.7.</w:t>
        </w:r>
        <w:r w:rsidRPr="00276628">
          <w:rPr>
            <w:rFonts w:ascii="Calibri" w:hAnsi="Calibri"/>
          </w:rPr>
          <w:tab/>
        </w:r>
        <w:r w:rsidRPr="00A86D68">
          <w:rPr>
            <w:rStyle w:val="a7"/>
          </w:rPr>
          <w:t>Сведения об обязательствах эмитента</w:t>
        </w:r>
        <w:r w:rsidRPr="00A86D68">
          <w:rPr>
            <w:webHidden/>
          </w:rPr>
          <w:tab/>
        </w:r>
        <w:r w:rsidRPr="00A86D68">
          <w:rPr>
            <w:webHidden/>
          </w:rPr>
          <w:fldChar w:fldCharType="begin"/>
        </w:r>
        <w:r w:rsidRPr="00A86D68">
          <w:rPr>
            <w:webHidden/>
          </w:rPr>
          <w:instrText xml:space="preserve"> PAGEREF _Toc193301429 \h </w:instrText>
        </w:r>
        <w:r w:rsidR="00AD0D98" w:rsidRPr="00A86D68">
          <w:rPr>
            <w:webHidden/>
          </w:rPr>
        </w:r>
        <w:r w:rsidRPr="00A86D68">
          <w:rPr>
            <w:webHidden/>
          </w:rPr>
          <w:fldChar w:fldCharType="separate"/>
        </w:r>
        <w:r w:rsidR="00AD0D98">
          <w:rPr>
            <w:webHidden/>
          </w:rPr>
          <w:t>13</w:t>
        </w:r>
        <w:r w:rsidRPr="00A86D68">
          <w:rPr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30" w:history="1">
        <w:r w:rsidRPr="00A86D68">
          <w:rPr>
            <w:rStyle w:val="a7"/>
            <w:noProof/>
          </w:rPr>
          <w:t>1.7.1.</w:t>
        </w:r>
        <w:r w:rsidRPr="00276628">
          <w:rPr>
            <w:rFonts w:ascii="Calibri" w:hAnsi="Calibri"/>
            <w:noProof/>
          </w:rPr>
          <w:tab/>
        </w:r>
        <w:r w:rsidRPr="00A86D68">
          <w:rPr>
            <w:rStyle w:val="a7"/>
            <w:noProof/>
          </w:rPr>
          <w:t>Сведения об основных кредиторах эмитента</w:t>
        </w:r>
        <w:r w:rsidRPr="00A86D68">
          <w:rPr>
            <w:noProof/>
            <w:webHidden/>
          </w:rPr>
          <w:tab/>
        </w:r>
        <w:r w:rsidRPr="00A86D68">
          <w:rPr>
            <w:noProof/>
            <w:webHidden/>
          </w:rPr>
          <w:fldChar w:fldCharType="begin"/>
        </w:r>
        <w:r w:rsidRPr="00A86D68">
          <w:rPr>
            <w:noProof/>
            <w:webHidden/>
          </w:rPr>
          <w:instrText xml:space="preserve"> PAGEREF _Toc193301430 \h </w:instrText>
        </w:r>
        <w:r w:rsidR="00AD0D98" w:rsidRPr="00A86D68">
          <w:rPr>
            <w:noProof/>
            <w:webHidden/>
          </w:rPr>
        </w:r>
        <w:r w:rsidRPr="00A86D68"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13</w:t>
        </w:r>
        <w:r w:rsidRPr="00A86D68">
          <w:rPr>
            <w:noProof/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31" w:history="1">
        <w:r w:rsidRPr="00A86D68">
          <w:rPr>
            <w:rStyle w:val="a7"/>
            <w:noProof/>
          </w:rPr>
          <w:t>1.7.2.</w:t>
        </w:r>
        <w:r w:rsidRPr="00276628">
          <w:rPr>
            <w:rFonts w:ascii="Calibri" w:hAnsi="Calibri"/>
            <w:noProof/>
          </w:rPr>
          <w:tab/>
        </w:r>
        <w:r w:rsidRPr="00A86D68">
          <w:rPr>
            <w:rStyle w:val="a7"/>
            <w:noProof/>
          </w:rPr>
          <w:t>Сведения об обязательствах эмитента из предоставленного обеспечения</w:t>
        </w:r>
        <w:r w:rsidRPr="00A86D68">
          <w:rPr>
            <w:noProof/>
            <w:webHidden/>
          </w:rPr>
          <w:tab/>
        </w:r>
        <w:r w:rsidRPr="00A86D68">
          <w:rPr>
            <w:noProof/>
            <w:webHidden/>
          </w:rPr>
          <w:fldChar w:fldCharType="begin"/>
        </w:r>
        <w:r w:rsidRPr="00A86D68">
          <w:rPr>
            <w:noProof/>
            <w:webHidden/>
          </w:rPr>
          <w:instrText xml:space="preserve"> PAGEREF _Toc193301431 \h </w:instrText>
        </w:r>
        <w:r w:rsidR="00AD0D98" w:rsidRPr="00A86D68">
          <w:rPr>
            <w:noProof/>
            <w:webHidden/>
          </w:rPr>
        </w:r>
        <w:r w:rsidRPr="00A86D68"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13</w:t>
        </w:r>
        <w:r w:rsidRPr="00A86D68">
          <w:rPr>
            <w:noProof/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32" w:history="1">
        <w:r w:rsidRPr="00A86D68">
          <w:rPr>
            <w:rStyle w:val="a7"/>
            <w:noProof/>
          </w:rPr>
          <w:t>1.7.3.</w:t>
        </w:r>
        <w:r w:rsidRPr="00276628">
          <w:rPr>
            <w:rFonts w:ascii="Calibri" w:hAnsi="Calibri"/>
            <w:noProof/>
          </w:rPr>
          <w:tab/>
        </w:r>
        <w:r w:rsidRPr="00A86D68">
          <w:rPr>
            <w:rStyle w:val="a7"/>
            <w:noProof/>
          </w:rPr>
          <w:t>Сведения о прочих существенных обязательствах эмитента</w:t>
        </w:r>
        <w:r w:rsidRPr="00A86D68">
          <w:rPr>
            <w:noProof/>
            <w:webHidden/>
          </w:rPr>
          <w:tab/>
        </w:r>
        <w:r w:rsidRPr="00A86D68">
          <w:rPr>
            <w:noProof/>
            <w:webHidden/>
          </w:rPr>
          <w:fldChar w:fldCharType="begin"/>
        </w:r>
        <w:r w:rsidRPr="00A86D68">
          <w:rPr>
            <w:noProof/>
            <w:webHidden/>
          </w:rPr>
          <w:instrText xml:space="preserve"> PAGEREF _Toc193301432 \h </w:instrText>
        </w:r>
        <w:r w:rsidR="00AD0D98" w:rsidRPr="00A86D68">
          <w:rPr>
            <w:noProof/>
            <w:webHidden/>
          </w:rPr>
        </w:r>
        <w:r w:rsidRPr="00A86D68"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13</w:t>
        </w:r>
        <w:r w:rsidRPr="00A86D68">
          <w:rPr>
            <w:noProof/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33" w:history="1">
        <w:r w:rsidRPr="00A86D68">
          <w:rPr>
            <w:rStyle w:val="a7"/>
          </w:rPr>
          <w:t>1.8. Сведения о перспективах развития эмитента</w:t>
        </w:r>
        <w:r w:rsidRPr="00A86D68">
          <w:rPr>
            <w:webHidden/>
          </w:rPr>
          <w:tab/>
        </w:r>
        <w:r w:rsidRPr="00A86D68">
          <w:rPr>
            <w:webHidden/>
          </w:rPr>
          <w:fldChar w:fldCharType="begin"/>
        </w:r>
        <w:r w:rsidRPr="00A86D68">
          <w:rPr>
            <w:webHidden/>
          </w:rPr>
          <w:instrText xml:space="preserve"> PAGEREF _Toc193301433 \h </w:instrText>
        </w:r>
        <w:r w:rsidR="00AD0D98" w:rsidRPr="00A86D68">
          <w:rPr>
            <w:webHidden/>
          </w:rPr>
        </w:r>
        <w:r w:rsidRPr="00A86D68">
          <w:rPr>
            <w:webHidden/>
          </w:rPr>
          <w:fldChar w:fldCharType="separate"/>
        </w:r>
        <w:r w:rsidR="00AD0D98">
          <w:rPr>
            <w:webHidden/>
          </w:rPr>
          <w:t>13</w:t>
        </w:r>
        <w:r w:rsidRPr="00A86D68"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34" w:history="1">
        <w:r w:rsidRPr="00A86D68">
          <w:rPr>
            <w:rStyle w:val="a7"/>
          </w:rPr>
          <w:t>1.9. Сведения о рисках, связанных с деятельностью эмитента</w:t>
        </w:r>
        <w:r w:rsidRPr="00A86D68">
          <w:rPr>
            <w:webHidden/>
          </w:rPr>
          <w:tab/>
        </w:r>
        <w:r w:rsidRPr="00A86D68">
          <w:rPr>
            <w:webHidden/>
          </w:rPr>
          <w:fldChar w:fldCharType="begin"/>
        </w:r>
        <w:r w:rsidRPr="00A86D68">
          <w:rPr>
            <w:webHidden/>
          </w:rPr>
          <w:instrText xml:space="preserve"> PAGEREF _Toc193301434 \h </w:instrText>
        </w:r>
        <w:r w:rsidR="00AD0D98" w:rsidRPr="00A86D68">
          <w:rPr>
            <w:webHidden/>
          </w:rPr>
        </w:r>
        <w:r w:rsidRPr="00A86D68">
          <w:rPr>
            <w:webHidden/>
          </w:rPr>
          <w:fldChar w:fldCharType="separate"/>
        </w:r>
        <w:r w:rsidR="00AD0D98">
          <w:rPr>
            <w:webHidden/>
          </w:rPr>
          <w:t>14</w:t>
        </w:r>
        <w:r w:rsidRPr="00A86D68">
          <w:rPr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35" w:history="1">
        <w:r w:rsidRPr="00A86D68">
          <w:rPr>
            <w:rStyle w:val="a7"/>
            <w:noProof/>
          </w:rPr>
          <w:t>1.9.1. Отраслевые риски</w:t>
        </w:r>
        <w:r w:rsidRPr="00A86D68">
          <w:rPr>
            <w:noProof/>
            <w:webHidden/>
          </w:rPr>
          <w:tab/>
        </w:r>
        <w:r w:rsidRPr="00A86D68">
          <w:rPr>
            <w:noProof/>
            <w:webHidden/>
          </w:rPr>
          <w:fldChar w:fldCharType="begin"/>
        </w:r>
        <w:r w:rsidRPr="00A86D68">
          <w:rPr>
            <w:noProof/>
            <w:webHidden/>
          </w:rPr>
          <w:instrText xml:space="preserve"> PAGEREF _Toc193301435 \h </w:instrText>
        </w:r>
        <w:r w:rsidR="00AD0D98" w:rsidRPr="00A86D68">
          <w:rPr>
            <w:noProof/>
            <w:webHidden/>
          </w:rPr>
        </w:r>
        <w:r w:rsidRPr="00A86D68"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14</w:t>
        </w:r>
        <w:r w:rsidRPr="00A86D68">
          <w:rPr>
            <w:noProof/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36" w:history="1">
        <w:r w:rsidRPr="00A86D68">
          <w:rPr>
            <w:rStyle w:val="a7"/>
            <w:noProof/>
          </w:rPr>
          <w:t>1.9.2. Страновые и региональные риски</w:t>
        </w:r>
        <w:r w:rsidRPr="00A86D68">
          <w:rPr>
            <w:noProof/>
            <w:webHidden/>
          </w:rPr>
          <w:tab/>
        </w:r>
        <w:r w:rsidRPr="00A86D68">
          <w:rPr>
            <w:noProof/>
            <w:webHidden/>
          </w:rPr>
          <w:fldChar w:fldCharType="begin"/>
        </w:r>
        <w:r w:rsidRPr="00A86D68">
          <w:rPr>
            <w:noProof/>
            <w:webHidden/>
          </w:rPr>
          <w:instrText xml:space="preserve"> PAGEREF _Toc193301436 \h </w:instrText>
        </w:r>
        <w:r w:rsidR="00AD0D98" w:rsidRPr="00A86D68">
          <w:rPr>
            <w:noProof/>
            <w:webHidden/>
          </w:rPr>
        </w:r>
        <w:r w:rsidRPr="00A86D68"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15</w:t>
        </w:r>
        <w:r w:rsidRPr="00A86D68">
          <w:rPr>
            <w:noProof/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37" w:history="1">
        <w:r w:rsidRPr="00A86D68">
          <w:rPr>
            <w:rStyle w:val="a7"/>
            <w:noProof/>
          </w:rPr>
          <w:t>1.9.3. Финансовые риски</w:t>
        </w:r>
        <w:r w:rsidRPr="00A86D68">
          <w:rPr>
            <w:noProof/>
            <w:webHidden/>
          </w:rPr>
          <w:tab/>
        </w:r>
        <w:r w:rsidRPr="00A86D68">
          <w:rPr>
            <w:noProof/>
            <w:webHidden/>
          </w:rPr>
          <w:fldChar w:fldCharType="begin"/>
        </w:r>
        <w:r w:rsidRPr="00A86D68">
          <w:rPr>
            <w:noProof/>
            <w:webHidden/>
          </w:rPr>
          <w:instrText xml:space="preserve"> PAGEREF _Toc193301437 \h </w:instrText>
        </w:r>
        <w:r w:rsidR="00AD0D98" w:rsidRPr="00A86D68">
          <w:rPr>
            <w:noProof/>
            <w:webHidden/>
          </w:rPr>
        </w:r>
        <w:r w:rsidRPr="00A86D68"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17</w:t>
        </w:r>
        <w:r w:rsidRPr="00A86D68">
          <w:rPr>
            <w:noProof/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38" w:history="1">
        <w:r w:rsidRPr="00A86D68">
          <w:rPr>
            <w:rStyle w:val="a7"/>
            <w:noProof/>
          </w:rPr>
          <w:t>1.9.4. Правовые риски</w:t>
        </w:r>
        <w:r w:rsidRPr="00A86D68">
          <w:rPr>
            <w:noProof/>
            <w:webHidden/>
          </w:rPr>
          <w:tab/>
        </w:r>
        <w:r w:rsidRPr="00A86D68">
          <w:rPr>
            <w:noProof/>
            <w:webHidden/>
          </w:rPr>
          <w:fldChar w:fldCharType="begin"/>
        </w:r>
        <w:r w:rsidRPr="00A86D68">
          <w:rPr>
            <w:noProof/>
            <w:webHidden/>
          </w:rPr>
          <w:instrText xml:space="preserve"> PAGEREF _Toc193301438 \h </w:instrText>
        </w:r>
        <w:r w:rsidR="00AD0D98" w:rsidRPr="00A86D68">
          <w:rPr>
            <w:noProof/>
            <w:webHidden/>
          </w:rPr>
        </w:r>
        <w:r w:rsidRPr="00A86D68"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20</w:t>
        </w:r>
        <w:r w:rsidRPr="00A86D68">
          <w:rPr>
            <w:noProof/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39" w:history="1">
        <w:r w:rsidRPr="001D4091">
          <w:rPr>
            <w:rStyle w:val="a7"/>
            <w:noProof/>
          </w:rPr>
          <w:t>1.9.5. Риск потери деловой репутации (репутационный риск)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_Toc193301439 \h </w:instrText>
        </w:r>
        <w:r w:rsidR="00AD0D98"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40" w:history="1">
        <w:r w:rsidRPr="001D4091">
          <w:rPr>
            <w:rStyle w:val="a7"/>
            <w:noProof/>
          </w:rPr>
          <w:t>1.9.6. Стратегический риск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_Toc193301440 \h </w:instrText>
        </w:r>
        <w:r w:rsidR="00AD0D98"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41" w:history="1">
        <w:r w:rsidRPr="001D4091">
          <w:rPr>
            <w:rStyle w:val="a7"/>
            <w:noProof/>
          </w:rPr>
          <w:t>1.9.7. Риски, связанные с деятельностью эмитента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_Toc193301441 \h </w:instrText>
        </w:r>
        <w:r w:rsidR="00AD0D98"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42" w:history="1">
        <w:r w:rsidRPr="001D4091">
          <w:rPr>
            <w:rStyle w:val="a7"/>
            <w:noProof/>
          </w:rPr>
          <w:t>1.9.8. Риск информационной безопасности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_Toc193301442 \h </w:instrText>
        </w:r>
        <w:r w:rsidR="00AD0D98"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43" w:history="1">
        <w:r w:rsidRPr="001D4091">
          <w:rPr>
            <w:rStyle w:val="a7"/>
            <w:noProof/>
          </w:rPr>
          <w:t>1.9.9. Природно-климатический и экологический риски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_Toc193301443 \h </w:instrText>
        </w:r>
        <w:r w:rsidR="00AD0D98"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44" w:history="1">
        <w:r w:rsidRPr="001D4091">
          <w:rPr>
            <w:rStyle w:val="a7"/>
            <w:noProof/>
          </w:rPr>
          <w:t>1.9.10. Налоговые риски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_Toc193301444 \h </w:instrText>
        </w:r>
        <w:r w:rsidR="00AD0D98"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45" w:history="1">
        <w:r w:rsidRPr="001D4091">
          <w:rPr>
            <w:rStyle w:val="a7"/>
            <w:noProof/>
          </w:rPr>
          <w:t>1.9.11. Операционный риск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_Toc193301445 \h </w:instrText>
        </w:r>
        <w:r w:rsidR="00AD0D98"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A86D68" w:rsidRPr="00276628" w:rsidRDefault="00A86D68">
      <w:pPr>
        <w:pStyle w:val="11"/>
        <w:tabs>
          <w:tab w:val="right" w:leader="dot" w:pos="9345"/>
        </w:tabs>
        <w:rPr>
          <w:rFonts w:ascii="Calibri" w:hAnsi="Calibri"/>
          <w:b w:val="0"/>
          <w:color w:val="auto"/>
        </w:rPr>
      </w:pPr>
      <w:hyperlink w:anchor="_Toc193301446" w:history="1">
        <w:r w:rsidRPr="001D4091">
          <w:rPr>
            <w:rStyle w:val="a7"/>
            <w:bCs/>
          </w:rPr>
          <w:t>Раздел 2. Сведения о лицах, входящих в состав органов управления эмитента, сведения об организации в эмитенте управления рисками, контроля за финансово-хозяйственной деятельностью и внутреннего контроля, внутреннего аудита, а также сведения о работниках эмитента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_Toc193301446 \h </w:instrText>
        </w:r>
        <w:r w:rsidR="00AD0D98">
          <w:rPr>
            <w:webHidden/>
          </w:rPr>
        </w:r>
        <w:r>
          <w:rPr>
            <w:webHidden/>
          </w:rPr>
          <w:fldChar w:fldCharType="separate"/>
        </w:r>
        <w:r w:rsidR="00AD0D98"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47" w:history="1">
        <w:r w:rsidRPr="00A86D68">
          <w:rPr>
            <w:rStyle w:val="a7"/>
          </w:rPr>
          <w:t>2.1. Информация о лицах, входящих в состав органов управления эмитента</w:t>
        </w:r>
        <w:r w:rsidRPr="00A86D68">
          <w:rPr>
            <w:webHidden/>
          </w:rPr>
          <w:tab/>
        </w:r>
        <w:r w:rsidRPr="00A86D68">
          <w:rPr>
            <w:webHidden/>
          </w:rPr>
          <w:fldChar w:fldCharType="begin"/>
        </w:r>
        <w:r w:rsidRPr="00A86D68">
          <w:rPr>
            <w:webHidden/>
          </w:rPr>
          <w:instrText xml:space="preserve"> PAGEREF _Toc193301447 \h </w:instrText>
        </w:r>
        <w:r w:rsidR="00AD0D98" w:rsidRPr="00A86D68">
          <w:rPr>
            <w:webHidden/>
          </w:rPr>
        </w:r>
        <w:r w:rsidRPr="00A86D68">
          <w:rPr>
            <w:webHidden/>
          </w:rPr>
          <w:fldChar w:fldCharType="separate"/>
        </w:r>
        <w:r w:rsidR="00AD0D98">
          <w:rPr>
            <w:webHidden/>
          </w:rPr>
          <w:t>35</w:t>
        </w:r>
        <w:r w:rsidRPr="00A86D68">
          <w:rPr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48" w:history="1">
        <w:r w:rsidRPr="00A86D68">
          <w:rPr>
            <w:rStyle w:val="a7"/>
            <w:noProof/>
          </w:rPr>
          <w:t>2.1.1. Состав совета директоров (наблюдательного совета) эмитента</w:t>
        </w:r>
        <w:r w:rsidRPr="00A86D68">
          <w:rPr>
            <w:noProof/>
            <w:webHidden/>
          </w:rPr>
          <w:tab/>
        </w:r>
        <w:r w:rsidRPr="00A86D68">
          <w:rPr>
            <w:noProof/>
            <w:webHidden/>
          </w:rPr>
          <w:fldChar w:fldCharType="begin"/>
        </w:r>
        <w:r w:rsidRPr="00A86D68">
          <w:rPr>
            <w:noProof/>
            <w:webHidden/>
          </w:rPr>
          <w:instrText xml:space="preserve"> PAGEREF _Toc193301448 \h </w:instrText>
        </w:r>
        <w:r w:rsidR="00AD0D98" w:rsidRPr="00A86D68">
          <w:rPr>
            <w:noProof/>
            <w:webHidden/>
          </w:rPr>
        </w:r>
        <w:r w:rsidRPr="00A86D68"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35</w:t>
        </w:r>
        <w:r w:rsidRPr="00A86D68">
          <w:rPr>
            <w:noProof/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49" w:history="1">
        <w:r w:rsidRPr="00A86D68">
          <w:rPr>
            <w:rStyle w:val="a7"/>
            <w:noProof/>
          </w:rPr>
          <w:t>2.1.2. Информация о единоличном исполнительном органе эмитента</w:t>
        </w:r>
        <w:r w:rsidRPr="00A86D68">
          <w:rPr>
            <w:noProof/>
            <w:webHidden/>
          </w:rPr>
          <w:tab/>
        </w:r>
        <w:r w:rsidRPr="00A86D68">
          <w:rPr>
            <w:noProof/>
            <w:webHidden/>
          </w:rPr>
          <w:fldChar w:fldCharType="begin"/>
        </w:r>
        <w:r w:rsidRPr="00A86D68">
          <w:rPr>
            <w:noProof/>
            <w:webHidden/>
          </w:rPr>
          <w:instrText xml:space="preserve"> PAGEREF _Toc193301449 \h </w:instrText>
        </w:r>
        <w:r w:rsidR="00AD0D98" w:rsidRPr="00A86D68">
          <w:rPr>
            <w:noProof/>
            <w:webHidden/>
          </w:rPr>
        </w:r>
        <w:r w:rsidRPr="00A86D68"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50</w:t>
        </w:r>
        <w:r w:rsidRPr="00A86D68">
          <w:rPr>
            <w:noProof/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50" w:history="1">
        <w:r w:rsidRPr="00A86D68">
          <w:rPr>
            <w:rStyle w:val="a7"/>
            <w:noProof/>
          </w:rPr>
          <w:t>2.1.3. Состав коллегиального исполнительного органа эмитента</w:t>
        </w:r>
        <w:r w:rsidRPr="00A86D68">
          <w:rPr>
            <w:noProof/>
            <w:webHidden/>
          </w:rPr>
          <w:tab/>
        </w:r>
        <w:r w:rsidRPr="00A86D68">
          <w:rPr>
            <w:noProof/>
            <w:webHidden/>
          </w:rPr>
          <w:fldChar w:fldCharType="begin"/>
        </w:r>
        <w:r w:rsidRPr="00A86D68">
          <w:rPr>
            <w:noProof/>
            <w:webHidden/>
          </w:rPr>
          <w:instrText xml:space="preserve"> PAGEREF _Toc193301450 \h </w:instrText>
        </w:r>
        <w:r w:rsidR="00AD0D98" w:rsidRPr="00A86D68">
          <w:rPr>
            <w:noProof/>
            <w:webHidden/>
          </w:rPr>
        </w:r>
        <w:r w:rsidRPr="00A86D68"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52</w:t>
        </w:r>
        <w:r w:rsidRPr="00A86D68">
          <w:rPr>
            <w:noProof/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51" w:history="1">
        <w:r w:rsidRPr="00E84618">
          <w:rPr>
            <w:rStyle w:val="a7"/>
          </w:rPr>
          <w:t>2.2. Сведения о политике в области вознаграждения и (или) компенсации расходов, а также о размере вознаграждения и (или) компенсации расходов по каждому органу управления эмитента</w:t>
        </w:r>
        <w:r w:rsidRPr="00E84618">
          <w:rPr>
            <w:webHidden/>
          </w:rPr>
          <w:tab/>
        </w:r>
        <w:r w:rsidRPr="00E84618">
          <w:rPr>
            <w:webHidden/>
          </w:rPr>
          <w:fldChar w:fldCharType="begin"/>
        </w:r>
        <w:r w:rsidRPr="00E84618">
          <w:rPr>
            <w:webHidden/>
          </w:rPr>
          <w:instrText xml:space="preserve"> PAGEREF _Toc193301451 \h </w:instrText>
        </w:r>
        <w:r w:rsidR="00AD0D98" w:rsidRPr="00E84618">
          <w:rPr>
            <w:webHidden/>
          </w:rPr>
        </w:r>
        <w:r w:rsidRPr="00E84618">
          <w:rPr>
            <w:webHidden/>
          </w:rPr>
          <w:fldChar w:fldCharType="separate"/>
        </w:r>
        <w:r w:rsidR="00AD0D98" w:rsidRPr="00E84618">
          <w:rPr>
            <w:webHidden/>
          </w:rPr>
          <w:t>61</w:t>
        </w:r>
        <w:r w:rsidRPr="00E84618"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52" w:history="1">
        <w:r w:rsidRPr="00E84618">
          <w:rPr>
            <w:rStyle w:val="a7"/>
          </w:rPr>
          <w:t>2.3. Сведения об организации в эмитенте управления рисками, контроля за финансово-хозяйственной деятельностью, внутреннего контроля и внутреннего аудита</w:t>
        </w:r>
        <w:r w:rsidRPr="00E84618">
          <w:rPr>
            <w:webHidden/>
          </w:rPr>
          <w:tab/>
        </w:r>
        <w:r w:rsidRPr="00E84618">
          <w:rPr>
            <w:webHidden/>
          </w:rPr>
          <w:fldChar w:fldCharType="begin"/>
        </w:r>
        <w:r w:rsidRPr="00E84618">
          <w:rPr>
            <w:webHidden/>
          </w:rPr>
          <w:instrText xml:space="preserve"> PAGEREF _Toc193301452 \h </w:instrText>
        </w:r>
        <w:r w:rsidR="00AD0D98" w:rsidRPr="00E84618">
          <w:rPr>
            <w:webHidden/>
          </w:rPr>
        </w:r>
        <w:r w:rsidRPr="00E84618">
          <w:rPr>
            <w:webHidden/>
          </w:rPr>
          <w:fldChar w:fldCharType="separate"/>
        </w:r>
        <w:r w:rsidR="00AD0D98" w:rsidRPr="00E84618">
          <w:rPr>
            <w:webHidden/>
          </w:rPr>
          <w:t>65</w:t>
        </w:r>
        <w:r w:rsidRPr="00E84618"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53" w:history="1">
        <w:r w:rsidRPr="00A86D68">
          <w:rPr>
            <w:rStyle w:val="a7"/>
          </w:rPr>
          <w:t>2.4. Информация о лицах, ответственных в эмитенте за организацию и осуществление управления рисками, контроля за финансово-хозяйственной деятельностью и внутреннего контроля, внутреннего аудита</w:t>
        </w:r>
        <w:r w:rsidRPr="00A86D68">
          <w:rPr>
            <w:webHidden/>
          </w:rPr>
          <w:tab/>
        </w:r>
        <w:r w:rsidRPr="00A86D68">
          <w:rPr>
            <w:webHidden/>
          </w:rPr>
          <w:fldChar w:fldCharType="begin"/>
        </w:r>
        <w:r w:rsidRPr="00A86D68">
          <w:rPr>
            <w:webHidden/>
          </w:rPr>
          <w:instrText xml:space="preserve"> PAGEREF _Toc193301453 \h </w:instrText>
        </w:r>
        <w:r w:rsidR="00AD0D98" w:rsidRPr="00A86D68">
          <w:rPr>
            <w:webHidden/>
          </w:rPr>
        </w:r>
        <w:r w:rsidRPr="00A86D68">
          <w:rPr>
            <w:webHidden/>
          </w:rPr>
          <w:fldChar w:fldCharType="separate"/>
        </w:r>
        <w:r w:rsidR="00AD0D98">
          <w:rPr>
            <w:webHidden/>
          </w:rPr>
          <w:t>77</w:t>
        </w:r>
        <w:r w:rsidRPr="00A86D68"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54" w:history="1">
        <w:r w:rsidRPr="00A86D68">
          <w:rPr>
            <w:rStyle w:val="a7"/>
          </w:rPr>
          <w:t>2.5. Сведения о любых обязательствах эмитента перед работниками эмитента и работниками подконтрольных эмитенту организаций, касающихся возможности их участия в уставном капитале эмитента</w:t>
        </w:r>
        <w:r w:rsidRPr="00A86D68">
          <w:rPr>
            <w:webHidden/>
          </w:rPr>
          <w:tab/>
        </w:r>
        <w:r w:rsidRPr="00A86D68">
          <w:rPr>
            <w:webHidden/>
          </w:rPr>
          <w:fldChar w:fldCharType="begin"/>
        </w:r>
        <w:r w:rsidRPr="00A86D68">
          <w:rPr>
            <w:webHidden/>
          </w:rPr>
          <w:instrText xml:space="preserve"> PAGEREF _Toc193301454 \h </w:instrText>
        </w:r>
        <w:r w:rsidR="00AD0D98" w:rsidRPr="00A86D68">
          <w:rPr>
            <w:webHidden/>
          </w:rPr>
        </w:r>
        <w:r w:rsidRPr="00A86D68">
          <w:rPr>
            <w:webHidden/>
          </w:rPr>
          <w:fldChar w:fldCharType="separate"/>
        </w:r>
        <w:r w:rsidR="00AD0D98">
          <w:rPr>
            <w:webHidden/>
          </w:rPr>
          <w:t>82</w:t>
        </w:r>
        <w:r w:rsidRPr="00A86D68">
          <w:rPr>
            <w:webHidden/>
          </w:rPr>
          <w:fldChar w:fldCharType="end"/>
        </w:r>
      </w:hyperlink>
    </w:p>
    <w:p w:rsidR="00A86D68" w:rsidRPr="00276628" w:rsidRDefault="00A86D68">
      <w:pPr>
        <w:pStyle w:val="11"/>
        <w:tabs>
          <w:tab w:val="right" w:leader="dot" w:pos="9345"/>
        </w:tabs>
        <w:rPr>
          <w:rFonts w:ascii="Calibri" w:hAnsi="Calibri"/>
          <w:b w:val="0"/>
          <w:color w:val="auto"/>
        </w:rPr>
      </w:pPr>
      <w:hyperlink w:anchor="_Toc193301455" w:history="1">
        <w:r w:rsidRPr="001D4091">
          <w:rPr>
            <w:rStyle w:val="a7"/>
            <w:bCs/>
          </w:rPr>
          <w:t>Раздел 3. Сведения об акционерах (участниках, членах) эмитента, а также о сделках эмитента, в совершении которых имелась заинтересованность, и крупных сделках эмитента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_Toc193301455 \h </w:instrText>
        </w:r>
        <w:r w:rsidR="00AD0D98">
          <w:rPr>
            <w:webHidden/>
          </w:rPr>
        </w:r>
        <w:r>
          <w:rPr>
            <w:webHidden/>
          </w:rPr>
          <w:fldChar w:fldCharType="separate"/>
        </w:r>
        <w:r w:rsidR="00AD0D98">
          <w:rPr>
            <w:webHidden/>
          </w:rPr>
          <w:t>83</w:t>
        </w:r>
        <w:r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56" w:history="1">
        <w:r w:rsidRPr="00A86D68">
          <w:rPr>
            <w:rStyle w:val="a7"/>
          </w:rPr>
          <w:t>3.1. Сведения об общем количестве акционеров (участников, членов) эмитента</w:t>
        </w:r>
        <w:r w:rsidRPr="00A86D68">
          <w:rPr>
            <w:webHidden/>
          </w:rPr>
          <w:tab/>
        </w:r>
        <w:r w:rsidRPr="00A86D68">
          <w:rPr>
            <w:webHidden/>
          </w:rPr>
          <w:fldChar w:fldCharType="begin"/>
        </w:r>
        <w:r w:rsidRPr="00A86D68">
          <w:rPr>
            <w:webHidden/>
          </w:rPr>
          <w:instrText xml:space="preserve"> PAGEREF _Toc193301456 \h </w:instrText>
        </w:r>
        <w:r w:rsidR="00AD0D98" w:rsidRPr="00A86D68">
          <w:rPr>
            <w:webHidden/>
          </w:rPr>
        </w:r>
        <w:r w:rsidRPr="00A86D68">
          <w:rPr>
            <w:webHidden/>
          </w:rPr>
          <w:fldChar w:fldCharType="separate"/>
        </w:r>
        <w:r w:rsidR="00AD0D98">
          <w:rPr>
            <w:webHidden/>
          </w:rPr>
          <w:t>83</w:t>
        </w:r>
        <w:r w:rsidRPr="00A86D68"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57" w:history="1">
        <w:r w:rsidRPr="00A86D68">
          <w:rPr>
            <w:rStyle w:val="a7"/>
          </w:rPr>
          <w:t>3.2. Сведения об акционерах (участниках, членах) эмитента или лицах, имеющих право распоряжаться голосами, приходящимися на голосующие акции (доли), составляющие уставный (складочный) капитал (паевой фонд) эмитента</w:t>
        </w:r>
        <w:r w:rsidRPr="00A86D68">
          <w:rPr>
            <w:webHidden/>
          </w:rPr>
          <w:tab/>
        </w:r>
        <w:r w:rsidRPr="00A86D68">
          <w:rPr>
            <w:webHidden/>
          </w:rPr>
          <w:fldChar w:fldCharType="begin"/>
        </w:r>
        <w:r w:rsidRPr="00A86D68">
          <w:rPr>
            <w:webHidden/>
          </w:rPr>
          <w:instrText xml:space="preserve"> PAGEREF _Toc193301457 \h </w:instrText>
        </w:r>
        <w:r w:rsidR="00AD0D98" w:rsidRPr="00A86D68">
          <w:rPr>
            <w:webHidden/>
          </w:rPr>
        </w:r>
        <w:r w:rsidRPr="00A86D68">
          <w:rPr>
            <w:webHidden/>
          </w:rPr>
          <w:fldChar w:fldCharType="separate"/>
        </w:r>
        <w:r w:rsidR="00AD0D98">
          <w:rPr>
            <w:webHidden/>
          </w:rPr>
          <w:t>83</w:t>
        </w:r>
        <w:r w:rsidRPr="00A86D68"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58" w:history="1">
        <w:r w:rsidRPr="00A86D68">
          <w:rPr>
            <w:rStyle w:val="a7"/>
          </w:rPr>
          <w:t>3.3. Сведения о доле участия Российской Федерации, субъекта Российской Федерации или муниципального образования в уставном капитале эмитента, наличии специального права («золотой акции»)</w:t>
        </w:r>
        <w:r w:rsidRPr="00A86D68">
          <w:rPr>
            <w:webHidden/>
          </w:rPr>
          <w:tab/>
        </w:r>
        <w:r w:rsidRPr="00A86D68">
          <w:rPr>
            <w:webHidden/>
          </w:rPr>
          <w:fldChar w:fldCharType="begin"/>
        </w:r>
        <w:r w:rsidRPr="00A86D68">
          <w:rPr>
            <w:webHidden/>
          </w:rPr>
          <w:instrText xml:space="preserve"> PAGEREF _Toc193301458 \h </w:instrText>
        </w:r>
        <w:r w:rsidR="00AD0D98" w:rsidRPr="00A86D68">
          <w:rPr>
            <w:webHidden/>
          </w:rPr>
        </w:r>
        <w:r w:rsidRPr="00A86D68">
          <w:rPr>
            <w:webHidden/>
          </w:rPr>
          <w:fldChar w:fldCharType="separate"/>
        </w:r>
        <w:r w:rsidR="00AD0D98">
          <w:rPr>
            <w:webHidden/>
          </w:rPr>
          <w:t>85</w:t>
        </w:r>
        <w:r w:rsidRPr="00A86D68"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59" w:history="1">
        <w:r w:rsidRPr="00105BBB">
          <w:rPr>
            <w:rStyle w:val="a7"/>
          </w:rPr>
          <w:t>3.4. Сделки эмитента, в совершении которых имелась заинтересованность</w:t>
        </w:r>
        <w:r w:rsidRPr="00105BBB">
          <w:rPr>
            <w:webHidden/>
          </w:rPr>
          <w:tab/>
        </w:r>
        <w:r w:rsidRPr="00105BBB">
          <w:rPr>
            <w:webHidden/>
          </w:rPr>
          <w:fldChar w:fldCharType="begin"/>
        </w:r>
        <w:r w:rsidRPr="00105BBB">
          <w:rPr>
            <w:webHidden/>
          </w:rPr>
          <w:instrText xml:space="preserve"> PAGEREF _Toc193301459 \h </w:instrText>
        </w:r>
        <w:r w:rsidR="00AD0D98" w:rsidRPr="00105BBB">
          <w:rPr>
            <w:webHidden/>
          </w:rPr>
        </w:r>
        <w:r w:rsidRPr="00105BBB">
          <w:rPr>
            <w:webHidden/>
          </w:rPr>
          <w:fldChar w:fldCharType="separate"/>
        </w:r>
        <w:r w:rsidR="00AD0D98" w:rsidRPr="00105BBB">
          <w:rPr>
            <w:webHidden/>
          </w:rPr>
          <w:t>86</w:t>
        </w:r>
        <w:r w:rsidRPr="00105BBB"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60" w:history="1">
        <w:r w:rsidRPr="00A86D68">
          <w:rPr>
            <w:rStyle w:val="a7"/>
          </w:rPr>
          <w:t>3.5. Крупные сделки эмитента</w:t>
        </w:r>
        <w:r w:rsidRPr="00A86D68">
          <w:rPr>
            <w:webHidden/>
          </w:rPr>
          <w:tab/>
        </w:r>
        <w:r w:rsidRPr="00A86D68">
          <w:rPr>
            <w:webHidden/>
          </w:rPr>
          <w:fldChar w:fldCharType="begin"/>
        </w:r>
        <w:r w:rsidRPr="00A86D68">
          <w:rPr>
            <w:webHidden/>
          </w:rPr>
          <w:instrText xml:space="preserve"> PAGEREF _Toc193301460 \h </w:instrText>
        </w:r>
        <w:r w:rsidR="00AD0D98" w:rsidRPr="00A86D68">
          <w:rPr>
            <w:webHidden/>
          </w:rPr>
        </w:r>
        <w:r w:rsidRPr="00A86D68">
          <w:rPr>
            <w:webHidden/>
          </w:rPr>
          <w:fldChar w:fldCharType="separate"/>
        </w:r>
        <w:r w:rsidR="00AD0D98">
          <w:rPr>
            <w:webHidden/>
          </w:rPr>
          <w:t>86</w:t>
        </w:r>
        <w:r w:rsidRPr="00A86D68"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61" w:history="1">
        <w:r w:rsidRPr="001D4091">
          <w:rPr>
            <w:rStyle w:val="a7"/>
            <w:b/>
          </w:rPr>
          <w:t>Раздел 4. Дополнительные сведения об эмитенте и о размещенных им</w:t>
        </w:r>
        <w:r w:rsidRPr="001D4091">
          <w:rPr>
            <w:rStyle w:val="a7"/>
            <w:i/>
            <w:iCs/>
          </w:rPr>
          <w:t> </w:t>
        </w:r>
        <w:r w:rsidRPr="001D4091">
          <w:rPr>
            <w:rStyle w:val="a7"/>
            <w:b/>
          </w:rPr>
          <w:t>ценных бумагах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_Toc193301461 \h </w:instrText>
        </w:r>
        <w:r w:rsidR="00AD0D98">
          <w:rPr>
            <w:webHidden/>
          </w:rPr>
        </w:r>
        <w:r>
          <w:rPr>
            <w:webHidden/>
          </w:rPr>
          <w:fldChar w:fldCharType="separate"/>
        </w:r>
        <w:r w:rsidR="00AD0D98">
          <w:rPr>
            <w:webHidden/>
          </w:rPr>
          <w:t>86</w:t>
        </w:r>
        <w:r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62" w:history="1">
        <w:r w:rsidRPr="00105BBB">
          <w:rPr>
            <w:rStyle w:val="a7"/>
          </w:rPr>
          <w:t>4.1. Подконтрольные эмитенту организации, имеющие для него существенное значение</w:t>
        </w:r>
        <w:r w:rsidRPr="00105BBB">
          <w:rPr>
            <w:webHidden/>
          </w:rPr>
          <w:tab/>
        </w:r>
        <w:r w:rsidRPr="00105BBB">
          <w:rPr>
            <w:webHidden/>
          </w:rPr>
          <w:fldChar w:fldCharType="begin"/>
        </w:r>
        <w:r w:rsidRPr="00105BBB">
          <w:rPr>
            <w:webHidden/>
          </w:rPr>
          <w:instrText xml:space="preserve"> PAGEREF _Toc193301462 \h </w:instrText>
        </w:r>
        <w:r w:rsidR="00AD0D98" w:rsidRPr="00105BBB">
          <w:rPr>
            <w:webHidden/>
          </w:rPr>
        </w:r>
        <w:r w:rsidRPr="00105BBB">
          <w:rPr>
            <w:webHidden/>
          </w:rPr>
          <w:fldChar w:fldCharType="separate"/>
        </w:r>
        <w:r w:rsidR="00AD0D98" w:rsidRPr="00105BBB">
          <w:rPr>
            <w:webHidden/>
          </w:rPr>
          <w:t>86</w:t>
        </w:r>
        <w:r w:rsidRPr="00105BBB"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63" w:history="1">
        <w:r w:rsidRPr="00A86D68">
          <w:rPr>
            <w:rStyle w:val="a7"/>
          </w:rPr>
          <w:t>4.2. Дополнительные сведения, раскрываемые эмитентами зеленых облигаций, социальных облигаций, облигаций устойчивого развития, адаптационных облигаций</w:t>
        </w:r>
        <w:r w:rsidRPr="00A86D68">
          <w:rPr>
            <w:webHidden/>
          </w:rPr>
          <w:tab/>
        </w:r>
        <w:r w:rsidRPr="00A86D68">
          <w:rPr>
            <w:webHidden/>
          </w:rPr>
          <w:fldChar w:fldCharType="begin"/>
        </w:r>
        <w:r w:rsidRPr="00A86D68">
          <w:rPr>
            <w:webHidden/>
          </w:rPr>
          <w:instrText xml:space="preserve"> PAGEREF _Toc193301463 \h </w:instrText>
        </w:r>
        <w:r w:rsidR="00AD0D98" w:rsidRPr="00A86D68">
          <w:rPr>
            <w:webHidden/>
          </w:rPr>
        </w:r>
        <w:r w:rsidRPr="00A86D68">
          <w:rPr>
            <w:webHidden/>
          </w:rPr>
          <w:fldChar w:fldCharType="separate"/>
        </w:r>
        <w:r w:rsidR="00AD0D98">
          <w:rPr>
            <w:webHidden/>
          </w:rPr>
          <w:t>88</w:t>
        </w:r>
        <w:r w:rsidRPr="00A86D68">
          <w:rPr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64" w:history="1">
        <w:r w:rsidRPr="001D4091">
          <w:rPr>
            <w:rStyle w:val="a7"/>
            <w:iCs/>
            <w:noProof/>
          </w:rPr>
          <w:t>4.2.1. Информация о реализации проекта (проектов), для финансирования и (или) рефинансирования которого (которых) используются денежные средства, полученные от размещения зеленых облигаций, социальных облигаций, облигаций устойчивого развития, адаптационных облигаций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_Toc193301464 \h </w:instrText>
        </w:r>
        <w:r w:rsidR="00AD0D98"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65" w:history="1">
        <w:r w:rsidRPr="001D4091">
          <w:rPr>
            <w:rStyle w:val="a7"/>
            <w:iCs/>
            <w:noProof/>
          </w:rPr>
          <w:t>4.2.2. Описание политики эмитента по управлению денежными средствами, полученными от размещения зеленых облигаций, социальных облигаций, облигаций устойчивого развития, адаптационных облигаций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_Toc193301465 \h </w:instrText>
        </w:r>
        <w:r w:rsidR="00AD0D98"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66" w:history="1">
        <w:r w:rsidRPr="001D4091">
          <w:rPr>
            <w:rStyle w:val="a7"/>
            <w:iCs/>
            <w:noProof/>
          </w:rPr>
          <w:t>4.2.3. Отчет об использовании денежных средств, полученных от размещения зеленых облигаций, социальных облигаций, облигаций устойчивого развития, адаптационных облигаций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_Toc193301466 \h </w:instrText>
        </w:r>
        <w:r w:rsidR="00AD0D98"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67" w:history="1">
        <w:r w:rsidRPr="002918E7">
          <w:rPr>
            <w:rStyle w:val="a7"/>
          </w:rPr>
          <w:t>4.3. Сведения о лице (лицах), предоставившем (предоставивших) обеспечение по</w:t>
        </w:r>
        <w:r w:rsidRPr="002918E7">
          <w:rPr>
            <w:rStyle w:val="a7"/>
            <w:i/>
            <w:iCs/>
          </w:rPr>
          <w:t> </w:t>
        </w:r>
        <w:r w:rsidRPr="002918E7">
          <w:rPr>
            <w:rStyle w:val="a7"/>
          </w:rPr>
          <w:t>облигациям эмитента с обеспечением, а также об обеспечении, предоставленном по</w:t>
        </w:r>
        <w:r w:rsidRPr="002918E7">
          <w:rPr>
            <w:rStyle w:val="a7"/>
            <w:i/>
            <w:iCs/>
          </w:rPr>
          <w:t> </w:t>
        </w:r>
        <w:r w:rsidRPr="002918E7">
          <w:rPr>
            <w:rStyle w:val="a7"/>
          </w:rPr>
          <w:t>облигациям эмитента с обеспечением</w:t>
        </w:r>
        <w:r w:rsidRPr="002918E7">
          <w:rPr>
            <w:webHidden/>
          </w:rPr>
          <w:tab/>
        </w:r>
        <w:r w:rsidRPr="002918E7">
          <w:rPr>
            <w:webHidden/>
          </w:rPr>
          <w:fldChar w:fldCharType="begin"/>
        </w:r>
        <w:r w:rsidRPr="002918E7">
          <w:rPr>
            <w:webHidden/>
          </w:rPr>
          <w:instrText xml:space="preserve"> PAGEREF _Toc193301467 \h </w:instrText>
        </w:r>
        <w:r w:rsidR="00AD0D98" w:rsidRPr="002918E7">
          <w:rPr>
            <w:webHidden/>
          </w:rPr>
        </w:r>
        <w:r w:rsidRPr="002918E7">
          <w:rPr>
            <w:webHidden/>
          </w:rPr>
          <w:fldChar w:fldCharType="separate"/>
        </w:r>
        <w:r w:rsidR="00AD0D98">
          <w:rPr>
            <w:webHidden/>
          </w:rPr>
          <w:t>89</w:t>
        </w:r>
        <w:r w:rsidRPr="002918E7">
          <w:rPr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68" w:history="1">
        <w:r w:rsidRPr="001D4091">
          <w:rPr>
            <w:rStyle w:val="a7"/>
            <w:noProof/>
          </w:rPr>
          <w:t>4.3.1. Дополнительные сведения об ипотечном покрытии по облигациям эмитента с ипотечным покрытием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_Toc193301468 \h </w:instrText>
        </w:r>
        <w:r w:rsidR="00AD0D98"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69" w:history="1">
        <w:r w:rsidRPr="001D4091">
          <w:rPr>
            <w:rStyle w:val="a7"/>
            <w:noProof/>
          </w:rPr>
          <w:t>4.3.2. Дополнительные сведения о залоговом обеспечении денежными требованиями по облигациям эмитента с залоговым обеспечением денежными требованиями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_Toc193301469 \h </w:instrText>
        </w:r>
        <w:r w:rsidR="00AD0D98"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70" w:history="1">
        <w:r w:rsidRPr="002918E7">
          <w:rPr>
            <w:rStyle w:val="a7"/>
          </w:rPr>
          <w:t>4.4. Сведения об объявленных и выплаченных дивидендах по акциям эмитента</w:t>
        </w:r>
        <w:r w:rsidRPr="002918E7">
          <w:rPr>
            <w:webHidden/>
          </w:rPr>
          <w:tab/>
        </w:r>
        <w:r w:rsidRPr="002918E7">
          <w:rPr>
            <w:webHidden/>
          </w:rPr>
          <w:fldChar w:fldCharType="begin"/>
        </w:r>
        <w:r w:rsidRPr="002918E7">
          <w:rPr>
            <w:webHidden/>
          </w:rPr>
          <w:instrText xml:space="preserve"> PAGEREF _Toc193301470 \h </w:instrText>
        </w:r>
        <w:r w:rsidR="00AD0D98" w:rsidRPr="002918E7">
          <w:rPr>
            <w:webHidden/>
          </w:rPr>
        </w:r>
        <w:r w:rsidRPr="002918E7">
          <w:rPr>
            <w:webHidden/>
          </w:rPr>
          <w:fldChar w:fldCharType="separate"/>
        </w:r>
        <w:r w:rsidR="00AD0D98">
          <w:rPr>
            <w:webHidden/>
          </w:rPr>
          <w:t>90</w:t>
        </w:r>
        <w:r w:rsidRPr="002918E7"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71" w:history="1">
        <w:r w:rsidRPr="002918E7">
          <w:rPr>
            <w:rStyle w:val="a7"/>
          </w:rPr>
          <w:t>4.5. Сведения об организациях, осуществляющих учет прав на эмиссионные ценные бумаги эмитента</w:t>
        </w:r>
        <w:r w:rsidRPr="002918E7">
          <w:rPr>
            <w:webHidden/>
          </w:rPr>
          <w:tab/>
        </w:r>
        <w:r w:rsidRPr="002918E7">
          <w:rPr>
            <w:webHidden/>
          </w:rPr>
          <w:fldChar w:fldCharType="begin"/>
        </w:r>
        <w:r w:rsidRPr="002918E7">
          <w:rPr>
            <w:webHidden/>
          </w:rPr>
          <w:instrText xml:space="preserve"> PAGEREF _Toc193301471 \h </w:instrText>
        </w:r>
        <w:r w:rsidR="00AD0D98" w:rsidRPr="002918E7">
          <w:rPr>
            <w:webHidden/>
          </w:rPr>
        </w:r>
        <w:r w:rsidRPr="002918E7">
          <w:rPr>
            <w:webHidden/>
          </w:rPr>
          <w:fldChar w:fldCharType="separate"/>
        </w:r>
        <w:r w:rsidR="00AD0D98">
          <w:rPr>
            <w:webHidden/>
          </w:rPr>
          <w:t>92</w:t>
        </w:r>
        <w:r w:rsidRPr="002918E7">
          <w:rPr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72" w:history="1">
        <w:r w:rsidRPr="001D4091">
          <w:rPr>
            <w:rStyle w:val="a7"/>
            <w:noProof/>
          </w:rPr>
          <w:t>4.5.1. Сведения о регистраторе, осуществляющем ведение реестра владельцев ценных бумаг эмитента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_Toc193301472 \h </w:instrText>
        </w:r>
        <w:r w:rsidR="00AD0D98"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:rsidR="00A86D68" w:rsidRPr="00276628" w:rsidRDefault="00A86D68">
      <w:pPr>
        <w:pStyle w:val="31"/>
        <w:rPr>
          <w:rFonts w:ascii="Calibri" w:hAnsi="Calibri"/>
          <w:noProof/>
        </w:rPr>
      </w:pPr>
      <w:hyperlink w:anchor="_Toc193301473" w:history="1">
        <w:r w:rsidRPr="001D4091">
          <w:rPr>
            <w:rStyle w:val="a7"/>
            <w:noProof/>
          </w:rPr>
          <w:t>4.5.2. Сведения о депозитарии, осуществляющем централизованный учет прав на ценные бумаги эмитента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_Toc193301473 \h </w:instrText>
        </w:r>
        <w:r w:rsidR="00AD0D98"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0D98"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74" w:history="1">
        <w:r w:rsidRPr="002918E7">
          <w:rPr>
            <w:rStyle w:val="a7"/>
          </w:rPr>
          <w:t>4.6. Информация об аудиторе эмитента</w:t>
        </w:r>
        <w:r w:rsidRPr="002918E7">
          <w:rPr>
            <w:webHidden/>
          </w:rPr>
          <w:tab/>
        </w:r>
        <w:r w:rsidRPr="002918E7">
          <w:rPr>
            <w:webHidden/>
          </w:rPr>
          <w:fldChar w:fldCharType="begin"/>
        </w:r>
        <w:r w:rsidRPr="002918E7">
          <w:rPr>
            <w:webHidden/>
          </w:rPr>
          <w:instrText xml:space="preserve"> PAGEREF _Toc193301474 \h </w:instrText>
        </w:r>
        <w:r w:rsidR="00AD0D98" w:rsidRPr="002918E7">
          <w:rPr>
            <w:webHidden/>
          </w:rPr>
        </w:r>
        <w:r w:rsidRPr="002918E7">
          <w:rPr>
            <w:webHidden/>
          </w:rPr>
          <w:fldChar w:fldCharType="separate"/>
        </w:r>
        <w:r w:rsidR="00AD0D98">
          <w:rPr>
            <w:webHidden/>
          </w:rPr>
          <w:t>92</w:t>
        </w:r>
        <w:r w:rsidRPr="002918E7">
          <w:rPr>
            <w:webHidden/>
          </w:rPr>
          <w:fldChar w:fldCharType="end"/>
        </w:r>
      </w:hyperlink>
    </w:p>
    <w:p w:rsidR="00A86D68" w:rsidRPr="00276628" w:rsidRDefault="00A86D68">
      <w:pPr>
        <w:pStyle w:val="11"/>
        <w:tabs>
          <w:tab w:val="right" w:leader="dot" w:pos="9345"/>
        </w:tabs>
        <w:rPr>
          <w:rFonts w:ascii="Calibri" w:hAnsi="Calibri"/>
          <w:b w:val="0"/>
          <w:color w:val="auto"/>
        </w:rPr>
      </w:pPr>
      <w:hyperlink w:anchor="_Toc193301475" w:history="1">
        <w:r w:rsidRPr="001D4091">
          <w:rPr>
            <w:rStyle w:val="a7"/>
            <w:bCs/>
          </w:rPr>
          <w:t>Раздел 5. Консолидированная финансовая отчетность (финансовая отчетность), бухгалтерская (финансовая) отчетность эмитента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_Toc193301475 \h </w:instrText>
        </w:r>
        <w:r w:rsidR="00AD0D98">
          <w:rPr>
            <w:webHidden/>
          </w:rPr>
        </w:r>
        <w:r>
          <w:rPr>
            <w:webHidden/>
          </w:rPr>
          <w:fldChar w:fldCharType="separate"/>
        </w:r>
        <w:r w:rsidR="00AD0D98">
          <w:rPr>
            <w:webHidden/>
          </w:rPr>
          <w:t>95</w:t>
        </w:r>
        <w:r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76" w:history="1">
        <w:r w:rsidRPr="002918E7">
          <w:rPr>
            <w:rStyle w:val="a7"/>
          </w:rPr>
          <w:t>5.1. Консолидированная финансовая отчетность (финансовая отчетность) эмитента</w:t>
        </w:r>
        <w:r w:rsidRPr="002918E7">
          <w:rPr>
            <w:webHidden/>
          </w:rPr>
          <w:tab/>
        </w:r>
        <w:r w:rsidRPr="002918E7">
          <w:rPr>
            <w:webHidden/>
          </w:rPr>
          <w:fldChar w:fldCharType="begin"/>
        </w:r>
        <w:r w:rsidRPr="002918E7">
          <w:rPr>
            <w:webHidden/>
          </w:rPr>
          <w:instrText xml:space="preserve"> PAGEREF _Toc193301476 \h </w:instrText>
        </w:r>
        <w:r w:rsidR="00AD0D98" w:rsidRPr="002918E7">
          <w:rPr>
            <w:webHidden/>
          </w:rPr>
        </w:r>
        <w:r w:rsidRPr="002918E7">
          <w:rPr>
            <w:webHidden/>
          </w:rPr>
          <w:fldChar w:fldCharType="separate"/>
        </w:r>
        <w:r w:rsidR="00AD0D98">
          <w:rPr>
            <w:webHidden/>
          </w:rPr>
          <w:t>95</w:t>
        </w:r>
        <w:r w:rsidRPr="002918E7">
          <w:rPr>
            <w:webHidden/>
          </w:rPr>
          <w:fldChar w:fldCharType="end"/>
        </w:r>
      </w:hyperlink>
    </w:p>
    <w:p w:rsidR="00A86D68" w:rsidRPr="00276628" w:rsidRDefault="00A86D68" w:rsidP="002918E7">
      <w:pPr>
        <w:pStyle w:val="23"/>
        <w:rPr>
          <w:rFonts w:ascii="Calibri" w:hAnsi="Calibri"/>
        </w:rPr>
      </w:pPr>
      <w:hyperlink w:anchor="_Toc193301477" w:history="1">
        <w:r w:rsidRPr="002918E7">
          <w:rPr>
            <w:rStyle w:val="a7"/>
          </w:rPr>
          <w:t>5.2. Бухгалтерская (финансовая) отчетность</w:t>
        </w:r>
        <w:r w:rsidRPr="002918E7">
          <w:rPr>
            <w:webHidden/>
          </w:rPr>
          <w:tab/>
        </w:r>
        <w:r w:rsidRPr="002918E7">
          <w:rPr>
            <w:webHidden/>
          </w:rPr>
          <w:fldChar w:fldCharType="begin"/>
        </w:r>
        <w:r w:rsidRPr="002918E7">
          <w:rPr>
            <w:webHidden/>
          </w:rPr>
          <w:instrText xml:space="preserve"> PAGEREF _Toc193301477 \h </w:instrText>
        </w:r>
        <w:r w:rsidR="00AD0D98" w:rsidRPr="002918E7">
          <w:rPr>
            <w:webHidden/>
          </w:rPr>
        </w:r>
        <w:r w:rsidRPr="002918E7">
          <w:rPr>
            <w:webHidden/>
          </w:rPr>
          <w:fldChar w:fldCharType="separate"/>
        </w:r>
        <w:r w:rsidR="00AD0D98">
          <w:rPr>
            <w:webHidden/>
          </w:rPr>
          <w:t>95</w:t>
        </w:r>
        <w:r w:rsidRPr="002918E7">
          <w:rPr>
            <w:webHidden/>
          </w:rPr>
          <w:fldChar w:fldCharType="end"/>
        </w:r>
      </w:hyperlink>
    </w:p>
    <w:p w:rsidR="00D50A03" w:rsidRDefault="00D50A03" w:rsidP="00D50A03">
      <w:pPr>
        <w:jc w:val="both"/>
      </w:pPr>
      <w:r>
        <w:fldChar w:fldCharType="end"/>
      </w:r>
    </w:p>
    <w:p w:rsidR="00C66609" w:rsidRDefault="00C66609" w:rsidP="00DD402E">
      <w:r>
        <w:tab/>
      </w:r>
    </w:p>
    <w:p w:rsidR="00D50A03" w:rsidRDefault="00D50A03" w:rsidP="00DD402E"/>
    <w:p w:rsidR="00D50A03" w:rsidRDefault="00D50A03" w:rsidP="00DD402E"/>
    <w:p w:rsidR="00D50A03" w:rsidRDefault="00D50A03" w:rsidP="00DD402E"/>
    <w:p w:rsidR="00D50A03" w:rsidRDefault="00D50A03" w:rsidP="00DD402E"/>
    <w:p w:rsidR="00D50A03" w:rsidRDefault="00D50A03" w:rsidP="00DD402E"/>
    <w:p w:rsidR="00D50A03" w:rsidRDefault="00D50A03" w:rsidP="00DD402E"/>
    <w:p w:rsidR="00D50A03" w:rsidRDefault="00D50A03" w:rsidP="00DD402E"/>
    <w:p w:rsidR="00D50A03" w:rsidRDefault="00D50A03" w:rsidP="00DD402E"/>
    <w:p w:rsidR="00D50A03" w:rsidRDefault="00D50A03" w:rsidP="00DD402E"/>
    <w:p w:rsidR="00D50A03" w:rsidRDefault="00D50A03" w:rsidP="00DD402E"/>
    <w:p w:rsidR="00D50A03" w:rsidRDefault="00D50A03" w:rsidP="00DD402E"/>
    <w:p w:rsidR="00D50A03" w:rsidRDefault="00D50A03" w:rsidP="00DD402E"/>
    <w:p w:rsidR="00D50A03" w:rsidRDefault="00D50A03" w:rsidP="00DD402E"/>
    <w:p w:rsidR="00D50A03" w:rsidRDefault="00D50A03" w:rsidP="00DD402E"/>
    <w:p w:rsidR="00D50A03" w:rsidRDefault="00D50A03" w:rsidP="00DD402E"/>
    <w:p w:rsidR="00D50A03" w:rsidRDefault="00D50A03" w:rsidP="00DD402E"/>
    <w:p w:rsidR="00D50A03" w:rsidRDefault="00D50A03" w:rsidP="00DD402E"/>
    <w:p w:rsidR="00D50A03" w:rsidRDefault="00D50A03" w:rsidP="00DD402E"/>
    <w:p w:rsidR="00D50A03" w:rsidRDefault="00D50A03" w:rsidP="00DD402E"/>
    <w:p w:rsidR="00D50A03" w:rsidRDefault="00D50A03" w:rsidP="00DD402E"/>
    <w:p w:rsidR="00D50A03" w:rsidRDefault="00D50A03" w:rsidP="00DD402E"/>
    <w:p w:rsidR="00B930FB" w:rsidRPr="00F93977" w:rsidRDefault="00B930FB" w:rsidP="00C41D7A">
      <w:pPr>
        <w:pStyle w:val="20"/>
        <w:numPr>
          <w:ilvl w:val="0"/>
          <w:numId w:val="0"/>
        </w:numPr>
        <w:tabs>
          <w:tab w:val="clear" w:pos="1492"/>
        </w:tabs>
        <w:rPr>
          <w:rFonts w:ascii="Times New Roman" w:eastAsia="MS Mincho" w:hAnsi="Times New Roman"/>
          <w:i w:val="0"/>
        </w:rPr>
      </w:pPr>
      <w:bookmarkStart w:id="3" w:name="_Введение"/>
      <w:bookmarkStart w:id="4" w:name="_Toc161055591"/>
      <w:bookmarkStart w:id="5" w:name="_Toc193300335"/>
      <w:bookmarkStart w:id="6" w:name="_Toc193301416"/>
      <w:bookmarkStart w:id="7" w:name="_Toc113954713"/>
      <w:bookmarkEnd w:id="3"/>
      <w:r w:rsidRPr="00F93977">
        <w:rPr>
          <w:rFonts w:ascii="Times New Roman" w:eastAsia="MS Mincho" w:hAnsi="Times New Roman"/>
          <w:i w:val="0"/>
        </w:rPr>
        <w:lastRenderedPageBreak/>
        <w:t>Введение</w:t>
      </w:r>
      <w:bookmarkEnd w:id="4"/>
      <w:bookmarkEnd w:id="5"/>
      <w:bookmarkEnd w:id="6"/>
    </w:p>
    <w:p w:rsidR="00B930FB" w:rsidRPr="00F93977" w:rsidRDefault="00B930FB" w:rsidP="00B930FB">
      <w:pPr>
        <w:widowControl w:val="0"/>
        <w:autoSpaceDE w:val="0"/>
        <w:autoSpaceDN w:val="0"/>
        <w:adjustRightInd w:val="0"/>
        <w:spacing w:before="20" w:after="40" w:line="240" w:lineRule="auto"/>
        <w:rPr>
          <w:rFonts w:cs="Calibri"/>
          <w:sz w:val="20"/>
          <w:szCs w:val="20"/>
        </w:rPr>
      </w:pPr>
    </w:p>
    <w:p w:rsidR="00B930FB" w:rsidRPr="00F93977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F93977">
        <w:rPr>
          <w:rFonts w:cs="Calibri"/>
        </w:rPr>
        <w:t>Информация, содержащаяся в отчете эмитента, подлежит раскрытию в соответствии с пунктом 4 статьи 30 Федерального закона О рынке ценных бумаг.</w:t>
      </w:r>
    </w:p>
    <w:p w:rsidR="00B930FB" w:rsidRPr="00F93977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F93977">
        <w:rPr>
          <w:rFonts w:cs="Calibri"/>
        </w:rPr>
        <w:t>Основания возникновения у эмитента обязанности осуществлять раскрытие информации в форме отчета эмитента:</w:t>
      </w:r>
    </w:p>
    <w:p w:rsidR="00B930FB" w:rsidRPr="00F93977" w:rsidRDefault="00B930FB" w:rsidP="00A60963">
      <w:pPr>
        <w:widowControl w:val="0"/>
        <w:numPr>
          <w:ilvl w:val="0"/>
          <w:numId w:val="34"/>
        </w:numPr>
        <w:tabs>
          <w:tab w:val="num" w:pos="36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="Calibri"/>
        </w:rPr>
      </w:pPr>
      <w:r w:rsidRPr="00F93977">
        <w:rPr>
          <w:rFonts w:cs="Calibri"/>
          <w:b/>
          <w:bCs/>
          <w:i/>
          <w:iCs/>
        </w:rPr>
        <w:t>в отношении ценных бумаг эмитента осуществлена регистрация проспекта ценных бумаг;</w:t>
      </w:r>
    </w:p>
    <w:p w:rsidR="00B930FB" w:rsidRPr="00F93977" w:rsidRDefault="00B930FB" w:rsidP="00A60963">
      <w:pPr>
        <w:widowControl w:val="0"/>
        <w:numPr>
          <w:ilvl w:val="0"/>
          <w:numId w:val="34"/>
        </w:numPr>
        <w:tabs>
          <w:tab w:val="num" w:pos="36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="Calibri"/>
        </w:rPr>
      </w:pPr>
      <w:r w:rsidRPr="00F93977">
        <w:rPr>
          <w:rFonts w:cs="Calibri"/>
          <w:b/>
          <w:bCs/>
          <w:i/>
          <w:iCs/>
        </w:rPr>
        <w:t>эмитент является публичным акционерным обществом.</w:t>
      </w:r>
    </w:p>
    <w:p w:rsidR="00B930FB" w:rsidRPr="00F93977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F93977">
        <w:rPr>
          <w:rFonts w:cs="Calibri"/>
        </w:rPr>
        <w:t>Сведения об отчетности, которая (ссылка на которую) содержится в отчете эмитента и на основании которой в отчете эмитента раскрывается информация о финансово-хозяйственной деятельности эмитента:</w:t>
      </w:r>
    </w:p>
    <w:p w:rsidR="00B930FB" w:rsidRPr="00F93977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F93977">
        <w:rPr>
          <w:rFonts w:cs="Calibri"/>
        </w:rPr>
        <w:t>В отчёте содержится консолидированная финансовая отчетность, на основании которой в отчете эмитента раскрывается информация о финансово-хозяйственной деятельности эмитента.</w:t>
      </w:r>
    </w:p>
    <w:p w:rsidR="00B930FB" w:rsidRPr="00F93977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F93977">
        <w:rPr>
          <w:rFonts w:cs="Calibri"/>
        </w:rPr>
        <w:t>Информация о финансово-хозяйственной деятельности эмитента отражает его деятельность в качестве организации, которая вместе с другими организациями в соответствии с МСФО определяется как группа.</w:t>
      </w:r>
    </w:p>
    <w:p w:rsidR="00B930FB" w:rsidRPr="00F93977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F93977">
        <w:rPr>
          <w:rFonts w:cs="Calibri"/>
        </w:rPr>
        <w:t>Консолидированная финансовая отчетность, на основании которой в настоящем отчете эмитента раскрыта информация о финансово-хозяйственной деятельности эмитента, дает объективное и достоверное представление об активах, обязательствах, финансовом состоянии, прибыли или убытке эмитента. Информация о финансовом состоянии и результатах деятельности эмитента содержит достоверное представление о деятельности эмитента, а также об основных рисках, связанных с его деятельностью.</w:t>
      </w:r>
    </w:p>
    <w:p w:rsidR="00B930FB" w:rsidRPr="00B930FB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F93977">
        <w:rPr>
          <w:rFonts w:cs="Calibri"/>
        </w:rPr>
        <w:t>Настоящий отчет эмитента содержит оценки и прогнозы в отношении будущих событий и (или) действий, перспектив развития отрасли экономики, в которой эмитент осуществляет основную деятельность, и результатов деятельности эмитента, его планов, вероятности наступления определенных событий и совершения определенных действий.</w:t>
      </w:r>
      <w:r w:rsidRPr="00F93977">
        <w:rPr>
          <w:rFonts w:cs="Calibri"/>
        </w:rPr>
        <w:br/>
        <w:t>Инвесторы не должны полностью полагаться на оценки и прогнозы, приведенные в настоящем отчете эмитента, так как фактические результаты деятельности эмитента в будущем могут отличаться от прогнозируемых результатов по многим причинам. Приобретение ценных бумаг эмитента связано с рисками, в том числе описанными в настоящем отчете эмитента.</w:t>
      </w:r>
    </w:p>
    <w:p w:rsidR="00B930FB" w:rsidRPr="00B930FB" w:rsidRDefault="00B930FB" w:rsidP="00E968A5">
      <w:pPr>
        <w:widowControl w:val="0"/>
        <w:autoSpaceDE w:val="0"/>
        <w:autoSpaceDN w:val="0"/>
        <w:adjustRightInd w:val="0"/>
        <w:spacing w:after="240" w:line="240" w:lineRule="auto"/>
        <w:jc w:val="center"/>
        <w:outlineLvl w:val="0"/>
        <w:rPr>
          <w:b/>
          <w:bCs/>
          <w:sz w:val="28"/>
          <w:szCs w:val="28"/>
        </w:rPr>
      </w:pPr>
      <w:r>
        <w:br w:type="page"/>
      </w:r>
      <w:bookmarkStart w:id="8" w:name="_Toc139292022"/>
      <w:bookmarkStart w:id="9" w:name="_Toc161055592"/>
      <w:bookmarkStart w:id="10" w:name="_Toc193300336"/>
      <w:bookmarkStart w:id="11" w:name="_Toc193301417"/>
      <w:r w:rsidRPr="00B930FB">
        <w:rPr>
          <w:b/>
          <w:bCs/>
          <w:sz w:val="28"/>
          <w:szCs w:val="28"/>
        </w:rPr>
        <w:lastRenderedPageBreak/>
        <w:t>Раздел 1. Управленческий отчет эмитента</w:t>
      </w:r>
      <w:bookmarkEnd w:id="7"/>
      <w:bookmarkEnd w:id="8"/>
      <w:bookmarkEnd w:id="9"/>
      <w:bookmarkEnd w:id="10"/>
      <w:bookmarkEnd w:id="11"/>
    </w:p>
    <w:p w:rsidR="00F02F07" w:rsidRPr="00B930FB" w:rsidRDefault="00F02F07" w:rsidP="00A60963">
      <w:pPr>
        <w:widowControl w:val="0"/>
        <w:numPr>
          <w:ilvl w:val="1"/>
          <w:numId w:val="27"/>
        </w:numPr>
        <w:tabs>
          <w:tab w:val="num" w:pos="360"/>
        </w:tabs>
        <w:autoSpaceDE w:val="0"/>
        <w:autoSpaceDN w:val="0"/>
        <w:adjustRightInd w:val="0"/>
        <w:spacing w:after="120" w:line="240" w:lineRule="auto"/>
        <w:ind w:left="391" w:hanging="391"/>
        <w:jc w:val="both"/>
        <w:outlineLvl w:val="1"/>
        <w:rPr>
          <w:b/>
          <w:bCs/>
        </w:rPr>
      </w:pPr>
      <w:bookmarkStart w:id="12" w:name="_Toc113954714"/>
      <w:bookmarkStart w:id="13" w:name="_Toc139292023"/>
      <w:bookmarkStart w:id="14" w:name="_Toc161055593"/>
      <w:bookmarkStart w:id="15" w:name="_Toc193300337"/>
      <w:bookmarkStart w:id="16" w:name="_Toc193301418"/>
      <w:bookmarkStart w:id="17" w:name="_Toc113954715"/>
      <w:bookmarkStart w:id="18" w:name="_Toc139292024"/>
      <w:bookmarkStart w:id="19" w:name="_Toc161055594"/>
      <w:r w:rsidRPr="00B930FB">
        <w:rPr>
          <w:b/>
          <w:bCs/>
        </w:rPr>
        <w:t>Общие сведения об эмитенте и его деятельности</w:t>
      </w:r>
      <w:bookmarkEnd w:id="12"/>
      <w:bookmarkEnd w:id="13"/>
      <w:bookmarkEnd w:id="14"/>
      <w:bookmarkEnd w:id="15"/>
      <w:bookmarkEnd w:id="16"/>
      <w:r>
        <w:rPr>
          <w:b/>
          <w:bCs/>
        </w:rPr>
        <w:t xml:space="preserve"> </w:t>
      </w:r>
    </w:p>
    <w:p w:rsidR="00F02F07" w:rsidRPr="00E968A5" w:rsidRDefault="00F02F07" w:rsidP="00F02F0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 w:rsidRPr="00E968A5">
        <w:t>Полное фирменное наименование эмитента:</w:t>
      </w:r>
      <w:r w:rsidRPr="00E968A5">
        <w:rPr>
          <w:b/>
          <w:bCs/>
          <w:i/>
          <w:iCs/>
        </w:rPr>
        <w:t xml:space="preserve"> Публичное акционерное общество Московская Биржа ММВБ-РТС.</w:t>
      </w:r>
    </w:p>
    <w:p w:rsidR="00F02F07" w:rsidRPr="00E968A5" w:rsidRDefault="00F02F07" w:rsidP="00F02F0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 w:rsidRPr="00E968A5">
        <w:t>Сокращенное фирменное наименование эмитента:</w:t>
      </w:r>
      <w:r w:rsidRPr="00E968A5">
        <w:rPr>
          <w:b/>
          <w:bCs/>
          <w:i/>
          <w:iCs/>
        </w:rPr>
        <w:t xml:space="preserve"> ПАО Московская Биржа.</w:t>
      </w:r>
    </w:p>
    <w:p w:rsidR="00F02F07" w:rsidRPr="00E968A5" w:rsidRDefault="00F02F07" w:rsidP="00F02F0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i/>
        </w:rPr>
      </w:pPr>
      <w:r w:rsidRPr="00E968A5">
        <w:rPr>
          <w:bCs/>
          <w:iCs/>
        </w:rPr>
        <w:t>В уставе эмитента зарегистрировано наименование на иностранном языке.</w:t>
      </w:r>
    </w:p>
    <w:p w:rsidR="00F02F07" w:rsidRPr="00E968A5" w:rsidRDefault="00F02F07" w:rsidP="00F02F0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 w:rsidRPr="00E968A5">
        <w:t>Наименования эмитента на иностранном языке</w:t>
      </w:r>
    </w:p>
    <w:p w:rsidR="00F02F07" w:rsidRPr="00E968A5" w:rsidRDefault="00F02F07" w:rsidP="00F02F0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 w:rsidRPr="00E968A5">
        <w:t>Полное наименование эмитента на иностранном языке:</w:t>
      </w:r>
      <w:r w:rsidRPr="00E968A5">
        <w:rPr>
          <w:b/>
          <w:bCs/>
          <w:i/>
          <w:iCs/>
        </w:rPr>
        <w:t xml:space="preserve"> Public Joint-Stock Company Moscow Exchange MICEX-RTS.</w:t>
      </w:r>
    </w:p>
    <w:p w:rsidR="00F02F07" w:rsidRPr="00E968A5" w:rsidRDefault="00F02F07" w:rsidP="00F02F0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 w:rsidRPr="00E968A5">
        <w:t>Сокращенное наименование эмитента на иностранном языке:</w:t>
      </w:r>
      <w:r w:rsidRPr="00E968A5">
        <w:rPr>
          <w:b/>
          <w:bCs/>
          <w:i/>
          <w:iCs/>
        </w:rPr>
        <w:t xml:space="preserve"> Moscow Exchange.</w:t>
      </w:r>
    </w:p>
    <w:p w:rsidR="00F02F07" w:rsidRPr="00E968A5" w:rsidRDefault="00F02F07" w:rsidP="00F02F07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 w:rsidRPr="00E968A5">
        <w:t>Сведения о способе создания эмитента:</w:t>
      </w:r>
    </w:p>
    <w:p w:rsidR="00F02F07" w:rsidRPr="00E968A5" w:rsidRDefault="00F02F07" w:rsidP="00F02F07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>Эмитент создан в 1992 году с наименованием – Акционерное общество закрытого типа «Московская Межбанковская Валютная биржа», в дальнейшем переименован в ЗАО ММВБ. В</w:t>
      </w:r>
      <w:r w:rsidRPr="00E968A5">
        <w:rPr>
          <w:b/>
          <w:bCs/>
          <w:i/>
          <w:iCs/>
          <w:lang w:val="en-US"/>
        </w:rPr>
        <w:t> </w:t>
      </w:r>
      <w:r w:rsidRPr="00E968A5">
        <w:rPr>
          <w:b/>
          <w:bCs/>
          <w:i/>
          <w:iCs/>
        </w:rPr>
        <w:t>2011 году реорганизован</w:t>
      </w:r>
      <w:r w:rsidRPr="00E968A5">
        <w:rPr>
          <w:b/>
          <w:bCs/>
          <w:i/>
          <w:iCs/>
          <w:vertAlign w:val="superscript"/>
        </w:rPr>
        <w:footnoteReference w:id="1"/>
      </w:r>
      <w:r w:rsidRPr="00E968A5">
        <w:rPr>
          <w:b/>
          <w:bCs/>
          <w:i/>
          <w:iCs/>
        </w:rPr>
        <w:t xml:space="preserve"> путем присоединения к нему Открытого акционерного общества «Фондовая биржа РТС» (ОАО «РТС»). В дальнейшем наименование несколько раз изменялось (в</w:t>
      </w:r>
      <w:r w:rsidRPr="00E968A5">
        <w:rPr>
          <w:b/>
          <w:bCs/>
          <w:i/>
          <w:iCs/>
          <w:lang w:val="en-US"/>
        </w:rPr>
        <w:t> </w:t>
      </w:r>
      <w:r w:rsidRPr="00E968A5">
        <w:rPr>
          <w:b/>
          <w:bCs/>
          <w:i/>
          <w:iCs/>
        </w:rPr>
        <w:t xml:space="preserve">том числе в рамках преобразования). В настоящее время - Публичное акционерное общество «Московская Биржа ММВБ-РТС» (ПАО Московская Биржа). </w:t>
      </w:r>
    </w:p>
    <w:p w:rsidR="00F02F07" w:rsidRPr="00E968A5" w:rsidRDefault="00F02F07" w:rsidP="00F02F07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</w:pPr>
      <w:r w:rsidRPr="00E968A5">
        <w:rPr>
          <w:b/>
          <w:bCs/>
          <w:i/>
          <w:iCs/>
        </w:rPr>
        <w:t xml:space="preserve"> </w:t>
      </w:r>
      <w:r w:rsidRPr="00E968A5">
        <w:t>Дата создания эмитента:</w:t>
      </w:r>
      <w:r w:rsidRPr="00E968A5">
        <w:rPr>
          <w:b/>
          <w:bCs/>
          <w:i/>
          <w:iCs/>
        </w:rPr>
        <w:t xml:space="preserve"> 16.03.1992.</w:t>
      </w:r>
    </w:p>
    <w:p w:rsidR="00F02F07" w:rsidRPr="00E968A5" w:rsidRDefault="00F02F07" w:rsidP="00F02F07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 w:rsidRPr="00E968A5">
        <w:t>Все предшествующие наименования эмитента в течение трех последних лет, предшествующих дате окончания отчетного периода, за который составлен отчет эмитента:</w:t>
      </w:r>
    </w:p>
    <w:p w:rsidR="00F02F07" w:rsidRPr="00E968A5" w:rsidRDefault="00F02F07" w:rsidP="00F02F07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</w:pPr>
      <w:r w:rsidRPr="00E968A5">
        <w:rPr>
          <w:b/>
          <w:bCs/>
          <w:i/>
          <w:iCs/>
        </w:rPr>
        <w:t>Наименования эмитента в течение трех последних лет, предшествующих дате окончания отчетного периода, за который составлен отчет эмитента, не изменялись.</w:t>
      </w:r>
    </w:p>
    <w:p w:rsidR="00F02F07" w:rsidRPr="00E968A5" w:rsidRDefault="00F02F07" w:rsidP="00F02F07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E968A5">
        <w:rPr>
          <w:b/>
          <w:bCs/>
          <w:i/>
          <w:iCs/>
        </w:rPr>
        <w:t>Реорганизации эмитента в течение трех последних лет, предшествующих дате окончания отчетного периода, за который составлен отчет эмитента, не осуществлялись.</w:t>
      </w:r>
    </w:p>
    <w:p w:rsidR="00F02F07" w:rsidRPr="00E968A5" w:rsidRDefault="00F02F07" w:rsidP="00F02F07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 w:rsidRPr="00E968A5">
        <w:t>Основной государственный регистрационный номер (ОГРН):</w:t>
      </w:r>
      <w:r w:rsidRPr="00E968A5">
        <w:rPr>
          <w:b/>
          <w:bCs/>
          <w:i/>
          <w:iCs/>
        </w:rPr>
        <w:t xml:space="preserve"> 1027739387411.</w:t>
      </w:r>
    </w:p>
    <w:p w:rsidR="00F02F07" w:rsidRPr="00E968A5" w:rsidRDefault="00F02F07" w:rsidP="00F02F07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E968A5">
        <w:rPr>
          <w:bCs/>
          <w:iCs/>
        </w:rPr>
        <w:t>Идентификационный номер налогоплательщика (</w:t>
      </w:r>
      <w:r w:rsidRPr="00E968A5">
        <w:t>ИНН):</w:t>
      </w:r>
      <w:r w:rsidRPr="00E968A5">
        <w:rPr>
          <w:b/>
          <w:bCs/>
          <w:i/>
          <w:iCs/>
        </w:rPr>
        <w:t xml:space="preserve"> 7702077840.</w:t>
      </w:r>
    </w:p>
    <w:p w:rsidR="00F02F07" w:rsidRPr="00E968A5" w:rsidRDefault="00F02F07" w:rsidP="00F02F07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 w:rsidRPr="00E968A5">
        <w:t>Краткое описание финансово-хозяйственной деятельности, операционных сегментов и географии осуществления финансово-хозяйственной деятельности группы эмитента:</w:t>
      </w:r>
    </w:p>
    <w:p w:rsidR="00F02F07" w:rsidRPr="00E968A5" w:rsidRDefault="00F02F07" w:rsidP="00F02F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>ПАО Московская Биржа (Эмитент) – крупнейшая в России по объему торгов и</w:t>
      </w:r>
      <w:r w:rsidRPr="00E968A5">
        <w:rPr>
          <w:b/>
          <w:bCs/>
          <w:i/>
          <w:iCs/>
          <w:lang w:val="en-US"/>
        </w:rPr>
        <w:t> </w:t>
      </w:r>
      <w:r w:rsidRPr="00E968A5">
        <w:rPr>
          <w:b/>
          <w:bCs/>
          <w:i/>
          <w:iCs/>
        </w:rPr>
        <w:t>по</w:t>
      </w:r>
      <w:r w:rsidRPr="00E968A5">
        <w:rPr>
          <w:b/>
          <w:bCs/>
          <w:i/>
          <w:iCs/>
          <w:lang w:val="en-US"/>
        </w:rPr>
        <w:t> </w:t>
      </w:r>
      <w:r w:rsidRPr="00E968A5">
        <w:rPr>
          <w:b/>
          <w:bCs/>
          <w:i/>
          <w:iCs/>
        </w:rPr>
        <w:t xml:space="preserve">количеству клиентов биржа, играющая ключевую роль в развитии российского финансового сектора, место прозрачного рыночного ценообразования на российские активы. Деятельность Эмитента напрямую связана с деятельностью юридических лиц, входящих     в организационную структуру Группы «Московская Биржа» и обеспечивающих полный комплекс конкурентоспособных трейдинговых и посттрейдинговых услуг. </w:t>
      </w:r>
    </w:p>
    <w:p w:rsidR="00F02F07" w:rsidRPr="00E968A5" w:rsidRDefault="00F02F07" w:rsidP="00F02F0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>Эмитент организует торги на следующих рынках:</w:t>
      </w:r>
    </w:p>
    <w:p w:rsidR="00F02F07" w:rsidRPr="00E968A5" w:rsidRDefault="00F02F07" w:rsidP="00A6096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ind w:left="709" w:hanging="283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>Фондовый рынок</w:t>
      </w:r>
    </w:p>
    <w:p w:rsidR="00F02F07" w:rsidRDefault="00F02F07" w:rsidP="00F02F07">
      <w:pPr>
        <w:widowControl w:val="0"/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ab/>
        <w:t>На фондовом рынке Группы проводятся торги российскими акциями, облигациями, паями паевых инвестиционных фондов (ПИФов) и биржевых паевых инвестиционных фондов (БПИФов) в различных режимах торгов.</w:t>
      </w:r>
      <w:r>
        <w:rPr>
          <w:b/>
          <w:bCs/>
          <w:i/>
          <w:iCs/>
        </w:rPr>
        <w:t xml:space="preserve"> В 2024 году</w:t>
      </w:r>
      <w:r w:rsidRPr="001B6F2C">
        <w:rPr>
          <w:b/>
          <w:bCs/>
          <w:i/>
          <w:iCs/>
        </w:rPr>
        <w:t xml:space="preserve"> российские компании привлек</w:t>
      </w:r>
      <w:r>
        <w:rPr>
          <w:b/>
          <w:bCs/>
          <w:i/>
          <w:iCs/>
        </w:rPr>
        <w:t>ли</w:t>
      </w:r>
      <w:r w:rsidRPr="001B6F2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более 5,8 трлн рублей </w:t>
      </w:r>
      <w:r w:rsidRPr="001B6F2C">
        <w:rPr>
          <w:b/>
          <w:bCs/>
          <w:i/>
          <w:iCs/>
        </w:rPr>
        <w:t xml:space="preserve">на развитие бизнеса за счет выпуска на Московской бирже акций и облигаций </w:t>
      </w:r>
      <w:r>
        <w:rPr>
          <w:b/>
          <w:bCs/>
          <w:i/>
          <w:iCs/>
        </w:rPr>
        <w:t>(со сроком обращения более 31 дня).</w:t>
      </w:r>
    </w:p>
    <w:p w:rsidR="00F02F07" w:rsidRDefault="00F02F07" w:rsidP="00F02F07">
      <w:pPr>
        <w:widowControl w:val="0"/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Более 35 млн розничных</w:t>
      </w:r>
      <w:r w:rsidRPr="001B6F2C">
        <w:rPr>
          <w:b/>
          <w:bCs/>
          <w:i/>
          <w:iCs/>
        </w:rPr>
        <w:t xml:space="preserve"> инвесторов имеют сче</w:t>
      </w:r>
      <w:r>
        <w:rPr>
          <w:b/>
          <w:bCs/>
          <w:i/>
          <w:iCs/>
        </w:rPr>
        <w:t>та на фондовом рынке Московской биржи (по состоянию на конец 2024).</w:t>
      </w:r>
    </w:p>
    <w:p w:rsidR="00F02F07" w:rsidRPr="00E968A5" w:rsidRDefault="00F02F07" w:rsidP="00A6096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00" w:line="240" w:lineRule="auto"/>
        <w:ind w:hanging="720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>Срочный рынок</w:t>
      </w:r>
    </w:p>
    <w:p w:rsidR="00F02F07" w:rsidRPr="00E968A5" w:rsidRDefault="00F02F07" w:rsidP="00F02F07">
      <w:pPr>
        <w:widowControl w:val="0"/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>На срочном рынке Московской биржи торгуются производные финансовые инструменты, базовыми активами которых являются:</w:t>
      </w:r>
      <w:r>
        <w:rPr>
          <w:b/>
          <w:bCs/>
          <w:i/>
          <w:iCs/>
        </w:rPr>
        <w:t xml:space="preserve"> российские и</w:t>
      </w:r>
      <w:r w:rsidRPr="00E968A5">
        <w:rPr>
          <w:b/>
          <w:bCs/>
          <w:i/>
          <w:iCs/>
        </w:rPr>
        <w:t>ндексы</w:t>
      </w:r>
      <w:r>
        <w:rPr>
          <w:b/>
          <w:bCs/>
          <w:i/>
          <w:iCs/>
        </w:rPr>
        <w:t xml:space="preserve">, акции российских эмитентов, </w:t>
      </w:r>
      <w:r w:rsidRPr="00E968A5">
        <w:rPr>
          <w:b/>
          <w:bCs/>
          <w:i/>
          <w:iCs/>
        </w:rPr>
        <w:t>иностранные индексы</w:t>
      </w:r>
      <w:r>
        <w:rPr>
          <w:b/>
          <w:bCs/>
          <w:i/>
          <w:iCs/>
        </w:rPr>
        <w:t xml:space="preserve"> и акции, валютные пары, </w:t>
      </w:r>
      <w:r w:rsidRPr="00E968A5">
        <w:rPr>
          <w:b/>
          <w:bCs/>
          <w:i/>
          <w:iCs/>
        </w:rPr>
        <w:t>процен</w:t>
      </w:r>
      <w:r>
        <w:rPr>
          <w:b/>
          <w:bCs/>
          <w:i/>
          <w:iCs/>
        </w:rPr>
        <w:t xml:space="preserve">тные </w:t>
      </w:r>
      <w:r>
        <w:rPr>
          <w:b/>
          <w:bCs/>
          <w:i/>
          <w:iCs/>
        </w:rPr>
        <w:lastRenderedPageBreak/>
        <w:t>инструменты, товары</w:t>
      </w:r>
      <w:r w:rsidRPr="00E968A5">
        <w:rPr>
          <w:b/>
          <w:bCs/>
          <w:i/>
          <w:iCs/>
        </w:rPr>
        <w:t>.</w:t>
      </w:r>
    </w:p>
    <w:p w:rsidR="00F02F07" w:rsidRDefault="00F02F07" w:rsidP="00A6096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120" w:after="0" w:line="240" w:lineRule="auto"/>
        <w:ind w:hanging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Д</w:t>
      </w:r>
      <w:r w:rsidRPr="00E968A5">
        <w:rPr>
          <w:b/>
          <w:bCs/>
          <w:i/>
          <w:iCs/>
        </w:rPr>
        <w:t>енежный рын</w:t>
      </w:r>
      <w:r>
        <w:rPr>
          <w:b/>
          <w:bCs/>
          <w:i/>
          <w:iCs/>
        </w:rPr>
        <w:t>ок</w:t>
      </w:r>
    </w:p>
    <w:p w:rsidR="00F02F07" w:rsidRPr="00E968A5" w:rsidRDefault="00F02F07" w:rsidP="00F02F07">
      <w:pPr>
        <w:widowControl w:val="0"/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>На денежном рынке заключаются сделки репо с клиринговыми сертификатами участия (КСУ), с акциями и облигациями, депозитарными расписками, еврооблигациями, а также проводятся депозитные и кредитные операции. Российские корпорации имеют возможность размещать средства в депозиты с центральным контрагентом (ЦК). На рынке репо для участников доступны следующие виды сделок: репо с центральным контрагентом (ЦК), функции которого выполняет</w:t>
      </w:r>
      <w:r>
        <w:rPr>
          <w:b/>
          <w:bCs/>
          <w:i/>
          <w:iCs/>
        </w:rPr>
        <w:t xml:space="preserve"> </w:t>
      </w:r>
      <w:r w:rsidRPr="00E968A5">
        <w:rPr>
          <w:b/>
          <w:bCs/>
          <w:i/>
          <w:iCs/>
        </w:rPr>
        <w:t>НКО НКЦ (АО), в т</w:t>
      </w:r>
      <w:r>
        <w:rPr>
          <w:b/>
          <w:bCs/>
          <w:i/>
          <w:iCs/>
        </w:rPr>
        <w:t>ом числе</w:t>
      </w:r>
      <w:r w:rsidRPr="00E968A5">
        <w:rPr>
          <w:b/>
          <w:bCs/>
          <w:i/>
          <w:iCs/>
        </w:rPr>
        <w:t xml:space="preserve"> репо с КСУ, </w:t>
      </w:r>
      <w:r>
        <w:rPr>
          <w:b/>
          <w:bCs/>
          <w:i/>
          <w:iCs/>
        </w:rPr>
        <w:t>и р</w:t>
      </w:r>
      <w:r w:rsidRPr="00642CCA">
        <w:rPr>
          <w:b/>
          <w:bCs/>
          <w:i/>
          <w:iCs/>
        </w:rPr>
        <w:t>епо без центрального контрагента</w:t>
      </w:r>
      <w:r w:rsidRPr="00E968A5">
        <w:rPr>
          <w:b/>
          <w:bCs/>
          <w:i/>
          <w:iCs/>
        </w:rPr>
        <w:t>.</w:t>
      </w:r>
    </w:p>
    <w:p w:rsidR="00F02F07" w:rsidRDefault="00F02F07" w:rsidP="00A6096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120" w:after="0" w:line="240" w:lineRule="auto"/>
        <w:ind w:hanging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Валютный</w:t>
      </w:r>
      <w:r w:rsidRPr="00E968A5">
        <w:rPr>
          <w:b/>
          <w:bCs/>
          <w:i/>
          <w:iCs/>
        </w:rPr>
        <w:t xml:space="preserve"> рын</w:t>
      </w:r>
      <w:r>
        <w:rPr>
          <w:b/>
          <w:bCs/>
          <w:i/>
          <w:iCs/>
        </w:rPr>
        <w:t>ок</w:t>
      </w:r>
    </w:p>
    <w:p w:rsidR="00F02F07" w:rsidRPr="00E968A5" w:rsidRDefault="00F02F07" w:rsidP="00F02F07">
      <w:pPr>
        <w:widowControl w:val="0"/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bookmarkStart w:id="20" w:name="_Hlk160008606"/>
      <w:r>
        <w:rPr>
          <w:b/>
          <w:bCs/>
          <w:i/>
          <w:iCs/>
        </w:rPr>
        <w:t>На валютном рынке</w:t>
      </w:r>
      <w:r w:rsidRPr="00E968A5">
        <w:rPr>
          <w:b/>
          <w:bCs/>
          <w:i/>
          <w:iCs/>
        </w:rPr>
        <w:t xml:space="preserve"> заключаются сделки </w:t>
      </w:r>
      <w:r>
        <w:rPr>
          <w:b/>
          <w:bCs/>
          <w:i/>
          <w:iCs/>
        </w:rPr>
        <w:t>с рублевыми</w:t>
      </w:r>
      <w:r w:rsidRPr="00E968A5">
        <w:rPr>
          <w:b/>
          <w:bCs/>
          <w:i/>
          <w:iCs/>
        </w:rPr>
        <w:t xml:space="preserve"> валютным</w:t>
      </w:r>
      <w:r>
        <w:rPr>
          <w:b/>
          <w:bCs/>
          <w:i/>
          <w:iCs/>
        </w:rPr>
        <w:t>и</w:t>
      </w:r>
      <w:r w:rsidRPr="00E968A5">
        <w:rPr>
          <w:b/>
          <w:bCs/>
          <w:i/>
          <w:iCs/>
        </w:rPr>
        <w:t xml:space="preserve"> парам</w:t>
      </w:r>
      <w:r>
        <w:rPr>
          <w:b/>
          <w:bCs/>
          <w:i/>
          <w:iCs/>
        </w:rPr>
        <w:t>и</w:t>
      </w:r>
      <w:r w:rsidRPr="00E968A5">
        <w:rPr>
          <w:b/>
          <w:bCs/>
          <w:i/>
          <w:iCs/>
        </w:rPr>
        <w:t>. Участники валютного рынка могут заключать сделки спот, сделки своп различной срочности, поставочные фьючерсные контракты и своп контракты с фиксированными датами исполнения, а также сделки по курсам валютных фиксингов Московской биржи.</w:t>
      </w:r>
      <w:r>
        <w:rPr>
          <w:b/>
          <w:bCs/>
          <w:i/>
          <w:iCs/>
        </w:rPr>
        <w:t xml:space="preserve"> </w:t>
      </w:r>
      <w:r w:rsidRPr="00F66DE3">
        <w:rPr>
          <w:b/>
          <w:bCs/>
          <w:i/>
          <w:iCs/>
        </w:rPr>
        <w:t>Российские юридические лица, не являющиеся кредитными организациями или</w:t>
      </w:r>
      <w:r>
        <w:rPr>
          <w:b/>
          <w:bCs/>
          <w:i/>
          <w:iCs/>
        </w:rPr>
        <w:t> </w:t>
      </w:r>
      <w:r w:rsidRPr="00F66DE3">
        <w:rPr>
          <w:b/>
          <w:bCs/>
          <w:i/>
          <w:iCs/>
        </w:rPr>
        <w:t>профессиональными участниками рынка ценных бумаг, также имеют возможность выходить на валютный рынок напрямую наравне с банками и брокерскими компаниями.</w:t>
      </w:r>
    </w:p>
    <w:bookmarkEnd w:id="20"/>
    <w:p w:rsidR="00F02F07" w:rsidRPr="00E968A5" w:rsidRDefault="00F02F07" w:rsidP="00A60963">
      <w:pPr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spacing w:after="100" w:line="240" w:lineRule="auto"/>
        <w:ind w:hanging="720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 xml:space="preserve">Товарный рынок </w:t>
      </w:r>
    </w:p>
    <w:p w:rsidR="00F02F07" w:rsidRPr="00E968A5" w:rsidRDefault="00F02F07" w:rsidP="00F02F07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>Московская биржа осуществляет биржевую торговлю драгоценными металлами: золотом</w:t>
      </w:r>
      <w:r>
        <w:rPr>
          <w:b/>
          <w:bCs/>
          <w:i/>
          <w:iCs/>
        </w:rPr>
        <w:t>,</w:t>
      </w:r>
      <w:r w:rsidRPr="00E968A5">
        <w:rPr>
          <w:b/>
          <w:bCs/>
          <w:i/>
          <w:iCs/>
        </w:rPr>
        <w:t xml:space="preserve"> серебром</w:t>
      </w:r>
      <w:r>
        <w:rPr>
          <w:b/>
          <w:bCs/>
          <w:i/>
          <w:iCs/>
        </w:rPr>
        <w:t>, платиной и палладием</w:t>
      </w:r>
      <w:r w:rsidRPr="00E968A5">
        <w:rPr>
          <w:b/>
          <w:bCs/>
          <w:i/>
          <w:iCs/>
        </w:rPr>
        <w:t>. Торги драгоценными металлами реализованы на платформе валютного рынка Московской биржи. В роли центрального контрагента</w:t>
      </w:r>
      <w:r>
        <w:rPr>
          <w:b/>
          <w:bCs/>
          <w:i/>
          <w:iCs/>
        </w:rPr>
        <w:t xml:space="preserve"> </w:t>
      </w:r>
      <w:r w:rsidRPr="00E968A5">
        <w:rPr>
          <w:b/>
          <w:bCs/>
          <w:i/>
          <w:iCs/>
        </w:rPr>
        <w:t>и клиринговой организации выступает НКО НКЦ (АО). Участникам торгов предоставлена возможность совершать посттрейдинговые операции со слитками драгоценных металлов в хранилище НКЦ.</w:t>
      </w:r>
    </w:p>
    <w:p w:rsidR="00F02F07" w:rsidRPr="00E968A5" w:rsidRDefault="00F02F07" w:rsidP="00A60963">
      <w:pPr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spacing w:after="100" w:line="240" w:lineRule="auto"/>
        <w:ind w:hanging="720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 xml:space="preserve">Платформа личных финансов Финуслуги </w:t>
      </w:r>
    </w:p>
    <w:p w:rsidR="00F02F07" w:rsidRPr="00E968A5" w:rsidRDefault="00F02F07" w:rsidP="00F02F07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 xml:space="preserve">Финуслуги – финансовая платформа, созданная Московской биржей в рамках проекта "Маркетплейс" Банка России. </w:t>
      </w:r>
      <w:r w:rsidRPr="00642CCA">
        <w:rPr>
          <w:b/>
          <w:bCs/>
          <w:i/>
          <w:iCs/>
        </w:rPr>
        <w:t>Финуслуги закрывают все потребности розничного клиента на финансовом рынке: сберечь, занять, инвестировать, застраховаться – все это можно сделать прямо на платформе. Финуслуги присутствуют во всех субъектах Российской Федерации. Клиенту достаточно один раз зайти на платформу, пройти авторизацию и подтверждение личности, после чего он сможет в одном личном кабинете пользоваться всеми сервисами на платформе. Подключена идентификация клиентов день в день.</w:t>
      </w:r>
      <w:r>
        <w:rPr>
          <w:b/>
          <w:bCs/>
          <w:i/>
          <w:iCs/>
        </w:rPr>
        <w:t xml:space="preserve"> </w:t>
      </w:r>
      <w:r w:rsidRPr="00642CCA">
        <w:rPr>
          <w:b/>
          <w:bCs/>
          <w:i/>
          <w:iCs/>
        </w:rPr>
        <w:t>Число банков и страховых компаний для онлайн-оформления продуктов на платформе превышает 40. Сравнить предложения можно у более чем 160 финансовых организаций.</w:t>
      </w:r>
      <w:r w:rsidRPr="00E968A5">
        <w:rPr>
          <w:b/>
          <w:bCs/>
          <w:i/>
          <w:iCs/>
        </w:rPr>
        <w:t>.</w:t>
      </w:r>
    </w:p>
    <w:p w:rsidR="00F02F07" w:rsidRPr="00E968A5" w:rsidRDefault="00F02F07" w:rsidP="00F02F07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ind w:firstLine="709"/>
        <w:jc w:val="both"/>
        <w:rPr>
          <w:bCs/>
          <w:iCs/>
        </w:rPr>
      </w:pPr>
      <w:r w:rsidRPr="00E968A5">
        <w:rPr>
          <w:bCs/>
          <w:iCs/>
        </w:rPr>
        <w:t>Краткая характеристика группы эмитента:</w:t>
      </w:r>
    </w:p>
    <w:p w:rsidR="00F02F07" w:rsidRPr="00E968A5" w:rsidRDefault="00F02F07" w:rsidP="00F02F07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 w:rsidRPr="00E968A5">
        <w:rPr>
          <w:b/>
          <w:bCs/>
          <w:i/>
          <w:iCs/>
        </w:rPr>
        <w:t>Группа «Московская Биржа» (далее также – Группа) управляет единственной               в России многофункциональной биржевой площадкой по торговле акциями, облигациями, производными инструментами, валютой, инструментами денежного рынка и товарами.</w:t>
      </w:r>
    </w:p>
    <w:p w:rsidR="00F02F07" w:rsidRPr="00257621" w:rsidRDefault="00F02F07" w:rsidP="00F02F07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 w:rsidRPr="00257621">
        <w:rPr>
          <w:b/>
          <w:bCs/>
          <w:i/>
          <w:iCs/>
        </w:rPr>
        <w:t>Основные участники Группы:</w:t>
      </w:r>
    </w:p>
    <w:p w:rsidR="00F02F07" w:rsidRPr="00257621" w:rsidRDefault="00F02F07" w:rsidP="00A60963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100" w:line="240" w:lineRule="auto"/>
        <w:ind w:left="0" w:firstLine="709"/>
        <w:jc w:val="both"/>
        <w:rPr>
          <w:b/>
          <w:bCs/>
          <w:i/>
          <w:iCs/>
        </w:rPr>
      </w:pPr>
      <w:r w:rsidRPr="00257621">
        <w:rPr>
          <w:b/>
          <w:bCs/>
          <w:i/>
          <w:iCs/>
        </w:rPr>
        <w:t>Публичное акционерное общество Московская Биржа ММВБ-РТС (далее здесь              и в тексте отчета также – Биржа, Московская биржа), являющееся организатором торгов на фондовом, денежном, срочном рынках, а также валютном рынке и рынке драгоценных металлов;</w:t>
      </w:r>
    </w:p>
    <w:p w:rsidR="00F02F07" w:rsidRPr="00257621" w:rsidRDefault="00F02F07" w:rsidP="00A60963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100" w:line="240" w:lineRule="auto"/>
        <w:ind w:left="0" w:firstLine="709"/>
        <w:jc w:val="both"/>
        <w:rPr>
          <w:b/>
          <w:bCs/>
          <w:i/>
          <w:iCs/>
        </w:rPr>
      </w:pPr>
      <w:r w:rsidRPr="00257621">
        <w:rPr>
          <w:b/>
          <w:bCs/>
          <w:i/>
          <w:iCs/>
        </w:rPr>
        <w:t>Небанковская кредитная организация акционерное общество Национальный расчетный депозитарий (далее здесь и в тексте отчета также – НКО АО НРД, НРД) – центральный депозитарий;</w:t>
      </w:r>
    </w:p>
    <w:p w:rsidR="00F02F07" w:rsidRPr="00257621" w:rsidRDefault="00F02F07" w:rsidP="00A60963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100" w:line="240" w:lineRule="auto"/>
        <w:ind w:left="0" w:firstLine="709"/>
        <w:jc w:val="both"/>
        <w:rPr>
          <w:b/>
          <w:bCs/>
          <w:i/>
          <w:iCs/>
        </w:rPr>
      </w:pPr>
      <w:r w:rsidRPr="00257621">
        <w:rPr>
          <w:b/>
          <w:bCs/>
          <w:i/>
          <w:iCs/>
        </w:rPr>
        <w:t>Небанковская кредитная организация – центральный контрагент Национальный Клиринговый Центр (Акционерное общество) (далее здесь и в тексте отчета также –     НКО НКЦ (АО), НКЦ), которая выполняет функции клиринговой организации                           и центрального контрагента на биржевых рынках;</w:t>
      </w:r>
    </w:p>
    <w:p w:rsidR="00F02F07" w:rsidRPr="00E968A5" w:rsidRDefault="00F02F07" w:rsidP="00F02F07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jc w:val="both"/>
        <w:rPr>
          <w:bCs/>
          <w:iCs/>
        </w:rPr>
      </w:pPr>
      <w:r w:rsidRPr="00E968A5">
        <w:rPr>
          <w:bCs/>
          <w:iCs/>
        </w:rPr>
        <w:t>Информация о личных законах организаций, входящих в группу эмитента</w:t>
      </w:r>
      <w:r w:rsidRPr="00E968A5">
        <w:rPr>
          <w:b/>
          <w:bCs/>
          <w:i/>
          <w:iCs/>
        </w:rPr>
        <w:t>: личные</w:t>
      </w:r>
      <w:r>
        <w:rPr>
          <w:b/>
          <w:bCs/>
          <w:i/>
          <w:iCs/>
        </w:rPr>
        <w:t xml:space="preserve"> </w:t>
      </w:r>
      <w:r w:rsidRPr="00E968A5">
        <w:rPr>
          <w:b/>
          <w:bCs/>
          <w:i/>
          <w:iCs/>
        </w:rPr>
        <w:t>законы</w:t>
      </w:r>
      <w:r>
        <w:rPr>
          <w:b/>
          <w:bCs/>
          <w:i/>
          <w:iCs/>
        </w:rPr>
        <w:t xml:space="preserve"> </w:t>
      </w:r>
      <w:r w:rsidRPr="00E968A5">
        <w:rPr>
          <w:b/>
          <w:bCs/>
          <w:i/>
          <w:iCs/>
        </w:rPr>
        <w:lastRenderedPageBreak/>
        <w:t>организаций отсутствуют</w:t>
      </w:r>
      <w:r w:rsidRPr="00E968A5">
        <w:rPr>
          <w:bCs/>
          <w:iCs/>
        </w:rPr>
        <w:t>.</w:t>
      </w:r>
    </w:p>
    <w:p w:rsidR="00F02F07" w:rsidRDefault="00F02F07" w:rsidP="00F02F07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jc w:val="both"/>
        <w:rPr>
          <w:bCs/>
          <w:iCs/>
        </w:rPr>
      </w:pPr>
      <w:r w:rsidRPr="00E968A5">
        <w:rPr>
          <w:bCs/>
          <w:iCs/>
        </w:rPr>
        <w:t xml:space="preserve">Ограничения, связанные с участием в уставном капитале эмитента, установленные его уставом: </w:t>
      </w:r>
      <w:r w:rsidRPr="00E968A5">
        <w:rPr>
          <w:b/>
          <w:bCs/>
          <w:i/>
          <w:iCs/>
        </w:rPr>
        <w:t>отсутствуют</w:t>
      </w:r>
      <w:r w:rsidRPr="00E968A5">
        <w:rPr>
          <w:bCs/>
          <w:iCs/>
        </w:rPr>
        <w:t>.</w:t>
      </w:r>
    </w:p>
    <w:p w:rsidR="00F02F07" w:rsidRPr="00B930FB" w:rsidRDefault="00F02F07" w:rsidP="00A60963">
      <w:pPr>
        <w:widowControl w:val="0"/>
        <w:numPr>
          <w:ilvl w:val="1"/>
          <w:numId w:val="27"/>
        </w:numPr>
        <w:tabs>
          <w:tab w:val="num" w:pos="360"/>
        </w:tabs>
        <w:autoSpaceDE w:val="0"/>
        <w:autoSpaceDN w:val="0"/>
        <w:adjustRightInd w:val="0"/>
        <w:spacing w:before="240" w:line="240" w:lineRule="auto"/>
        <w:ind w:left="391" w:hanging="391"/>
        <w:jc w:val="both"/>
        <w:outlineLvl w:val="1"/>
        <w:rPr>
          <w:b/>
          <w:bCs/>
        </w:rPr>
      </w:pPr>
      <w:bookmarkStart w:id="21" w:name="_Toc193300338"/>
      <w:bookmarkStart w:id="22" w:name="_Toc193301419"/>
      <w:bookmarkStart w:id="23" w:name="_Toc113954716"/>
      <w:bookmarkStart w:id="24" w:name="_Toc139292025"/>
      <w:bookmarkStart w:id="25" w:name="_Toc161055595"/>
      <w:bookmarkEnd w:id="17"/>
      <w:bookmarkEnd w:id="18"/>
      <w:bookmarkEnd w:id="19"/>
      <w:r w:rsidRPr="00B930FB">
        <w:rPr>
          <w:b/>
          <w:bCs/>
        </w:rPr>
        <w:t>Сведения о положении эмитента в отрасли</w:t>
      </w:r>
      <w:bookmarkEnd w:id="21"/>
      <w:bookmarkEnd w:id="22"/>
      <w:r>
        <w:rPr>
          <w:b/>
          <w:bCs/>
        </w:rPr>
        <w:t xml:space="preserve"> </w:t>
      </w:r>
    </w:p>
    <w:p w:rsidR="00F02F07" w:rsidRDefault="00F02F07" w:rsidP="00F02F07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jc w:val="both"/>
        <w:rPr>
          <w:bCs/>
          <w:iCs/>
        </w:rPr>
      </w:pPr>
      <w:r w:rsidRPr="00D362BD">
        <w:rPr>
          <w:bCs/>
          <w:iCs/>
        </w:rPr>
        <w:t>Основное отличие Московской биржи от других компаний с биржевыми лицензиями в России – высокая диверсификация торгуемых инструментов и сравнительно высокие объемы торгов. В стоимостном выражении на Московскую биржу в 202</w:t>
      </w:r>
      <w:r>
        <w:rPr>
          <w:bCs/>
          <w:iCs/>
        </w:rPr>
        <w:t>4</w:t>
      </w:r>
      <w:r w:rsidRPr="00D362BD">
        <w:rPr>
          <w:bCs/>
          <w:iCs/>
        </w:rPr>
        <w:t xml:space="preserve"> приходилось около 9</w:t>
      </w:r>
      <w:r>
        <w:rPr>
          <w:bCs/>
          <w:iCs/>
        </w:rPr>
        <w:t>5</w:t>
      </w:r>
      <w:r w:rsidRPr="00D362BD">
        <w:rPr>
          <w:bCs/>
          <w:iCs/>
        </w:rPr>
        <w:t>% объемов торгов на российских биржах</w:t>
      </w:r>
      <w:r>
        <w:rPr>
          <w:bCs/>
          <w:iCs/>
        </w:rPr>
        <w:t xml:space="preserve">. </w:t>
      </w:r>
      <w:r w:rsidRPr="00D362BD">
        <w:rPr>
          <w:bCs/>
          <w:iCs/>
        </w:rPr>
        <w:t>С точки зрения инфраструктуры, Группа «Московская Биржа» - единственная в России, в состав которой входит центральный депозитарий (НРД), а также высококапитализированный центральный контрагент (НКЦ).</w:t>
      </w:r>
    </w:p>
    <w:p w:rsidR="00F02F07" w:rsidRPr="00B930FB" w:rsidRDefault="00F02F07" w:rsidP="00A60963">
      <w:pPr>
        <w:widowControl w:val="0"/>
        <w:numPr>
          <w:ilvl w:val="1"/>
          <w:numId w:val="27"/>
        </w:numPr>
        <w:tabs>
          <w:tab w:val="num" w:pos="360"/>
        </w:tabs>
        <w:autoSpaceDE w:val="0"/>
        <w:autoSpaceDN w:val="0"/>
        <w:adjustRightInd w:val="0"/>
        <w:spacing w:before="360" w:after="120" w:line="240" w:lineRule="auto"/>
        <w:ind w:left="391" w:hanging="391"/>
        <w:jc w:val="both"/>
        <w:outlineLvl w:val="1"/>
        <w:rPr>
          <w:b/>
          <w:bCs/>
        </w:rPr>
      </w:pPr>
      <w:bookmarkStart w:id="26" w:name="_Toc193300339"/>
      <w:bookmarkStart w:id="27" w:name="_Toc193301420"/>
      <w:r w:rsidRPr="00B930FB">
        <w:rPr>
          <w:b/>
          <w:bCs/>
        </w:rPr>
        <w:t>Основные операционные показатели, характеризующие деятельность эмитента</w:t>
      </w:r>
      <w:bookmarkEnd w:id="26"/>
      <w:bookmarkEnd w:id="27"/>
    </w:p>
    <w:p w:rsidR="00764D97" w:rsidRPr="00403F58" w:rsidRDefault="00764D97" w:rsidP="00764D9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b/>
          <w:i/>
        </w:rPr>
      </w:pPr>
      <w:r w:rsidRPr="00403F58">
        <w:rPr>
          <w:rFonts w:cs="Calibri"/>
        </w:rPr>
        <w:t>Операционные показатели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3"/>
        <w:gridCol w:w="2506"/>
        <w:gridCol w:w="2448"/>
      </w:tblGrid>
      <w:tr w:rsidR="00764D97" w:rsidTr="00D02D22">
        <w:tc>
          <w:tcPr>
            <w:tcW w:w="2353" w:type="pct"/>
            <w:tcBorders>
              <w:top w:val="double" w:sz="4" w:space="0" w:color="auto"/>
              <w:left w:val="double" w:sz="4" w:space="0" w:color="auto"/>
            </w:tcBorders>
            <w:hideMark/>
          </w:tcPr>
          <w:p w:rsidR="00764D97" w:rsidRDefault="00764D97" w:rsidP="00764D9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cs="Calibri"/>
                <w:b/>
                <w:lang w:val="en-US" w:eastAsia="en-US"/>
              </w:rPr>
            </w:pPr>
            <w:bookmarkStart w:id="28" w:name="_Hlk193183694"/>
            <w:r>
              <w:rPr>
                <w:rFonts w:cs="Calibri"/>
                <w:b/>
              </w:rPr>
              <w:t>Объем</w:t>
            </w:r>
            <w:r>
              <w:rPr>
                <w:rFonts w:cs="Calibri"/>
                <w:b/>
                <w:lang w:val="en-US"/>
              </w:rPr>
              <w:t xml:space="preserve"> </w:t>
            </w:r>
            <w:r>
              <w:rPr>
                <w:rFonts w:cs="Calibri"/>
                <w:b/>
              </w:rPr>
              <w:t>торгов</w:t>
            </w:r>
            <w:r>
              <w:rPr>
                <w:rFonts w:cs="Calibri"/>
                <w:b/>
                <w:lang w:val="en-US"/>
              </w:rPr>
              <w:t xml:space="preserve">, </w:t>
            </w:r>
            <w:r>
              <w:rPr>
                <w:rFonts w:cs="Calibri"/>
                <w:b/>
              </w:rPr>
              <w:t>млрд</w:t>
            </w:r>
            <w:r>
              <w:rPr>
                <w:rFonts w:cs="Calibri"/>
                <w:b/>
                <w:lang w:val="en-US"/>
              </w:rPr>
              <w:t xml:space="preserve"> </w:t>
            </w:r>
            <w:r>
              <w:rPr>
                <w:rFonts w:cs="Calibri"/>
                <w:b/>
              </w:rPr>
              <w:t>руб.</w:t>
            </w:r>
          </w:p>
        </w:tc>
        <w:tc>
          <w:tcPr>
            <w:tcW w:w="1339" w:type="pct"/>
            <w:tcBorders>
              <w:top w:val="double" w:sz="4" w:space="0" w:color="auto"/>
            </w:tcBorders>
            <w:hideMark/>
          </w:tcPr>
          <w:p w:rsidR="00764D97" w:rsidRDefault="00764D97" w:rsidP="00764D9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2023, 12 мес.</w:t>
            </w:r>
          </w:p>
        </w:tc>
        <w:tc>
          <w:tcPr>
            <w:tcW w:w="1308" w:type="pct"/>
            <w:tcBorders>
              <w:top w:val="double" w:sz="4" w:space="0" w:color="auto"/>
              <w:right w:val="double" w:sz="4" w:space="0" w:color="auto"/>
            </w:tcBorders>
            <w:vAlign w:val="center"/>
            <w:hideMark/>
          </w:tcPr>
          <w:p w:rsidR="00764D97" w:rsidRDefault="00764D97" w:rsidP="00764D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2024, 12 мес.</w:t>
            </w:r>
          </w:p>
        </w:tc>
      </w:tr>
      <w:tr w:rsidR="00764D97" w:rsidTr="00D02D22">
        <w:tc>
          <w:tcPr>
            <w:tcW w:w="2353" w:type="pct"/>
            <w:tcBorders>
              <w:left w:val="double" w:sz="4" w:space="0" w:color="auto"/>
            </w:tcBorders>
            <w:hideMark/>
          </w:tcPr>
          <w:p w:rsidR="00764D97" w:rsidRDefault="00764D97" w:rsidP="00764D97">
            <w:pPr>
              <w:rPr>
                <w:b/>
              </w:rPr>
            </w:pPr>
            <w:r>
              <w:rPr>
                <w:b/>
              </w:rPr>
              <w:t>Фондовый рынок</w:t>
            </w:r>
          </w:p>
        </w:tc>
        <w:tc>
          <w:tcPr>
            <w:tcW w:w="1339" w:type="pct"/>
            <w:hideMark/>
          </w:tcPr>
          <w:p w:rsidR="00764D97" w:rsidRPr="00490004" w:rsidRDefault="006970D6" w:rsidP="00764D97">
            <w:pPr>
              <w:jc w:val="right"/>
              <w:rPr>
                <w:b/>
              </w:rPr>
            </w:pPr>
            <w:r w:rsidRPr="006970D6">
              <w:rPr>
                <w:b/>
              </w:rPr>
              <w:t>62 903</w:t>
            </w:r>
          </w:p>
        </w:tc>
        <w:tc>
          <w:tcPr>
            <w:tcW w:w="1308" w:type="pct"/>
            <w:tcBorders>
              <w:right w:val="double" w:sz="4" w:space="0" w:color="auto"/>
            </w:tcBorders>
            <w:hideMark/>
          </w:tcPr>
          <w:p w:rsidR="00764D97" w:rsidRPr="00490004" w:rsidRDefault="006970D6" w:rsidP="00764D97">
            <w:pPr>
              <w:jc w:val="right"/>
              <w:rPr>
                <w:b/>
              </w:rPr>
            </w:pPr>
            <w:r w:rsidRPr="00490004">
              <w:rPr>
                <w:b/>
              </w:rPr>
              <w:t>71 420</w:t>
            </w:r>
          </w:p>
        </w:tc>
      </w:tr>
      <w:tr w:rsidR="00764D97" w:rsidTr="00D02D22">
        <w:tc>
          <w:tcPr>
            <w:tcW w:w="2353" w:type="pct"/>
            <w:tcBorders>
              <w:left w:val="double" w:sz="4" w:space="0" w:color="auto"/>
            </w:tcBorders>
            <w:hideMark/>
          </w:tcPr>
          <w:p w:rsidR="00764D97" w:rsidRDefault="00764D97" w:rsidP="00764D97">
            <w:pPr>
              <w:rPr>
                <w:i/>
              </w:rPr>
            </w:pPr>
            <w:r>
              <w:rPr>
                <w:i/>
              </w:rPr>
              <w:t>Рынок акций, ДР и паев</w:t>
            </w:r>
          </w:p>
        </w:tc>
        <w:tc>
          <w:tcPr>
            <w:tcW w:w="1339" w:type="pct"/>
            <w:hideMark/>
          </w:tcPr>
          <w:p w:rsidR="00764D97" w:rsidRPr="00490004" w:rsidRDefault="00764D97" w:rsidP="00764D97">
            <w:pPr>
              <w:jc w:val="right"/>
              <w:rPr>
                <w:i/>
              </w:rPr>
            </w:pPr>
            <w:r w:rsidRPr="00490004">
              <w:rPr>
                <w:i/>
              </w:rPr>
              <w:t>23 034</w:t>
            </w:r>
          </w:p>
        </w:tc>
        <w:tc>
          <w:tcPr>
            <w:tcW w:w="1308" w:type="pct"/>
            <w:tcBorders>
              <w:right w:val="double" w:sz="4" w:space="0" w:color="auto"/>
            </w:tcBorders>
            <w:hideMark/>
          </w:tcPr>
          <w:p w:rsidR="00764D97" w:rsidRPr="00490004" w:rsidRDefault="00764D97" w:rsidP="00764D97">
            <w:pPr>
              <w:jc w:val="right"/>
              <w:rPr>
                <w:i/>
              </w:rPr>
            </w:pPr>
            <w:r w:rsidRPr="00490004">
              <w:rPr>
                <w:i/>
              </w:rPr>
              <w:t>32 955</w:t>
            </w:r>
          </w:p>
        </w:tc>
      </w:tr>
      <w:tr w:rsidR="00764D97" w:rsidTr="00D02D22">
        <w:tc>
          <w:tcPr>
            <w:tcW w:w="2353" w:type="pct"/>
            <w:tcBorders>
              <w:left w:val="double" w:sz="4" w:space="0" w:color="auto"/>
            </w:tcBorders>
            <w:hideMark/>
          </w:tcPr>
          <w:p w:rsidR="00764D97" w:rsidRDefault="00764D97" w:rsidP="00764D97">
            <w:r>
              <w:t>Вторичные торги</w:t>
            </w:r>
          </w:p>
        </w:tc>
        <w:tc>
          <w:tcPr>
            <w:tcW w:w="1339" w:type="pct"/>
            <w:hideMark/>
          </w:tcPr>
          <w:p w:rsidR="00764D97" w:rsidRPr="00AE4318" w:rsidRDefault="00764D97" w:rsidP="00764D97">
            <w:pPr>
              <w:jc w:val="right"/>
            </w:pPr>
            <w:r w:rsidRPr="00AE4318">
              <w:t>22 904</w:t>
            </w:r>
          </w:p>
        </w:tc>
        <w:tc>
          <w:tcPr>
            <w:tcW w:w="1308" w:type="pct"/>
            <w:tcBorders>
              <w:right w:val="double" w:sz="4" w:space="0" w:color="auto"/>
            </w:tcBorders>
            <w:hideMark/>
          </w:tcPr>
          <w:p w:rsidR="00764D97" w:rsidRPr="00AE4318" w:rsidRDefault="00764D97" w:rsidP="00764D97">
            <w:pPr>
              <w:jc w:val="right"/>
            </w:pPr>
            <w:r w:rsidRPr="00AE4318">
              <w:t>32 487</w:t>
            </w:r>
          </w:p>
        </w:tc>
      </w:tr>
      <w:tr w:rsidR="00764D97" w:rsidTr="00D02D22">
        <w:tc>
          <w:tcPr>
            <w:tcW w:w="2353" w:type="pct"/>
            <w:tcBorders>
              <w:left w:val="double" w:sz="4" w:space="0" w:color="auto"/>
            </w:tcBorders>
            <w:hideMark/>
          </w:tcPr>
          <w:p w:rsidR="00764D97" w:rsidRDefault="00764D97" w:rsidP="00764D97">
            <w:r>
              <w:t>Размещения/Выкуп</w:t>
            </w:r>
          </w:p>
        </w:tc>
        <w:tc>
          <w:tcPr>
            <w:tcW w:w="1339" w:type="pct"/>
            <w:hideMark/>
          </w:tcPr>
          <w:p w:rsidR="00764D97" w:rsidRPr="00AE4318" w:rsidRDefault="00764D97" w:rsidP="00764D97">
            <w:pPr>
              <w:jc w:val="right"/>
            </w:pPr>
            <w:r w:rsidRPr="00AE4318">
              <w:t>129</w:t>
            </w:r>
          </w:p>
        </w:tc>
        <w:tc>
          <w:tcPr>
            <w:tcW w:w="1308" w:type="pct"/>
            <w:tcBorders>
              <w:right w:val="double" w:sz="4" w:space="0" w:color="auto"/>
            </w:tcBorders>
            <w:hideMark/>
          </w:tcPr>
          <w:p w:rsidR="00764D97" w:rsidRPr="00AE4318" w:rsidRDefault="00764D97" w:rsidP="00764D97">
            <w:pPr>
              <w:jc w:val="right"/>
            </w:pPr>
            <w:r w:rsidRPr="00AE4318">
              <w:t>468</w:t>
            </w:r>
          </w:p>
        </w:tc>
      </w:tr>
      <w:tr w:rsidR="00764D97" w:rsidTr="00D02D22">
        <w:tc>
          <w:tcPr>
            <w:tcW w:w="2353" w:type="pct"/>
            <w:tcBorders>
              <w:left w:val="double" w:sz="4" w:space="0" w:color="auto"/>
            </w:tcBorders>
            <w:hideMark/>
          </w:tcPr>
          <w:p w:rsidR="00764D97" w:rsidRDefault="00764D97" w:rsidP="00764D97">
            <w:pPr>
              <w:rPr>
                <w:i/>
              </w:rPr>
            </w:pPr>
            <w:r>
              <w:rPr>
                <w:i/>
              </w:rPr>
              <w:t>Рынок облигаций</w:t>
            </w:r>
          </w:p>
        </w:tc>
        <w:tc>
          <w:tcPr>
            <w:tcW w:w="1339" w:type="pct"/>
            <w:hideMark/>
          </w:tcPr>
          <w:p w:rsidR="00764D97" w:rsidRPr="00490004" w:rsidRDefault="00764D97" w:rsidP="00764D97">
            <w:pPr>
              <w:jc w:val="right"/>
              <w:rPr>
                <w:i/>
              </w:rPr>
            </w:pPr>
            <w:r w:rsidRPr="00490004">
              <w:rPr>
                <w:i/>
              </w:rPr>
              <w:t>39 870</w:t>
            </w:r>
          </w:p>
        </w:tc>
        <w:tc>
          <w:tcPr>
            <w:tcW w:w="1308" w:type="pct"/>
            <w:tcBorders>
              <w:right w:val="double" w:sz="4" w:space="0" w:color="auto"/>
            </w:tcBorders>
            <w:hideMark/>
          </w:tcPr>
          <w:p w:rsidR="00764D97" w:rsidRPr="00490004" w:rsidRDefault="00764D97" w:rsidP="00764D97">
            <w:pPr>
              <w:jc w:val="right"/>
              <w:rPr>
                <w:i/>
              </w:rPr>
            </w:pPr>
            <w:r w:rsidRPr="00490004">
              <w:rPr>
                <w:i/>
              </w:rPr>
              <w:t>38 465</w:t>
            </w:r>
          </w:p>
        </w:tc>
      </w:tr>
      <w:tr w:rsidR="00764D97" w:rsidTr="00D02D22">
        <w:tc>
          <w:tcPr>
            <w:tcW w:w="2353" w:type="pct"/>
            <w:tcBorders>
              <w:left w:val="double" w:sz="4" w:space="0" w:color="auto"/>
            </w:tcBorders>
            <w:hideMark/>
          </w:tcPr>
          <w:p w:rsidR="00764D97" w:rsidRDefault="00764D97" w:rsidP="00764D97">
            <w:r>
              <w:t>Вторичные торги</w:t>
            </w:r>
          </w:p>
        </w:tc>
        <w:tc>
          <w:tcPr>
            <w:tcW w:w="1339" w:type="pct"/>
            <w:hideMark/>
          </w:tcPr>
          <w:p w:rsidR="00764D97" w:rsidRPr="00AE4318" w:rsidRDefault="00764D97" w:rsidP="00764D97">
            <w:pPr>
              <w:jc w:val="right"/>
            </w:pPr>
            <w:r w:rsidRPr="00AE4318">
              <w:t>11 378</w:t>
            </w:r>
          </w:p>
        </w:tc>
        <w:tc>
          <w:tcPr>
            <w:tcW w:w="1308" w:type="pct"/>
            <w:tcBorders>
              <w:right w:val="double" w:sz="4" w:space="0" w:color="auto"/>
            </w:tcBorders>
            <w:hideMark/>
          </w:tcPr>
          <w:p w:rsidR="00764D97" w:rsidRPr="00AE4318" w:rsidRDefault="00764D97" w:rsidP="00764D97">
            <w:pPr>
              <w:jc w:val="right"/>
            </w:pPr>
            <w:r w:rsidRPr="00AE4318">
              <w:t>10 310</w:t>
            </w:r>
          </w:p>
        </w:tc>
      </w:tr>
      <w:tr w:rsidR="00764D97" w:rsidTr="00D02D22">
        <w:tc>
          <w:tcPr>
            <w:tcW w:w="2353" w:type="pct"/>
            <w:tcBorders>
              <w:left w:val="double" w:sz="4" w:space="0" w:color="auto"/>
            </w:tcBorders>
            <w:hideMark/>
          </w:tcPr>
          <w:p w:rsidR="00764D97" w:rsidRDefault="00764D97" w:rsidP="00764D97">
            <w:r>
              <w:t>Размещения/Выкуп</w:t>
            </w:r>
          </w:p>
        </w:tc>
        <w:tc>
          <w:tcPr>
            <w:tcW w:w="1339" w:type="pct"/>
            <w:hideMark/>
          </w:tcPr>
          <w:p w:rsidR="00764D97" w:rsidRPr="00AE4318" w:rsidRDefault="00764D97" w:rsidP="00764D97">
            <w:pPr>
              <w:jc w:val="right"/>
            </w:pPr>
            <w:r w:rsidRPr="00AE4318">
              <w:t>28 492</w:t>
            </w:r>
          </w:p>
        </w:tc>
        <w:tc>
          <w:tcPr>
            <w:tcW w:w="1308" w:type="pct"/>
            <w:tcBorders>
              <w:right w:val="double" w:sz="4" w:space="0" w:color="auto"/>
            </w:tcBorders>
            <w:hideMark/>
          </w:tcPr>
          <w:p w:rsidR="00764D97" w:rsidRPr="00AE4318" w:rsidRDefault="00764D97" w:rsidP="00764D97">
            <w:pPr>
              <w:jc w:val="right"/>
            </w:pPr>
            <w:r w:rsidRPr="00AE4318">
              <w:t>28 156</w:t>
            </w:r>
          </w:p>
        </w:tc>
      </w:tr>
      <w:tr w:rsidR="00764D97" w:rsidTr="00D02D22">
        <w:trPr>
          <w:trHeight w:val="552"/>
        </w:trPr>
        <w:tc>
          <w:tcPr>
            <w:tcW w:w="2353" w:type="pct"/>
            <w:tcBorders>
              <w:left w:val="double" w:sz="4" w:space="0" w:color="auto"/>
            </w:tcBorders>
            <w:hideMark/>
          </w:tcPr>
          <w:p w:rsidR="00764D97" w:rsidRDefault="00764D97" w:rsidP="00764D97">
            <w:pPr>
              <w:rPr>
                <w:b/>
              </w:rPr>
            </w:pPr>
            <w:r>
              <w:rPr>
                <w:b/>
              </w:rPr>
              <w:t>Прочие рынки</w:t>
            </w:r>
          </w:p>
        </w:tc>
        <w:tc>
          <w:tcPr>
            <w:tcW w:w="1339" w:type="pct"/>
            <w:hideMark/>
          </w:tcPr>
          <w:p w:rsidR="00764D97" w:rsidRPr="00490004" w:rsidRDefault="00337BDC" w:rsidP="00764D97">
            <w:pPr>
              <w:jc w:val="right"/>
              <w:rPr>
                <w:b/>
              </w:rPr>
            </w:pPr>
            <w:r>
              <w:rPr>
                <w:b/>
              </w:rPr>
              <w:t>1 246 824</w:t>
            </w:r>
          </w:p>
        </w:tc>
        <w:tc>
          <w:tcPr>
            <w:tcW w:w="1308" w:type="pct"/>
            <w:tcBorders>
              <w:right w:val="double" w:sz="4" w:space="0" w:color="auto"/>
            </w:tcBorders>
            <w:hideMark/>
          </w:tcPr>
          <w:p w:rsidR="00764D97" w:rsidRPr="00490004" w:rsidRDefault="006970D6" w:rsidP="00764D97">
            <w:pPr>
              <w:jc w:val="right"/>
              <w:rPr>
                <w:b/>
              </w:rPr>
            </w:pPr>
            <w:r>
              <w:rPr>
                <w:b/>
              </w:rPr>
              <w:t>1 418 491</w:t>
            </w:r>
          </w:p>
        </w:tc>
      </w:tr>
      <w:tr w:rsidR="00764D97" w:rsidTr="00D02D22">
        <w:trPr>
          <w:trHeight w:val="552"/>
        </w:trPr>
        <w:tc>
          <w:tcPr>
            <w:tcW w:w="2353" w:type="pct"/>
            <w:tcBorders>
              <w:left w:val="double" w:sz="4" w:space="0" w:color="auto"/>
              <w:bottom w:val="double" w:sz="4" w:space="0" w:color="auto"/>
            </w:tcBorders>
            <w:hideMark/>
          </w:tcPr>
          <w:p w:rsidR="00764D97" w:rsidRDefault="00764D97" w:rsidP="00764D97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339" w:type="pct"/>
            <w:tcBorders>
              <w:bottom w:val="double" w:sz="4" w:space="0" w:color="auto"/>
            </w:tcBorders>
            <w:hideMark/>
          </w:tcPr>
          <w:p w:rsidR="00764D97" w:rsidRPr="00490004" w:rsidRDefault="00764D97" w:rsidP="00764D97">
            <w:pPr>
              <w:jc w:val="right"/>
              <w:rPr>
                <w:b/>
              </w:rPr>
            </w:pPr>
            <w:r w:rsidRPr="00490004">
              <w:rPr>
                <w:b/>
              </w:rPr>
              <w:t>1 309 729</w:t>
            </w:r>
          </w:p>
        </w:tc>
        <w:tc>
          <w:tcPr>
            <w:tcW w:w="1308" w:type="pct"/>
            <w:tcBorders>
              <w:bottom w:val="double" w:sz="4" w:space="0" w:color="auto"/>
              <w:right w:val="double" w:sz="4" w:space="0" w:color="auto"/>
            </w:tcBorders>
            <w:hideMark/>
          </w:tcPr>
          <w:p w:rsidR="00764D97" w:rsidRPr="00490004" w:rsidRDefault="00764D97" w:rsidP="00764D97">
            <w:pPr>
              <w:jc w:val="right"/>
              <w:rPr>
                <w:b/>
              </w:rPr>
            </w:pPr>
            <w:r w:rsidRPr="00490004">
              <w:rPr>
                <w:b/>
              </w:rPr>
              <w:t>1 489 912</w:t>
            </w:r>
          </w:p>
        </w:tc>
      </w:tr>
    </w:tbl>
    <w:bookmarkEnd w:id="28"/>
    <w:p w:rsidR="00D35C7D" w:rsidRDefault="00764D97" w:rsidP="00764D97">
      <w:pPr>
        <w:shd w:val="clear" w:color="auto" w:fill="FFFFFF"/>
        <w:spacing w:before="120" w:after="0" w:line="240" w:lineRule="auto"/>
        <w:jc w:val="both"/>
        <w:rPr>
          <w:rFonts w:cs="Calibri"/>
          <w:b/>
          <w:i/>
          <w:spacing w:val="2"/>
        </w:rPr>
      </w:pPr>
      <w:r>
        <w:rPr>
          <w:rFonts w:cs="Calibri"/>
          <w:b/>
          <w:i/>
          <w:spacing w:val="2"/>
        </w:rPr>
        <w:t xml:space="preserve">Совокупный объем торгов на рынках Московской биржи по итогам 12 месяцев 2024 года составил </w:t>
      </w:r>
      <w:r w:rsidRPr="00490004">
        <w:rPr>
          <w:rFonts w:cs="Calibri"/>
          <w:b/>
          <w:i/>
          <w:spacing w:val="2"/>
        </w:rPr>
        <w:t>1</w:t>
      </w:r>
      <w:r>
        <w:rPr>
          <w:rFonts w:cs="Calibri"/>
          <w:b/>
          <w:i/>
          <w:spacing w:val="2"/>
        </w:rPr>
        <w:t xml:space="preserve"> </w:t>
      </w:r>
      <w:r w:rsidRPr="00490004">
        <w:rPr>
          <w:rFonts w:cs="Calibri"/>
          <w:b/>
          <w:i/>
          <w:spacing w:val="2"/>
        </w:rPr>
        <w:t>489,9</w:t>
      </w:r>
      <w:r>
        <w:rPr>
          <w:rFonts w:cs="Calibri"/>
          <w:b/>
          <w:i/>
          <w:spacing w:val="2"/>
        </w:rPr>
        <w:t xml:space="preserve"> трлн рублей что на 13,8% выше уровня аналогичного периода прошлого года.</w:t>
      </w:r>
    </w:p>
    <w:p w:rsidR="00F02F07" w:rsidRPr="005B5B59" w:rsidRDefault="005B5B59" w:rsidP="00A60963">
      <w:pPr>
        <w:widowControl w:val="0"/>
        <w:numPr>
          <w:ilvl w:val="1"/>
          <w:numId w:val="52"/>
        </w:numPr>
        <w:autoSpaceDE w:val="0"/>
        <w:autoSpaceDN w:val="0"/>
        <w:adjustRightInd w:val="0"/>
        <w:spacing w:before="240" w:after="120" w:line="240" w:lineRule="auto"/>
        <w:jc w:val="both"/>
        <w:outlineLvl w:val="1"/>
        <w:rPr>
          <w:b/>
          <w:bCs/>
        </w:rPr>
      </w:pPr>
      <w:bookmarkStart w:id="29" w:name="_Toc193300340"/>
      <w:bookmarkStart w:id="30" w:name="_Toc193301421"/>
      <w:r w:rsidRPr="00442A5D">
        <w:rPr>
          <w:b/>
          <w:bCs/>
        </w:rPr>
        <w:t>Основные финансовые показатели эмитента</w:t>
      </w:r>
      <w:bookmarkEnd w:id="29"/>
      <w:bookmarkEnd w:id="30"/>
    </w:p>
    <w:p w:rsidR="0018022C" w:rsidRPr="003B5477" w:rsidRDefault="0018022C" w:rsidP="00257621">
      <w:pPr>
        <w:widowControl w:val="0"/>
        <w:autoSpaceDE w:val="0"/>
        <w:autoSpaceDN w:val="0"/>
        <w:adjustRightInd w:val="0"/>
        <w:spacing w:before="240" w:after="120" w:line="240" w:lineRule="auto"/>
        <w:ind w:left="391"/>
        <w:jc w:val="both"/>
        <w:outlineLvl w:val="1"/>
        <w:rPr>
          <w:bCs/>
        </w:rPr>
      </w:pPr>
      <w:bookmarkStart w:id="31" w:name="_Toc193300341"/>
      <w:bookmarkStart w:id="32" w:name="_Toc193300696"/>
      <w:bookmarkStart w:id="33" w:name="_Toc193301179"/>
      <w:bookmarkStart w:id="34" w:name="_Toc193301422"/>
      <w:bookmarkEnd w:id="23"/>
      <w:bookmarkEnd w:id="24"/>
      <w:bookmarkEnd w:id="25"/>
      <w:r w:rsidRPr="003B5477">
        <w:rPr>
          <w:bCs/>
        </w:rPr>
        <w:t>1.4.1</w:t>
      </w:r>
      <w:r w:rsidR="00663FB5" w:rsidRPr="003B5477">
        <w:t xml:space="preserve"> </w:t>
      </w:r>
      <w:r w:rsidR="009E0CA5" w:rsidRPr="003B5477">
        <w:t>Эмитенты, за исключением кредитных организаций, составляющие консолидированную финансовую отчетность (финансовую отчетность), приводят следующие основные финансовые показатели, рассчитываемые на ее основе:</w:t>
      </w:r>
      <w:bookmarkEnd w:id="31"/>
      <w:bookmarkEnd w:id="32"/>
      <w:bookmarkEnd w:id="33"/>
      <w:bookmarkEnd w:id="34"/>
    </w:p>
    <w:p w:rsidR="00F66DE3" w:rsidRPr="003B5477" w:rsidRDefault="00F66DE3" w:rsidP="00257621">
      <w:pPr>
        <w:widowControl w:val="0"/>
        <w:autoSpaceDE w:val="0"/>
        <w:autoSpaceDN w:val="0"/>
        <w:adjustRightInd w:val="0"/>
        <w:spacing w:after="120" w:line="240" w:lineRule="auto"/>
        <w:ind w:left="198"/>
        <w:jc w:val="both"/>
      </w:pPr>
      <w:r w:rsidRPr="003B5477">
        <w:t>Финансовые показатели</w:t>
      </w:r>
    </w:p>
    <w:tbl>
      <w:tblPr>
        <w:tblW w:w="4884" w:type="pct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3768"/>
        <w:gridCol w:w="2431"/>
        <w:gridCol w:w="2500"/>
      </w:tblGrid>
      <w:tr w:rsidR="00F66DE3" w:rsidRPr="003B5477" w:rsidTr="00D02D22">
        <w:tc>
          <w:tcPr>
            <w:tcW w:w="348" w:type="pct"/>
            <w:tcBorders>
              <w:top w:val="double" w:sz="4" w:space="0" w:color="auto"/>
              <w:left w:val="double" w:sz="4" w:space="0" w:color="auto"/>
            </w:tcBorders>
          </w:tcPr>
          <w:p w:rsidR="00F66DE3" w:rsidRPr="003B5477" w:rsidRDefault="00F66DE3" w:rsidP="00F66DE3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b/>
              </w:rPr>
            </w:pPr>
            <w:r w:rsidRPr="003B5477">
              <w:rPr>
                <w:b/>
              </w:rPr>
              <w:t>N п/п</w:t>
            </w:r>
          </w:p>
        </w:tc>
        <w:tc>
          <w:tcPr>
            <w:tcW w:w="2015" w:type="pct"/>
            <w:tcBorders>
              <w:top w:val="double" w:sz="4" w:space="0" w:color="auto"/>
            </w:tcBorders>
          </w:tcPr>
          <w:p w:rsidR="00F66DE3" w:rsidRPr="003B5477" w:rsidRDefault="00F66DE3" w:rsidP="00F66DE3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b/>
              </w:rPr>
            </w:pPr>
            <w:r w:rsidRPr="003B5477">
              <w:rPr>
                <w:b/>
              </w:rPr>
              <w:t>Наименование показателя</w:t>
            </w:r>
          </w:p>
        </w:tc>
        <w:tc>
          <w:tcPr>
            <w:tcW w:w="1300" w:type="pct"/>
            <w:tcBorders>
              <w:top w:val="double" w:sz="4" w:space="0" w:color="auto"/>
            </w:tcBorders>
          </w:tcPr>
          <w:p w:rsidR="00F66DE3" w:rsidRPr="003B5477" w:rsidRDefault="00F66DE3" w:rsidP="00F66DE3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b/>
              </w:rPr>
            </w:pPr>
            <w:r w:rsidRPr="003B5477">
              <w:rPr>
                <w:b/>
                <w:sz w:val="20"/>
                <w:szCs w:val="20"/>
              </w:rPr>
              <w:t>202</w:t>
            </w:r>
            <w:r w:rsidR="003B5477" w:rsidRPr="003B5477">
              <w:rPr>
                <w:b/>
                <w:sz w:val="20"/>
                <w:szCs w:val="20"/>
              </w:rPr>
              <w:t>3</w:t>
            </w:r>
            <w:r w:rsidRPr="003B5477">
              <w:rPr>
                <w:b/>
                <w:sz w:val="20"/>
                <w:szCs w:val="20"/>
              </w:rPr>
              <w:t xml:space="preserve">, </w:t>
            </w:r>
            <w:r w:rsidR="007A1C56" w:rsidRPr="003B5477">
              <w:rPr>
                <w:b/>
                <w:sz w:val="20"/>
                <w:szCs w:val="20"/>
              </w:rPr>
              <w:t>12</w:t>
            </w:r>
            <w:r w:rsidRPr="003B5477">
              <w:rPr>
                <w:b/>
                <w:sz w:val="20"/>
                <w:szCs w:val="20"/>
              </w:rPr>
              <w:t xml:space="preserve"> мес.</w:t>
            </w:r>
          </w:p>
        </w:tc>
        <w:tc>
          <w:tcPr>
            <w:tcW w:w="1337" w:type="pct"/>
            <w:tcBorders>
              <w:top w:val="double" w:sz="4" w:space="0" w:color="auto"/>
              <w:right w:val="double" w:sz="4" w:space="0" w:color="auto"/>
            </w:tcBorders>
          </w:tcPr>
          <w:p w:rsidR="00F66DE3" w:rsidRPr="003B5477" w:rsidRDefault="00F66DE3" w:rsidP="00F66DE3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b/>
              </w:rPr>
            </w:pPr>
            <w:r w:rsidRPr="003B5477">
              <w:rPr>
                <w:b/>
                <w:sz w:val="20"/>
                <w:szCs w:val="20"/>
              </w:rPr>
              <w:t>202</w:t>
            </w:r>
            <w:r w:rsidR="003B5477" w:rsidRPr="003B5477">
              <w:rPr>
                <w:b/>
                <w:sz w:val="20"/>
                <w:szCs w:val="20"/>
              </w:rPr>
              <w:t>4</w:t>
            </w:r>
            <w:r w:rsidRPr="003B5477">
              <w:rPr>
                <w:b/>
                <w:sz w:val="20"/>
                <w:szCs w:val="20"/>
              </w:rPr>
              <w:t xml:space="preserve">, </w:t>
            </w:r>
            <w:r w:rsidR="007A1C56" w:rsidRPr="003B5477">
              <w:rPr>
                <w:b/>
                <w:sz w:val="20"/>
                <w:szCs w:val="20"/>
              </w:rPr>
              <w:t>12</w:t>
            </w:r>
            <w:r w:rsidRPr="003B5477">
              <w:rPr>
                <w:b/>
                <w:sz w:val="20"/>
                <w:szCs w:val="20"/>
              </w:rPr>
              <w:t xml:space="preserve"> мес.</w:t>
            </w:r>
          </w:p>
        </w:tc>
      </w:tr>
      <w:tr w:rsidR="003B5477" w:rsidRPr="003B5477" w:rsidTr="00D02D22">
        <w:tc>
          <w:tcPr>
            <w:tcW w:w="348" w:type="pct"/>
            <w:tcBorders>
              <w:left w:val="double" w:sz="4" w:space="0" w:color="auto"/>
            </w:tcBorders>
          </w:tcPr>
          <w:p w:rsidR="003B5477" w:rsidRPr="003B5477" w:rsidRDefault="003B5477" w:rsidP="003B5477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3B5477">
              <w:t>1</w:t>
            </w:r>
          </w:p>
        </w:tc>
        <w:tc>
          <w:tcPr>
            <w:tcW w:w="2015" w:type="pct"/>
          </w:tcPr>
          <w:p w:rsidR="003B5477" w:rsidRPr="003B5477" w:rsidRDefault="003B5477" w:rsidP="003B5477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3B5477">
              <w:t>Выручка, млн руб.</w:t>
            </w:r>
          </w:p>
        </w:tc>
        <w:tc>
          <w:tcPr>
            <w:tcW w:w="1300" w:type="pct"/>
          </w:tcPr>
          <w:p w:rsidR="003B5477" w:rsidRPr="005E66FC" w:rsidRDefault="003B5477" w:rsidP="003B5477">
            <w:pPr>
              <w:jc w:val="center"/>
            </w:pPr>
            <w:r w:rsidRPr="0067529E">
              <w:t>104 661,0</w:t>
            </w:r>
          </w:p>
        </w:tc>
        <w:tc>
          <w:tcPr>
            <w:tcW w:w="1337" w:type="pct"/>
            <w:tcBorders>
              <w:right w:val="double" w:sz="4" w:space="0" w:color="auto"/>
            </w:tcBorders>
          </w:tcPr>
          <w:p w:rsidR="003B5477" w:rsidRPr="0067529E" w:rsidRDefault="003B5477" w:rsidP="003B5477">
            <w:pPr>
              <w:jc w:val="center"/>
            </w:pPr>
            <w:r>
              <w:t>145 093,0</w:t>
            </w:r>
          </w:p>
        </w:tc>
      </w:tr>
      <w:tr w:rsidR="003B5477" w:rsidRPr="003B5477" w:rsidTr="00D02D22">
        <w:tc>
          <w:tcPr>
            <w:tcW w:w="348" w:type="pct"/>
            <w:tcBorders>
              <w:left w:val="double" w:sz="4" w:space="0" w:color="auto"/>
            </w:tcBorders>
          </w:tcPr>
          <w:p w:rsidR="003B5477" w:rsidRPr="003B5477" w:rsidRDefault="003B5477" w:rsidP="003B5477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3B5477">
              <w:t>2</w:t>
            </w:r>
          </w:p>
        </w:tc>
        <w:tc>
          <w:tcPr>
            <w:tcW w:w="2015" w:type="pct"/>
          </w:tcPr>
          <w:p w:rsidR="003B5477" w:rsidRPr="003B5477" w:rsidRDefault="003B5477" w:rsidP="003B5477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3B5477">
              <w:t>Прибыль до вычета расходов по выплате процентов, налогов, износа основных средств и амортизации нематериальных активов (EBITDA), млн руб.</w:t>
            </w:r>
          </w:p>
        </w:tc>
        <w:tc>
          <w:tcPr>
            <w:tcW w:w="1300" w:type="pct"/>
          </w:tcPr>
          <w:p w:rsidR="003B5477" w:rsidRPr="005E66FC" w:rsidRDefault="003B5477" w:rsidP="003B5477">
            <w:pPr>
              <w:jc w:val="center"/>
            </w:pPr>
            <w:r w:rsidRPr="0067529E">
              <w:t>82 231,2</w:t>
            </w:r>
          </w:p>
        </w:tc>
        <w:tc>
          <w:tcPr>
            <w:tcW w:w="1337" w:type="pct"/>
            <w:tcBorders>
              <w:right w:val="double" w:sz="4" w:space="0" w:color="auto"/>
            </w:tcBorders>
          </w:tcPr>
          <w:p w:rsidR="003B5477" w:rsidRPr="0067529E" w:rsidRDefault="003B5477" w:rsidP="003B5477">
            <w:pPr>
              <w:jc w:val="center"/>
            </w:pPr>
            <w:r>
              <w:t>103 201,7</w:t>
            </w:r>
          </w:p>
        </w:tc>
      </w:tr>
      <w:tr w:rsidR="003B5477" w:rsidRPr="003B5477" w:rsidTr="00D02D22">
        <w:tc>
          <w:tcPr>
            <w:tcW w:w="348" w:type="pct"/>
            <w:tcBorders>
              <w:left w:val="double" w:sz="4" w:space="0" w:color="auto"/>
            </w:tcBorders>
          </w:tcPr>
          <w:p w:rsidR="003B5477" w:rsidRPr="003B5477" w:rsidRDefault="003B5477" w:rsidP="003B5477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3B5477">
              <w:lastRenderedPageBreak/>
              <w:t>3</w:t>
            </w:r>
          </w:p>
        </w:tc>
        <w:tc>
          <w:tcPr>
            <w:tcW w:w="2015" w:type="pct"/>
          </w:tcPr>
          <w:p w:rsidR="003B5477" w:rsidRPr="003B5477" w:rsidRDefault="003B5477" w:rsidP="003B5477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3B5477">
              <w:t>Рентабельность по EBITDA (EBITDA margin), %</w:t>
            </w:r>
          </w:p>
        </w:tc>
        <w:tc>
          <w:tcPr>
            <w:tcW w:w="1300" w:type="pct"/>
          </w:tcPr>
          <w:p w:rsidR="003B5477" w:rsidRPr="005E66FC" w:rsidRDefault="003B5477" w:rsidP="003B5477">
            <w:pPr>
              <w:jc w:val="center"/>
            </w:pPr>
            <w:r w:rsidRPr="0067529E">
              <w:t>78,6</w:t>
            </w:r>
          </w:p>
        </w:tc>
        <w:tc>
          <w:tcPr>
            <w:tcW w:w="1337" w:type="pct"/>
            <w:tcBorders>
              <w:right w:val="double" w:sz="4" w:space="0" w:color="auto"/>
            </w:tcBorders>
          </w:tcPr>
          <w:p w:rsidR="003B5477" w:rsidRPr="0067529E" w:rsidRDefault="003B5477" w:rsidP="003B5477">
            <w:pPr>
              <w:jc w:val="center"/>
            </w:pPr>
            <w:r>
              <w:t>71,1</w:t>
            </w:r>
          </w:p>
        </w:tc>
      </w:tr>
      <w:tr w:rsidR="003B5477" w:rsidRPr="003B5477" w:rsidTr="00D02D22">
        <w:tc>
          <w:tcPr>
            <w:tcW w:w="348" w:type="pct"/>
            <w:tcBorders>
              <w:left w:val="double" w:sz="4" w:space="0" w:color="auto"/>
            </w:tcBorders>
          </w:tcPr>
          <w:p w:rsidR="003B5477" w:rsidRPr="003B5477" w:rsidRDefault="003B5477" w:rsidP="003B5477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3B5477">
              <w:t>4</w:t>
            </w:r>
          </w:p>
        </w:tc>
        <w:tc>
          <w:tcPr>
            <w:tcW w:w="2015" w:type="pct"/>
          </w:tcPr>
          <w:p w:rsidR="003B5477" w:rsidRPr="003B5477" w:rsidRDefault="003B5477" w:rsidP="003B5477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3B5477">
              <w:t>Чистая прибыль (убыток), млн руб.</w:t>
            </w:r>
          </w:p>
        </w:tc>
        <w:tc>
          <w:tcPr>
            <w:tcW w:w="1300" w:type="pct"/>
          </w:tcPr>
          <w:p w:rsidR="003B5477" w:rsidRPr="005E66FC" w:rsidRDefault="003B5477" w:rsidP="003B5477">
            <w:pPr>
              <w:jc w:val="center"/>
            </w:pPr>
            <w:r w:rsidRPr="0067529E">
              <w:t>60 769,5</w:t>
            </w:r>
          </w:p>
        </w:tc>
        <w:tc>
          <w:tcPr>
            <w:tcW w:w="1337" w:type="pct"/>
            <w:tcBorders>
              <w:right w:val="double" w:sz="4" w:space="0" w:color="auto"/>
            </w:tcBorders>
          </w:tcPr>
          <w:p w:rsidR="003B5477" w:rsidRPr="0067529E" w:rsidRDefault="003B5477" w:rsidP="003B5477">
            <w:pPr>
              <w:jc w:val="center"/>
            </w:pPr>
            <w:r>
              <w:t>79 247,6</w:t>
            </w:r>
          </w:p>
        </w:tc>
      </w:tr>
      <w:tr w:rsidR="003B5477" w:rsidRPr="003B5477" w:rsidTr="00D02D22">
        <w:tc>
          <w:tcPr>
            <w:tcW w:w="348" w:type="pct"/>
            <w:tcBorders>
              <w:left w:val="double" w:sz="4" w:space="0" w:color="auto"/>
            </w:tcBorders>
          </w:tcPr>
          <w:p w:rsidR="003B5477" w:rsidRPr="003B5477" w:rsidRDefault="003B5477" w:rsidP="003B5477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3B5477">
              <w:t>5</w:t>
            </w:r>
          </w:p>
        </w:tc>
        <w:tc>
          <w:tcPr>
            <w:tcW w:w="2015" w:type="pct"/>
          </w:tcPr>
          <w:p w:rsidR="003B5477" w:rsidRPr="003B5477" w:rsidRDefault="003B5477" w:rsidP="003B5477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3B5477">
              <w:t>Чистые денежные средства, полученные от операционной деятельности, млн руб.</w:t>
            </w:r>
          </w:p>
        </w:tc>
        <w:tc>
          <w:tcPr>
            <w:tcW w:w="1300" w:type="pct"/>
          </w:tcPr>
          <w:p w:rsidR="003B5477" w:rsidRPr="005E66FC" w:rsidRDefault="003B5477" w:rsidP="003B5477">
            <w:pPr>
              <w:jc w:val="center"/>
            </w:pPr>
            <w:r w:rsidRPr="0067529E">
              <w:t>(74 810,9)</w:t>
            </w:r>
          </w:p>
        </w:tc>
        <w:tc>
          <w:tcPr>
            <w:tcW w:w="1337" w:type="pct"/>
            <w:tcBorders>
              <w:right w:val="double" w:sz="4" w:space="0" w:color="auto"/>
            </w:tcBorders>
          </w:tcPr>
          <w:p w:rsidR="003B5477" w:rsidRPr="0067529E" w:rsidRDefault="003B5477" w:rsidP="003B5477">
            <w:pPr>
              <w:jc w:val="center"/>
            </w:pPr>
            <w:r>
              <w:t>546 920,1</w:t>
            </w:r>
          </w:p>
        </w:tc>
      </w:tr>
      <w:tr w:rsidR="003B5477" w:rsidRPr="003B5477" w:rsidTr="00D02D22">
        <w:tc>
          <w:tcPr>
            <w:tcW w:w="348" w:type="pct"/>
            <w:tcBorders>
              <w:left w:val="double" w:sz="4" w:space="0" w:color="auto"/>
            </w:tcBorders>
          </w:tcPr>
          <w:p w:rsidR="003B5477" w:rsidRPr="003B5477" w:rsidRDefault="003B5477" w:rsidP="003B5477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3B5477">
              <w:t>6</w:t>
            </w:r>
          </w:p>
        </w:tc>
        <w:tc>
          <w:tcPr>
            <w:tcW w:w="2015" w:type="pct"/>
          </w:tcPr>
          <w:p w:rsidR="003B5477" w:rsidRPr="003B5477" w:rsidRDefault="003B5477" w:rsidP="003B5477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3B5477">
              <w:t>Расходы на приобретение основных средств и нематериальных активов (капитальные затраты), млн руб.</w:t>
            </w:r>
          </w:p>
        </w:tc>
        <w:tc>
          <w:tcPr>
            <w:tcW w:w="1300" w:type="pct"/>
          </w:tcPr>
          <w:p w:rsidR="003B5477" w:rsidRPr="005E66FC" w:rsidRDefault="003B5477" w:rsidP="003B5477">
            <w:pPr>
              <w:jc w:val="center"/>
            </w:pPr>
            <w:r w:rsidRPr="0067529E">
              <w:t>4 041,3</w:t>
            </w:r>
          </w:p>
        </w:tc>
        <w:tc>
          <w:tcPr>
            <w:tcW w:w="1337" w:type="pct"/>
            <w:tcBorders>
              <w:right w:val="double" w:sz="4" w:space="0" w:color="auto"/>
            </w:tcBorders>
          </w:tcPr>
          <w:p w:rsidR="003B5477" w:rsidRPr="0067529E" w:rsidRDefault="003B5477" w:rsidP="003B5477">
            <w:pPr>
              <w:jc w:val="center"/>
            </w:pPr>
            <w:r>
              <w:t>12 501,6</w:t>
            </w:r>
          </w:p>
        </w:tc>
      </w:tr>
      <w:tr w:rsidR="003B5477" w:rsidRPr="003B5477" w:rsidTr="00D02D22">
        <w:tc>
          <w:tcPr>
            <w:tcW w:w="348" w:type="pct"/>
            <w:tcBorders>
              <w:left w:val="double" w:sz="4" w:space="0" w:color="auto"/>
            </w:tcBorders>
          </w:tcPr>
          <w:p w:rsidR="003B5477" w:rsidRPr="003B5477" w:rsidRDefault="003B5477" w:rsidP="003B5477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3B5477">
              <w:t>7</w:t>
            </w:r>
          </w:p>
        </w:tc>
        <w:tc>
          <w:tcPr>
            <w:tcW w:w="2015" w:type="pct"/>
          </w:tcPr>
          <w:p w:rsidR="003B5477" w:rsidRPr="003B5477" w:rsidRDefault="003B5477" w:rsidP="003B5477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3B5477">
              <w:t>Свободный денежный поток, млн руб.</w:t>
            </w:r>
          </w:p>
        </w:tc>
        <w:tc>
          <w:tcPr>
            <w:tcW w:w="1300" w:type="pct"/>
          </w:tcPr>
          <w:p w:rsidR="003B5477" w:rsidRPr="005E66FC" w:rsidRDefault="003B5477" w:rsidP="003B5477">
            <w:pPr>
              <w:jc w:val="center"/>
            </w:pPr>
            <w:r w:rsidRPr="0067529E">
              <w:t>(78 852,2)</w:t>
            </w:r>
          </w:p>
        </w:tc>
        <w:tc>
          <w:tcPr>
            <w:tcW w:w="1337" w:type="pct"/>
            <w:tcBorders>
              <w:right w:val="double" w:sz="4" w:space="0" w:color="auto"/>
            </w:tcBorders>
          </w:tcPr>
          <w:p w:rsidR="003B5477" w:rsidRPr="0067529E" w:rsidRDefault="003B5477" w:rsidP="003B5477">
            <w:pPr>
              <w:jc w:val="center"/>
            </w:pPr>
            <w:r>
              <w:t>534 418,5</w:t>
            </w:r>
          </w:p>
        </w:tc>
      </w:tr>
      <w:tr w:rsidR="003B5477" w:rsidRPr="003B5477" w:rsidTr="00D02D22">
        <w:tc>
          <w:tcPr>
            <w:tcW w:w="348" w:type="pct"/>
            <w:tcBorders>
              <w:left w:val="double" w:sz="4" w:space="0" w:color="auto"/>
            </w:tcBorders>
          </w:tcPr>
          <w:p w:rsidR="003B5477" w:rsidRPr="003B5477" w:rsidRDefault="003B5477" w:rsidP="003B5477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3B5477">
              <w:t>8</w:t>
            </w:r>
          </w:p>
        </w:tc>
        <w:tc>
          <w:tcPr>
            <w:tcW w:w="2015" w:type="pct"/>
          </w:tcPr>
          <w:p w:rsidR="003B5477" w:rsidRPr="003B5477" w:rsidRDefault="003B5477" w:rsidP="003B5477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3B5477">
              <w:t>Собственные денежные средства, млн руб.</w:t>
            </w:r>
          </w:p>
        </w:tc>
        <w:tc>
          <w:tcPr>
            <w:tcW w:w="1300" w:type="pct"/>
          </w:tcPr>
          <w:p w:rsidR="003B5477" w:rsidRPr="005E66FC" w:rsidRDefault="003B5477" w:rsidP="003B5477">
            <w:pPr>
              <w:jc w:val="center"/>
            </w:pPr>
            <w:r w:rsidRPr="0067529E">
              <w:t>139 069,1</w:t>
            </w:r>
          </w:p>
        </w:tc>
        <w:tc>
          <w:tcPr>
            <w:tcW w:w="1337" w:type="pct"/>
            <w:tcBorders>
              <w:right w:val="double" w:sz="4" w:space="0" w:color="auto"/>
            </w:tcBorders>
          </w:tcPr>
          <w:p w:rsidR="003B5477" w:rsidRPr="0067529E" w:rsidRDefault="003B5477" w:rsidP="003B5477">
            <w:pPr>
              <w:jc w:val="center"/>
            </w:pPr>
            <w:r>
              <w:t>132 463,0</w:t>
            </w:r>
          </w:p>
        </w:tc>
      </w:tr>
      <w:tr w:rsidR="003B5477" w:rsidRPr="003B5477" w:rsidTr="00D02D22">
        <w:tc>
          <w:tcPr>
            <w:tcW w:w="348" w:type="pct"/>
            <w:tcBorders>
              <w:left w:val="double" w:sz="4" w:space="0" w:color="auto"/>
            </w:tcBorders>
          </w:tcPr>
          <w:p w:rsidR="003B5477" w:rsidRPr="003B5477" w:rsidRDefault="003B5477" w:rsidP="003B5477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3B5477">
              <w:t>9</w:t>
            </w:r>
          </w:p>
        </w:tc>
        <w:tc>
          <w:tcPr>
            <w:tcW w:w="2015" w:type="pct"/>
          </w:tcPr>
          <w:p w:rsidR="003B5477" w:rsidRPr="003B5477" w:rsidRDefault="003B5477" w:rsidP="003B5477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3B5477">
              <w:t>Отношение собственных денежных средств к EBITDA за последние 12 месяцев</w:t>
            </w:r>
          </w:p>
        </w:tc>
        <w:tc>
          <w:tcPr>
            <w:tcW w:w="1300" w:type="pct"/>
          </w:tcPr>
          <w:p w:rsidR="003B5477" w:rsidRPr="005E66FC" w:rsidRDefault="003B5477" w:rsidP="003B5477">
            <w:pPr>
              <w:jc w:val="center"/>
            </w:pPr>
            <w:r w:rsidRPr="0067529E">
              <w:t>-2,80</w:t>
            </w:r>
          </w:p>
        </w:tc>
        <w:tc>
          <w:tcPr>
            <w:tcW w:w="1337" w:type="pct"/>
            <w:tcBorders>
              <w:right w:val="double" w:sz="4" w:space="0" w:color="auto"/>
            </w:tcBorders>
          </w:tcPr>
          <w:p w:rsidR="003B5477" w:rsidRPr="0067529E" w:rsidRDefault="003B5477" w:rsidP="003B5477">
            <w:pPr>
              <w:jc w:val="center"/>
            </w:pPr>
            <w:r>
              <w:t>-1,61</w:t>
            </w:r>
          </w:p>
        </w:tc>
      </w:tr>
      <w:tr w:rsidR="003B5477" w:rsidRPr="003B5477" w:rsidTr="00D02D22">
        <w:trPr>
          <w:trHeight w:val="428"/>
        </w:trPr>
        <w:tc>
          <w:tcPr>
            <w:tcW w:w="348" w:type="pct"/>
            <w:tcBorders>
              <w:left w:val="double" w:sz="4" w:space="0" w:color="auto"/>
              <w:bottom w:val="double" w:sz="4" w:space="0" w:color="auto"/>
            </w:tcBorders>
          </w:tcPr>
          <w:p w:rsidR="003B5477" w:rsidRPr="003B5477" w:rsidRDefault="003B5477" w:rsidP="003B5477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3B5477">
              <w:t>10</w:t>
            </w:r>
          </w:p>
        </w:tc>
        <w:tc>
          <w:tcPr>
            <w:tcW w:w="2015" w:type="pct"/>
            <w:tcBorders>
              <w:bottom w:val="double" w:sz="4" w:space="0" w:color="auto"/>
            </w:tcBorders>
          </w:tcPr>
          <w:p w:rsidR="003B5477" w:rsidRPr="003B5477" w:rsidRDefault="003B5477" w:rsidP="003B5477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both"/>
            </w:pPr>
            <w:r w:rsidRPr="003B5477">
              <w:t>Рентабельность капитала (ROE), %</w:t>
            </w:r>
          </w:p>
        </w:tc>
        <w:tc>
          <w:tcPr>
            <w:tcW w:w="1300" w:type="pct"/>
            <w:tcBorders>
              <w:bottom w:val="double" w:sz="4" w:space="0" w:color="auto"/>
            </w:tcBorders>
          </w:tcPr>
          <w:p w:rsidR="003B5477" w:rsidRPr="005E66FC" w:rsidRDefault="003B5477" w:rsidP="003B5477">
            <w:pPr>
              <w:jc w:val="center"/>
            </w:pPr>
            <w:r w:rsidRPr="0067529E">
              <w:t>30,4</w:t>
            </w:r>
          </w:p>
        </w:tc>
        <w:tc>
          <w:tcPr>
            <w:tcW w:w="1337" w:type="pct"/>
            <w:tcBorders>
              <w:bottom w:val="double" w:sz="4" w:space="0" w:color="auto"/>
              <w:right w:val="double" w:sz="4" w:space="0" w:color="auto"/>
            </w:tcBorders>
          </w:tcPr>
          <w:p w:rsidR="003B5477" w:rsidRDefault="003B5477" w:rsidP="003B5477">
            <w:pPr>
              <w:jc w:val="center"/>
            </w:pPr>
            <w:r>
              <w:t>32,7</w:t>
            </w:r>
          </w:p>
        </w:tc>
      </w:tr>
    </w:tbl>
    <w:p w:rsidR="003B5477" w:rsidRPr="007A1C56" w:rsidRDefault="003B5477" w:rsidP="003B5477">
      <w:pPr>
        <w:widowControl w:val="0"/>
        <w:autoSpaceDE w:val="0"/>
        <w:autoSpaceDN w:val="0"/>
        <w:adjustRightInd w:val="0"/>
        <w:spacing w:before="240" w:after="120" w:line="240" w:lineRule="auto"/>
        <w:jc w:val="both"/>
      </w:pPr>
      <w:r w:rsidRPr="007A1C56">
        <w:t>Методика расчета показателей:</w:t>
      </w:r>
    </w:p>
    <w:p w:rsidR="003B5477" w:rsidRPr="007A1C56" w:rsidRDefault="003B5477" w:rsidP="00A6096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7A1C56">
        <w:rPr>
          <w:b/>
          <w:i/>
        </w:rPr>
        <w:t xml:space="preserve">Выручка: согласно учетной политике Группы выручкой признаются операционные доходы, которые включают в себя следующие статьи </w:t>
      </w:r>
      <w:r>
        <w:rPr>
          <w:b/>
          <w:i/>
        </w:rPr>
        <w:t>консолидированного отчета о прибылях и убытках:</w:t>
      </w:r>
    </w:p>
    <w:p w:rsidR="003B5477" w:rsidRPr="007A1C56" w:rsidRDefault="003B5477" w:rsidP="00A609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/>
          <w:i/>
        </w:rPr>
      </w:pPr>
      <w:r w:rsidRPr="007A1C56">
        <w:rPr>
          <w:b/>
          <w:i/>
        </w:rPr>
        <w:t>комиссионные доходы,</w:t>
      </w:r>
    </w:p>
    <w:p w:rsidR="003B5477" w:rsidRPr="007A1C56" w:rsidRDefault="003B5477" w:rsidP="00A609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/>
          <w:i/>
        </w:rPr>
      </w:pPr>
      <w:r w:rsidRPr="007A1C56">
        <w:rPr>
          <w:b/>
          <w:i/>
        </w:rPr>
        <w:t>процентные доходы за вычетом процентных расходов,</w:t>
      </w:r>
    </w:p>
    <w:p w:rsidR="003B5477" w:rsidRPr="007A1C56" w:rsidRDefault="003B5477" w:rsidP="00A609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/>
          <w:i/>
        </w:rPr>
      </w:pPr>
      <w:r w:rsidRPr="007A1C56">
        <w:rPr>
          <w:b/>
          <w:i/>
        </w:rPr>
        <w:t>чистая прибыль/(убыток) по финансовым инструментам, оцениваемым по справедливой стоимости через прибыль или убыток,</w:t>
      </w:r>
    </w:p>
    <w:p w:rsidR="003B5477" w:rsidRDefault="003B5477" w:rsidP="00A609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/>
          <w:i/>
        </w:rPr>
      </w:pPr>
      <w:r w:rsidRPr="007A1C56">
        <w:rPr>
          <w:b/>
          <w:i/>
        </w:rPr>
        <w:t>чистая прибыль/(убыток) по финансовым активам, оцениваемым по справедливой стоимости через прочий совокупный доход,</w:t>
      </w:r>
    </w:p>
    <w:p w:rsidR="003B5477" w:rsidRPr="007A1C56" w:rsidRDefault="003B5477" w:rsidP="00A609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/>
          <w:i/>
        </w:rPr>
      </w:pPr>
      <w:r w:rsidRPr="007A1C56">
        <w:rPr>
          <w:b/>
          <w:i/>
        </w:rPr>
        <w:t>доходы за вычетом расходов по операциям в иностранной валюте и с драгоценными металлами и</w:t>
      </w:r>
    </w:p>
    <w:p w:rsidR="003B5477" w:rsidRPr="00C11155" w:rsidRDefault="003B5477" w:rsidP="00A609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/>
          <w:i/>
        </w:rPr>
      </w:pPr>
      <w:r w:rsidRPr="00C11155">
        <w:rPr>
          <w:b/>
          <w:i/>
        </w:rPr>
        <w:t>прочие операционные доходы.</w:t>
      </w:r>
    </w:p>
    <w:p w:rsidR="003B5477" w:rsidRDefault="003B5477" w:rsidP="00A60963">
      <w:pPr>
        <w:keepLines/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b/>
          <w:i/>
        </w:rPr>
      </w:pPr>
      <w:r w:rsidRPr="007C39A0">
        <w:rPr>
          <w:b/>
          <w:i/>
        </w:rPr>
        <w:t>Прибыль до вычета расходов по выплате процентов, налогов, износа основных средств и амортизации нематериальных активов (EBITDA)</w:t>
      </w:r>
      <w:r>
        <w:rPr>
          <w:b/>
          <w:i/>
        </w:rPr>
        <w:t>: с</w:t>
      </w:r>
      <w:r w:rsidRPr="007C39A0">
        <w:rPr>
          <w:b/>
          <w:i/>
        </w:rPr>
        <w:t xml:space="preserve">умма прибыли (убытка) до налогообложения </w:t>
      </w:r>
      <w:r w:rsidRPr="00E713DF">
        <w:rPr>
          <w:b/>
          <w:i/>
        </w:rPr>
        <w:t>до вычета амортизации по основным средствам и нематериальным активам</w:t>
      </w:r>
      <w:r>
        <w:rPr>
          <w:b/>
          <w:i/>
        </w:rPr>
        <w:t>.</w:t>
      </w:r>
    </w:p>
    <w:p w:rsidR="003B5477" w:rsidRDefault="003B5477" w:rsidP="00A6096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C11155">
        <w:rPr>
          <w:b/>
          <w:i/>
        </w:rPr>
        <w:t>Рентабельность по EBITDA (EBITDA margin): отношение показателя EBITDA к выручке (операционным доходам).</w:t>
      </w:r>
    </w:p>
    <w:p w:rsidR="003B5477" w:rsidRDefault="003B5477" w:rsidP="00A6096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AF4DFE">
        <w:rPr>
          <w:b/>
          <w:i/>
        </w:rPr>
        <w:t>Чистая прибыль (убыток)</w:t>
      </w:r>
      <w:r>
        <w:rPr>
          <w:b/>
          <w:i/>
        </w:rPr>
        <w:t xml:space="preserve">: превышение всех доходов над всеми расходами, включая расходы по налогу на прибыль (превышение всех расходов, включая расходы по налогу на прибыль, над всеми доходами). </w:t>
      </w:r>
    </w:p>
    <w:p w:rsidR="003B5477" w:rsidRPr="00C11155" w:rsidRDefault="003B5477" w:rsidP="00A6096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AF4DFE">
        <w:rPr>
          <w:b/>
          <w:i/>
        </w:rPr>
        <w:t>Чистые денежные средства, полученные от операционной деятельности</w:t>
      </w:r>
      <w:r>
        <w:rPr>
          <w:b/>
          <w:i/>
        </w:rPr>
        <w:t>: поступления денежных средств за вычетом расходования денежных средств, полученных от основной деятельности.</w:t>
      </w:r>
    </w:p>
    <w:p w:rsidR="003B5477" w:rsidRPr="00C11155" w:rsidRDefault="003B5477" w:rsidP="00A6096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C11155">
        <w:rPr>
          <w:b/>
          <w:i/>
        </w:rPr>
        <w:t xml:space="preserve">Расходы на приобретение основных средств и нематериальных активов (капитальные затраты): итого по строке </w:t>
      </w:r>
      <w:r>
        <w:rPr>
          <w:b/>
          <w:i/>
        </w:rPr>
        <w:t>Поступления</w:t>
      </w:r>
      <w:r w:rsidRPr="00C11155">
        <w:rPr>
          <w:b/>
          <w:i/>
        </w:rPr>
        <w:t xml:space="preserve"> из примечаний</w:t>
      </w:r>
      <w:r>
        <w:rPr>
          <w:b/>
          <w:i/>
        </w:rPr>
        <w:t xml:space="preserve"> </w:t>
      </w:r>
      <w:r w:rsidRPr="00C11155">
        <w:rPr>
          <w:b/>
          <w:i/>
        </w:rPr>
        <w:t>обобщенной консолидированной финансовой отчетности (далее – «ОКФО») по нематериальным активам (прим. 1</w:t>
      </w:r>
      <w:r>
        <w:rPr>
          <w:b/>
          <w:i/>
        </w:rPr>
        <w:t>9</w:t>
      </w:r>
      <w:r w:rsidRPr="00C11155">
        <w:rPr>
          <w:b/>
          <w:i/>
        </w:rPr>
        <w:t>) и основным средствам (прим. 1</w:t>
      </w:r>
      <w:r>
        <w:rPr>
          <w:b/>
          <w:i/>
        </w:rPr>
        <w:t>8</w:t>
      </w:r>
      <w:r w:rsidRPr="00C11155">
        <w:rPr>
          <w:b/>
          <w:i/>
        </w:rPr>
        <w:t>), кроме активов в форме права пользования.</w:t>
      </w:r>
    </w:p>
    <w:p w:rsidR="003B5477" w:rsidRDefault="003B5477" w:rsidP="00A6096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C11155">
        <w:rPr>
          <w:b/>
          <w:i/>
        </w:rPr>
        <w:lastRenderedPageBreak/>
        <w:t>Свободный денежный поток: чистые денежные средства, полученные от операционной деятельности, уменьшенные на сумму капитальных затрат.</w:t>
      </w:r>
    </w:p>
    <w:p w:rsidR="003B5477" w:rsidRDefault="003B5477" w:rsidP="00A6096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C11155">
        <w:rPr>
          <w:b/>
          <w:i/>
        </w:rPr>
        <w:t>Собственные денежные средства: сумма денежных средств и их эквивалентов, финансовых активов, оцениваемых по справедливой стоимости через прибыль или убыток, средств в финансовых организациях, финансовых активов, оцениваемых по справедливой стоимости через прочий совокупный доход, инвестиционных финансовых активов, оцениваемых по амортизированной стоимости, предоплаты по текущему налогу на прибыль и прочих финансовых активов за вычетом средств участников торгов, привлеченных банковских кредитов овернайт, кредиторской задолженности перед депонентами и контрагентами, расчетов по маржинальным взносам, обязательств, относящихся к активам, предназначенным для продажи, текущих обязательств по налогу на прибыль и прочих финансовых обязательств.</w:t>
      </w:r>
    </w:p>
    <w:p w:rsidR="003B5477" w:rsidRDefault="003B5477" w:rsidP="00A6096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DE5FA6">
        <w:rPr>
          <w:b/>
          <w:i/>
        </w:rPr>
        <w:t>Отношение собственных денежных средств к EBITDA за последние 12 месяцев</w:t>
      </w:r>
      <w:r>
        <w:rPr>
          <w:b/>
          <w:i/>
        </w:rPr>
        <w:t>: о</w:t>
      </w:r>
      <w:r w:rsidRPr="00DE5FA6">
        <w:rPr>
          <w:b/>
          <w:i/>
        </w:rPr>
        <w:t>тношение собственных денежных средств к EBITDA за последние 12 месяцев</w:t>
      </w:r>
    </w:p>
    <w:p w:rsidR="003B5477" w:rsidRPr="00C11155" w:rsidRDefault="003B5477" w:rsidP="00A6096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C11155">
        <w:rPr>
          <w:b/>
          <w:i/>
        </w:rPr>
        <w:t>Рентабельность капитала (ROE): отношение чистой прибыли (убытка) к среднегодовому размеру собственного (акционерного) капитала.</w:t>
      </w:r>
    </w:p>
    <w:p w:rsidR="000D4020" w:rsidRPr="003B5477" w:rsidRDefault="000106AD" w:rsidP="003B5477">
      <w:pPr>
        <w:widowControl w:val="0"/>
        <w:autoSpaceDE w:val="0"/>
        <w:autoSpaceDN w:val="0"/>
        <w:adjustRightInd w:val="0"/>
        <w:spacing w:before="240" w:after="120" w:line="240" w:lineRule="auto"/>
        <w:ind w:left="391"/>
        <w:jc w:val="both"/>
        <w:rPr>
          <w:b/>
          <w:bCs/>
          <w:i/>
        </w:rPr>
      </w:pPr>
      <w:r w:rsidRPr="003B5477">
        <w:rPr>
          <w:bCs/>
        </w:rPr>
        <w:t xml:space="preserve">1.4.2. </w:t>
      </w:r>
      <w:r w:rsidR="000D4020" w:rsidRPr="003B5477">
        <w:rPr>
          <w:bCs/>
        </w:rPr>
        <w:t>Эмитенты, не составляющие и не раскрывающие консолидированную финансовую отчетность (финансовую отчетность), указывают следующие основные финансовые показатели, рассчитываемые на основе бухгалтерской (финансовой) отчетности эмитента</w:t>
      </w:r>
      <w:r w:rsidR="00C93BA9" w:rsidRPr="003B5477">
        <w:rPr>
          <w:bCs/>
        </w:rPr>
        <w:t xml:space="preserve">: </w:t>
      </w:r>
      <w:r w:rsidR="000D4020" w:rsidRPr="003B5477">
        <w:rPr>
          <w:b/>
          <w:bCs/>
          <w:i/>
        </w:rPr>
        <w:t>не применимо</w:t>
      </w:r>
      <w:r w:rsidR="00C93BA9" w:rsidRPr="003B5477">
        <w:rPr>
          <w:b/>
          <w:bCs/>
          <w:i/>
        </w:rPr>
        <w:t>.</w:t>
      </w:r>
    </w:p>
    <w:p w:rsidR="000D4020" w:rsidRPr="003B5477" w:rsidRDefault="000D4020" w:rsidP="00257621">
      <w:pPr>
        <w:widowControl w:val="0"/>
        <w:autoSpaceDE w:val="0"/>
        <w:autoSpaceDN w:val="0"/>
        <w:adjustRightInd w:val="0"/>
        <w:spacing w:before="240" w:after="120" w:line="240" w:lineRule="auto"/>
        <w:ind w:left="391"/>
        <w:jc w:val="both"/>
        <w:outlineLvl w:val="1"/>
        <w:rPr>
          <w:bCs/>
        </w:rPr>
      </w:pPr>
      <w:bookmarkStart w:id="35" w:name="_Toc193300342"/>
      <w:bookmarkStart w:id="36" w:name="_Toc193300697"/>
      <w:bookmarkStart w:id="37" w:name="_Toc193301180"/>
      <w:bookmarkStart w:id="38" w:name="_Toc193301423"/>
      <w:r w:rsidRPr="003B5477">
        <w:rPr>
          <w:bCs/>
        </w:rPr>
        <w:t>1.4.3 Эмитенты, являющиеся кредитными организациями, приводят следующие основные финансовые показатели</w:t>
      </w:r>
      <w:r w:rsidR="00C93BA9" w:rsidRPr="003B5477">
        <w:rPr>
          <w:bCs/>
        </w:rPr>
        <w:t xml:space="preserve">: </w:t>
      </w:r>
      <w:r w:rsidRPr="003B5477">
        <w:rPr>
          <w:b/>
          <w:bCs/>
          <w:i/>
        </w:rPr>
        <w:t>не применимо</w:t>
      </w:r>
      <w:r w:rsidR="00C93BA9" w:rsidRPr="003B5477">
        <w:rPr>
          <w:b/>
          <w:bCs/>
          <w:i/>
        </w:rPr>
        <w:t>.</w:t>
      </w:r>
      <w:bookmarkEnd w:id="35"/>
      <w:bookmarkEnd w:id="36"/>
      <w:bookmarkEnd w:id="37"/>
      <w:bookmarkEnd w:id="38"/>
    </w:p>
    <w:p w:rsidR="000D4020" w:rsidRPr="003B5477" w:rsidRDefault="000D4020" w:rsidP="000D4020">
      <w:pPr>
        <w:widowControl w:val="0"/>
        <w:autoSpaceDE w:val="0"/>
        <w:autoSpaceDN w:val="0"/>
        <w:adjustRightInd w:val="0"/>
        <w:spacing w:before="240" w:after="120" w:line="240" w:lineRule="auto"/>
        <w:ind w:left="391"/>
        <w:jc w:val="both"/>
        <w:outlineLvl w:val="1"/>
        <w:rPr>
          <w:bCs/>
        </w:rPr>
      </w:pPr>
      <w:bookmarkStart w:id="39" w:name="_Toc193300343"/>
      <w:bookmarkStart w:id="40" w:name="_Toc193300698"/>
      <w:bookmarkStart w:id="41" w:name="_Toc193301181"/>
      <w:bookmarkStart w:id="42" w:name="_Toc193301424"/>
      <w:r w:rsidRPr="003B5477">
        <w:rPr>
          <w:bCs/>
        </w:rPr>
        <w:t>1.4.4. Эмитенты могут дополнительно привести иные финансовые показатели, в том числе характеризующие финансовые результаты деятельности эмитента (группы эмитента) в отношении выделяемых сегментов операционной деятельности, видов товаров (работ, услуг), контрагентов (включая связанные стороны), географии ведения бизнеса, иных аспектов, характеризующих специфику деятельности эмитента (группы эмитента)</w:t>
      </w:r>
      <w:r w:rsidR="00C93BA9" w:rsidRPr="003B5477">
        <w:rPr>
          <w:bCs/>
        </w:rPr>
        <w:t>:</w:t>
      </w:r>
      <w:r w:rsidRPr="003B5477">
        <w:rPr>
          <w:bCs/>
        </w:rPr>
        <w:t xml:space="preserve"> </w:t>
      </w:r>
      <w:r w:rsidR="00C93BA9" w:rsidRPr="003B5477">
        <w:rPr>
          <w:b/>
          <w:bCs/>
          <w:i/>
        </w:rPr>
        <w:t>не применимо.</w:t>
      </w:r>
      <w:bookmarkEnd w:id="39"/>
      <w:bookmarkEnd w:id="40"/>
      <w:bookmarkEnd w:id="41"/>
      <w:bookmarkEnd w:id="42"/>
    </w:p>
    <w:p w:rsidR="000D4020" w:rsidRPr="003B5477" w:rsidRDefault="000D4020" w:rsidP="000D4020">
      <w:pPr>
        <w:widowControl w:val="0"/>
        <w:autoSpaceDE w:val="0"/>
        <w:autoSpaceDN w:val="0"/>
        <w:adjustRightInd w:val="0"/>
        <w:spacing w:before="240" w:after="120" w:line="240" w:lineRule="auto"/>
        <w:ind w:left="391"/>
        <w:jc w:val="both"/>
        <w:outlineLvl w:val="1"/>
        <w:rPr>
          <w:bCs/>
        </w:rPr>
      </w:pPr>
      <w:bookmarkStart w:id="43" w:name="_Toc193300344"/>
      <w:bookmarkStart w:id="44" w:name="_Toc193300699"/>
      <w:bookmarkStart w:id="45" w:name="_Toc193301182"/>
      <w:bookmarkStart w:id="46" w:name="_Toc193301425"/>
      <w:r w:rsidRPr="003B5477">
        <w:rPr>
          <w:bCs/>
        </w:rPr>
        <w:t xml:space="preserve">1.4.5. Ниже приводится анализ динамики изменения финансовых показателей, приведенных в подпунктах 1.4.1 </w:t>
      </w:r>
      <w:r w:rsidR="00A23B9B" w:rsidRPr="003B5477">
        <w:rPr>
          <w:bCs/>
        </w:rPr>
        <w:t xml:space="preserve">-1.4.4 </w:t>
      </w:r>
      <w:r w:rsidRPr="003B5477">
        <w:rPr>
          <w:bCs/>
        </w:rPr>
        <w:t>настоящего пункта.</w:t>
      </w:r>
      <w:bookmarkEnd w:id="43"/>
      <w:bookmarkEnd w:id="44"/>
      <w:bookmarkEnd w:id="45"/>
      <w:bookmarkEnd w:id="46"/>
      <w:r w:rsidRPr="003B5477">
        <w:rPr>
          <w:bCs/>
        </w:rPr>
        <w:t xml:space="preserve"> </w:t>
      </w:r>
    </w:p>
    <w:p w:rsidR="00F66DE3" w:rsidRDefault="00F66DE3" w:rsidP="00257621">
      <w:pPr>
        <w:widowControl w:val="0"/>
        <w:autoSpaceDE w:val="0"/>
        <w:autoSpaceDN w:val="0"/>
        <w:adjustRightInd w:val="0"/>
        <w:spacing w:before="240" w:after="120" w:line="240" w:lineRule="auto"/>
        <w:ind w:left="391"/>
        <w:jc w:val="both"/>
        <w:outlineLvl w:val="1"/>
      </w:pPr>
      <w:bookmarkStart w:id="47" w:name="_Toc193300345"/>
      <w:bookmarkStart w:id="48" w:name="_Toc193300700"/>
      <w:bookmarkStart w:id="49" w:name="_Toc193301183"/>
      <w:bookmarkStart w:id="50" w:name="_Toc193301426"/>
      <w:r w:rsidRPr="003B5477">
        <w:t>Описываются основные события и факторы, в том числе макроэкономические, произошедшие в отчетном периоде, которые оказали существенное влияние на изменение приведенных финансовых показателей:</w:t>
      </w:r>
      <w:bookmarkEnd w:id="47"/>
      <w:bookmarkEnd w:id="48"/>
      <w:bookmarkEnd w:id="49"/>
      <w:bookmarkEnd w:id="50"/>
    </w:p>
    <w:p w:rsidR="003B5477" w:rsidRPr="000A6B4F" w:rsidRDefault="003B5477" w:rsidP="003B5477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627600">
        <w:rPr>
          <w:b/>
          <w:i/>
        </w:rPr>
        <w:t xml:space="preserve">Рост выручки преимущественно обусловлен увеличением </w:t>
      </w:r>
      <w:r w:rsidRPr="000A6B4F">
        <w:rPr>
          <w:b/>
          <w:i/>
        </w:rPr>
        <w:t xml:space="preserve">чистого процентного </w:t>
      </w:r>
      <w:r w:rsidRPr="00627600">
        <w:rPr>
          <w:b/>
          <w:i/>
        </w:rPr>
        <w:t xml:space="preserve">дохода. </w:t>
      </w:r>
      <w:r w:rsidRPr="000A6B4F">
        <w:rPr>
          <w:b/>
          <w:i/>
        </w:rPr>
        <w:t>Чистый процентный доход увеличился на 56.9% на фоне повышенных рубл</w:t>
      </w:r>
      <w:r>
        <w:rPr>
          <w:b/>
          <w:i/>
        </w:rPr>
        <w:t>е</w:t>
      </w:r>
      <w:r w:rsidRPr="000A6B4F">
        <w:rPr>
          <w:b/>
          <w:i/>
        </w:rPr>
        <w:t xml:space="preserve">вых процентных ставок. </w:t>
      </w:r>
      <w:r w:rsidRPr="00627600">
        <w:rPr>
          <w:b/>
          <w:i/>
        </w:rPr>
        <w:t xml:space="preserve">Комиссионный доход вырос на </w:t>
      </w:r>
      <w:r w:rsidRPr="000A6B4F">
        <w:rPr>
          <w:b/>
          <w:i/>
        </w:rPr>
        <w:t>20.6</w:t>
      </w:r>
      <w:r w:rsidRPr="00627600">
        <w:rPr>
          <w:b/>
          <w:i/>
        </w:rPr>
        <w:t>% в связи с ростом объёмов торгов на ряде рынков под влиянием высокой активности клиентов и эмитентов, а также запуска новых продуктов и инструментов</w:t>
      </w:r>
      <w:r w:rsidRPr="00150BFA">
        <w:rPr>
          <w:b/>
          <w:i/>
        </w:rPr>
        <w:t xml:space="preserve">. </w:t>
      </w:r>
    </w:p>
    <w:p w:rsidR="003B5477" w:rsidRPr="00627600" w:rsidRDefault="003B5477" w:rsidP="003B5477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0A6B4F">
        <w:rPr>
          <w:b/>
          <w:i/>
        </w:rPr>
        <w:t>Динамика показателя EBITDA объясняется динамикой выручки (см. выше), а также операционных и неоперационных расходов. Операционные расходы увеличились на 61.4</w:t>
      </w:r>
      <w:r w:rsidRPr="00627600">
        <w:rPr>
          <w:b/>
          <w:i/>
        </w:rPr>
        <w:t>% за отчётный период. Ключевые факторы роста</w:t>
      </w:r>
      <w:r w:rsidRPr="000A6B4F">
        <w:rPr>
          <w:b/>
          <w:i/>
        </w:rPr>
        <w:t xml:space="preserve"> </w:t>
      </w:r>
      <w:r w:rsidRPr="00627600">
        <w:rPr>
          <w:b/>
          <w:i/>
        </w:rPr>
        <w:t>операционных расходов: [1] увеличение расходов на персонал, что преимущественно объясняется ускоренным наймом сотрудников, пересмотром заработных плат и начислениями резервов на программу долгосрочной мотивации (LTIP)</w:t>
      </w:r>
      <w:r w:rsidRPr="00150BFA">
        <w:rPr>
          <w:b/>
          <w:i/>
        </w:rPr>
        <w:t xml:space="preserve">, [2] </w:t>
      </w:r>
      <w:r w:rsidRPr="000A6B4F">
        <w:rPr>
          <w:b/>
          <w:i/>
        </w:rPr>
        <w:t>рост расходов на рекламу и маркетинг для увеличения клиентской базы платформы Финуслуги, [3] рост налогов, кроме налога на прибыль, что связано с общим ростом налогооблагаемых (НДС) расходов. Неоперационные расходы/доходы, а именно изменения резерва под ожидаемые кредитные убытки (ОКУ) и прочие убытки от обесценения и резервы, в сумме составили -</w:t>
      </w:r>
      <w:r w:rsidRPr="00627600">
        <w:rPr>
          <w:b/>
          <w:i/>
        </w:rPr>
        <w:t>1</w:t>
      </w:r>
      <w:r w:rsidRPr="000A6B4F">
        <w:rPr>
          <w:b/>
          <w:i/>
        </w:rPr>
        <w:t>.1</w:t>
      </w:r>
      <w:r w:rsidRPr="00627600">
        <w:rPr>
          <w:b/>
          <w:i/>
        </w:rPr>
        <w:t xml:space="preserve"> млрд руб. против </w:t>
      </w:r>
      <w:r w:rsidRPr="000A6B4F">
        <w:rPr>
          <w:b/>
          <w:i/>
        </w:rPr>
        <w:t>+</w:t>
      </w:r>
      <w:r w:rsidRPr="00627600">
        <w:rPr>
          <w:b/>
          <w:i/>
        </w:rPr>
        <w:t>1</w:t>
      </w:r>
      <w:r w:rsidRPr="000A6B4F">
        <w:rPr>
          <w:b/>
          <w:i/>
        </w:rPr>
        <w:t>.</w:t>
      </w:r>
      <w:r w:rsidRPr="00627600">
        <w:rPr>
          <w:b/>
          <w:i/>
        </w:rPr>
        <w:t>4 млрд руб. в базовом периоде</w:t>
      </w:r>
      <w:r w:rsidRPr="000A6B4F">
        <w:rPr>
          <w:b/>
          <w:i/>
        </w:rPr>
        <w:t>, что также оказало давление на показатель EBITDA</w:t>
      </w:r>
      <w:r w:rsidRPr="00627600">
        <w:rPr>
          <w:b/>
          <w:i/>
        </w:rPr>
        <w:t xml:space="preserve">. </w:t>
      </w:r>
    </w:p>
    <w:p w:rsidR="003B5477" w:rsidRPr="00627600" w:rsidRDefault="003B5477" w:rsidP="003B5477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627600">
        <w:rPr>
          <w:b/>
          <w:i/>
        </w:rPr>
        <w:lastRenderedPageBreak/>
        <w:t xml:space="preserve">Динамика рентабельности по EBITDA определяется соотношением динамики показателя EBITDA и динамики выручки. В числителе значимое давление на показатель оказали </w:t>
      </w:r>
      <w:r w:rsidRPr="000A6B4F">
        <w:rPr>
          <w:b/>
          <w:i/>
        </w:rPr>
        <w:t xml:space="preserve">операционные и </w:t>
      </w:r>
      <w:r w:rsidRPr="00627600">
        <w:rPr>
          <w:b/>
          <w:i/>
        </w:rPr>
        <w:t xml:space="preserve">неоперационные расходы в </w:t>
      </w:r>
      <w:r>
        <w:rPr>
          <w:b/>
          <w:i/>
        </w:rPr>
        <w:t>отчетном</w:t>
      </w:r>
      <w:r w:rsidRPr="00627600">
        <w:rPr>
          <w:b/>
          <w:i/>
        </w:rPr>
        <w:t xml:space="preserve"> периоде, темп роста которых в совокупности превысил темп роста выручки.</w:t>
      </w:r>
      <w:r w:rsidRPr="000A6B4F" w:rsidDel="00935F6E">
        <w:rPr>
          <w:b/>
          <w:i/>
        </w:rPr>
        <w:t xml:space="preserve"> </w:t>
      </w:r>
    </w:p>
    <w:p w:rsidR="003B5477" w:rsidRPr="00627600" w:rsidRDefault="003B5477" w:rsidP="003B5477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627600">
        <w:rPr>
          <w:b/>
          <w:i/>
        </w:rPr>
        <w:t>Динамика чистой прибыли в большей степени объясняется теми же факторами, что и динамика показателя EBITDA. Небольшие расхождения могут быть связаны с эффективной налоговой ставкой и расходами на амортизацию. Расходы на амортизацию увеличились на 1</w:t>
      </w:r>
      <w:r w:rsidRPr="000A6B4F">
        <w:rPr>
          <w:b/>
          <w:i/>
        </w:rPr>
        <w:t>2</w:t>
      </w:r>
      <w:r w:rsidRPr="00627600">
        <w:rPr>
          <w:b/>
          <w:i/>
        </w:rPr>
        <w:t>.</w:t>
      </w:r>
      <w:r w:rsidRPr="000A6B4F">
        <w:rPr>
          <w:b/>
          <w:i/>
        </w:rPr>
        <w:t>5</w:t>
      </w:r>
      <w:r w:rsidRPr="00627600">
        <w:rPr>
          <w:b/>
          <w:i/>
        </w:rPr>
        <w:t>% вслед за капитальными затратами в 202</w:t>
      </w:r>
      <w:r w:rsidRPr="000A6B4F">
        <w:rPr>
          <w:b/>
          <w:i/>
        </w:rPr>
        <w:t>3 - 2024</w:t>
      </w:r>
      <w:r w:rsidRPr="00627600">
        <w:rPr>
          <w:b/>
          <w:i/>
        </w:rPr>
        <w:t xml:space="preserve"> год</w:t>
      </w:r>
      <w:r w:rsidRPr="000A6B4F">
        <w:rPr>
          <w:b/>
          <w:i/>
        </w:rPr>
        <w:t>ах</w:t>
      </w:r>
      <w:r w:rsidRPr="00627600">
        <w:rPr>
          <w:b/>
          <w:i/>
        </w:rPr>
        <w:t xml:space="preserve">. Амортизация нематериальных активов выросла на </w:t>
      </w:r>
      <w:r w:rsidRPr="000A6B4F">
        <w:rPr>
          <w:b/>
          <w:i/>
        </w:rPr>
        <w:t>13.2</w:t>
      </w:r>
      <w:r w:rsidRPr="00627600">
        <w:rPr>
          <w:b/>
          <w:i/>
        </w:rPr>
        <w:t xml:space="preserve">%, тогда как амортизация основных средств снизилась на </w:t>
      </w:r>
      <w:r w:rsidRPr="000A6B4F">
        <w:rPr>
          <w:b/>
          <w:i/>
        </w:rPr>
        <w:t>9.6</w:t>
      </w:r>
      <w:r w:rsidRPr="00627600">
        <w:rPr>
          <w:b/>
          <w:i/>
        </w:rPr>
        <w:t xml:space="preserve">%. Эффективная налоговая ставка в отчётном периоде </w:t>
      </w:r>
      <w:r w:rsidRPr="000A6B4F">
        <w:rPr>
          <w:b/>
          <w:i/>
        </w:rPr>
        <w:t>снизилась</w:t>
      </w:r>
      <w:r w:rsidRPr="00627600">
        <w:rPr>
          <w:b/>
          <w:i/>
        </w:rPr>
        <w:t xml:space="preserve"> и составила </w:t>
      </w:r>
      <w:r w:rsidRPr="000A6B4F">
        <w:rPr>
          <w:b/>
          <w:i/>
        </w:rPr>
        <w:t>18.9</w:t>
      </w:r>
      <w:r w:rsidRPr="00627600">
        <w:rPr>
          <w:b/>
          <w:i/>
        </w:rPr>
        <w:t>%</w:t>
      </w:r>
      <w:r w:rsidRPr="000A6B4F">
        <w:rPr>
          <w:b/>
          <w:i/>
        </w:rPr>
        <w:t>,</w:t>
      </w:r>
      <w:r w:rsidRPr="00627600">
        <w:rPr>
          <w:b/>
          <w:i/>
        </w:rPr>
        <w:t xml:space="preserve"> что преимущественно связано с пересчетом отложенных налогов по новой ставке налога на прибыль.</w:t>
      </w:r>
      <w:r w:rsidRPr="000A6B4F" w:rsidDel="00935F6E">
        <w:rPr>
          <w:b/>
          <w:i/>
        </w:rPr>
        <w:t xml:space="preserve"> </w:t>
      </w:r>
    </w:p>
    <w:p w:rsidR="003B5477" w:rsidRPr="00627600" w:rsidRDefault="003B5477" w:rsidP="003B5477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627600">
        <w:rPr>
          <w:b/>
          <w:i/>
        </w:rPr>
        <w:t xml:space="preserve">Динамика показателя «Чистые денежные средства, полученные от операционной деятельности» главным образом обусловлена </w:t>
      </w:r>
      <w:r w:rsidRPr="00150BFA">
        <w:rPr>
          <w:b/>
          <w:i/>
        </w:rPr>
        <w:t>движением средств в финансовых организациях. Также в отчётном периоде произошёл приток клиентских средств в размере 60.8 млрд руб. В 2023 году произошёл отток клиентских средств в размере 199.1 млрд р</w:t>
      </w:r>
      <w:r w:rsidRPr="000A6B4F">
        <w:rPr>
          <w:b/>
          <w:i/>
        </w:rPr>
        <w:t>уб., из-за чего показатель имеет отрицательное значение в 2023 году. Показатель является расчётной технической величиной.</w:t>
      </w:r>
      <w:r w:rsidRPr="000A6B4F" w:rsidDel="00935F6E">
        <w:rPr>
          <w:b/>
          <w:i/>
        </w:rPr>
        <w:t xml:space="preserve"> </w:t>
      </w:r>
    </w:p>
    <w:p w:rsidR="003B5477" w:rsidRPr="00627600" w:rsidRDefault="003B5477" w:rsidP="003B5477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627600">
        <w:rPr>
          <w:b/>
          <w:i/>
        </w:rPr>
        <w:t>Динамика капитальных затрат обусловлена темпами реализации программы обновления программного и аппаратного обеспечения.</w:t>
      </w:r>
      <w:r w:rsidRPr="000A6B4F" w:rsidDel="00935F6E">
        <w:rPr>
          <w:b/>
          <w:i/>
        </w:rPr>
        <w:t xml:space="preserve"> </w:t>
      </w:r>
    </w:p>
    <w:p w:rsidR="003B5477" w:rsidRPr="00627600" w:rsidRDefault="003B5477" w:rsidP="003B5477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627600">
        <w:rPr>
          <w:b/>
          <w:i/>
        </w:rPr>
        <w:t>Динамика показателя «Свободный денежный поток» главным образом обусловлена движением средств в финансовых организациях в отчётном периоде, а также оттоком клиентских остатков в базовом периоде. В отчётном периоде произошёл приток клиентских средств в размере 60.8 млрд руб., тогда как в базовом периоде отток клиентских средств составил 199.1 млрд руб. Показатель является расчётной технической величиной, полученной на основании консолидированного отчёта о движении денежных средств.</w:t>
      </w:r>
      <w:r w:rsidRPr="000A6B4F" w:rsidDel="00CE4FD1">
        <w:rPr>
          <w:b/>
          <w:i/>
        </w:rPr>
        <w:t xml:space="preserve"> </w:t>
      </w:r>
    </w:p>
    <w:p w:rsidR="003B5477" w:rsidRPr="00627600" w:rsidRDefault="003B5477" w:rsidP="003B5477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0A6B4F">
        <w:rPr>
          <w:b/>
          <w:i/>
        </w:rPr>
        <w:t>Динамика</w:t>
      </w:r>
      <w:r w:rsidRPr="00627600">
        <w:rPr>
          <w:b/>
          <w:i/>
        </w:rPr>
        <w:t xml:space="preserve"> «Собственные денежные средства» слабо выражена</w:t>
      </w:r>
      <w:r w:rsidRPr="000A6B4F" w:rsidDel="00152AF4">
        <w:rPr>
          <w:b/>
          <w:i/>
        </w:rPr>
        <w:t xml:space="preserve"> </w:t>
      </w:r>
      <w:r w:rsidRPr="00627600">
        <w:rPr>
          <w:b/>
          <w:i/>
        </w:rPr>
        <w:t>.</w:t>
      </w:r>
    </w:p>
    <w:p w:rsidR="003B5477" w:rsidRPr="00627600" w:rsidRDefault="003B5477" w:rsidP="003B5477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627600">
        <w:rPr>
          <w:b/>
          <w:i/>
        </w:rPr>
        <w:t>Динамика показателя «Отношение чистого долга к EBITDA за предыдущие 12 месяцев» объясняется тем, что у компании отсутствует долговая нагрузка и имеются денежные средства.</w:t>
      </w:r>
    </w:p>
    <w:p w:rsidR="003B5477" w:rsidRPr="00863F57" w:rsidRDefault="003B5477" w:rsidP="00863F57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0A6B4F">
        <w:rPr>
          <w:b/>
          <w:i/>
        </w:rPr>
        <w:t>Динамика собственного капитала компании в отчётном периоде объясняется увеличением нераспределённой прибыли на 39.5</w:t>
      </w:r>
      <w:r w:rsidRPr="00627600">
        <w:rPr>
          <w:b/>
          <w:i/>
        </w:rPr>
        <w:t xml:space="preserve"> млрд руб. с учётом выплаты дивидендов. Несмотря на увеличение среднегодового размера капитала год-к-году, относительный прирост чистой прибыли был выше, поэтому наблюдается увеличение показателя ROE.</w:t>
      </w:r>
      <w:r w:rsidRPr="000A6B4F">
        <w:rPr>
          <w:b/>
          <w:i/>
        </w:rPr>
        <w:t xml:space="preserve"> В 2024 году общая сумма выплаченных дивидендов составила 39.5 млрд руб.</w:t>
      </w:r>
    </w:p>
    <w:p w:rsidR="00863F57" w:rsidRPr="00DC28C2" w:rsidRDefault="00863F57" w:rsidP="00A60963">
      <w:pPr>
        <w:widowControl w:val="0"/>
        <w:numPr>
          <w:ilvl w:val="1"/>
          <w:numId w:val="52"/>
        </w:numPr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bookmarkStart w:id="51" w:name="_Toc193300346"/>
      <w:bookmarkStart w:id="52" w:name="_Toc193301427"/>
      <w:bookmarkStart w:id="53" w:name="_Toc113954719"/>
      <w:bookmarkStart w:id="54" w:name="_Toc139292028"/>
      <w:bookmarkStart w:id="55" w:name="_Toc161055598"/>
      <w:r w:rsidRPr="00DC28C2">
        <w:rPr>
          <w:b/>
          <w:bCs/>
        </w:rPr>
        <w:t>Сведения об основных поставщиках эмитента</w:t>
      </w:r>
      <w:bookmarkEnd w:id="51"/>
      <w:bookmarkEnd w:id="52"/>
    </w:p>
    <w:p w:rsidR="00863F57" w:rsidRPr="00F93977" w:rsidRDefault="00863F57" w:rsidP="00863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highlight w:val="cyan"/>
        </w:rPr>
      </w:pPr>
      <w:r w:rsidRPr="00DC28C2">
        <w:rPr>
          <w:b/>
          <w:bCs/>
          <w:i/>
          <w:iCs/>
        </w:rPr>
        <w:t>Информация настоящего пункта раскрывается на основе данных ОКФО.</w:t>
      </w:r>
    </w:p>
    <w:p w:rsidR="00863F57" w:rsidRPr="00DC28C2" w:rsidRDefault="00863F57" w:rsidP="00863F57">
      <w:pPr>
        <w:widowControl w:val="0"/>
        <w:autoSpaceDE w:val="0"/>
        <w:autoSpaceDN w:val="0"/>
        <w:adjustRightInd w:val="0"/>
        <w:spacing w:before="120" w:after="4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Доля о</w:t>
      </w:r>
      <w:r w:rsidRPr="00DC28C2">
        <w:rPr>
          <w:b/>
          <w:bCs/>
          <w:i/>
          <w:iCs/>
        </w:rPr>
        <w:t xml:space="preserve">сновных внутригрупповых поставщиков </w:t>
      </w:r>
      <w:r>
        <w:rPr>
          <w:b/>
          <w:bCs/>
          <w:i/>
          <w:iCs/>
        </w:rPr>
        <w:t>составляет 0%, доля основных внешнегрупповых поставщиков – 100%</w:t>
      </w:r>
      <w:r w:rsidRPr="00DC28C2">
        <w:rPr>
          <w:b/>
          <w:bCs/>
          <w:i/>
          <w:iCs/>
        </w:rPr>
        <w:t>.</w:t>
      </w:r>
    </w:p>
    <w:p w:rsidR="00863F57" w:rsidRPr="00F93977" w:rsidRDefault="00863F57" w:rsidP="00863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highlight w:val="cyan"/>
        </w:rPr>
      </w:pPr>
      <w:r w:rsidRPr="00DC28C2">
        <w:t xml:space="preserve">Уровень (количественный критерий) существенности объема и (или) доли поставок основного поставщика: </w:t>
      </w:r>
      <w:r w:rsidRPr="00DC28C2">
        <w:rPr>
          <w:b/>
          <w:i/>
        </w:rPr>
        <w:t>уровень существенности доли составляет 10% от объема поставок сырья и товаров (работ, услуг), осуществленных внешнегрупповыми поставщиками.</w:t>
      </w:r>
    </w:p>
    <w:p w:rsidR="00863F57" w:rsidRDefault="00863F57" w:rsidP="00863F57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 w:rsidRPr="00DC28C2">
        <w:t xml:space="preserve">Сведения об основных поставщиках группы эмитента, являющихся лицами, не входящими в группу эмитента (внешнегрупповые поставщики), подпадающих под определенный эмитентом уровень существенности: </w:t>
      </w:r>
    </w:p>
    <w:p w:rsidR="00863F57" w:rsidRPr="000A6B4F" w:rsidRDefault="00863F57" w:rsidP="00863F57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</w:pPr>
      <w:r w:rsidRPr="000A6B4F">
        <w:t xml:space="preserve">Полное фирменное наименование: </w:t>
      </w:r>
      <w:r w:rsidRPr="000A6B4F">
        <w:rPr>
          <w:b/>
          <w:i/>
        </w:rPr>
        <w:t xml:space="preserve">ОБЩЕСТВО С ОГРАНИЧЕННОЙ ОТВЕТСТВЕННОСТЬЮ </w:t>
      </w:r>
      <w:r>
        <w:rPr>
          <w:b/>
          <w:i/>
        </w:rPr>
        <w:t>«</w:t>
      </w:r>
      <w:r w:rsidRPr="000A6B4F">
        <w:rPr>
          <w:b/>
          <w:i/>
        </w:rPr>
        <w:t>МЕДИАМЭЙКЕР</w:t>
      </w:r>
      <w:r>
        <w:rPr>
          <w:b/>
          <w:i/>
        </w:rPr>
        <w:t>»</w:t>
      </w:r>
      <w:r w:rsidRPr="000A6B4F">
        <w:rPr>
          <w:b/>
          <w:i/>
        </w:rPr>
        <w:t>.</w:t>
      </w:r>
    </w:p>
    <w:p w:rsidR="00863F57" w:rsidRPr="000A6B4F" w:rsidRDefault="00863F57" w:rsidP="00863F57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</w:pPr>
      <w:r w:rsidRPr="000A6B4F">
        <w:t xml:space="preserve">Сокращенное фирменное наименование: </w:t>
      </w:r>
      <w:r w:rsidRPr="000A6B4F">
        <w:rPr>
          <w:b/>
          <w:i/>
        </w:rPr>
        <w:t>ООО «МЕДИАМЭЙКЕР».</w:t>
      </w:r>
    </w:p>
    <w:p w:rsidR="00863F57" w:rsidRPr="000A6B4F" w:rsidRDefault="00863F57" w:rsidP="00863F57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</w:pPr>
      <w:r w:rsidRPr="000A6B4F">
        <w:t>ИНН:</w:t>
      </w:r>
      <w:r w:rsidRPr="00627600">
        <w:t xml:space="preserve"> </w:t>
      </w:r>
      <w:r w:rsidRPr="000A6B4F">
        <w:rPr>
          <w:b/>
          <w:i/>
        </w:rPr>
        <w:t>7731529804.</w:t>
      </w:r>
    </w:p>
    <w:p w:rsidR="00863F57" w:rsidRPr="000A6B4F" w:rsidRDefault="00863F57" w:rsidP="00863F57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</w:pPr>
      <w:r w:rsidRPr="000A6B4F">
        <w:t>ОГРН:</w:t>
      </w:r>
      <w:r>
        <w:t xml:space="preserve"> </w:t>
      </w:r>
      <w:r w:rsidRPr="000A6B4F">
        <w:rPr>
          <w:b/>
          <w:i/>
        </w:rPr>
        <w:t>1057747993050.</w:t>
      </w:r>
    </w:p>
    <w:p w:rsidR="00863F57" w:rsidRPr="000A6B4F" w:rsidRDefault="00863F57" w:rsidP="00863F57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</w:pPr>
      <w:r w:rsidRPr="000A6B4F">
        <w:lastRenderedPageBreak/>
        <w:t>Место нахождения:</w:t>
      </w:r>
      <w:r>
        <w:t xml:space="preserve"> </w:t>
      </w:r>
      <w:r w:rsidRPr="000A6B4F">
        <w:rPr>
          <w:b/>
          <w:i/>
        </w:rPr>
        <w:t xml:space="preserve">127051, </w:t>
      </w:r>
      <w:r>
        <w:rPr>
          <w:b/>
          <w:i/>
        </w:rPr>
        <w:t>г</w:t>
      </w:r>
      <w:r w:rsidRPr="000A6B4F">
        <w:rPr>
          <w:b/>
          <w:i/>
        </w:rPr>
        <w:t>.</w:t>
      </w:r>
      <w:r>
        <w:rPr>
          <w:b/>
          <w:i/>
        </w:rPr>
        <w:t xml:space="preserve"> </w:t>
      </w:r>
      <w:r w:rsidRPr="000A6B4F">
        <w:rPr>
          <w:b/>
          <w:i/>
        </w:rPr>
        <w:t>Москва, б-р Цветной, д. 2, эт 3 пом II ком 14.</w:t>
      </w:r>
    </w:p>
    <w:p w:rsidR="00863F57" w:rsidRPr="000A6B4F" w:rsidRDefault="00863F57" w:rsidP="00863F57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</w:pPr>
      <w:r w:rsidRPr="00627600">
        <w:t>Краткое описание (характеристика) поставленного сырья и товаров (работ, услуг)</w:t>
      </w:r>
      <w:r w:rsidRPr="000A6B4F">
        <w:t xml:space="preserve">: </w:t>
      </w:r>
      <w:r w:rsidRPr="000A6B4F">
        <w:rPr>
          <w:b/>
          <w:i/>
        </w:rPr>
        <w:t>проведение рекламной кампании.</w:t>
      </w:r>
    </w:p>
    <w:p w:rsidR="00863F57" w:rsidRPr="000A6B4F" w:rsidRDefault="00863F57" w:rsidP="00863F57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</w:pPr>
      <w:r w:rsidRPr="00627600">
        <w:t>Доля внешнегруппового поставщика в объеме поставок сырья и товаров (работ, услуг), осуществленных внешнегрупповыми поставщиками</w:t>
      </w:r>
      <w:r w:rsidRPr="000A6B4F">
        <w:t>, %:</w:t>
      </w:r>
      <w:r>
        <w:t xml:space="preserve"> </w:t>
      </w:r>
      <w:r w:rsidRPr="000A6B4F">
        <w:rPr>
          <w:b/>
          <w:i/>
        </w:rPr>
        <w:t>11,3.</w:t>
      </w:r>
    </w:p>
    <w:p w:rsidR="00863F57" w:rsidRPr="00F93977" w:rsidRDefault="00863F57" w:rsidP="00863F57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highlight w:val="cyan"/>
        </w:rPr>
      </w:pPr>
      <w:r>
        <w:t>С</w:t>
      </w:r>
      <w:r w:rsidRPr="0010118A">
        <w:t>ведения о том, является ли основной поставщик организацией, подконтрольной членам органов управления эмитента и (или) лицу, контролирующему эмитента</w:t>
      </w:r>
      <w:r>
        <w:t xml:space="preserve">: </w:t>
      </w:r>
      <w:r w:rsidRPr="000A6B4F">
        <w:rPr>
          <w:b/>
          <w:i/>
        </w:rPr>
        <w:t>данный основной поставщик не является организацией, подконтрольной членам органов управления эмитента и (или) лицу, контролирующему эмитента</w:t>
      </w:r>
      <w:r>
        <w:rPr>
          <w:b/>
          <w:i/>
        </w:rPr>
        <w:t>.</w:t>
      </w:r>
    </w:p>
    <w:p w:rsidR="00863F57" w:rsidRPr="00DC28C2" w:rsidRDefault="00863F57" w:rsidP="00A60963">
      <w:pPr>
        <w:widowControl w:val="0"/>
        <w:numPr>
          <w:ilvl w:val="1"/>
          <w:numId w:val="52"/>
        </w:numPr>
        <w:autoSpaceDE w:val="0"/>
        <w:autoSpaceDN w:val="0"/>
        <w:adjustRightInd w:val="0"/>
        <w:spacing w:before="360" w:after="120" w:line="240" w:lineRule="auto"/>
        <w:ind w:left="391" w:hanging="391"/>
        <w:jc w:val="both"/>
        <w:outlineLvl w:val="1"/>
        <w:rPr>
          <w:b/>
          <w:bCs/>
        </w:rPr>
      </w:pPr>
      <w:bookmarkStart w:id="56" w:name="_Toc193300347"/>
      <w:bookmarkStart w:id="57" w:name="_Toc193301428"/>
      <w:bookmarkStart w:id="58" w:name="_Toc113954720"/>
      <w:bookmarkStart w:id="59" w:name="_Toc139292029"/>
      <w:bookmarkStart w:id="60" w:name="_Toc161055599"/>
      <w:bookmarkEnd w:id="53"/>
      <w:bookmarkEnd w:id="54"/>
      <w:bookmarkEnd w:id="55"/>
      <w:r w:rsidRPr="00DC28C2">
        <w:rPr>
          <w:b/>
          <w:bCs/>
        </w:rPr>
        <w:t>Сведения об основных дебиторах эмитента</w:t>
      </w:r>
      <w:bookmarkEnd w:id="56"/>
      <w:bookmarkEnd w:id="57"/>
    </w:p>
    <w:p w:rsidR="00863F57" w:rsidRPr="00F93977" w:rsidRDefault="00863F57" w:rsidP="00863F5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b/>
          <w:bCs/>
          <w:i/>
          <w:iCs/>
          <w:highlight w:val="cyan"/>
        </w:rPr>
      </w:pPr>
      <w:bookmarkStart w:id="61" w:name="_Hlk146188246"/>
      <w:r w:rsidRPr="00DC28C2">
        <w:rPr>
          <w:b/>
          <w:bCs/>
          <w:i/>
          <w:iCs/>
        </w:rPr>
        <w:t>Информация настоящего пункта раскрывается на основе данных ОКФО.</w:t>
      </w:r>
    </w:p>
    <w:p w:rsidR="00863F57" w:rsidRDefault="00863F57" w:rsidP="00863F57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Доля о</w:t>
      </w:r>
      <w:r w:rsidRPr="00DC28C2">
        <w:rPr>
          <w:b/>
          <w:bCs/>
          <w:i/>
          <w:iCs/>
        </w:rPr>
        <w:t xml:space="preserve">сновных внутригрупповых </w:t>
      </w:r>
      <w:r>
        <w:rPr>
          <w:b/>
          <w:bCs/>
          <w:i/>
          <w:iCs/>
        </w:rPr>
        <w:t>дебиторов</w:t>
      </w:r>
      <w:r w:rsidRPr="00DC28C2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составляет 0%, доля основных внешнегрупповых дебиторов – 100%</w:t>
      </w:r>
      <w:r w:rsidRPr="00DC28C2">
        <w:rPr>
          <w:b/>
          <w:bCs/>
          <w:i/>
          <w:iCs/>
        </w:rPr>
        <w:t>.</w:t>
      </w:r>
    </w:p>
    <w:p w:rsidR="00863F57" w:rsidRDefault="00863F57" w:rsidP="00863F57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b/>
          <w:bCs/>
          <w:i/>
          <w:iCs/>
        </w:rPr>
      </w:pPr>
      <w:r w:rsidRPr="00DC28C2">
        <w:rPr>
          <w:bCs/>
          <w:iCs/>
        </w:rPr>
        <w:t>Уровень существенности дебиторской задолженности, приходящейся на долю основного дебитора:</w:t>
      </w:r>
      <w:r w:rsidRPr="00DC28C2">
        <w:rPr>
          <w:b/>
          <w:bCs/>
          <w:i/>
          <w:iCs/>
        </w:rPr>
        <w:t xml:space="preserve"> уровень существенности дебиторской задолженности составляет 10% от общей суммы дебиторской задолженности, приходящейся на внешнегрупповых дебиторов на дату окончания соответствующего отчетного периода.</w:t>
      </w:r>
    </w:p>
    <w:p w:rsidR="00863F57" w:rsidRPr="00DC28C2" w:rsidRDefault="00863F57" w:rsidP="00863F57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b/>
          <w:bCs/>
          <w:i/>
          <w:iCs/>
        </w:rPr>
      </w:pPr>
      <w:r w:rsidRPr="00DC28C2">
        <w:rPr>
          <w:bCs/>
          <w:iCs/>
        </w:rPr>
        <w:t>Основные дебиторы эмитента, являющиеся лицами, не входящими в группу эмитента (внешнегрупповые дебиторы), имеющие для эмитента существенное значение, подпадающие под определенный эмитентом уровень существенности:</w:t>
      </w:r>
      <w:r w:rsidRPr="00DC28C2">
        <w:rPr>
          <w:b/>
          <w:bCs/>
          <w:i/>
          <w:iCs/>
        </w:rPr>
        <w:t xml:space="preserve"> внешнегрупповых дебиторов, подпадающих под определенный эмитентом уровень существенности, нет.</w:t>
      </w:r>
    </w:p>
    <w:p w:rsidR="00863F57" w:rsidRPr="00152B12" w:rsidRDefault="00863F57" w:rsidP="00A60963">
      <w:pPr>
        <w:widowControl w:val="0"/>
        <w:numPr>
          <w:ilvl w:val="1"/>
          <w:numId w:val="52"/>
        </w:numPr>
        <w:autoSpaceDE w:val="0"/>
        <w:autoSpaceDN w:val="0"/>
        <w:adjustRightInd w:val="0"/>
        <w:spacing w:before="360" w:after="360" w:line="240" w:lineRule="auto"/>
        <w:ind w:left="391" w:hanging="391"/>
        <w:jc w:val="both"/>
        <w:outlineLvl w:val="1"/>
        <w:rPr>
          <w:b/>
          <w:bCs/>
        </w:rPr>
      </w:pPr>
      <w:bookmarkStart w:id="62" w:name="_Toc193300348"/>
      <w:bookmarkStart w:id="63" w:name="_Toc193301429"/>
      <w:bookmarkStart w:id="64" w:name="_Hlk193182337"/>
      <w:bookmarkStart w:id="65" w:name="_Toc113954722"/>
      <w:bookmarkStart w:id="66" w:name="_Toc139292031"/>
      <w:bookmarkStart w:id="67" w:name="_Toc161055601"/>
      <w:bookmarkEnd w:id="58"/>
      <w:bookmarkEnd w:id="59"/>
      <w:bookmarkEnd w:id="60"/>
      <w:bookmarkEnd w:id="61"/>
      <w:r w:rsidRPr="00152B12">
        <w:rPr>
          <w:b/>
          <w:bCs/>
        </w:rPr>
        <w:t>Сведения об обязательствах эмитента</w:t>
      </w:r>
      <w:bookmarkEnd w:id="62"/>
      <w:bookmarkEnd w:id="63"/>
    </w:p>
    <w:p w:rsidR="00863F57" w:rsidRPr="00152B12" w:rsidRDefault="00863F57" w:rsidP="00A60963">
      <w:pPr>
        <w:pStyle w:val="3"/>
        <w:numPr>
          <w:ilvl w:val="2"/>
          <w:numId w:val="52"/>
        </w:numPr>
        <w:spacing w:before="0" w:after="120"/>
        <w:ind w:left="567" w:hanging="567"/>
        <w:rPr>
          <w:rFonts w:ascii="Times New Roman" w:hAnsi="Times New Roman"/>
          <w:sz w:val="22"/>
          <w:szCs w:val="22"/>
        </w:rPr>
      </w:pPr>
      <w:bookmarkStart w:id="68" w:name="_Toc113954721"/>
      <w:bookmarkStart w:id="69" w:name="_Toc139292030"/>
      <w:bookmarkStart w:id="70" w:name="_Toc161055600"/>
      <w:bookmarkStart w:id="71" w:name="_Toc193300349"/>
      <w:bookmarkStart w:id="72" w:name="_Toc193301430"/>
      <w:bookmarkEnd w:id="64"/>
      <w:r w:rsidRPr="00152B12">
        <w:rPr>
          <w:rFonts w:ascii="Times New Roman" w:hAnsi="Times New Roman"/>
          <w:sz w:val="22"/>
          <w:szCs w:val="22"/>
        </w:rPr>
        <w:t>Сведения об основных кредиторах</w:t>
      </w:r>
      <w:bookmarkEnd w:id="68"/>
      <w:r w:rsidRPr="00152B12">
        <w:rPr>
          <w:rFonts w:ascii="Times New Roman" w:hAnsi="Times New Roman"/>
          <w:sz w:val="22"/>
          <w:szCs w:val="22"/>
        </w:rPr>
        <w:t xml:space="preserve"> эмитента</w:t>
      </w:r>
      <w:bookmarkEnd w:id="69"/>
      <w:bookmarkEnd w:id="70"/>
      <w:bookmarkEnd w:id="71"/>
      <w:bookmarkEnd w:id="72"/>
    </w:p>
    <w:p w:rsidR="00863F57" w:rsidRPr="00257621" w:rsidRDefault="00863F57" w:rsidP="00863F57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bookmarkStart w:id="73" w:name="_Hlk146188183"/>
      <w:r w:rsidRPr="00257621">
        <w:rPr>
          <w:b/>
          <w:bCs/>
          <w:i/>
          <w:iCs/>
        </w:rPr>
        <w:t>Информация настоящего пункта раскрывается на основе данных ОКФО.</w:t>
      </w:r>
    </w:p>
    <w:p w:rsidR="00863F57" w:rsidRPr="00257621" w:rsidRDefault="00863F57" w:rsidP="00863F57">
      <w:pPr>
        <w:widowControl w:val="0"/>
        <w:autoSpaceDE w:val="0"/>
        <w:autoSpaceDN w:val="0"/>
        <w:adjustRightInd w:val="0"/>
        <w:spacing w:before="120" w:after="40" w:line="240" w:lineRule="auto"/>
        <w:jc w:val="both"/>
        <w:rPr>
          <w:b/>
          <w:bCs/>
          <w:i/>
          <w:iCs/>
        </w:rPr>
      </w:pPr>
      <w:r w:rsidRPr="00257621">
        <w:rPr>
          <w:b/>
          <w:bCs/>
          <w:i/>
          <w:iCs/>
        </w:rPr>
        <w:t>Доля основных внутригрупповых кредиторов составляет 0%, доля основных внешнегрупповых кредиторов – 100%.</w:t>
      </w:r>
    </w:p>
    <w:p w:rsidR="00863F57" w:rsidRPr="00257621" w:rsidRDefault="00863F57" w:rsidP="00863F5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 w:rsidRPr="00257621">
        <w:t xml:space="preserve">Уровень существенности кредиторской задолженности, приходящейся на долю основного кредитора: </w:t>
      </w:r>
      <w:r w:rsidRPr="00257621">
        <w:rPr>
          <w:b/>
          <w:i/>
        </w:rPr>
        <w:t>уровень существенности кредиторской задолженности составляет 10% от суммы кредиторской задолженности, приходящейся на внешнегрупповых кредиторов на дату окончания соответствующего отчетного периода.</w:t>
      </w:r>
    </w:p>
    <w:p w:rsidR="00863F57" w:rsidRPr="00627600" w:rsidRDefault="00863F57" w:rsidP="00863F5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highlight w:val="yellow"/>
        </w:rPr>
      </w:pPr>
      <w:r w:rsidRPr="000A6B4F">
        <w:t>Основные кредиторы, являющиеся лицами, не входящими в группу эмитента (внешнегрупповые кредиторы), имеющие для эмитента существенное значение, подпадающие под определенный эмитентом уровень существенности:</w:t>
      </w:r>
      <w:r w:rsidRPr="00627600">
        <w:rPr>
          <w:b/>
          <w:bCs/>
          <w:i/>
          <w:iCs/>
        </w:rPr>
        <w:t xml:space="preserve"> внешнегрупповых кредиторов, подпадающих под</w:t>
      </w:r>
      <w:r w:rsidRPr="00DC28C2">
        <w:rPr>
          <w:b/>
          <w:bCs/>
          <w:i/>
          <w:iCs/>
        </w:rPr>
        <w:t xml:space="preserve"> определенный эмитентом уровень существенности, нет.</w:t>
      </w:r>
    </w:p>
    <w:p w:rsidR="00863F57" w:rsidRPr="003E79C2" w:rsidRDefault="00863F57" w:rsidP="00A60963">
      <w:pPr>
        <w:pStyle w:val="3"/>
        <w:numPr>
          <w:ilvl w:val="2"/>
          <w:numId w:val="52"/>
        </w:numPr>
        <w:spacing w:before="360" w:after="120"/>
        <w:ind w:left="567" w:hanging="567"/>
        <w:rPr>
          <w:rFonts w:ascii="Times New Roman" w:hAnsi="Times New Roman"/>
          <w:sz w:val="22"/>
          <w:szCs w:val="22"/>
        </w:rPr>
      </w:pPr>
      <w:bookmarkStart w:id="74" w:name="_Toc193300350"/>
      <w:bookmarkStart w:id="75" w:name="_Toc193301431"/>
      <w:bookmarkStart w:id="76" w:name="_Toc161055603"/>
      <w:bookmarkStart w:id="77" w:name="_Toc139292033"/>
      <w:bookmarkStart w:id="78" w:name="_Toc113954724"/>
      <w:bookmarkEnd w:id="65"/>
      <w:bookmarkEnd w:id="66"/>
      <w:bookmarkEnd w:id="67"/>
      <w:bookmarkEnd w:id="73"/>
      <w:r w:rsidRPr="003E79C2">
        <w:rPr>
          <w:rFonts w:ascii="Times New Roman" w:hAnsi="Times New Roman"/>
          <w:sz w:val="22"/>
          <w:szCs w:val="22"/>
        </w:rPr>
        <w:t>Сведения об обязательствах эмитента из предоставленного обеспечения</w:t>
      </w:r>
      <w:bookmarkEnd w:id="74"/>
      <w:bookmarkEnd w:id="75"/>
    </w:p>
    <w:p w:rsidR="00863F57" w:rsidRPr="003E79C2" w:rsidRDefault="00863F57" w:rsidP="00863F57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 w:rsidRPr="003E79C2">
        <w:rPr>
          <w:b/>
          <w:bCs/>
          <w:i/>
          <w:iCs/>
        </w:rPr>
        <w:t>Информация настоящего пункта раскрывается на основе данных ОКФО.</w:t>
      </w:r>
    </w:p>
    <w:p w:rsidR="00863F57" w:rsidRPr="003E79C2" w:rsidRDefault="00863F57" w:rsidP="00863F57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 w:rsidRPr="003E79C2">
        <w:rPr>
          <w:bCs/>
          <w:iCs/>
        </w:rPr>
        <w:t xml:space="preserve">Уровень существенности размера предоставленного обеспечения: </w:t>
      </w:r>
      <w:r w:rsidRPr="003E79C2">
        <w:rPr>
          <w:b/>
          <w:bCs/>
          <w:i/>
          <w:iCs/>
        </w:rPr>
        <w:t>10% от размера обеспечения, предоставленного организациями, входящими в группу эмитента, лицам, не входящим в группу эмитента.</w:t>
      </w:r>
    </w:p>
    <w:p w:rsidR="00863F57" w:rsidRPr="003E79C2" w:rsidRDefault="00863F57" w:rsidP="00863F57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Cs/>
          <w:iCs/>
        </w:rPr>
      </w:pPr>
      <w:r w:rsidRPr="003E79C2">
        <w:rPr>
          <w:bCs/>
          <w:iCs/>
        </w:rPr>
        <w:t xml:space="preserve">Размер обеспечения, предоставленного лицами, входящими в группу эмитента, иным лицам, входящим в группу эмитента, и лицам, не входящим в нее: </w:t>
      </w:r>
      <w:r w:rsidRPr="003E79C2">
        <w:rPr>
          <w:b/>
          <w:bCs/>
          <w:i/>
          <w:iCs/>
        </w:rPr>
        <w:t>указанных сделок нет.</w:t>
      </w:r>
    </w:p>
    <w:p w:rsidR="00863F57" w:rsidRPr="003E79C2" w:rsidRDefault="00863F57" w:rsidP="00863F57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Cs/>
          <w:iCs/>
          <w:highlight w:val="cyan"/>
        </w:rPr>
      </w:pPr>
      <w:r w:rsidRPr="003E79C2">
        <w:rPr>
          <w:bCs/>
          <w:iCs/>
        </w:rPr>
        <w:t xml:space="preserve">Совершенные эмитентом (организациями, входящими в группу эмитента) сделки по предоставлению обеспечения, имеющей для эмитента (группы эмитента) существенное значение: </w:t>
      </w:r>
      <w:r w:rsidRPr="003E79C2">
        <w:rPr>
          <w:b/>
          <w:bCs/>
          <w:i/>
          <w:iCs/>
        </w:rPr>
        <w:t>указанных сделок нет.</w:t>
      </w:r>
    </w:p>
    <w:p w:rsidR="00863F57" w:rsidRPr="00442A5D" w:rsidRDefault="00863F57" w:rsidP="00A60963">
      <w:pPr>
        <w:pStyle w:val="3"/>
        <w:numPr>
          <w:ilvl w:val="2"/>
          <w:numId w:val="52"/>
        </w:numPr>
        <w:spacing w:before="360" w:after="120"/>
        <w:ind w:left="567" w:hanging="567"/>
        <w:rPr>
          <w:rFonts w:ascii="Times New Roman" w:hAnsi="Times New Roman"/>
          <w:sz w:val="22"/>
          <w:szCs w:val="22"/>
        </w:rPr>
      </w:pPr>
      <w:bookmarkStart w:id="79" w:name="_Toc113954723"/>
      <w:bookmarkStart w:id="80" w:name="_Toc139292032"/>
      <w:bookmarkStart w:id="81" w:name="_Toc161055602"/>
      <w:bookmarkStart w:id="82" w:name="_Toc193300351"/>
      <w:bookmarkStart w:id="83" w:name="_Toc193301432"/>
      <w:r w:rsidRPr="00442A5D">
        <w:rPr>
          <w:rFonts w:ascii="Times New Roman" w:hAnsi="Times New Roman"/>
          <w:sz w:val="22"/>
          <w:szCs w:val="22"/>
        </w:rPr>
        <w:lastRenderedPageBreak/>
        <w:t>Сведения о прочих существенных обязательствах эмитента</w:t>
      </w:r>
      <w:bookmarkEnd w:id="79"/>
      <w:bookmarkEnd w:id="80"/>
      <w:bookmarkEnd w:id="81"/>
      <w:bookmarkEnd w:id="82"/>
      <w:bookmarkEnd w:id="83"/>
    </w:p>
    <w:p w:rsidR="00863F57" w:rsidRPr="003E79C2" w:rsidRDefault="00863F57" w:rsidP="00863F57">
      <w:pPr>
        <w:spacing w:after="0"/>
        <w:jc w:val="both"/>
        <w:rPr>
          <w:b/>
          <w:bCs/>
          <w:i/>
          <w:iCs/>
        </w:rPr>
      </w:pPr>
      <w:r w:rsidRPr="003E79C2">
        <w:rPr>
          <w:b/>
          <w:bCs/>
          <w:i/>
          <w:iCs/>
        </w:rPr>
        <w:t>Прочих обязательств, которые, по мнению эмитента, могут существенным образом воздействовать на финансовое положение эмитента (группы эмитента), в том числе на ликвидность, источники финансирования и условия их использования, результаты деятельности и расходы, не имеется.</w:t>
      </w:r>
    </w:p>
    <w:p w:rsidR="00641570" w:rsidRDefault="00641570" w:rsidP="00641570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bookmarkStart w:id="84" w:name="_Toc193300352"/>
      <w:bookmarkStart w:id="85" w:name="_Toc193301433"/>
      <w:r>
        <w:rPr>
          <w:b/>
          <w:bCs/>
        </w:rPr>
        <w:t>1.8. Сведения о перспективах развития эмитента</w:t>
      </w:r>
      <w:bookmarkEnd w:id="76"/>
      <w:bookmarkEnd w:id="77"/>
      <w:bookmarkEnd w:id="78"/>
      <w:bookmarkEnd w:id="84"/>
      <w:bookmarkEnd w:id="85"/>
    </w:p>
    <w:p w:rsidR="00641570" w:rsidRDefault="00641570" w:rsidP="00641570">
      <w:pPr>
        <w:widowControl w:val="0"/>
        <w:autoSpaceDE w:val="0"/>
        <w:autoSpaceDN w:val="0"/>
        <w:adjustRightInd w:val="0"/>
        <w:spacing w:after="40" w:line="240" w:lineRule="auto"/>
        <w:jc w:val="both"/>
      </w:pPr>
      <w:r>
        <w:t>Приводится описание стратегии дальнейшего развития эмитента (а если эмитентом составляется и раскрывается консолидированная финансовая отчетность - стратегии дальнейшего развития группы эмитента) не менее чем на год в отношении организации нового производства, расширения или сокращения производства, разработки новых видов продукции, модернизации и реконструкции основных средств, возможного изменения основной деятельности.</w:t>
      </w:r>
    </w:p>
    <w:p w:rsidR="00641570" w:rsidRDefault="00641570" w:rsidP="00641570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27 сентября 2023 года Наблюдательный совет Московской биржи утвердил новую стратегию развития группы компаний до 2028 года и новую дивидендную политику.</w:t>
      </w:r>
    </w:p>
    <w:p w:rsidR="00641570" w:rsidRDefault="00641570" w:rsidP="00641570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 условиях внешних ограничений в основу новой стратегии в большей степени легли тренды российского рынка. Среди них – повышение роли розничного инвестора, который становится одним из ключевых источников спроса в ряде сегментов финансового рынка, развитие оборота цифровых финансовых активов (ЦФА), увеличение потребности в привлечении капитала российскими компаниями на внутреннем рынке.</w:t>
      </w:r>
    </w:p>
    <w:p w:rsidR="00641570" w:rsidRDefault="00641570" w:rsidP="00641570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Развитие рынков капитала является важнейшим приоритетом новой стратегии. В рамках этого направления компания будет расширять список инструментов, в том числе ESG-продуктов, а также работать над повышением их ликвидности. Особое внимание будет уделяться работе с эмитентами, направленной на привлечение финансирования компаниями на рынках капитала через размещение акций, облигаций и </w:t>
      </w:r>
      <w:r w:rsidR="00944D99">
        <w:rPr>
          <w:b/>
          <w:bCs/>
          <w:i/>
          <w:iCs/>
        </w:rPr>
        <w:t>других инструментов</w:t>
      </w:r>
      <w:r>
        <w:rPr>
          <w:b/>
          <w:bCs/>
          <w:i/>
          <w:iCs/>
        </w:rPr>
        <w:t>, в том числе с использованием сервисов внебиржевых и инвестиционных платформ.</w:t>
      </w:r>
    </w:p>
    <w:p w:rsidR="00641570" w:rsidRDefault="00641570" w:rsidP="00641570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Основные положения новой стратегии развития являются органичным продолжением предыдущих стратегий, опираются на сильные стороны бизнес-модели Московской биржи и ключевые компетенции ее сотрудников.</w:t>
      </w:r>
    </w:p>
    <w:p w:rsidR="00641570" w:rsidRDefault="00641570" w:rsidP="00641570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Последовательная реализация направлений новой стратегии позволит Московской бирже поддерживать опережающие темпы роста комиссионного дохода на среднесрочном горизонте, добиваясь устойчивого роста эффективности бизнеса на основе показателя отношения расходов к комиссионным доходам, а также рентабельности бизнес-модели на уровне не ниже 18% ROE.</w:t>
      </w:r>
    </w:p>
    <w:p w:rsidR="00641570" w:rsidRDefault="00641570" w:rsidP="00641570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Неотъемлемой частью стратегии в отношении управления капиталом является новая дивидендная политика, предполагающая минимальный уровень дивидендных выплат в размере 50% от чистой прибыли по МСФО Группы. Московская биржа продолжит выплачивать дивиденды как минимум на ежегодной основе. Свободный денежный поток в целях дивидендной политики учитывает необходимые капитальные вложения в поддержание бизнеса и инвестиции в дальнейшее развитие, а также регуляторные требования к Московской бирже и ее дочерним компаниям.</w:t>
      </w:r>
    </w:p>
    <w:p w:rsidR="00641570" w:rsidRDefault="00641570" w:rsidP="00641570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Критерием успешности реализации стратегии станет существенное увеличение рыночной капитализации Группы, которое будет поддержано устойчивым ростом фундаментальных финансовых показателей.</w:t>
      </w:r>
    </w:p>
    <w:p w:rsidR="00641570" w:rsidRPr="003E79C2" w:rsidRDefault="00641570" w:rsidP="00EF418C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Изменение основной деятельности Эмитента не планируется.</w:t>
      </w:r>
    </w:p>
    <w:p w:rsidR="00B930FB" w:rsidRPr="00B930FB" w:rsidRDefault="00EF418C" w:rsidP="00EF418C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outlineLvl w:val="1"/>
        <w:rPr>
          <w:b/>
          <w:bCs/>
        </w:rPr>
      </w:pPr>
      <w:bookmarkStart w:id="86" w:name="_Toc113954725"/>
      <w:bookmarkStart w:id="87" w:name="_Toc139292034"/>
      <w:bookmarkStart w:id="88" w:name="_Toc161055604"/>
      <w:bookmarkStart w:id="89" w:name="_Toc193300353"/>
      <w:bookmarkStart w:id="90" w:name="_Toc193301434"/>
      <w:r w:rsidRPr="00EF418C">
        <w:rPr>
          <w:b/>
          <w:bCs/>
        </w:rPr>
        <w:t>1.9.</w:t>
      </w:r>
      <w:r>
        <w:rPr>
          <w:b/>
          <w:bCs/>
        </w:rPr>
        <w:t> </w:t>
      </w:r>
      <w:r w:rsidR="00B930FB" w:rsidRPr="00B930FB">
        <w:rPr>
          <w:b/>
          <w:bCs/>
        </w:rPr>
        <w:t>Сведения о рисках, связанных с деятельностью эмитента</w:t>
      </w:r>
      <w:bookmarkEnd w:id="86"/>
      <w:bookmarkEnd w:id="87"/>
      <w:bookmarkEnd w:id="88"/>
      <w:bookmarkEnd w:id="89"/>
      <w:bookmarkEnd w:id="90"/>
    </w:p>
    <w:p w:rsidR="00EF418C" w:rsidRPr="00B0240A" w:rsidRDefault="00EF418C" w:rsidP="00EF418C">
      <w:pPr>
        <w:pStyle w:val="3"/>
        <w:spacing w:before="360" w:after="120" w:line="240" w:lineRule="auto"/>
        <w:rPr>
          <w:rFonts w:ascii="Times New Roman" w:hAnsi="Times New Roman"/>
          <w:sz w:val="22"/>
          <w:szCs w:val="22"/>
        </w:rPr>
      </w:pPr>
      <w:bookmarkStart w:id="91" w:name="_Toc113910477"/>
      <w:bookmarkStart w:id="92" w:name="_Toc113954726"/>
      <w:bookmarkStart w:id="93" w:name="_Toc139292035"/>
      <w:bookmarkStart w:id="94" w:name="_Toc161055605"/>
      <w:bookmarkStart w:id="95" w:name="_Toc193300354"/>
      <w:bookmarkStart w:id="96" w:name="_Toc193301435"/>
      <w:bookmarkStart w:id="97" w:name="_Toc113910479"/>
      <w:bookmarkStart w:id="98" w:name="_Toc113954728"/>
      <w:bookmarkStart w:id="99" w:name="_Toc139292037"/>
      <w:bookmarkStart w:id="100" w:name="_Toc161055607"/>
      <w:r w:rsidRPr="00BA6C88">
        <w:rPr>
          <w:rFonts w:ascii="Times New Roman" w:hAnsi="Times New Roman"/>
          <w:sz w:val="22"/>
          <w:szCs w:val="22"/>
        </w:rPr>
        <w:t>1.9.1. Отраслевые риски</w:t>
      </w:r>
      <w:bookmarkEnd w:id="91"/>
      <w:bookmarkEnd w:id="92"/>
      <w:bookmarkEnd w:id="93"/>
      <w:bookmarkEnd w:id="94"/>
      <w:bookmarkEnd w:id="95"/>
      <w:bookmarkEnd w:id="96"/>
      <w:r>
        <w:rPr>
          <w:rFonts w:ascii="Times New Roman" w:hAnsi="Times New Roman"/>
          <w:sz w:val="22"/>
          <w:szCs w:val="22"/>
        </w:rPr>
        <w:t xml:space="preserve">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 xml:space="preserve">Отраслевые риски - вероятность потерь в результате изменений экономического </w:t>
      </w:r>
      <w:r w:rsidRPr="00240E80">
        <w:rPr>
          <w:b/>
          <w:i/>
          <w:iCs/>
        </w:rPr>
        <w:lastRenderedPageBreak/>
        <w:t>состояния отрасли, величина которых обусловлена степенью изменений как внутри отрасли, так и по сравнению с другими отраслями.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ab/>
        <w:t>Поскольку большинство контрагентов Эмитента являются финансовыми организациями (кредитными организациями, брокерскими компаниями и т.п.),</w:t>
      </w:r>
      <w:r>
        <w:rPr>
          <w:b/>
          <w:i/>
          <w:iCs/>
        </w:rPr>
        <w:t xml:space="preserve"> </w:t>
      </w:r>
      <w:r w:rsidRPr="00240E80">
        <w:rPr>
          <w:b/>
          <w:i/>
          <w:iCs/>
        </w:rPr>
        <w:t>то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на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результаты деятельности Эмитента влияют все виды присущих этой отрасли рисков, а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также риски, связанные с изменением законодательства, регулирующего деятельность финансовых организаций.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240E80">
        <w:t>Наиболее значимые, по мнению эмитента, возможные изменения в отрасли на внутреннем рынке:</w:t>
      </w:r>
    </w:p>
    <w:p w:rsidR="00EF418C" w:rsidRPr="00240E80" w:rsidRDefault="00EF418C" w:rsidP="00A6096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>неблагоприятные тенденции на внутреннем рынке капитала, в том числе вследствие ухудшения общей экономической ситуации в России;</w:t>
      </w:r>
    </w:p>
    <w:p w:rsidR="00EF418C" w:rsidRPr="00240E80" w:rsidRDefault="00EF418C" w:rsidP="00A6096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>нестабильная рыночная конъюнктура, влекущая за собой ограничение масштабов размещения ценных бумаг российских и иностранных эмитентов;</w:t>
      </w:r>
    </w:p>
    <w:p w:rsidR="00EF418C" w:rsidRPr="00240E80" w:rsidRDefault="00EF418C" w:rsidP="00A6096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>сокращение объемов размещения государственных и корпоративных облигаций;</w:t>
      </w:r>
    </w:p>
    <w:p w:rsidR="00EF418C" w:rsidRPr="00240E80" w:rsidRDefault="00EF418C" w:rsidP="00A6096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>задержки в принятии регуляторных инициатив, необходимых для развития финансового рынка;</w:t>
      </w:r>
    </w:p>
    <w:p w:rsidR="00EF418C" w:rsidRPr="00240E80" w:rsidRDefault="00EF418C" w:rsidP="00A6096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>усиление конкуренции с существующими площадками и внебиржевым рынком, появление альтернативных торговых площадок на внутреннем рынке.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before="120" w:line="240" w:lineRule="auto"/>
        <w:jc w:val="both"/>
      </w:pPr>
      <w:r w:rsidRPr="00240E80">
        <w:t>Наиболее значимые, по мнению эмитента, возможные изменения в отрасли на внешнем рынке:</w:t>
      </w:r>
    </w:p>
    <w:p w:rsidR="00EF418C" w:rsidRPr="008A5396" w:rsidRDefault="00EF418C" w:rsidP="00A6096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i/>
          <w:iCs/>
        </w:rPr>
      </w:pPr>
      <w:r w:rsidRPr="00240E80">
        <w:rPr>
          <w:b/>
          <w:i/>
          <w:iCs/>
        </w:rPr>
        <w:t>нестабильная внешнеэкономическая конъюнктура и геополитическ</w:t>
      </w:r>
      <w:r>
        <w:rPr>
          <w:b/>
          <w:i/>
          <w:iCs/>
        </w:rPr>
        <w:t>а</w:t>
      </w:r>
      <w:r w:rsidRPr="00240E80">
        <w:rPr>
          <w:b/>
          <w:i/>
          <w:iCs/>
        </w:rPr>
        <w:t>я ситуация, ведущие к снижению цен на большинство ценных бумаг российского фондового рынка и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к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ограничению выхода российских компаний на рынок публичных размещений;</w:t>
      </w:r>
    </w:p>
    <w:p w:rsidR="00EF418C" w:rsidRPr="008A5396" w:rsidRDefault="00EF418C" w:rsidP="00A6096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i/>
          <w:iCs/>
        </w:rPr>
      </w:pPr>
      <w:r w:rsidRPr="00240E80">
        <w:rPr>
          <w:b/>
          <w:i/>
          <w:iCs/>
        </w:rPr>
        <w:t>ухудшение основных макроэкономических индикаторов крупных экономик, падение фондовых индексов на зарубежных площадках;</w:t>
      </w:r>
    </w:p>
    <w:p w:rsidR="00EF418C" w:rsidRPr="00240E80" w:rsidRDefault="00EF418C" w:rsidP="00A6096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>усиление биржевых и альтернативных торговых площадок, на которых могут начать торговаться российские активы.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before="120" w:line="240" w:lineRule="auto"/>
        <w:jc w:val="both"/>
      </w:pPr>
      <w:r w:rsidRPr="00240E80">
        <w:t>Предполагаемые действия эмитента в случае возможного ухудшения ситуации в отрасли: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ab/>
        <w:t>В случае существенного повышения уровня одного из указанных выше рисков или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их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совокупности в целом, Эмитент намерен предпринять все усилия для минимизации рисков, которые могут повлиять на его финансово-хозяйственную деятельность и исполнение обязательств по ценным бумагам, в том числе осуществлять меры по:</w:t>
      </w:r>
    </w:p>
    <w:p w:rsidR="00EF418C" w:rsidRPr="008A5396" w:rsidRDefault="00EF418C" w:rsidP="00A6096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i/>
          <w:iCs/>
        </w:rPr>
      </w:pPr>
      <w:r w:rsidRPr="00240E80">
        <w:rPr>
          <w:b/>
          <w:i/>
          <w:iCs/>
        </w:rPr>
        <w:t>внедрению новых продуктов и сервисов, способствующих увеличению числа участников рынка и росту объема торгов;</w:t>
      </w:r>
    </w:p>
    <w:p w:rsidR="00EF418C" w:rsidRPr="008A5396" w:rsidRDefault="00EF418C" w:rsidP="00A6096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i/>
          <w:iCs/>
        </w:rPr>
      </w:pPr>
      <w:r w:rsidRPr="00240E80">
        <w:rPr>
          <w:b/>
          <w:i/>
          <w:iCs/>
        </w:rPr>
        <w:t>обеспечению конкурентоспособных тарифов для привлечения новых и сохранения имеющихся участников биржевых рынков;</w:t>
      </w:r>
    </w:p>
    <w:p w:rsidR="00EF418C" w:rsidRPr="008A5396" w:rsidRDefault="00EF418C" w:rsidP="00A6096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i/>
          <w:iCs/>
        </w:rPr>
      </w:pPr>
      <w:r w:rsidRPr="00240E80">
        <w:rPr>
          <w:b/>
          <w:i/>
          <w:iCs/>
        </w:rPr>
        <w:t>дальнейшему совершенствованию системы управления рисками, связанными с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осуществлением биржевых операций;</w:t>
      </w:r>
    </w:p>
    <w:p w:rsidR="00EF418C" w:rsidRPr="008A5396" w:rsidRDefault="00EF418C" w:rsidP="00A6096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i/>
          <w:iCs/>
        </w:rPr>
      </w:pPr>
      <w:r w:rsidRPr="00240E80">
        <w:rPr>
          <w:b/>
          <w:i/>
          <w:iCs/>
        </w:rPr>
        <w:t>поддержанию надежности и производительности технологической платформы и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запуску новых технологических услуг;</w:t>
      </w:r>
    </w:p>
    <w:p w:rsidR="00EF418C" w:rsidRPr="00240E80" w:rsidRDefault="00EF418C" w:rsidP="00A6096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 xml:space="preserve">непрерывному мониторингу нештатных ситуаций и оценке степени их возможного воздействия на технологические процессы биржевых рынков.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before="120" w:line="240" w:lineRule="auto"/>
        <w:jc w:val="both"/>
      </w:pPr>
      <w:r w:rsidRPr="00240E80">
        <w:t>Риски, связанные с возможным изменением цен на сырье, услуги, используемые эмитентом в своей деятельности (отдельно на внутреннем и внешнем рынках), и их влияние на деятельность эмитента и</w:t>
      </w:r>
      <w:r>
        <w:t> </w:t>
      </w:r>
      <w:r w:rsidRPr="00240E80">
        <w:t>исполнение обязательств по ценным бумагам: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i/>
          <w:iCs/>
        </w:rPr>
      </w:pPr>
      <w:r w:rsidRPr="00240E80">
        <w:rPr>
          <w:b/>
          <w:i/>
          <w:iCs/>
        </w:rPr>
        <w:tab/>
        <w:t>В связи с тем, что Эмитент не использует сырье, его деятельность как на внешнем, так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и на внутреннем рынках, не подвержена рискам, связанным с изменением цен на сырье.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ab/>
      </w:r>
      <w:r w:rsidRPr="00240E80">
        <w:rPr>
          <w:b/>
          <w:bCs/>
          <w:i/>
          <w:iCs/>
        </w:rPr>
        <w:t xml:space="preserve">Изменение цен на услуги, используемые Эмитентом в своей деятельности, </w:t>
      </w:r>
      <w:r w:rsidRPr="00240E80">
        <w:rPr>
          <w:b/>
          <w:i/>
          <w:iCs/>
        </w:rPr>
        <w:t>как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на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внешнем, так и на внутреннем рынках</w:t>
      </w:r>
      <w:r w:rsidRPr="00240E80">
        <w:rPr>
          <w:b/>
          <w:bCs/>
          <w:i/>
          <w:iCs/>
        </w:rPr>
        <w:t>, может повлиять на результаты деятельности Эмитента в краткосрочном периоде. Однако это в существенной степени не отразится на</w:t>
      </w:r>
      <w:r>
        <w:rPr>
          <w:b/>
          <w:bCs/>
          <w:i/>
          <w:iCs/>
        </w:rPr>
        <w:t> </w:t>
      </w:r>
      <w:r w:rsidRPr="00240E80">
        <w:rPr>
          <w:b/>
          <w:bCs/>
          <w:i/>
          <w:iCs/>
        </w:rPr>
        <w:t>способности Эмитента исполнять свои обязательства по ценным бумагам.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240E80">
        <w:lastRenderedPageBreak/>
        <w:t>Риски, связанные с возможным изменением цен на продукцию и/или услуги эмитента (отдельно на</w:t>
      </w:r>
      <w:r>
        <w:t> </w:t>
      </w:r>
      <w:r w:rsidRPr="00240E80">
        <w:t>внутреннем и внешнем рынках), и их влияние на деятельность эмитента и исполнение обязательств по ценным бумагам: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ab/>
        <w:t>В связи с тем, что Эмитент не производит продукцию, его деятельность как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на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внешнем, так и на внутреннем рынках, не подвержена рискам, связанным с изменением цен на продукцию.</w:t>
      </w:r>
    </w:p>
    <w:p w:rsidR="00EF418C" w:rsidRPr="00B0240A" w:rsidRDefault="00EF418C" w:rsidP="00EF4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ab/>
        <w:t>Изменение цен на услуги Эмитента может повлиять на результаты деятельности Эмитента в краткосрочном периоде. Однако это в существенной степени не отразится на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способности Эмитента исполнять свои обязательства по ценным бумагам.</w:t>
      </w:r>
    </w:p>
    <w:p w:rsidR="00EF418C" w:rsidRPr="00B0240A" w:rsidRDefault="00EF418C" w:rsidP="00EF418C">
      <w:pPr>
        <w:pStyle w:val="3"/>
        <w:spacing w:before="360" w:after="120" w:line="240" w:lineRule="auto"/>
        <w:rPr>
          <w:rFonts w:ascii="Times New Roman" w:hAnsi="Times New Roman"/>
          <w:sz w:val="22"/>
          <w:szCs w:val="22"/>
        </w:rPr>
      </w:pPr>
      <w:bookmarkStart w:id="101" w:name="_Toc113910478"/>
      <w:bookmarkStart w:id="102" w:name="_Toc113954727"/>
      <w:bookmarkStart w:id="103" w:name="_Toc139292036"/>
      <w:bookmarkStart w:id="104" w:name="_Toc161055606"/>
      <w:bookmarkStart w:id="105" w:name="_Toc193300355"/>
      <w:bookmarkStart w:id="106" w:name="_Toc193301436"/>
      <w:r w:rsidRPr="00BA6C88">
        <w:rPr>
          <w:rFonts w:ascii="Times New Roman" w:hAnsi="Times New Roman"/>
          <w:sz w:val="22"/>
          <w:szCs w:val="22"/>
        </w:rPr>
        <w:t>1.9.2. Страновые и региональные риски</w:t>
      </w:r>
      <w:bookmarkStart w:id="107" w:name="_Hlk144845786"/>
      <w:bookmarkEnd w:id="101"/>
      <w:bookmarkEnd w:id="102"/>
      <w:bookmarkEnd w:id="103"/>
      <w:bookmarkEnd w:id="104"/>
      <w:bookmarkEnd w:id="105"/>
      <w:bookmarkEnd w:id="106"/>
      <w:r>
        <w:rPr>
          <w:rFonts w:ascii="Times New Roman" w:hAnsi="Times New Roman"/>
          <w:sz w:val="22"/>
          <w:szCs w:val="22"/>
        </w:rPr>
        <w:t xml:space="preserve">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240E80">
        <w:t>Страновые риски: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before="120" w:after="40"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ab/>
        <w:t>Эмитент зарегистрирован в качестве налогоплательщика на территории Российской Федерации. Таким образом, основные страновые и региональные риски, влияющие на Эмитента, – это риски, характерные для Российской Федерации. Стабильность российской экономики во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многом зависит от эффективности предпринимаемых мер в сфере экономической, финансовой и денежно-кредитной политики, развития регулирования финансового рынка и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системы налогообложения.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ab/>
        <w:t>Низкие темпы экономического роста в Российской Федерации мо</w:t>
      </w:r>
      <w:r>
        <w:rPr>
          <w:b/>
          <w:i/>
          <w:iCs/>
        </w:rPr>
        <w:t>гут</w:t>
      </w:r>
      <w:r w:rsidRPr="00240E80">
        <w:rPr>
          <w:b/>
          <w:i/>
          <w:iCs/>
        </w:rPr>
        <w:t xml:space="preserve"> отрицательно сказаться на деятельности предприятий страны. Российская экономика в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 xml:space="preserve">значительной степени зависит от цен и уровня экспорта нефти и других природных ресурсов, от ситуации на мировых рынках, а также санкционных ограничений. </w:t>
      </w:r>
      <w:r>
        <w:rPr>
          <w:b/>
          <w:i/>
          <w:iCs/>
        </w:rPr>
        <w:t>Н</w:t>
      </w:r>
      <w:r w:rsidRPr="00240E80">
        <w:rPr>
          <w:b/>
          <w:i/>
          <w:iCs/>
        </w:rPr>
        <w:t xml:space="preserve">еопределенность относительно будущего экономического роста может негативно повлиять на финансовое положение, результаты операций и экономические перспективы Эмитента.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ab/>
        <w:t xml:space="preserve">Эмитент </w:t>
      </w:r>
      <w:r>
        <w:rPr>
          <w:b/>
          <w:i/>
          <w:iCs/>
        </w:rPr>
        <w:t>не</w:t>
      </w:r>
      <w:r w:rsidRPr="00240E80">
        <w:rPr>
          <w:b/>
          <w:i/>
          <w:iCs/>
        </w:rPr>
        <w:t xml:space="preserve"> владеет долями в собственности зарубежных компаний.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ab/>
        <w:t>Основные страновые риски, которые могут негативно повлиять на деятельность Эмитента:</w:t>
      </w:r>
    </w:p>
    <w:p w:rsidR="00EF418C" w:rsidRPr="00D41EED" w:rsidRDefault="00EF418C" w:rsidP="00A6096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i/>
          <w:iCs/>
        </w:rPr>
      </w:pPr>
      <w:r>
        <w:rPr>
          <w:b/>
          <w:i/>
          <w:iCs/>
        </w:rPr>
        <w:t>низкие темпы экономического роста</w:t>
      </w:r>
      <w:r w:rsidRPr="00240E80">
        <w:rPr>
          <w:b/>
          <w:i/>
          <w:iCs/>
        </w:rPr>
        <w:t>;</w:t>
      </w:r>
    </w:p>
    <w:p w:rsidR="00EF418C" w:rsidRPr="00D41EED" w:rsidRDefault="00EF418C" w:rsidP="00A6096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20" w:after="0" w:line="240" w:lineRule="auto"/>
        <w:contextualSpacing/>
        <w:jc w:val="both"/>
        <w:rPr>
          <w:b/>
          <w:i/>
          <w:iCs/>
        </w:rPr>
      </w:pPr>
      <w:r w:rsidRPr="00240E80">
        <w:rPr>
          <w:b/>
          <w:i/>
          <w:iCs/>
        </w:rPr>
        <w:t>волатильность процентных ставок (для фондового рынка);</w:t>
      </w:r>
    </w:p>
    <w:p w:rsidR="00EF418C" w:rsidRPr="00D41EED" w:rsidRDefault="00EF418C" w:rsidP="00A6096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20" w:after="0" w:line="240" w:lineRule="auto"/>
        <w:contextualSpacing/>
        <w:jc w:val="both"/>
        <w:rPr>
          <w:b/>
          <w:i/>
          <w:iCs/>
        </w:rPr>
      </w:pPr>
      <w:r w:rsidRPr="00240E80">
        <w:rPr>
          <w:b/>
          <w:i/>
          <w:iCs/>
        </w:rPr>
        <w:t>задержки в принятии регуляторных инициатив на финансовом рынке;</w:t>
      </w:r>
    </w:p>
    <w:p w:rsidR="00EF418C" w:rsidRPr="00D41EED" w:rsidRDefault="00EF418C" w:rsidP="00A6096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20" w:after="0" w:line="240" w:lineRule="auto"/>
        <w:contextualSpacing/>
        <w:jc w:val="both"/>
        <w:rPr>
          <w:b/>
          <w:i/>
          <w:iCs/>
        </w:rPr>
      </w:pPr>
      <w:r w:rsidRPr="00240E80">
        <w:rPr>
          <w:b/>
          <w:i/>
          <w:iCs/>
        </w:rPr>
        <w:t>отток капитала из России;</w:t>
      </w:r>
    </w:p>
    <w:p w:rsidR="00EF418C" w:rsidRPr="00240E80" w:rsidRDefault="00EF418C" w:rsidP="00A6096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20" w:line="240" w:lineRule="auto"/>
        <w:contextualSpacing/>
        <w:jc w:val="both"/>
        <w:rPr>
          <w:b/>
          <w:i/>
          <w:iCs/>
        </w:rPr>
      </w:pPr>
      <w:r w:rsidRPr="00240E80">
        <w:rPr>
          <w:b/>
          <w:i/>
          <w:iCs/>
        </w:rPr>
        <w:t>санкционные риски.</w:t>
      </w:r>
    </w:p>
    <w:p w:rsidR="00EF418C" w:rsidRDefault="00EF418C" w:rsidP="00EF418C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240E80">
        <w:t>Санкционные риски: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b/>
          <w:i/>
          <w:iCs/>
        </w:rPr>
      </w:pPr>
      <w:r w:rsidRPr="00240E80">
        <w:rPr>
          <w:b/>
          <w:i/>
          <w:iCs/>
        </w:rPr>
        <w:tab/>
        <w:t>В результате введения экономических санкций в отношении России существует вероятность экономического спада в России, а также снижения темпов роста ее финансового сектора, что может негативно сказаться на прибыльности Эмитента. В этой связи Эмитент разрабатывает меры по сохранению уровня и обеспечению роста операционных доходов, в том числе за счет предложения новых продуктов и сервисов участникам рынка, одновременно обеспечивая контроль над уровнем расходов.</w:t>
      </w:r>
      <w:r w:rsidRPr="00240E80">
        <w:rPr>
          <w:b/>
          <w:i/>
          <w:iCs/>
        </w:rPr>
        <w:tab/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before="120" w:line="240" w:lineRule="auto"/>
        <w:jc w:val="both"/>
      </w:pPr>
      <w:r w:rsidRPr="00240E80">
        <w:t>Региональные риски: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ab/>
        <w:t>Эмитент зарегистрирован на территории города Москвы – одного из наиболее стабильных в социальном плане и экономически активного региона страны. Значительных политических и экономических изменений в регионе не ожидается.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240E80">
        <w:t>Предполагаемые действия эмитента на случай отрицательного влияния изменения ситуации в стране (странах) и регионе на его деятельность: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b/>
          <w:bCs/>
          <w:i/>
          <w:iCs/>
        </w:rPr>
      </w:pPr>
      <w:r w:rsidRPr="00240E80">
        <w:rPr>
          <w:b/>
          <w:i/>
          <w:iCs/>
        </w:rPr>
        <w:tab/>
        <w:t>Указанные выше риски не могут быть подконтрольны Эмитенту из-за их масштаба. Для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 xml:space="preserve">снижения рисков при осуществлении своей деятельности Эмитентом изучается политическая и экономическая конъюнктура, осуществляется оценка наиболее вероятных </w:t>
      </w:r>
      <w:r w:rsidRPr="00240E80">
        <w:rPr>
          <w:b/>
          <w:i/>
          <w:iCs/>
        </w:rPr>
        <w:lastRenderedPageBreak/>
        <w:t xml:space="preserve">изменений политической и экономической ситуации. Результаты проведенных исследований учитываются при утверждении концепции развития Эмитента, а также при принятии решений, касающихся реализации новых проектов.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before="120" w:line="240" w:lineRule="auto"/>
        <w:jc w:val="both"/>
      </w:pPr>
      <w:r w:rsidRPr="00240E80">
        <w:t>Риски, связанные с географическими особенностями страны (стран) и региона, в которых эмитент зарегистрирован в качестве налогоплательщика и/или осуществляет основную деятельность, в</w:t>
      </w:r>
      <w:r>
        <w:t> </w:t>
      </w:r>
      <w:r w:rsidRPr="00240E80">
        <w:t>том</w:t>
      </w:r>
      <w:r>
        <w:t> </w:t>
      </w:r>
      <w:r w:rsidRPr="00240E80">
        <w:t>числе повышенная опасность стихийных бедствий, возможное прекращение транспортного сообщения в связи с удаленностью и/или труднодоступностью и т.п.:</w:t>
      </w:r>
    </w:p>
    <w:p w:rsidR="00EF418C" w:rsidRPr="009739DB" w:rsidRDefault="00EF418C" w:rsidP="00EF418C">
      <w:pPr>
        <w:widowControl w:val="0"/>
        <w:autoSpaceDE w:val="0"/>
        <w:autoSpaceDN w:val="0"/>
        <w:adjustRightInd w:val="0"/>
        <w:spacing w:after="40" w:line="240" w:lineRule="auto"/>
        <w:ind w:firstLine="720"/>
        <w:jc w:val="both"/>
      </w:pPr>
      <w:r w:rsidRPr="00240E80">
        <w:rPr>
          <w:b/>
          <w:i/>
          <w:iCs/>
        </w:rPr>
        <w:t>Стихийные бедствия могут привести к выходу из строя и/или физическим разрушениям (уничтожению) зданий и коммуникаций, оборудования, информационных массивов, что,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безусловно, негативно отразится на деятельности Эмитента. Следствием риска может являться прекращение функционирования биржевых рынков в условиях чрезвычайных ситуаций. Учитывая, что Эмитент зарегистрирован и находится в географически стабильном регионе (г.</w:t>
      </w:r>
      <w:r>
        <w:rPr>
          <w:b/>
          <w:i/>
          <w:iCs/>
        </w:rPr>
        <w:t> </w:t>
      </w:r>
      <w:r w:rsidRPr="00240E80">
        <w:rPr>
          <w:b/>
          <w:i/>
          <w:iCs/>
        </w:rPr>
        <w:t>Москва), а также то, что функционируют географически разнесенные основной и резервные вычислительные центры для поддержания катастрофоустойчивого режима функционирования систем Эмитента, риски, связанные с географическими особенностями региона, в том числе повышенной опасностью стихийных бедствий, возможным прекращением транспортного сообщения в связи с удаленностью и/или труднодоступностью, считаются незначительными.</w:t>
      </w:r>
    </w:p>
    <w:p w:rsidR="00B930FB" w:rsidRPr="00B048E4" w:rsidRDefault="00B930FB" w:rsidP="003F4B26">
      <w:pPr>
        <w:pStyle w:val="3"/>
        <w:spacing w:before="360" w:after="120"/>
        <w:rPr>
          <w:rFonts w:ascii="Times New Roman" w:hAnsi="Times New Roman"/>
          <w:sz w:val="22"/>
          <w:szCs w:val="22"/>
        </w:rPr>
      </w:pPr>
      <w:bookmarkStart w:id="108" w:name="_Toc193300356"/>
      <w:bookmarkStart w:id="109" w:name="_Toc193301437"/>
      <w:bookmarkEnd w:id="107"/>
      <w:r w:rsidRPr="00B048E4">
        <w:rPr>
          <w:rFonts w:ascii="Times New Roman" w:hAnsi="Times New Roman"/>
          <w:sz w:val="22"/>
          <w:szCs w:val="22"/>
        </w:rPr>
        <w:t>1.9.3. Финансовые риски</w:t>
      </w:r>
      <w:bookmarkEnd w:id="97"/>
      <w:bookmarkEnd w:id="98"/>
      <w:bookmarkEnd w:id="99"/>
      <w:bookmarkEnd w:id="100"/>
      <w:bookmarkEnd w:id="108"/>
      <w:bookmarkEnd w:id="109"/>
    </w:p>
    <w:p w:rsidR="00B048E4" w:rsidRDefault="00B048E4" w:rsidP="00B048E4">
      <w:pPr>
        <w:autoSpaceDE w:val="0"/>
        <w:autoSpaceDN w:val="0"/>
        <w:spacing w:after="40" w:line="240" w:lineRule="auto"/>
        <w:jc w:val="both"/>
        <w:rPr>
          <w:b/>
          <w:bCs/>
          <w:i/>
          <w:iCs/>
        </w:rPr>
      </w:pPr>
      <w:bookmarkStart w:id="110" w:name="_Toc113910480"/>
      <w:bookmarkStart w:id="111" w:name="_Toc113954729"/>
      <w:bookmarkStart w:id="112" w:name="_Toc139292038"/>
      <w:bookmarkStart w:id="113" w:name="_Toc161055608"/>
      <w:r>
        <w:t>Валютные риски:</w:t>
      </w:r>
      <w:r>
        <w:rPr>
          <w:b/>
          <w:bCs/>
          <w:i/>
          <w:iCs/>
        </w:rPr>
        <w:t xml:space="preserve">              </w:t>
      </w:r>
    </w:p>
    <w:p w:rsidR="00B048E4" w:rsidRDefault="00B048E4" w:rsidP="00B048E4">
      <w:pPr>
        <w:autoSpaceDE w:val="0"/>
        <w:autoSpaceDN w:val="0"/>
        <w:spacing w:after="4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Валютные риски рассматриваются как вероятность возникновения потерь, связанных с неблагоприятным изменением курсов иностранных валют при проведении внешнеэкономических, кредитных и других валютных операций. Доходы и подавляющая часть расходов Эмитента номинируется в рублях, в связи с чем, подверженность Эмитента валютному риску минимальна.</w:t>
      </w:r>
    </w:p>
    <w:p w:rsidR="00B048E4" w:rsidRDefault="00B048E4" w:rsidP="00B048E4">
      <w:pPr>
        <w:autoSpaceDE w:val="0"/>
        <w:autoSpaceDN w:val="0"/>
        <w:spacing w:after="4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Значительные колебания валютного курса повлияют на экономику России в целом</w:t>
      </w:r>
      <w:r>
        <w:t xml:space="preserve"> </w:t>
      </w:r>
      <w:r>
        <w:rPr>
          <w:b/>
          <w:bCs/>
          <w:i/>
          <w:iCs/>
        </w:rPr>
        <w:t xml:space="preserve">и, как следствие, отразятся на деятельности Эмитента. Учитывая комплексную экономическую зависимость Эмитента от различных структур российской экономики, можно ожидать, что резкое изменение курса рубля по отношению к доллару США и другим мировым валютам повлияет на финансовый результат Эмитента. </w:t>
      </w:r>
    </w:p>
    <w:p w:rsidR="00B048E4" w:rsidRDefault="00B048E4" w:rsidP="00B048E4">
      <w:pPr>
        <w:autoSpaceDE w:val="0"/>
        <w:autoSpaceDN w:val="0"/>
        <w:spacing w:before="120" w:after="40" w:line="240" w:lineRule="auto"/>
        <w:jc w:val="both"/>
      </w:pPr>
      <w:r>
        <w:t>Риски изменения процентных ставок:</w:t>
      </w:r>
    </w:p>
    <w:p w:rsidR="00B048E4" w:rsidRDefault="00B048E4" w:rsidP="00B048E4">
      <w:pPr>
        <w:autoSpaceDE w:val="0"/>
        <w:autoSpaceDN w:val="0"/>
        <w:spacing w:after="4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Риски потерь, связанные с изменением процентных ставок, Эмитент оценивает как приемлемые с учетом сформированной структуры активов и обязательств, а также в разрезе комплекса мер по управлению рисками. Чувствительные к изменениям рыночных процентных ставок активы Эмитента многократно превышают аналогичные обязательства. В условиях стабильной</w:t>
      </w:r>
      <w:r>
        <w:t>,</w:t>
      </w:r>
      <w:r>
        <w:rPr>
          <w:b/>
          <w:bCs/>
          <w:i/>
          <w:iCs/>
        </w:rPr>
        <w:t xml:space="preserve"> без шоков, рыночной ситуации изменения процентных ставок не угрожают финансовой устойчивости Эмитента.</w:t>
      </w:r>
    </w:p>
    <w:p w:rsidR="00B048E4" w:rsidRDefault="00B048E4" w:rsidP="00B048E4">
      <w:pPr>
        <w:autoSpaceDE w:val="0"/>
        <w:autoSpaceDN w:val="0"/>
        <w:spacing w:after="4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Эмитент не осуществляет хеджирование в целях снижения неблагоприятных последствий изменений процентных ставок, а также курса обмена иностранных валют.</w:t>
      </w:r>
    </w:p>
    <w:p w:rsidR="00B048E4" w:rsidRDefault="00B048E4" w:rsidP="00B048E4">
      <w:pPr>
        <w:autoSpaceDE w:val="0"/>
        <w:autoSpaceDN w:val="0"/>
        <w:spacing w:before="120" w:after="40" w:line="240" w:lineRule="auto"/>
        <w:jc w:val="both"/>
      </w:pPr>
      <w:r>
        <w:t>Кредитные риски:</w:t>
      </w:r>
    </w:p>
    <w:p w:rsidR="00B048E4" w:rsidRDefault="00B048E4" w:rsidP="00B048E4">
      <w:pPr>
        <w:autoSpaceDE w:val="0"/>
        <w:autoSpaceDN w:val="0"/>
        <w:spacing w:after="4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Кредитный риск Эмитента рассматривается в общем понимании кредитного риска Группы, т.е. риска возникновения потенциальных потерь вследствие неисполнения, несвоевременного либо неполного исполнения контрагентами Группы своих финансовых обязательств в соответствии с условиями договора. </w:t>
      </w:r>
    </w:p>
    <w:p w:rsidR="00B048E4" w:rsidRDefault="00B048E4" w:rsidP="00B048E4">
      <w:pPr>
        <w:autoSpaceDE w:val="0"/>
        <w:autoSpaceDN w:val="0"/>
        <w:spacing w:after="4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Контроль за кредитными рисками Группа осуществляет централизованно с учетом риск-профиля и уровня кредитного риска отдельных организаций Группы. </w:t>
      </w:r>
    </w:p>
    <w:p w:rsidR="00B048E4" w:rsidRDefault="00B048E4" w:rsidP="00B048E4">
      <w:pPr>
        <w:autoSpaceDE w:val="0"/>
        <w:autoSpaceDN w:val="0"/>
        <w:spacing w:before="20" w:after="4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Система управления кредитными рисками Группы включает в себя:</w:t>
      </w:r>
    </w:p>
    <w:p w:rsidR="00B048E4" w:rsidRDefault="00B048E4" w:rsidP="00A60963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>
        <w:rPr>
          <w:b/>
          <w:i/>
          <w:iCs/>
        </w:rPr>
        <w:t>обеспечение проведения расчетов с участниками по принципу поставки против платежа (с целью минимизации расчетного риска);</w:t>
      </w:r>
    </w:p>
    <w:p w:rsidR="00B048E4" w:rsidRDefault="00B048E4" w:rsidP="00A60963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>
        <w:rPr>
          <w:b/>
          <w:i/>
          <w:iCs/>
        </w:rPr>
        <w:t>установление лимитов и иных ограничений на отдельных контрагентов или группы связанных контрагентов при размещении временно свободных денежных средств;</w:t>
      </w:r>
    </w:p>
    <w:p w:rsidR="00B048E4" w:rsidRDefault="00B048E4" w:rsidP="00A60963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>
        <w:rPr>
          <w:b/>
          <w:i/>
          <w:iCs/>
        </w:rPr>
        <w:lastRenderedPageBreak/>
        <w:t>регулярный контроль исполнения установленных лимитов;</w:t>
      </w:r>
    </w:p>
    <w:p w:rsidR="00B048E4" w:rsidRDefault="00B048E4" w:rsidP="00A60963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>
        <w:rPr>
          <w:b/>
          <w:i/>
          <w:iCs/>
        </w:rPr>
        <w:t>регулярное проведение портфельной и индивидуальной оценки кредитного риска (в том числе с определением внутренних рейтингов контрагентов);</w:t>
      </w:r>
    </w:p>
    <w:p w:rsidR="00B048E4" w:rsidRDefault="00B048E4" w:rsidP="00A60963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>
        <w:rPr>
          <w:b/>
          <w:i/>
          <w:iCs/>
        </w:rPr>
        <w:t>формирование резервов на покрытие возможных потерь от реализации кредитного риска;</w:t>
      </w:r>
    </w:p>
    <w:p w:rsidR="00B048E4" w:rsidRDefault="00B048E4" w:rsidP="00A60963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>
        <w:rPr>
          <w:b/>
          <w:i/>
          <w:iCs/>
        </w:rPr>
        <w:t>установление минимальных требований к участникам, определяющих условия получения доступа к торгам и клиринговому обслуживанию;</w:t>
      </w:r>
    </w:p>
    <w:p w:rsidR="00B048E4" w:rsidRDefault="00B048E4" w:rsidP="00A60963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>
        <w:rPr>
          <w:b/>
          <w:i/>
          <w:iCs/>
        </w:rPr>
        <w:t>иные специфические методы управления риском центрального контрагента (далее –</w:t>
      </w:r>
      <w:r>
        <w:rPr>
          <w:b/>
          <w:bCs/>
          <w:i/>
          <w:iCs/>
        </w:rPr>
        <w:t xml:space="preserve"> ЦК).</w:t>
      </w:r>
    </w:p>
    <w:p w:rsidR="00B048E4" w:rsidRDefault="00B048E4" w:rsidP="00B048E4">
      <w:pPr>
        <w:autoSpaceDE w:val="0"/>
        <w:autoSpaceDN w:val="0"/>
        <w:spacing w:after="4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Необходимо отметить, что уровень кредитного риска, которому подвержен сам Эмитент, незначителен. В то же время, наиболее существенные кредитные риски принимаются дочерними организациями Группы, осуществляющими расчетные функции и функции ЦК. В деятельности данных организаций Группы можно выделить как характерные кредитные риски, возникающие при размещении временно свободных денежных средств, так и специфические кредитные риски, связанные с оказанием услуг участникам финансовых рынков (риск центрального контрагента).</w:t>
      </w:r>
    </w:p>
    <w:p w:rsidR="00B048E4" w:rsidRDefault="00B048E4" w:rsidP="00B048E4">
      <w:pPr>
        <w:autoSpaceDE w:val="0"/>
        <w:autoSpaceDN w:val="0"/>
        <w:spacing w:after="4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Эмитент осуществляет формирование резервов на покрытие возможных потерь от реализации кредитного риска в соответствии со стандартом МСФО9. Соответствующий резерв рассчитывается как по Группе в целом, так и отдельно по Эмитенту и отражается в составе финансовой отчетности Эмитента на ежеквартальной основе.</w:t>
      </w:r>
    </w:p>
    <w:p w:rsidR="00B048E4" w:rsidRDefault="00B048E4" w:rsidP="00B048E4">
      <w:pPr>
        <w:autoSpaceDE w:val="0"/>
        <w:autoSpaceDN w:val="0"/>
        <w:spacing w:before="120" w:after="40" w:line="240" w:lineRule="auto"/>
        <w:jc w:val="both"/>
      </w:pPr>
      <w:r>
        <w:t>Риск центрального контрагента:</w:t>
      </w:r>
    </w:p>
    <w:p w:rsidR="00B048E4" w:rsidRDefault="00B048E4" w:rsidP="00B048E4">
      <w:pPr>
        <w:autoSpaceDE w:val="0"/>
        <w:autoSpaceDN w:val="0"/>
        <w:spacing w:before="20" w:after="4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Одним из основных рисков, принимаемых Группой в процессе централизованного клиринга обязательств участников, является кредитный риск ЦК. В случае дефолта одного или нескольких участников клиринга ЦК предпринимает необходимые меры для исполнения обязательств перед добросовестными участниками. </w:t>
      </w:r>
    </w:p>
    <w:p w:rsidR="00B048E4" w:rsidRDefault="00B048E4" w:rsidP="00B048E4">
      <w:pPr>
        <w:autoSpaceDE w:val="0"/>
        <w:autoSpaceDN w:val="0"/>
        <w:spacing w:before="20" w:after="4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Управление риском ЦК является одним из ключевых направлений деятельности Группы. В целях гарантированного и своевременного осуществления клиринга выстроена система управления рисками ЦК, отвечающая требованиям Банка России, а также международных стандартов для системно значимых инфраструктурных организаций. </w:t>
      </w:r>
    </w:p>
    <w:p w:rsidR="00B048E4" w:rsidRDefault="00B048E4" w:rsidP="00B048E4">
      <w:pPr>
        <w:autoSpaceDE w:val="0"/>
        <w:autoSpaceDN w:val="0"/>
        <w:spacing w:before="20" w:after="4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Система управления рисками ЦК включает в себя: </w:t>
      </w:r>
    </w:p>
    <w:p w:rsidR="00B048E4" w:rsidRDefault="00B048E4" w:rsidP="00A60963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>
        <w:rPr>
          <w:b/>
          <w:i/>
          <w:iCs/>
        </w:rPr>
        <w:t>два независимых подразделения, ответственных за создание методологии и внедрение процедур управления рисками;</w:t>
      </w:r>
    </w:p>
    <w:p w:rsidR="00B048E4" w:rsidRDefault="00B048E4" w:rsidP="00A60963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>
        <w:rPr>
          <w:b/>
          <w:i/>
          <w:iCs/>
        </w:rPr>
        <w:t>создание структуры уровней защиты, позволяющей покрывать потери при дефолте одного или нескольких крупнейших участников в экстремальных, но возможных рыночных условиях;</w:t>
      </w:r>
    </w:p>
    <w:p w:rsidR="00B048E4" w:rsidRDefault="00B048E4" w:rsidP="00A60963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>
        <w:rPr>
          <w:b/>
          <w:i/>
          <w:iCs/>
        </w:rPr>
        <w:t>мониторинг финансового состояния участников, в том числе соответствия условиям доступа к торгам и клирингу;</w:t>
      </w:r>
    </w:p>
    <w:p w:rsidR="00B048E4" w:rsidRDefault="00B048E4" w:rsidP="00A60963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>
        <w:rPr>
          <w:b/>
          <w:i/>
          <w:iCs/>
        </w:rPr>
        <w:t>процедуры урегулирования ситуации несостоятельности для минимизации потерь при неисполнении участниками своих обязательств;</w:t>
      </w:r>
    </w:p>
    <w:p w:rsidR="00B048E4" w:rsidRDefault="00B048E4" w:rsidP="00A60963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>
        <w:rPr>
          <w:b/>
          <w:i/>
          <w:iCs/>
        </w:rPr>
        <w:t>тесное</w:t>
      </w:r>
      <w:r>
        <w:rPr>
          <w:b/>
          <w:bCs/>
          <w:i/>
          <w:iCs/>
        </w:rPr>
        <w:t xml:space="preserve"> взаимодействие с регулятором в области управления рисками ЦК.</w:t>
      </w:r>
    </w:p>
    <w:p w:rsidR="00B048E4" w:rsidRDefault="00B048E4" w:rsidP="00B048E4">
      <w:pPr>
        <w:tabs>
          <w:tab w:val="left" w:pos="993"/>
        </w:tabs>
        <w:autoSpaceDE w:val="0"/>
        <w:autoSpaceDN w:val="0"/>
        <w:spacing w:before="20" w:after="4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На всех рынках группы внедрена единая структура уровней защиты, включающая:</w:t>
      </w:r>
    </w:p>
    <w:p w:rsidR="00B048E4" w:rsidRDefault="00B048E4" w:rsidP="00A60963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>
        <w:rPr>
          <w:b/>
          <w:i/>
          <w:iCs/>
        </w:rPr>
        <w:t>индивидуальное клиринговое обеспечение участников клиринга (включая обеспечение под стресс);</w:t>
      </w:r>
    </w:p>
    <w:p w:rsidR="00B048E4" w:rsidRDefault="00B048E4" w:rsidP="00A60963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>
        <w:rPr>
          <w:b/>
          <w:i/>
          <w:iCs/>
        </w:rPr>
        <w:t>выделенный капитал ЦК (включая дополнительный выделенный капитал ЦК,</w:t>
      </w:r>
      <w:r>
        <w:rPr>
          <w:b/>
          <w:i/>
          <w:iCs/>
          <w:lang w:val="en-US"/>
        </w:rPr>
        <w:t> </w:t>
      </w:r>
      <w:r>
        <w:rPr>
          <w:b/>
          <w:i/>
          <w:iCs/>
        </w:rPr>
        <w:t>не распределяемый по рынкам);</w:t>
      </w:r>
    </w:p>
    <w:p w:rsidR="00B048E4" w:rsidRDefault="00B048E4" w:rsidP="00A60963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>
        <w:rPr>
          <w:b/>
          <w:i/>
          <w:iCs/>
        </w:rPr>
        <w:t>коллективное клиринговое обеспечение участников клиринга (гарантийные фонды);</w:t>
      </w:r>
    </w:p>
    <w:p w:rsidR="00B048E4" w:rsidRDefault="00B048E4" w:rsidP="00A60963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>
        <w:rPr>
          <w:b/>
          <w:i/>
          <w:iCs/>
        </w:rPr>
        <w:t>дополнительный капитал ЦК;</w:t>
      </w:r>
    </w:p>
    <w:p w:rsidR="00B048E4" w:rsidRDefault="00B048E4" w:rsidP="00A60963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>
        <w:rPr>
          <w:b/>
          <w:i/>
          <w:iCs/>
        </w:rPr>
        <w:t>ограничение</w:t>
      </w:r>
      <w:r>
        <w:rPr>
          <w:b/>
          <w:bCs/>
          <w:i/>
          <w:iCs/>
        </w:rPr>
        <w:t xml:space="preserve"> ответственности ЦК.</w:t>
      </w:r>
    </w:p>
    <w:p w:rsidR="00B048E4" w:rsidRDefault="00B048E4" w:rsidP="00B048E4">
      <w:pPr>
        <w:autoSpaceDE w:val="0"/>
        <w:autoSpaceDN w:val="0"/>
        <w:spacing w:before="20" w:after="4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 случае дефолта участника клиринга и недостаточности для покрытия убытков по обязательствам средств его</w:t>
      </w:r>
      <w:r>
        <w:t xml:space="preserve"> </w:t>
      </w:r>
      <w:r>
        <w:rPr>
          <w:b/>
          <w:bCs/>
          <w:i/>
          <w:iCs/>
        </w:rPr>
        <w:t xml:space="preserve">индивидуального и коллективного клирингового обеспечения, для обеспечения обязательств по сделкам используются все остальные уровни защиты </w:t>
      </w:r>
      <w:r>
        <w:rPr>
          <w:b/>
          <w:bCs/>
          <w:i/>
          <w:iCs/>
        </w:rPr>
        <w:lastRenderedPageBreak/>
        <w:t>ЦК в порядке, предусмотренном Правилами клиринга НКЦ. В целях покрытия рисков организации Группы, выполняющей функции ЦК, руководство Группы принимает должные меры по поддержанию его капитализации на надлежащем уровне.</w:t>
      </w:r>
    </w:p>
    <w:p w:rsidR="00B048E4" w:rsidRDefault="00B048E4" w:rsidP="00B048E4">
      <w:pPr>
        <w:autoSpaceDE w:val="0"/>
        <w:autoSpaceDN w:val="0"/>
        <w:spacing w:before="20" w:after="4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 НКЦ внедрено обеспечение под стресс, которое является дополнительным уровнем защиты ЦК. Обеспечение под стресс является частью индивидуального клирингового обеспечения и служит для целей дополнительного покрытия рисков по концентрированным позициям участников в случае реализации стрессовых рыночных сценариев.</w:t>
      </w:r>
    </w:p>
    <w:p w:rsidR="00B048E4" w:rsidRDefault="00B048E4" w:rsidP="00B048E4">
      <w:pPr>
        <w:autoSpaceDE w:val="0"/>
        <w:autoSpaceDN w:val="0"/>
        <w:spacing w:before="20" w:after="4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Между ПАО Московская Биржа и НКЦ действует соглашение, устанавливающее совокупный размер денежных средств, которые ПАО Московская Биржа вносит в Гарантийный фонд одного или нескольких биржевых рынков по требованию Клирингового центра. </w:t>
      </w:r>
    </w:p>
    <w:p w:rsidR="00B048E4" w:rsidRPr="00E84618" w:rsidRDefault="00B048E4" w:rsidP="00B048E4">
      <w:pPr>
        <w:autoSpaceDE w:val="0"/>
        <w:autoSpaceDN w:val="0"/>
        <w:spacing w:before="20" w:after="4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 2022 году пройден</w:t>
      </w:r>
      <w:r>
        <w:t xml:space="preserve"> </w:t>
      </w:r>
      <w:r>
        <w:rPr>
          <w:b/>
          <w:bCs/>
          <w:i/>
          <w:iCs/>
        </w:rPr>
        <w:t>операционный аудит в соответствии с</w:t>
      </w:r>
      <w:r>
        <w:t xml:space="preserve"> </w:t>
      </w:r>
      <w:r>
        <w:rPr>
          <w:b/>
          <w:bCs/>
          <w:i/>
          <w:iCs/>
        </w:rPr>
        <w:t>Положением Банка России №556-П от 11.11.2016 О порядке проведения центральным контрагентом операционного аудита.</w:t>
      </w:r>
    </w:p>
    <w:p w:rsidR="00B048E4" w:rsidRDefault="00B048E4" w:rsidP="00B048E4">
      <w:pPr>
        <w:autoSpaceDE w:val="0"/>
        <w:autoSpaceDN w:val="0"/>
        <w:spacing w:before="120" w:after="40" w:line="240" w:lineRule="auto"/>
        <w:jc w:val="both"/>
      </w:pPr>
      <w:r>
        <w:t>Действия эмитента на случай отрицательного влияния изменения валютного курса и процентных ставок на деятельность эмитента:</w:t>
      </w:r>
    </w:p>
    <w:p w:rsidR="00B048E4" w:rsidRDefault="00B048E4" w:rsidP="00B048E4">
      <w:pPr>
        <w:autoSpaceDE w:val="0"/>
        <w:autoSpaceDN w:val="0"/>
        <w:spacing w:before="20" w:after="4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Руководство соответствующих компаний Группы устанавливает ограничения в отношении уровня принимаемого риска в разрезе валют.</w:t>
      </w:r>
    </w:p>
    <w:p w:rsidR="00B048E4" w:rsidRDefault="00B048E4" w:rsidP="00B048E4">
      <w:pPr>
        <w:autoSpaceDE w:val="0"/>
        <w:autoSpaceDN w:val="0"/>
        <w:spacing w:before="20" w:after="4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 случае негативного влияния изменения валютного курса и процентных ставок на</w:t>
      </w:r>
      <w:r>
        <w:rPr>
          <w:b/>
          <w:bCs/>
          <w:i/>
          <w:iCs/>
          <w:lang w:val="en-US"/>
        </w:rPr>
        <w:t> </w:t>
      </w:r>
      <w:r>
        <w:rPr>
          <w:b/>
          <w:bCs/>
          <w:i/>
          <w:iCs/>
        </w:rPr>
        <w:t xml:space="preserve">деятельность Эмитента, проводится анализ рисков и принимаются соответствующие решения в каждом конкретном случае, в том числе, в случае необходимости, принимаются меры по хеджированию данных рисков. </w:t>
      </w:r>
    </w:p>
    <w:p w:rsidR="00B048E4" w:rsidRDefault="00B048E4" w:rsidP="00B048E4">
      <w:pPr>
        <w:autoSpaceDE w:val="0"/>
        <w:autoSpaceDN w:val="0"/>
        <w:spacing w:before="120" w:after="40" w:line="240" w:lineRule="auto"/>
        <w:jc w:val="both"/>
      </w:pPr>
      <w:r>
        <w:t>Влияние инфляции на выплаты по ценным бумагам, критические, по мнению эмитента, значения инфляции, а также предполагаемые действия эмитента по уменьшению указанного риска:</w:t>
      </w:r>
    </w:p>
    <w:p w:rsidR="00B048E4" w:rsidRDefault="00B048E4" w:rsidP="00B048E4">
      <w:pPr>
        <w:autoSpaceDE w:val="0"/>
        <w:autoSpaceDN w:val="0"/>
        <w:spacing w:before="20" w:after="40" w:line="240" w:lineRule="auto"/>
        <w:ind w:firstLine="709"/>
        <w:jc w:val="both"/>
      </w:pPr>
      <w:r>
        <w:rPr>
          <w:b/>
          <w:bCs/>
          <w:i/>
          <w:iCs/>
        </w:rPr>
        <w:t xml:space="preserve">Инфляционные риски Эмитент в целом оценивает, как средние. </w:t>
      </w:r>
    </w:p>
    <w:p w:rsidR="00B048E4" w:rsidRDefault="00B048E4" w:rsidP="00B048E4">
      <w:pPr>
        <w:autoSpaceDE w:val="0"/>
        <w:autoSpaceDN w:val="0"/>
        <w:spacing w:before="20" w:after="40" w:line="240" w:lineRule="auto"/>
        <w:ind w:firstLine="709"/>
        <w:jc w:val="both"/>
      </w:pPr>
      <w:r>
        <w:rPr>
          <w:b/>
          <w:bCs/>
          <w:i/>
          <w:iCs/>
        </w:rPr>
        <w:t>Рост инфляции может увеличить затраты Эмитента. При этом, напрямую компенсировать в полной мере увеличение затрат ростом комиссий и, как следствие, комиссионных доходов представляется затруднительным в силу негибкости механизма ценообразования. Как следствие, инфляционный рост возможно приведет к сокращению прибыли Эмитента и, соответственно, повлияет на рентабельность его деятельности. Стоит также отметить, что риск удорожания заемных средств для Эмитента при росте инфляции является незначительным в связи с низким уровнем использования заемных средств в деятельности Эмитента. Кроме того, в случае значительного превышения фактических показателей инфляции над прогнозами Правительства РФ, а именно – при увеличении темпов инфляции до 15-20% в год, Эмитент планирует принять необходимые меры по ограничению роста затрат, снижению дебиторской задолженности и сокращению ее средних сроков.</w:t>
      </w:r>
    </w:p>
    <w:p w:rsidR="00B048E4" w:rsidRDefault="00B048E4" w:rsidP="00B048E4">
      <w:pPr>
        <w:autoSpaceDE w:val="0"/>
        <w:autoSpaceDN w:val="0"/>
        <w:spacing w:before="20" w:after="40" w:line="240" w:lineRule="auto"/>
        <w:ind w:firstLine="709"/>
        <w:jc w:val="both"/>
      </w:pPr>
      <w:r>
        <w:rPr>
          <w:b/>
          <w:bCs/>
          <w:i/>
          <w:iCs/>
        </w:rPr>
        <w:t>В целях минимизации финансовых рисков, рисков, связанных с инфляционными процессами и оказывающих влияние на финансовые результаты деятельности, Эмитентом проводится комплексная программа мероприятий по анализу финансовых рисков, планированию и оценке фактически сложившейся прибыльности работы, определяются показатели рентабельности, свидетельствующие об уровне доходности Эмитента, нормативные значения финансовых коэффициентов, характеризующих платежеспособность и ликвидность Эмитента, что дает возможность оперативно выявлять недостатки в работе Эмитента и принимать меры для их ликвидации.</w:t>
      </w:r>
    </w:p>
    <w:p w:rsidR="00B048E4" w:rsidRDefault="00B048E4" w:rsidP="00B048E4">
      <w:pPr>
        <w:autoSpaceDE w:val="0"/>
        <w:autoSpaceDN w:val="0"/>
        <w:spacing w:before="120" w:after="40" w:line="240" w:lineRule="auto"/>
        <w:jc w:val="both"/>
      </w:pPr>
      <w:r>
        <w:t>Показатели финансовой отчетности эмитента, наиболее подверженные изменению в результате влияния указанных финансовых рисков, в том числе риски, вероятность их возникновения и характер изменений в отчетности:</w:t>
      </w:r>
    </w:p>
    <w:p w:rsidR="00B048E4" w:rsidRDefault="00B048E4" w:rsidP="00B048E4">
      <w:pPr>
        <w:autoSpaceDE w:val="0"/>
        <w:autoSpaceDN w:val="0"/>
        <w:spacing w:before="20" w:after="40" w:line="240" w:lineRule="auto"/>
        <w:ind w:firstLine="709"/>
        <w:jc w:val="both"/>
      </w:pPr>
      <w:r>
        <w:rPr>
          <w:b/>
          <w:bCs/>
          <w:i/>
          <w:iCs/>
        </w:rPr>
        <w:t xml:space="preserve">Основным показателем, наиболее подверженным изменению, связанному с финансовыми рисками, является прибыль Эмитента. По мнению Эмитента, риск сокращения доходов, способного повлиять на обеспечение прибыльности Эмитента, является незначительным вследствие диверсифицированности деятельности Эмитента и его доходной базы. </w:t>
      </w:r>
    </w:p>
    <w:p w:rsidR="00B048E4" w:rsidRDefault="00B048E4" w:rsidP="00B048E4">
      <w:pPr>
        <w:autoSpaceDE w:val="0"/>
        <w:autoSpaceDN w:val="0"/>
        <w:spacing w:before="20" w:after="40" w:line="240" w:lineRule="auto"/>
        <w:ind w:firstLine="709"/>
        <w:jc w:val="both"/>
      </w:pPr>
      <w:r>
        <w:rPr>
          <w:b/>
          <w:bCs/>
          <w:i/>
          <w:iCs/>
        </w:rPr>
        <w:lastRenderedPageBreak/>
        <w:t xml:space="preserve">Так, сегменты финансового рынка, на которых Эмитент оказывает свои услуги, являются контрцикличными по отношению друг к другу; снижение активности на рынке ценных бумаг сопровождается повышением спроса услуг на рынке валютном и рынке денежных заимствований. Кроме того, диверсифицированы сами услуги, оказываемые Эмитентом, включающие торговые, клиринговые, информационно-технологические, расчетные, депозитарные и другие услуги, имеющие различные базы расчета платы за эти услуги. </w:t>
      </w:r>
    </w:p>
    <w:p w:rsidR="00B048E4" w:rsidRDefault="00B048E4" w:rsidP="00B048E4">
      <w:pPr>
        <w:autoSpaceDE w:val="0"/>
        <w:autoSpaceDN w:val="0"/>
        <w:spacing w:before="20" w:after="40" w:line="240" w:lineRule="auto"/>
        <w:ind w:firstLine="709"/>
        <w:jc w:val="both"/>
      </w:pPr>
      <w:r>
        <w:rPr>
          <w:b/>
          <w:bCs/>
          <w:i/>
          <w:iCs/>
        </w:rPr>
        <w:t xml:space="preserve">В отношении возможности роста расходов, способного повлиять на снижение прибыли, кроме вышеперечисленных мер по снижению валютных, процентных рисков и рисков инфляции, следует отметить, что часть расходов Эмитента напрямую связана с уровнем его доходов или прибыли, например, профессиональные услуги и переменная часть оплаты труда, и может быть снижена в случае наступления неблагоприятных рыночных условий. </w:t>
      </w:r>
    </w:p>
    <w:p w:rsidR="00B048E4" w:rsidRDefault="00B048E4" w:rsidP="00B048E4">
      <w:pPr>
        <w:autoSpaceDE w:val="0"/>
        <w:autoSpaceDN w:val="0"/>
        <w:spacing w:after="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 оценке Эмитента, финансовые риски находятся на приемлемом уровне и не могут в существенной степени отразиться на способности Эмитента исполнять свои обязательства по ценным бумагам.</w:t>
      </w:r>
    </w:p>
    <w:p w:rsidR="00B048E4" w:rsidRDefault="00B048E4" w:rsidP="00B048E4"/>
    <w:p w:rsidR="00B930FB" w:rsidRPr="00416D10" w:rsidRDefault="00B930FB" w:rsidP="003F4B26">
      <w:pPr>
        <w:pStyle w:val="3"/>
        <w:spacing w:before="360" w:after="120"/>
        <w:rPr>
          <w:rFonts w:ascii="Times New Roman" w:hAnsi="Times New Roman"/>
          <w:sz w:val="22"/>
          <w:szCs w:val="22"/>
        </w:rPr>
      </w:pPr>
      <w:bookmarkStart w:id="114" w:name="_Toc193300357"/>
      <w:bookmarkStart w:id="115" w:name="_Toc193301438"/>
      <w:r w:rsidRPr="00416D10">
        <w:rPr>
          <w:rFonts w:ascii="Times New Roman" w:hAnsi="Times New Roman"/>
          <w:sz w:val="22"/>
          <w:szCs w:val="22"/>
        </w:rPr>
        <w:t>1.9.4. Правовые риски</w:t>
      </w:r>
      <w:bookmarkEnd w:id="110"/>
      <w:bookmarkEnd w:id="111"/>
      <w:bookmarkEnd w:id="112"/>
      <w:bookmarkEnd w:id="113"/>
      <w:bookmarkEnd w:id="114"/>
      <w:bookmarkEnd w:id="115"/>
    </w:p>
    <w:p w:rsidR="00416D10" w:rsidRPr="00ED2051" w:rsidRDefault="00416D10" w:rsidP="00416D10">
      <w:pPr>
        <w:widowControl w:val="0"/>
        <w:autoSpaceDE w:val="0"/>
        <w:autoSpaceDN w:val="0"/>
        <w:adjustRightInd w:val="0"/>
        <w:spacing w:line="240" w:lineRule="auto"/>
        <w:jc w:val="both"/>
        <w:rPr>
          <w:bCs/>
          <w:iCs/>
        </w:rPr>
      </w:pPr>
      <w:bookmarkStart w:id="116" w:name="_Toc113910481"/>
      <w:bookmarkStart w:id="117" w:name="_Toc113954730"/>
      <w:bookmarkStart w:id="118" w:name="_Toc139292039"/>
      <w:bookmarkStart w:id="119" w:name="_Toc161055609"/>
      <w:bookmarkStart w:id="120" w:name="_Toc113910483"/>
      <w:bookmarkStart w:id="121" w:name="_Toc113954732"/>
      <w:bookmarkStart w:id="122" w:name="_Toc139292041"/>
      <w:bookmarkStart w:id="123" w:name="_Toc161055611"/>
      <w:r w:rsidRPr="00ED2051">
        <w:rPr>
          <w:bCs/>
          <w:iCs/>
        </w:rPr>
        <w:t>Правовые риски, связанные с деятельностью эмитента (отдельно для внутреннего и внешнего рынков):</w:t>
      </w:r>
    </w:p>
    <w:p w:rsidR="00416D10" w:rsidRPr="00ED2051" w:rsidRDefault="00416D10" w:rsidP="00416D10">
      <w:pPr>
        <w:widowControl w:val="0"/>
        <w:autoSpaceDE w:val="0"/>
        <w:autoSpaceDN w:val="0"/>
        <w:adjustRightInd w:val="0"/>
        <w:spacing w:after="40" w:line="240" w:lineRule="auto"/>
        <w:ind w:firstLine="709"/>
        <w:jc w:val="both"/>
        <w:rPr>
          <w:b/>
          <w:i/>
        </w:rPr>
      </w:pPr>
      <w:r w:rsidRPr="00ED2051">
        <w:rPr>
          <w:b/>
          <w:i/>
        </w:rPr>
        <w:tab/>
        <w:t>К правовым рискам, возникающим в деятельности Эмитента, можно отнести риски, связанные с изменением действующих законов и нормативных правовых актов, как общего характера, так и регулирующих либо связанных с деятельностью Эмитента, в соответствии с</w:t>
      </w:r>
      <w:r>
        <w:rPr>
          <w:b/>
          <w:i/>
        </w:rPr>
        <w:t> </w:t>
      </w:r>
      <w:r w:rsidRPr="00ED2051">
        <w:rPr>
          <w:b/>
          <w:i/>
        </w:rPr>
        <w:t>которыми могут быть введены какие-либо ограничения либо требования, которые могут оказать влияние на осуществление деятельности Эмитента, следствием которых может быть снижение конкурентоспособности Эмитента, снижение доходов и иные неблагоприятные последствия.</w:t>
      </w:r>
    </w:p>
    <w:p w:rsidR="00416D10" w:rsidRPr="00ED2051" w:rsidRDefault="00416D10" w:rsidP="00416D10">
      <w:pPr>
        <w:widowControl w:val="0"/>
        <w:autoSpaceDE w:val="0"/>
        <w:autoSpaceDN w:val="0"/>
        <w:adjustRightInd w:val="0"/>
        <w:spacing w:before="120" w:line="240" w:lineRule="auto"/>
        <w:jc w:val="both"/>
      </w:pPr>
      <w:r w:rsidRPr="00ED2051">
        <w:t>Риски, связанные с текущими судебными процессами, в которых участвует эмитент:</w:t>
      </w:r>
    </w:p>
    <w:p w:rsidR="00416D10" w:rsidRPr="00ED2051" w:rsidRDefault="00416D10" w:rsidP="00416D10">
      <w:pPr>
        <w:widowControl w:val="0"/>
        <w:autoSpaceDE w:val="0"/>
        <w:autoSpaceDN w:val="0"/>
        <w:adjustRightInd w:val="0"/>
        <w:spacing w:after="40" w:line="240" w:lineRule="auto"/>
        <w:ind w:firstLine="709"/>
        <w:jc w:val="both"/>
        <w:rPr>
          <w:b/>
          <w:bCs/>
          <w:i/>
          <w:iCs/>
        </w:rPr>
      </w:pPr>
      <w:r w:rsidRPr="00ED2051">
        <w:rPr>
          <w:b/>
          <w:bCs/>
          <w:i/>
          <w:iCs/>
        </w:rPr>
        <w:t xml:space="preserve">На дату окончания отчетного периода Эмитент не участвует в судебных разбирательствах, возникших в ходе обычной хозяйственной деятельности, и могущих повлечь </w:t>
      </w:r>
      <w:r w:rsidRPr="00ED2051">
        <w:rPr>
          <w:b/>
          <w:i/>
        </w:rPr>
        <w:t>существенный</w:t>
      </w:r>
      <w:r w:rsidRPr="00ED2051">
        <w:rPr>
          <w:b/>
          <w:bCs/>
          <w:i/>
          <w:iCs/>
        </w:rPr>
        <w:t xml:space="preserve"> ущерб для Эмитента. Вероятность удовлетворения исков, предъявленных к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>Эмитенту в отчетном периоде, оценивается как маловероятная.</w:t>
      </w:r>
    </w:p>
    <w:p w:rsidR="00416D10" w:rsidRPr="00ED2051" w:rsidRDefault="00416D10" w:rsidP="00416D10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bCs/>
          <w:iCs/>
        </w:rPr>
      </w:pPr>
      <w:r w:rsidRPr="00ED2051">
        <w:rPr>
          <w:bCs/>
          <w:iCs/>
        </w:rPr>
        <w:t>Правовые риски, связанные с изменением валютного регулирования:</w:t>
      </w:r>
    </w:p>
    <w:p w:rsidR="00416D10" w:rsidRPr="00ED2051" w:rsidRDefault="00416D10" w:rsidP="00416D10">
      <w:pPr>
        <w:widowControl w:val="0"/>
        <w:autoSpaceDE w:val="0"/>
        <w:autoSpaceDN w:val="0"/>
        <w:adjustRightInd w:val="0"/>
        <w:spacing w:after="40" w:line="240" w:lineRule="auto"/>
        <w:ind w:firstLine="709"/>
        <w:jc w:val="both"/>
        <w:rPr>
          <w:b/>
          <w:bCs/>
          <w:i/>
          <w:iCs/>
        </w:rPr>
      </w:pPr>
      <w:r w:rsidRPr="00ED2051">
        <w:rPr>
          <w:b/>
          <w:i/>
        </w:rPr>
        <w:tab/>
        <w:t>Эмитент оценивает влияние риска изменений валютного регулирования на</w:t>
      </w:r>
      <w:r>
        <w:rPr>
          <w:b/>
          <w:i/>
        </w:rPr>
        <w:t> </w:t>
      </w:r>
      <w:r w:rsidRPr="00ED2051">
        <w:rPr>
          <w:b/>
          <w:bCs/>
          <w:i/>
          <w:iCs/>
        </w:rPr>
        <w:t>деятельность Эмитента как минимальное в связи с тем, что доля внешнеторговых операций, осуществляемых организацией, незначительна.</w:t>
      </w:r>
    </w:p>
    <w:p w:rsidR="00416D10" w:rsidRPr="00ED2051" w:rsidRDefault="00416D10" w:rsidP="00416D10">
      <w:pPr>
        <w:widowControl w:val="0"/>
        <w:autoSpaceDE w:val="0"/>
        <w:autoSpaceDN w:val="0"/>
        <w:adjustRightInd w:val="0"/>
        <w:spacing w:before="20" w:after="40" w:line="240" w:lineRule="auto"/>
        <w:ind w:firstLine="709"/>
        <w:jc w:val="both"/>
        <w:rPr>
          <w:b/>
          <w:i/>
        </w:rPr>
      </w:pPr>
      <w:r w:rsidRPr="00ED2051">
        <w:rPr>
          <w:b/>
          <w:bCs/>
          <w:i/>
          <w:iCs/>
        </w:rPr>
        <w:tab/>
        <w:t>Эмит</w:t>
      </w:r>
      <w:r w:rsidRPr="00ED2051">
        <w:rPr>
          <w:b/>
          <w:i/>
        </w:rPr>
        <w:t>ент осуществляет деятельность по организации торговли иностранной валютой, и изменения валютного регулирования могут отразиться в этой части на деятельности и</w:t>
      </w:r>
      <w:r>
        <w:rPr>
          <w:b/>
          <w:i/>
        </w:rPr>
        <w:t> </w:t>
      </w:r>
      <w:r w:rsidRPr="00ED2051">
        <w:rPr>
          <w:b/>
          <w:i/>
        </w:rPr>
        <w:t>доходах Эмитента, однако Эмитент не предвидит каких-либо существенных изменений и</w:t>
      </w:r>
      <w:r>
        <w:rPr>
          <w:b/>
          <w:i/>
        </w:rPr>
        <w:t> </w:t>
      </w:r>
      <w:r w:rsidRPr="00ED2051">
        <w:rPr>
          <w:b/>
          <w:i/>
        </w:rPr>
        <w:t>считает данный риск минимальным.</w:t>
      </w:r>
    </w:p>
    <w:p w:rsidR="00416D10" w:rsidRPr="00ED2051" w:rsidRDefault="00416D10" w:rsidP="00416D10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bCs/>
          <w:iCs/>
        </w:rPr>
      </w:pPr>
      <w:r w:rsidRPr="00ED2051">
        <w:rPr>
          <w:bCs/>
          <w:iCs/>
        </w:rPr>
        <w:t>Риски, связанные с изменением налогового законодательства:</w:t>
      </w:r>
    </w:p>
    <w:p w:rsidR="00416D10" w:rsidRPr="00ED2051" w:rsidRDefault="00416D10" w:rsidP="00416D10">
      <w:pPr>
        <w:widowControl w:val="0"/>
        <w:tabs>
          <w:tab w:val="left" w:pos="709"/>
        </w:tabs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ED2051">
        <w:rPr>
          <w:b/>
          <w:i/>
        </w:rPr>
        <w:tab/>
        <w:t xml:space="preserve">На последний отчетный период Эмитентом начислены и уплачены все причитающиеся налоги. В случаях </w:t>
      </w:r>
      <w:r w:rsidRPr="00ED2051">
        <w:rPr>
          <w:b/>
          <w:bCs/>
          <w:i/>
          <w:iCs/>
        </w:rPr>
        <w:t>возникновения необходимости переоценки</w:t>
      </w:r>
      <w:r w:rsidRPr="00ED2051">
        <w:rPr>
          <w:b/>
          <w:i/>
        </w:rPr>
        <w:t xml:space="preserve"> налоговых обязательств Эмитента, такие оценки производятся наиболее консервативным образом. В настоящее время Эмитент не планирует менять свою налоговую политику, что, тем не менее, не устраняет потенциальный риск расхождения во мнениях с соответствующими регулирующими органами по вопросам, допускающим неоднозначную интерпретацию. Таким образом, существуют потенциальные риски привлечения к налоговой ответственности в случае изменений в государственной фискальной политике в отношении отдельных налогов и </w:t>
      </w:r>
      <w:r w:rsidRPr="00ED2051">
        <w:rPr>
          <w:b/>
          <w:i/>
        </w:rPr>
        <w:lastRenderedPageBreak/>
        <w:t>сборов, а также изменения судебной практики по отдельным категориям налоговых дел.</w:t>
      </w:r>
    </w:p>
    <w:p w:rsidR="00416D10" w:rsidRPr="00ED2051" w:rsidRDefault="00416D10" w:rsidP="00416D10">
      <w:pPr>
        <w:widowControl w:val="0"/>
        <w:tabs>
          <w:tab w:val="left" w:pos="709"/>
        </w:tabs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ED2051">
        <w:rPr>
          <w:b/>
          <w:i/>
        </w:rPr>
        <w:tab/>
        <w:t>Эмитент отслеживает как принятие новых нормативных правовых актов, так</w:t>
      </w:r>
      <w:r>
        <w:rPr>
          <w:b/>
          <w:i/>
        </w:rPr>
        <w:t> </w:t>
      </w:r>
      <w:r w:rsidRPr="00ED2051">
        <w:rPr>
          <w:b/>
          <w:i/>
        </w:rPr>
        <w:t>и</w:t>
      </w:r>
      <w:r>
        <w:rPr>
          <w:b/>
          <w:i/>
        </w:rPr>
        <w:t> </w:t>
      </w:r>
      <w:r w:rsidRPr="00ED2051">
        <w:rPr>
          <w:b/>
          <w:i/>
        </w:rPr>
        <w:t>внесение изменений в действующие нормативные правовые акты, касающиеся налогообложения деятельности Эмитента.</w:t>
      </w:r>
    </w:p>
    <w:p w:rsidR="00416D10" w:rsidRPr="00ED2051" w:rsidRDefault="00416D10" w:rsidP="00416D10">
      <w:pPr>
        <w:widowControl w:val="0"/>
        <w:tabs>
          <w:tab w:val="left" w:pos="709"/>
        </w:tabs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ED2051">
        <w:rPr>
          <w:b/>
          <w:i/>
        </w:rPr>
        <w:tab/>
        <w:t>В случае внесения изменений в действующие порядок и условия налогообложения, как</w:t>
      </w:r>
      <w:r>
        <w:rPr>
          <w:b/>
          <w:i/>
        </w:rPr>
        <w:t> </w:t>
      </w:r>
      <w:r w:rsidRPr="00ED2051">
        <w:rPr>
          <w:b/>
          <w:i/>
        </w:rPr>
        <w:t>на</w:t>
      </w:r>
      <w:r>
        <w:rPr>
          <w:b/>
          <w:i/>
        </w:rPr>
        <w:t> </w:t>
      </w:r>
      <w:r w:rsidRPr="00ED2051">
        <w:rPr>
          <w:b/>
          <w:i/>
        </w:rPr>
        <w:t>внутреннем, так и на внешнем рынках, Эмитент намерен планировать свою финансово-хозяйственную деятельность с учетом этих изменений. Таким образом, риск, связанный с изменением налогового законодательства, оценивается Эмитентом как</w:t>
      </w:r>
      <w:r>
        <w:rPr>
          <w:b/>
          <w:i/>
        </w:rPr>
        <w:t> </w:t>
      </w:r>
      <w:r w:rsidRPr="00ED2051">
        <w:rPr>
          <w:b/>
          <w:i/>
        </w:rPr>
        <w:t>незначительный.</w:t>
      </w:r>
    </w:p>
    <w:p w:rsidR="00416D10" w:rsidRPr="00ED2051" w:rsidRDefault="00416D10" w:rsidP="00416D10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bCs/>
          <w:iCs/>
        </w:rPr>
      </w:pPr>
      <w:r w:rsidRPr="00ED2051">
        <w:rPr>
          <w:bCs/>
          <w:iCs/>
        </w:rPr>
        <w:t>Правовые риски, связанные с изменением правил таможенного контроля и пошлин:</w:t>
      </w:r>
    </w:p>
    <w:p w:rsidR="00416D10" w:rsidRPr="00ED2051" w:rsidRDefault="00416D10" w:rsidP="00416D10">
      <w:pPr>
        <w:widowControl w:val="0"/>
        <w:tabs>
          <w:tab w:val="left" w:pos="709"/>
        </w:tabs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ED2051">
        <w:rPr>
          <w:b/>
          <w:i/>
        </w:rPr>
        <w:tab/>
        <w:t>В связи с тем, что Эмитент не осуществлял и не планирует осуществлять деятельность, связанную с импортом и экспортом товаров, риски, связанные с изменением правил таможенного контроля и пошлин, отсутствуют.</w:t>
      </w:r>
    </w:p>
    <w:p w:rsidR="00416D10" w:rsidRPr="00ED2051" w:rsidRDefault="00416D10" w:rsidP="00416D10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bCs/>
          <w:iCs/>
        </w:rPr>
      </w:pPr>
      <w:r w:rsidRPr="00ED2051">
        <w:rPr>
          <w:bCs/>
          <w:iCs/>
        </w:rPr>
        <w:t xml:space="preserve">Правовые риски, связанные с изменением требований по лицензированию основной деятельности эмитента либо лицензированию прав пользования объектами, нахождение которых в обороте ограничено (включая природные ресурсы): </w:t>
      </w:r>
    </w:p>
    <w:p w:rsidR="00416D10" w:rsidRPr="00ED2051" w:rsidRDefault="00416D10" w:rsidP="00416D10">
      <w:pPr>
        <w:widowControl w:val="0"/>
        <w:autoSpaceDE w:val="0"/>
        <w:autoSpaceDN w:val="0"/>
        <w:adjustRightInd w:val="0"/>
        <w:spacing w:before="20" w:after="40" w:line="240" w:lineRule="auto"/>
        <w:ind w:firstLine="709"/>
        <w:jc w:val="both"/>
        <w:rPr>
          <w:b/>
          <w:bCs/>
          <w:i/>
          <w:iCs/>
        </w:rPr>
      </w:pPr>
      <w:r w:rsidRPr="00ED2051">
        <w:rPr>
          <w:b/>
          <w:bCs/>
          <w:i/>
          <w:iCs/>
        </w:rPr>
        <w:t>Эмитент осуществляет основную деятельность на основании Лицензии биржи от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>29.08.2013 № 077-001, выданной Федеральной службой по финансовым рынкам без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 xml:space="preserve">ограничения срока действия. Таким образом, риски, связанные с отсутствием возможности продлить действие лицензии, у Эмитента отсутствуют. </w:t>
      </w:r>
    </w:p>
    <w:p w:rsidR="00416D10" w:rsidRPr="00ED2051" w:rsidRDefault="00416D10" w:rsidP="00416D10">
      <w:pPr>
        <w:spacing w:line="240" w:lineRule="auto"/>
        <w:ind w:firstLine="540"/>
        <w:jc w:val="both"/>
        <w:rPr>
          <w:b/>
          <w:bCs/>
          <w:i/>
          <w:iCs/>
        </w:rPr>
      </w:pPr>
      <w:r w:rsidRPr="00ED2051">
        <w:rPr>
          <w:b/>
          <w:bCs/>
          <w:i/>
          <w:iCs/>
        </w:rPr>
        <w:t>Поскольку основная деятельность Эмитента связана с обработкой информации и работой средств и систем информатизации, Эмитент осуществляет деятельность на основании Лицензии на деятельность по технической защите конфиденциальной информации (в части услуг по контролю защищенности конфиденциальной информации от несанкционированного доступа и ее модификации в средствах и системах информатизации;  работ и услуг по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>проектированию в защищенном исполнении средств и систем информатизации; помещений со средствами (системами) информатизации, подлежащими защите; защищаемых помещений; услуг по  установке, монтажу, наладке, испытаниям, ремонту средств защиты информации)</w:t>
      </w:r>
      <w:r w:rsidRPr="00ED2051">
        <w:rPr>
          <w:i/>
          <w:iCs/>
        </w:rPr>
        <w:t xml:space="preserve"> </w:t>
      </w:r>
      <w:r w:rsidRPr="00ED2051">
        <w:rPr>
          <w:b/>
          <w:bCs/>
          <w:i/>
          <w:iCs/>
        </w:rPr>
        <w:t xml:space="preserve"> от 14.03.2017 №3190, выданной Федеральной службой по техническому и экспортному контролю и Лицензии на деятельность по разработке и производству средств защиты конфиденциальной информации (в части разработки и производства программных (программно-технических) средств защиты информации; защищенных программных (программно-технических) средств обработки информации; программных (программно-технических) средств контроля защищенности информации) от 14.03.2017 №1699. В настоящий момент Эмитент осуществляет контроль защищенности конфиденциальной информации от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 xml:space="preserve">несанкционированного доступа и модификаций самостоятельно и в полном объеме, а также следит за выполнением лицензионных требований. Таким образом, в связи с тем, что данная деятельность является неотъемлемой частью комплекса услуг, оказываемых в рамках основного вида деятельности, Эмитент осуществляет контроль за соблюдением и обеспечением соответствия лицензионных требований, риски, связанные </w:t>
      </w:r>
      <w:bookmarkStart w:id="124" w:name="_Hlk111119568"/>
      <w:r w:rsidRPr="00ED2051">
        <w:rPr>
          <w:b/>
          <w:bCs/>
          <w:i/>
          <w:iCs/>
        </w:rPr>
        <w:t>с аннулированием или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 xml:space="preserve">приостановлением </w:t>
      </w:r>
      <w:bookmarkEnd w:id="124"/>
      <w:r w:rsidRPr="00ED2051">
        <w:rPr>
          <w:b/>
          <w:bCs/>
          <w:i/>
          <w:iCs/>
        </w:rPr>
        <w:t>действия лицензий, у Эмитента отсутствуют.</w:t>
      </w:r>
    </w:p>
    <w:p w:rsidR="00416D10" w:rsidRPr="00ED2051" w:rsidRDefault="00416D10" w:rsidP="00416D10">
      <w:pPr>
        <w:widowControl w:val="0"/>
        <w:autoSpaceDE w:val="0"/>
        <w:autoSpaceDN w:val="0"/>
        <w:adjustRightInd w:val="0"/>
        <w:spacing w:after="40" w:line="240" w:lineRule="auto"/>
        <w:ind w:firstLine="709"/>
        <w:jc w:val="both"/>
        <w:rPr>
          <w:b/>
          <w:bCs/>
          <w:i/>
          <w:iCs/>
        </w:rPr>
      </w:pPr>
      <w:r w:rsidRPr="00ED2051">
        <w:rPr>
          <w:b/>
          <w:bCs/>
          <w:i/>
          <w:iCs/>
        </w:rPr>
        <w:t>Эмитент не использует объекты, нахождение которых в обороте ограничено, в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>том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>числе природные ресурсы, в связи с чем, рисков, связанных с отсутствием возможности продлить действие лицензии на использование объектов, нахождение которых в обороте ограничено, у Эмитента не существует.</w:t>
      </w:r>
    </w:p>
    <w:p w:rsidR="00416D10" w:rsidRPr="00ED2051" w:rsidRDefault="00416D10" w:rsidP="00416D10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bCs/>
          <w:iCs/>
        </w:rPr>
      </w:pPr>
      <w:r w:rsidRPr="00ED2051">
        <w:rPr>
          <w:bCs/>
          <w:iCs/>
        </w:rPr>
        <w:t>Правовые риски, связанные с изменением судебной практики по вопросам, связанным с</w:t>
      </w:r>
      <w:r>
        <w:rPr>
          <w:bCs/>
          <w:iCs/>
        </w:rPr>
        <w:t> </w:t>
      </w:r>
      <w:r w:rsidRPr="00ED2051">
        <w:rPr>
          <w:bCs/>
          <w:iCs/>
        </w:rPr>
        <w:t>деятельностью эмитента (в том числе по вопросам лицензирования), которые могут негативно сказаться на результатах его деятельности, а также на результаты текущих судебных процессов, в</w:t>
      </w:r>
      <w:r>
        <w:rPr>
          <w:bCs/>
          <w:iCs/>
        </w:rPr>
        <w:t> </w:t>
      </w:r>
      <w:r w:rsidRPr="00ED2051">
        <w:rPr>
          <w:bCs/>
          <w:iCs/>
        </w:rPr>
        <w:t>которых участвует эмитент:</w:t>
      </w:r>
    </w:p>
    <w:p w:rsidR="00416D10" w:rsidRPr="00ED2051" w:rsidRDefault="00416D10" w:rsidP="00416D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b/>
          <w:bCs/>
          <w:i/>
          <w:iCs/>
        </w:rPr>
      </w:pPr>
      <w:r w:rsidRPr="00ED2051">
        <w:rPr>
          <w:b/>
          <w:i/>
        </w:rPr>
        <w:tab/>
      </w:r>
      <w:r w:rsidRPr="00ED2051">
        <w:rPr>
          <w:b/>
          <w:bCs/>
          <w:i/>
          <w:iCs/>
        </w:rPr>
        <w:t xml:space="preserve">Эмитент осуществляет свою деятельность в соответствии с действующим законодательством Российской Федерации и с учетом сложившейся судебной практики, </w:t>
      </w:r>
      <w:r w:rsidRPr="00ED2051">
        <w:rPr>
          <w:b/>
          <w:bCs/>
          <w:i/>
          <w:iCs/>
        </w:rPr>
        <w:lastRenderedPageBreak/>
        <w:t>проводит на постоянной основе мониторинг законодательства Российской Федерации, правоприменительной практики, а также стремится к конструктивному диалогу с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 xml:space="preserve">регулирующими органами в вопросах интерпретации норм законодательства Российской Федерации. </w:t>
      </w:r>
    </w:p>
    <w:p w:rsidR="00416D10" w:rsidRPr="00ED2051" w:rsidRDefault="00416D10" w:rsidP="00416D10">
      <w:pPr>
        <w:widowControl w:val="0"/>
        <w:autoSpaceDE w:val="0"/>
        <w:autoSpaceDN w:val="0"/>
        <w:adjustRightInd w:val="0"/>
        <w:spacing w:after="40" w:line="240" w:lineRule="auto"/>
        <w:ind w:firstLine="709"/>
        <w:jc w:val="both"/>
        <w:rPr>
          <w:b/>
          <w:bCs/>
          <w:i/>
          <w:iCs/>
        </w:rPr>
      </w:pPr>
      <w:r w:rsidRPr="00ED2051">
        <w:rPr>
          <w:b/>
          <w:bCs/>
          <w:i/>
          <w:iCs/>
        </w:rPr>
        <w:t>В отчетном периоде правовых рисков, связанных с изменением судебной практики по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>вопросам, связанным с деятельностью Эмитента, которые могли бы негативно отразиться на результатах деятельности Эмитента, а также повлечь негативные последствия на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>финансовый рынок в целом, не выявлено. Возможные изменения судебной практики по иным вопросам, связанным с деятельностью Эмитента, в том числе с профессиональной деятельностью организатора торговли, также могут негативно сказаться на результатах деятельности Эмитента, однако Эмитент не прогнозирует высокой вероятности изменений судебной практики, которые могли бы существенно негативно повлиять на результаты его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 xml:space="preserve">деятельности или на результаты судебных процессов, в которых он может участвовать. </w:t>
      </w:r>
    </w:p>
    <w:p w:rsidR="00416D10" w:rsidRPr="00EC40AF" w:rsidRDefault="00416D10" w:rsidP="00416D10">
      <w:pPr>
        <w:widowControl w:val="0"/>
        <w:tabs>
          <w:tab w:val="left" w:pos="851"/>
        </w:tabs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 w:rsidRPr="00ED2051">
        <w:rPr>
          <w:bCs/>
          <w:iCs/>
        </w:rPr>
        <w:t>Правовые риски, связанные с деятельностью Эмитента на внешнем рынке,</w:t>
      </w:r>
      <w:r w:rsidRPr="00ED2051">
        <w:t xml:space="preserve"> </w:t>
      </w:r>
      <w:r w:rsidRPr="00ED2051">
        <w:rPr>
          <w:b/>
          <w:i/>
        </w:rPr>
        <w:t>практически не будут сказываться на деятельности Эмитента, так как в основном Эмитент осуществляет свою деятельность на территории Российской Федерации, а доход от внешнеэкономических операций не является существенным.</w:t>
      </w:r>
    </w:p>
    <w:p w:rsidR="00EF418C" w:rsidRDefault="00EF418C" w:rsidP="00EF418C">
      <w:pPr>
        <w:pStyle w:val="3"/>
        <w:spacing w:before="360" w:after="120"/>
        <w:rPr>
          <w:rFonts w:ascii="Times New Roman" w:hAnsi="Times New Roman"/>
          <w:sz w:val="22"/>
          <w:szCs w:val="22"/>
        </w:rPr>
      </w:pPr>
      <w:bookmarkStart w:id="125" w:name="_Toc193300358"/>
      <w:bookmarkStart w:id="126" w:name="_Toc193301439"/>
      <w:r w:rsidRPr="00BA6C88">
        <w:rPr>
          <w:rFonts w:ascii="Times New Roman" w:hAnsi="Times New Roman"/>
          <w:sz w:val="22"/>
          <w:szCs w:val="22"/>
        </w:rPr>
        <w:t>1.9.5. Риск потери деловой репутации (репутационный риск)</w:t>
      </w:r>
      <w:bookmarkEnd w:id="116"/>
      <w:bookmarkEnd w:id="117"/>
      <w:bookmarkEnd w:id="118"/>
      <w:bookmarkEnd w:id="119"/>
      <w:bookmarkEnd w:id="125"/>
      <w:bookmarkEnd w:id="126"/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b/>
          <w:bCs/>
          <w:i/>
          <w:iCs/>
          <w:color w:val="000000"/>
        </w:rPr>
      </w:pPr>
      <w:r w:rsidRPr="00240E80">
        <w:rPr>
          <w:b/>
          <w:bCs/>
          <w:i/>
          <w:iCs/>
        </w:rPr>
        <w:t>Риск потери деловой репутации - риск возникновения расходов (убытков) Эмитента в</w:t>
      </w:r>
      <w:r>
        <w:rPr>
          <w:b/>
          <w:bCs/>
          <w:i/>
          <w:iCs/>
        </w:rPr>
        <w:t> </w:t>
      </w:r>
      <w:r w:rsidRPr="00240E80">
        <w:rPr>
          <w:b/>
          <w:bCs/>
          <w:i/>
          <w:iCs/>
        </w:rPr>
        <w:t>результате негативного восприятия Эмитента со стороны контрагентов Эмитента, участников торгов и их клиентов, потребителей финансовых услуг, акционеров Эмитента, Банка России и иных лиц, которые могут негативно повлиять на способность Эмитента поддерживать существующие и (или) устанавливать новые деловые отношения и</w:t>
      </w:r>
      <w:r>
        <w:rPr>
          <w:b/>
          <w:bCs/>
          <w:i/>
          <w:iCs/>
        </w:rPr>
        <w:t> </w:t>
      </w:r>
      <w:r w:rsidRPr="00240E80">
        <w:rPr>
          <w:b/>
          <w:bCs/>
          <w:i/>
          <w:iCs/>
        </w:rPr>
        <w:t>поддерживать на постоянной основе доступ к источникам финансирования.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  <w:color w:val="000000"/>
        </w:rPr>
      </w:pPr>
      <w:r w:rsidRPr="00240E80">
        <w:rPr>
          <w:b/>
          <w:bCs/>
          <w:i/>
          <w:iCs/>
          <w:color w:val="000000"/>
        </w:rPr>
        <w:t>Управление риском потери деловой репутации производится в целях снижения возможных убытков, сохранения и поддержания деловой репутации Эмитента перед клиентами и</w:t>
      </w:r>
      <w:r>
        <w:rPr>
          <w:b/>
          <w:bCs/>
          <w:i/>
          <w:iCs/>
          <w:color w:val="000000"/>
        </w:rPr>
        <w:t> </w:t>
      </w:r>
      <w:r w:rsidRPr="00240E80">
        <w:rPr>
          <w:b/>
          <w:bCs/>
          <w:i/>
          <w:iCs/>
          <w:color w:val="000000"/>
        </w:rPr>
        <w:t xml:space="preserve">контрагентами, учредителями (участниками), участниками финансового рынка, органами государственной власти и местного самоуправления, саморегулируемыми организациями, участником которых является Эмитент.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Источниками возникновения риска потери деловой репутации могут являться следующие внутренние и внешние факторы: </w:t>
      </w:r>
    </w:p>
    <w:p w:rsidR="00EF418C" w:rsidRPr="000D63EF" w:rsidRDefault="00EF418C" w:rsidP="00A60963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0D63EF">
        <w:rPr>
          <w:b/>
          <w:i/>
          <w:iCs/>
        </w:rPr>
        <w:t>несоблюдение законодательства Российской Федерации, учредительных и внутренних документов, обычаев делового оборота, принципов профессиональной этики, неисполнение договорных обязательств перед кредиторами, клиентами и</w:t>
      </w:r>
      <w:r>
        <w:rPr>
          <w:b/>
          <w:i/>
          <w:iCs/>
        </w:rPr>
        <w:t> </w:t>
      </w:r>
      <w:r w:rsidRPr="000D63EF">
        <w:rPr>
          <w:b/>
          <w:i/>
          <w:iCs/>
        </w:rPr>
        <w:t xml:space="preserve">контрагентами; </w:t>
      </w:r>
    </w:p>
    <w:p w:rsidR="00EF418C" w:rsidRPr="000D63EF" w:rsidRDefault="00EF418C" w:rsidP="00A60963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0D63EF">
        <w:rPr>
          <w:b/>
          <w:i/>
          <w:iCs/>
        </w:rPr>
        <w:t xml:space="preserve">отсутствие во внутренних документах механизмов, позволяющих эффективно регулировать конфликт интересов клиентов и контрагентов, учредителей, органов управления и (или) сотрудников, а также минимизировать негативные последствия конфликта интересов, в том числе предотвращение предъявления жалоб, судебных исков со стороны клиентов и контрагентов и (или) применение мер воздействия со стороны органов регулирования и надзора; </w:t>
      </w:r>
    </w:p>
    <w:p w:rsidR="00EF418C" w:rsidRPr="000D63EF" w:rsidRDefault="00EF418C" w:rsidP="00A60963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0D63EF">
        <w:rPr>
          <w:b/>
          <w:i/>
          <w:iCs/>
        </w:rPr>
        <w:t xml:space="preserve">недостатки в управлении рисками Эмитента, приводящие к возможности нанесения ущерба деловой репутации; </w:t>
      </w:r>
    </w:p>
    <w:p w:rsidR="00EF418C" w:rsidRPr="000D63EF" w:rsidRDefault="00EF418C" w:rsidP="00A60963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0D63EF">
        <w:rPr>
          <w:b/>
          <w:i/>
          <w:iCs/>
        </w:rPr>
        <w:t xml:space="preserve">недостатки кадровой политики при подборе и расстановке кадров, несоблюдение принципа </w:t>
      </w:r>
      <w:r>
        <w:rPr>
          <w:b/>
          <w:i/>
          <w:iCs/>
        </w:rPr>
        <w:t>«</w:t>
      </w:r>
      <w:r w:rsidRPr="000D63EF">
        <w:rPr>
          <w:b/>
          <w:i/>
          <w:iCs/>
        </w:rPr>
        <w:t>Знай своего служащего</w:t>
      </w:r>
      <w:r>
        <w:rPr>
          <w:b/>
          <w:i/>
          <w:iCs/>
        </w:rPr>
        <w:t>»</w:t>
      </w:r>
      <w:r w:rsidRPr="000D63EF">
        <w:rPr>
          <w:b/>
          <w:i/>
          <w:iCs/>
        </w:rPr>
        <w:t xml:space="preserve">; </w:t>
      </w:r>
    </w:p>
    <w:p w:rsidR="00EF418C" w:rsidRPr="000D63EF" w:rsidRDefault="00EF418C" w:rsidP="00A60963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0D63EF">
        <w:rPr>
          <w:b/>
          <w:i/>
          <w:iCs/>
        </w:rPr>
        <w:t xml:space="preserve">возникновение у Эмитента конфликта интересов с учредителями (участниками), клиентами и контрагентами, а также другими заинтересованными лицами; </w:t>
      </w:r>
    </w:p>
    <w:p w:rsidR="00EF418C" w:rsidRPr="00240E80" w:rsidRDefault="00EF418C" w:rsidP="00A60963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120" w:line="240" w:lineRule="auto"/>
        <w:ind w:left="714" w:hanging="357"/>
        <w:jc w:val="both"/>
        <w:rPr>
          <w:b/>
          <w:bCs/>
          <w:i/>
          <w:iCs/>
        </w:rPr>
      </w:pPr>
      <w:r w:rsidRPr="000D63EF">
        <w:rPr>
          <w:b/>
          <w:i/>
          <w:iCs/>
        </w:rPr>
        <w:t>опубликование негативной информации о компании или ее сотрудниках, учредителях, членах органов управления</w:t>
      </w:r>
      <w:r w:rsidRPr="00240E80">
        <w:rPr>
          <w:b/>
          <w:bCs/>
          <w:i/>
          <w:iCs/>
        </w:rPr>
        <w:t>, аффилированных лицах, дочерних и зависимых организациях в</w:t>
      </w:r>
      <w:r>
        <w:rPr>
          <w:b/>
          <w:bCs/>
          <w:i/>
          <w:iCs/>
        </w:rPr>
        <w:t> </w:t>
      </w:r>
      <w:r w:rsidRPr="00240E80">
        <w:rPr>
          <w:b/>
          <w:bCs/>
          <w:i/>
          <w:iCs/>
        </w:rPr>
        <w:t xml:space="preserve">средствах массовой информации.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lastRenderedPageBreak/>
        <w:t>Выявление (идентификация) репутационного риска предполагает использование внешних источников информации, в том числе периодических печатных изданий, радио, телевидения, иных форм периодического распространения массовой информации, включая Интернет, а</w:t>
      </w:r>
      <w:r>
        <w:rPr>
          <w:b/>
          <w:bCs/>
          <w:i/>
          <w:iCs/>
          <w:lang w:val="en-US"/>
        </w:rPr>
        <w:t> </w:t>
      </w:r>
      <w:r w:rsidRPr="00240E80">
        <w:rPr>
          <w:b/>
          <w:bCs/>
          <w:i/>
          <w:iCs/>
        </w:rPr>
        <w:t>также информации, полученной от структурных подразделений Эмитента.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>Подразделением, осуществляющим сбор и оценку информации о фактах репутационного риска, является подразделение, в функционал которого входит осуществление связей с внешними источниками распространения массовой информации (печатные издания, радио, Интернет и</w:t>
      </w:r>
      <w:r>
        <w:rPr>
          <w:b/>
          <w:bCs/>
          <w:i/>
          <w:iCs/>
          <w:lang w:val="en-US"/>
        </w:rPr>
        <w:t> </w:t>
      </w:r>
      <w:r w:rsidRPr="00240E80">
        <w:rPr>
          <w:b/>
          <w:bCs/>
          <w:i/>
          <w:iCs/>
        </w:rPr>
        <w:t>т.д.). Полученные сведения о фактах репутационного риска проверяются на достоверность и</w:t>
      </w:r>
      <w:r>
        <w:rPr>
          <w:b/>
          <w:bCs/>
          <w:i/>
          <w:iCs/>
          <w:lang w:val="en-US"/>
        </w:rPr>
        <w:t> </w:t>
      </w:r>
      <w:r w:rsidRPr="00240E80">
        <w:rPr>
          <w:b/>
          <w:bCs/>
          <w:i/>
          <w:iCs/>
        </w:rPr>
        <w:t xml:space="preserve">значимость. Оценка проводится экспертно, исходя из того, насколько ущерб репутации Эмитента усложнит достижение целей, которые ставит перед собой компания в своей деятельности.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Проверка на достоверность предполагает подтверждение сведений перекрестной информацией из другого источника.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after="40"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>За получением подтверждающей, а также уточняющей информации подразделение, ответственное за сбор и анализ информации о фактах репутационного риска, имеет право обращаться к структурным подразделениям Эмитента, запрашивая, в том числе, информацию о выявленных нарушениях и предписаниях со стороны регулирующих органов, претензиях со</w:t>
      </w:r>
      <w:r>
        <w:rPr>
          <w:b/>
          <w:bCs/>
          <w:i/>
          <w:iCs/>
          <w:lang w:val="en-US"/>
        </w:rPr>
        <w:t> </w:t>
      </w:r>
      <w:r w:rsidRPr="00240E80">
        <w:rPr>
          <w:b/>
          <w:bCs/>
          <w:i/>
          <w:iCs/>
        </w:rPr>
        <w:t>стороны клиентов, претензиях со стороны регулирующих, правоохранительных органов.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before="20"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>В процессе оценки репутационного риска может анализироваться влияние деловой репутации на финансовое состояние, влияние деловой репутации организаций компании Группы на деловую репутацию Эмитента, превентивных и контрольных мероприятий (благотворительной и общественной деятельности, рекламно-информационной политики) на</w:t>
      </w:r>
      <w:r>
        <w:rPr>
          <w:b/>
          <w:bCs/>
          <w:i/>
          <w:iCs/>
        </w:rPr>
        <w:t> </w:t>
      </w:r>
      <w:r w:rsidRPr="00240E80">
        <w:rPr>
          <w:b/>
          <w:bCs/>
          <w:i/>
          <w:iCs/>
        </w:rPr>
        <w:t xml:space="preserve">деловую репутацию Эмитента.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b/>
          <w:bCs/>
          <w:i/>
          <w:iCs/>
        </w:rPr>
      </w:pPr>
      <w:r w:rsidRPr="00287432">
        <w:rPr>
          <w:b/>
          <w:bCs/>
          <w:i/>
          <w:iCs/>
        </w:rPr>
        <w:t>При оценке уровня репутационного риска могут учитываться следующие показатели</w:t>
      </w:r>
      <w:r w:rsidRPr="00240E80">
        <w:rPr>
          <w:b/>
          <w:bCs/>
          <w:i/>
          <w:iCs/>
        </w:rPr>
        <w:t>:</w:t>
      </w:r>
    </w:p>
    <w:p w:rsidR="00EF418C" w:rsidRPr="000D63EF" w:rsidRDefault="00EF418C" w:rsidP="00A6096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0D63EF">
        <w:rPr>
          <w:b/>
          <w:i/>
          <w:iCs/>
        </w:rPr>
        <w:t xml:space="preserve">изменение финансового состояния Эмитента (например, изменение структуры активов, их обесценение в целом или в части отдельных групп, изменение структуры собственных средств (капитала)); </w:t>
      </w:r>
    </w:p>
    <w:p w:rsidR="00EF418C" w:rsidRPr="000D63EF" w:rsidRDefault="00EF418C" w:rsidP="00A6096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0D63EF">
        <w:rPr>
          <w:b/>
          <w:i/>
          <w:iCs/>
        </w:rPr>
        <w:t xml:space="preserve">возрастание (сокращение) количества жалоб и претензий, в том числе относительно качества обслуживания клиентов и контрагентов, соблюдения обычаев делового оборота; </w:t>
      </w:r>
    </w:p>
    <w:p w:rsidR="00EF418C" w:rsidRPr="000D63EF" w:rsidRDefault="00EF418C" w:rsidP="00A6096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0D63EF">
        <w:rPr>
          <w:b/>
          <w:i/>
          <w:iCs/>
        </w:rPr>
        <w:t>негативные и позитивные отзывы и сообщения об Эмитенте, его аффилированных лицах, дочерних и зависимых организациях в средствах массовой информации за</w:t>
      </w:r>
      <w:r>
        <w:rPr>
          <w:b/>
          <w:i/>
          <w:iCs/>
        </w:rPr>
        <w:t> </w:t>
      </w:r>
      <w:r w:rsidRPr="000D63EF">
        <w:rPr>
          <w:b/>
          <w:i/>
          <w:iCs/>
        </w:rPr>
        <w:t xml:space="preserve">определенный период времени; </w:t>
      </w:r>
    </w:p>
    <w:p w:rsidR="00EF418C" w:rsidRPr="000D63EF" w:rsidRDefault="00EF418C" w:rsidP="00A6096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0D63EF">
        <w:rPr>
          <w:b/>
          <w:i/>
          <w:iCs/>
        </w:rPr>
        <w:t xml:space="preserve">динамика доли активов, размещенных в результате сделок с аффилированными лицами, дочерними и зависимыми организациями, в общем объеме активов; </w:t>
      </w:r>
    </w:p>
    <w:p w:rsidR="00EF418C" w:rsidRPr="000D63EF" w:rsidRDefault="00EF418C" w:rsidP="00A6096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0D63EF">
        <w:rPr>
          <w:b/>
          <w:i/>
          <w:iCs/>
        </w:rPr>
        <w:t xml:space="preserve">выявление в рамках системы внутреннего контроля случаев несоблюдения требований нормативных документов, в том числе по легализации (отмыванию) доходов, полученных преступных путем, а также признаков возможного вовлечения Эмитента, компаний Группы Московская Биржа, работников, клиентов Эмитента в легализацию (отмывание) доходов; </w:t>
      </w:r>
    </w:p>
    <w:p w:rsidR="00EF418C" w:rsidRPr="000D63EF" w:rsidRDefault="00EF418C" w:rsidP="00A6096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0D63EF">
        <w:rPr>
          <w:b/>
          <w:i/>
          <w:iCs/>
        </w:rPr>
        <w:t>выявление фактов хищения, подлогов, мошенничества, использования работниками Эмитента конфиденциальной информации, полученной от клиентов и контрагентов, в</w:t>
      </w:r>
      <w:r>
        <w:rPr>
          <w:b/>
          <w:i/>
          <w:iCs/>
        </w:rPr>
        <w:t> </w:t>
      </w:r>
      <w:r w:rsidRPr="000D63EF">
        <w:rPr>
          <w:b/>
          <w:i/>
          <w:iCs/>
        </w:rPr>
        <w:t xml:space="preserve">личных целях; </w:t>
      </w:r>
    </w:p>
    <w:p w:rsidR="00EF418C" w:rsidRPr="00240E80" w:rsidRDefault="00EF418C" w:rsidP="00A6096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after="120" w:line="240" w:lineRule="auto"/>
        <w:ind w:left="714" w:hanging="357"/>
        <w:jc w:val="both"/>
        <w:rPr>
          <w:b/>
          <w:bCs/>
          <w:i/>
          <w:iCs/>
        </w:rPr>
      </w:pPr>
      <w:r w:rsidRPr="000D63EF">
        <w:rPr>
          <w:b/>
          <w:i/>
          <w:iCs/>
        </w:rPr>
        <w:t>отказ постоянных</w:t>
      </w:r>
      <w:r w:rsidRPr="00240E80">
        <w:rPr>
          <w:b/>
          <w:bCs/>
          <w:i/>
          <w:iCs/>
        </w:rPr>
        <w:t xml:space="preserve"> или крупных клиентов и контрагентов от сотрудничества с</w:t>
      </w:r>
      <w:r>
        <w:rPr>
          <w:b/>
          <w:bCs/>
          <w:i/>
          <w:iCs/>
        </w:rPr>
        <w:t> </w:t>
      </w:r>
      <w:r w:rsidRPr="00240E80">
        <w:rPr>
          <w:b/>
          <w:bCs/>
          <w:i/>
          <w:iCs/>
        </w:rPr>
        <w:t xml:space="preserve">Эмитентом.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Факты репутационного риска, являющиеся следствием реализации события операционного риска, аккумулируются во внутренней аналитической базе данных событий операционного риска Эмитента. По результатам сбора, анализа и оценки информации о фактах репутационного риска органам управления предоставляется отчётность.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Оценка и мониторинг риска потери деловой репутации осуществляется на </w:t>
      </w:r>
      <w:r w:rsidRPr="00240E80">
        <w:rPr>
          <w:b/>
          <w:bCs/>
          <w:i/>
          <w:iCs/>
        </w:rPr>
        <w:lastRenderedPageBreak/>
        <w:t xml:space="preserve">постоянной основе, в том числе путем: </w:t>
      </w:r>
    </w:p>
    <w:p w:rsidR="00EF418C" w:rsidRPr="000D63EF" w:rsidRDefault="00EF418C" w:rsidP="00A6096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0D63EF">
        <w:rPr>
          <w:b/>
          <w:i/>
          <w:iCs/>
        </w:rPr>
        <w:t xml:space="preserve">регулярного изучения показателей деятельности Эмитента; </w:t>
      </w:r>
    </w:p>
    <w:p w:rsidR="00EF418C" w:rsidRPr="000D63EF" w:rsidRDefault="00EF418C" w:rsidP="00A6096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0D63EF">
        <w:rPr>
          <w:b/>
          <w:i/>
          <w:iCs/>
        </w:rPr>
        <w:t xml:space="preserve">мониторинга количества жалоб и претензий к компании, в том числе относительно качества обслуживания клиентов и контрагентов, соблюдения обычаев делового оборота; </w:t>
      </w:r>
    </w:p>
    <w:p w:rsidR="00EF418C" w:rsidRPr="000D63EF" w:rsidRDefault="00EF418C" w:rsidP="00A6096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bookmarkStart w:id="127" w:name="_Hlk129978923"/>
      <w:r w:rsidRPr="000D63EF">
        <w:rPr>
          <w:b/>
          <w:i/>
          <w:iCs/>
        </w:rPr>
        <w:t>мониторинга позитивных и негативных отзывов и сообщений в СМИ об Эмитенте, его</w:t>
      </w:r>
      <w:r>
        <w:rPr>
          <w:b/>
          <w:i/>
          <w:iCs/>
          <w:lang w:val="en-US"/>
        </w:rPr>
        <w:t> </w:t>
      </w:r>
      <w:r w:rsidRPr="000D63EF">
        <w:rPr>
          <w:b/>
          <w:i/>
          <w:iCs/>
        </w:rPr>
        <w:t>акционерах и аффилированных лицах;</w:t>
      </w:r>
      <w:bookmarkEnd w:id="127"/>
    </w:p>
    <w:p w:rsidR="00EF418C" w:rsidRPr="00240E80" w:rsidRDefault="00EF418C" w:rsidP="00A6096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 w:rsidRPr="000D63EF">
        <w:rPr>
          <w:b/>
          <w:i/>
          <w:iCs/>
        </w:rPr>
        <w:t>установления</w:t>
      </w:r>
      <w:r w:rsidRPr="00240E80">
        <w:rPr>
          <w:b/>
          <w:bCs/>
          <w:i/>
          <w:iCs/>
        </w:rPr>
        <w:t xml:space="preserve"> контрольных показателей риск-аппетита и осуществления их</w:t>
      </w:r>
      <w:r>
        <w:rPr>
          <w:b/>
          <w:bCs/>
          <w:i/>
          <w:iCs/>
          <w:lang w:val="en-US"/>
        </w:rPr>
        <w:t> </w:t>
      </w:r>
      <w:r w:rsidRPr="00240E80">
        <w:rPr>
          <w:b/>
          <w:bCs/>
          <w:i/>
          <w:iCs/>
        </w:rPr>
        <w:t>мониторинга.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Основные методы управления риском потери деловой репутации: </w:t>
      </w:r>
    </w:p>
    <w:p w:rsidR="00EF418C" w:rsidRPr="000D63EF" w:rsidRDefault="00EF418C" w:rsidP="00A60963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0D63EF">
        <w:rPr>
          <w:b/>
          <w:i/>
          <w:iCs/>
        </w:rPr>
        <w:t xml:space="preserve">обеспечение своевременности расчетов по поручению клиентов и контрагентов, выплаты сумм вкладов, процентов по счетам (вкладам), а также расчетов по иным сделкам; </w:t>
      </w:r>
    </w:p>
    <w:p w:rsidR="00EF418C" w:rsidRPr="000D63EF" w:rsidRDefault="00EF418C" w:rsidP="00A60963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0D63EF">
        <w:rPr>
          <w:b/>
          <w:i/>
          <w:iCs/>
        </w:rPr>
        <w:t xml:space="preserve">оперативное взаимодействие с клиентами и контрагентами с целью объяснения событий, связанных с угрозой потери деловой репутации; </w:t>
      </w:r>
    </w:p>
    <w:p w:rsidR="00EF418C" w:rsidRPr="000D63EF" w:rsidRDefault="00EF418C" w:rsidP="00A60963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0D63EF">
        <w:rPr>
          <w:b/>
          <w:i/>
          <w:iCs/>
        </w:rPr>
        <w:t xml:space="preserve">мониторинг деловой репутации учредителей (участников), аффилированных лиц, дочерних и зависимых организаций; </w:t>
      </w:r>
    </w:p>
    <w:p w:rsidR="00EF418C" w:rsidRPr="000D63EF" w:rsidRDefault="00EF418C" w:rsidP="00A60963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0D63EF">
        <w:rPr>
          <w:b/>
          <w:i/>
          <w:iCs/>
        </w:rPr>
        <w:t>контроль за достоверностью бухгалтерской отчетности и иной публикуемой информации, представляемой учредителям (участникам), клиентам и контрагентам, органам регулирования и надзора и другим заинтересованным лицам, в том числе в</w:t>
      </w:r>
      <w:r>
        <w:rPr>
          <w:b/>
          <w:i/>
          <w:iCs/>
          <w:lang w:val="en-US"/>
        </w:rPr>
        <w:t> </w:t>
      </w:r>
      <w:r w:rsidRPr="000D63EF">
        <w:rPr>
          <w:b/>
          <w:i/>
          <w:iCs/>
        </w:rPr>
        <w:t xml:space="preserve">рекламных целях; </w:t>
      </w:r>
    </w:p>
    <w:p w:rsidR="00EF418C" w:rsidRPr="00240E80" w:rsidRDefault="00EF418C" w:rsidP="00A60963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 w:rsidRPr="000D63EF">
        <w:rPr>
          <w:b/>
          <w:i/>
          <w:iCs/>
        </w:rPr>
        <w:t>привлечение</w:t>
      </w:r>
      <w:r w:rsidRPr="00240E80">
        <w:rPr>
          <w:b/>
          <w:bCs/>
          <w:i/>
          <w:iCs/>
        </w:rPr>
        <w:t xml:space="preserve"> аудиторских компаний мирового уровня для проведения операционного, рейтингового, IT, проектного и др. аудита, а также экспертиз для получения независимого заключения и представления его клиентам и партнёрам, усиления рыночных позиций, привлечения клиентов и инвесторов; </w:t>
      </w:r>
    </w:p>
    <w:p w:rsidR="00EF418C" w:rsidRPr="00240E80" w:rsidRDefault="00EF418C" w:rsidP="00A60963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 w:rsidRPr="000D63EF">
        <w:rPr>
          <w:b/>
          <w:i/>
          <w:iCs/>
        </w:rPr>
        <w:t>разработка</w:t>
      </w:r>
      <w:r w:rsidRPr="00240E80">
        <w:rPr>
          <w:b/>
          <w:bCs/>
          <w:i/>
          <w:iCs/>
        </w:rPr>
        <w:t xml:space="preserve"> системы информационного обеспечения, не допускающей использования имеющейся информации лицами, имеющими доступ к такой информации, в личных интересах и предоставляющей органам управления и сотрудникам информацию о</w:t>
      </w:r>
      <w:r>
        <w:rPr>
          <w:b/>
          <w:bCs/>
          <w:i/>
          <w:iCs/>
          <w:lang w:val="en-US"/>
        </w:rPr>
        <w:t> </w:t>
      </w:r>
      <w:r w:rsidRPr="00240E80">
        <w:rPr>
          <w:b/>
          <w:bCs/>
          <w:i/>
          <w:iCs/>
        </w:rPr>
        <w:t xml:space="preserve">негативных и позитивных отзывах и сообщениях из средств массовой информации (периодические печатные издания, радио, телевидение, иные формы периодического распространения массовой информации, включая Интернет), иных источников; своевременное рассмотрение, анализ полноты, достоверности и объективности указанной информации; своевременное реагирование на имеющуюся информацию; </w:t>
      </w:r>
    </w:p>
    <w:p w:rsidR="00EF418C" w:rsidRPr="00240E80" w:rsidRDefault="00EF418C" w:rsidP="00A60963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 w:rsidRPr="000D63EF">
        <w:rPr>
          <w:b/>
          <w:i/>
          <w:iCs/>
        </w:rPr>
        <w:t>определение</w:t>
      </w:r>
      <w:r w:rsidRPr="00240E80">
        <w:rPr>
          <w:b/>
          <w:bCs/>
          <w:i/>
          <w:iCs/>
        </w:rPr>
        <w:t xml:space="preserve"> порядка применения дисциплинарных мер к сотрудникам, виновным в</w:t>
      </w:r>
      <w:r>
        <w:rPr>
          <w:b/>
          <w:bCs/>
          <w:i/>
          <w:iCs/>
          <w:lang w:val="en-US"/>
        </w:rPr>
        <w:t> </w:t>
      </w:r>
      <w:r w:rsidRPr="00240E80">
        <w:rPr>
          <w:b/>
          <w:bCs/>
          <w:i/>
          <w:iCs/>
        </w:rPr>
        <w:t xml:space="preserve">повышении уровня риска потери деловой репутации Эмитента.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Поддержание репутационного риска на приемлемом уровне проводится по следующим направлениям: </w:t>
      </w:r>
    </w:p>
    <w:p w:rsidR="00EF418C" w:rsidRPr="00287432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287432">
        <w:rPr>
          <w:b/>
          <w:i/>
          <w:iCs/>
        </w:rPr>
        <w:t xml:space="preserve">мероприятия по укреплению деловой репутации Эмитента; </w:t>
      </w:r>
    </w:p>
    <w:p w:rsidR="00EF418C" w:rsidRPr="00287432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287432">
        <w:rPr>
          <w:b/>
          <w:i/>
          <w:iCs/>
        </w:rPr>
        <w:t xml:space="preserve">мероприятия по минимизации вероятности возникновения фактов репутационного риска; </w:t>
      </w:r>
    </w:p>
    <w:p w:rsidR="00EF418C" w:rsidRPr="00240E80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 w:rsidRPr="00287432">
        <w:rPr>
          <w:b/>
          <w:i/>
          <w:iCs/>
        </w:rPr>
        <w:t>мероприятия</w:t>
      </w:r>
      <w:r w:rsidRPr="00240E80">
        <w:rPr>
          <w:b/>
          <w:bCs/>
          <w:i/>
          <w:iCs/>
        </w:rPr>
        <w:t xml:space="preserve"> по минимизации ущерба деловой репутации в случае реализации фактов репутационного риска.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before="20"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>В целях поддержания риска потери деловой репутации на приемлемом уровне во</w:t>
      </w:r>
      <w:r>
        <w:rPr>
          <w:b/>
          <w:bCs/>
          <w:i/>
          <w:iCs/>
        </w:rPr>
        <w:t> </w:t>
      </w:r>
      <w:r w:rsidRPr="00240E80">
        <w:rPr>
          <w:b/>
          <w:bCs/>
          <w:i/>
          <w:iCs/>
        </w:rPr>
        <w:t xml:space="preserve">внутренних документах Эмитента закрепляются: </w:t>
      </w:r>
    </w:p>
    <w:p w:rsidR="00EF418C" w:rsidRPr="00287432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287432">
        <w:rPr>
          <w:b/>
          <w:i/>
          <w:iCs/>
        </w:rPr>
        <w:t xml:space="preserve">подотчетность и ответственность руководителей и работников, порядок принятия решений о проведении операций и сделок в соответствии с полномочиями, предусмотренными учредительными и внутренними документами Эмитента; </w:t>
      </w:r>
    </w:p>
    <w:p w:rsidR="00EF418C" w:rsidRPr="00287432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287432">
        <w:rPr>
          <w:b/>
          <w:i/>
          <w:iCs/>
        </w:rPr>
        <w:t xml:space="preserve">порядок контроля выполнения обязательств по заключенным договорам и выполнением обязательств контрагентов перед Эмитентом; </w:t>
      </w:r>
    </w:p>
    <w:p w:rsidR="00EF418C" w:rsidRPr="00287432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287432">
        <w:rPr>
          <w:b/>
          <w:i/>
          <w:iCs/>
        </w:rPr>
        <w:t xml:space="preserve">порядок совершения операций и других сделок, исключающий (минимизирующий) </w:t>
      </w:r>
      <w:r w:rsidRPr="00287432">
        <w:rPr>
          <w:b/>
          <w:i/>
          <w:iCs/>
        </w:rPr>
        <w:lastRenderedPageBreak/>
        <w:t xml:space="preserve">возможность возникновения факторов риска потери деловой репутации; </w:t>
      </w:r>
    </w:p>
    <w:p w:rsidR="00EF418C" w:rsidRPr="00287432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287432">
        <w:rPr>
          <w:b/>
          <w:i/>
          <w:iCs/>
        </w:rPr>
        <w:t>квалификационные требования к работникам в соответствии с характером их</w:t>
      </w:r>
      <w:r>
        <w:rPr>
          <w:b/>
          <w:i/>
          <w:iCs/>
        </w:rPr>
        <w:t> </w:t>
      </w:r>
      <w:r w:rsidRPr="00287432">
        <w:rPr>
          <w:b/>
          <w:i/>
          <w:iCs/>
        </w:rPr>
        <w:t xml:space="preserve">деятельности; </w:t>
      </w:r>
    </w:p>
    <w:p w:rsidR="00EF418C" w:rsidRPr="00287432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287432">
        <w:rPr>
          <w:b/>
          <w:i/>
          <w:iCs/>
        </w:rPr>
        <w:t>должностные инструкции, регламентирующие должностные обязанности, права и</w:t>
      </w:r>
      <w:r>
        <w:rPr>
          <w:b/>
          <w:i/>
          <w:iCs/>
        </w:rPr>
        <w:t> </w:t>
      </w:r>
      <w:r w:rsidRPr="00287432">
        <w:rPr>
          <w:b/>
          <w:i/>
          <w:iCs/>
        </w:rPr>
        <w:t xml:space="preserve">ответственность работников Эмитента; </w:t>
      </w:r>
    </w:p>
    <w:p w:rsidR="00EF418C" w:rsidRPr="00287432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287432">
        <w:rPr>
          <w:b/>
          <w:i/>
          <w:iCs/>
        </w:rPr>
        <w:t xml:space="preserve">меры, исключающие превышение работниками пределов их полномочий; </w:t>
      </w:r>
    </w:p>
    <w:p w:rsidR="00EF418C" w:rsidRPr="00287432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287432">
        <w:rPr>
          <w:b/>
          <w:i/>
          <w:iCs/>
        </w:rPr>
        <w:t xml:space="preserve">требования к ведению работниками первичной учетной документации, отчетности, соблюдению правил документооборота; </w:t>
      </w:r>
    </w:p>
    <w:p w:rsidR="00EF418C" w:rsidRPr="00287432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287432">
        <w:rPr>
          <w:b/>
          <w:i/>
          <w:iCs/>
        </w:rPr>
        <w:t xml:space="preserve">общие правила использования, хранения и передачи служебной информации работниками в соответствии с должностными обязанностями; </w:t>
      </w:r>
    </w:p>
    <w:p w:rsidR="00EF418C" w:rsidRPr="00287432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287432">
        <w:rPr>
          <w:b/>
          <w:i/>
          <w:iCs/>
        </w:rPr>
        <w:t>контроль соблюдения работниками установленных служебных обязанностей и</w:t>
      </w:r>
      <w:r>
        <w:rPr>
          <w:b/>
          <w:i/>
          <w:iCs/>
        </w:rPr>
        <w:t> </w:t>
      </w:r>
      <w:r w:rsidRPr="00287432">
        <w:rPr>
          <w:b/>
          <w:i/>
          <w:iCs/>
        </w:rPr>
        <w:t xml:space="preserve">внутренних распорядков (регламентов); </w:t>
      </w:r>
    </w:p>
    <w:p w:rsidR="00EF418C" w:rsidRPr="00240E80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 w:rsidRPr="00287432">
        <w:rPr>
          <w:b/>
          <w:i/>
          <w:iCs/>
        </w:rPr>
        <w:t>сбор</w:t>
      </w:r>
      <w:r w:rsidRPr="00240E80">
        <w:rPr>
          <w:b/>
          <w:bCs/>
          <w:i/>
          <w:iCs/>
        </w:rPr>
        <w:t xml:space="preserve"> и анализ информации о случаях нарушения работниками трудовой дисциплины, законодательства Российской Федерации или проявления неоправданного интереса к</w:t>
      </w:r>
      <w:r>
        <w:rPr>
          <w:b/>
          <w:bCs/>
          <w:i/>
          <w:iCs/>
        </w:rPr>
        <w:t> </w:t>
      </w:r>
      <w:r w:rsidRPr="00240E80">
        <w:rPr>
          <w:b/>
          <w:bCs/>
          <w:i/>
          <w:iCs/>
        </w:rPr>
        <w:t xml:space="preserve">конфиденциальной информации.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Мероприятия по укреплению деловой репутации Эмитента (превентивные мероприятия) включают в себя, в том числе: </w:t>
      </w:r>
    </w:p>
    <w:p w:rsidR="00EF418C" w:rsidRPr="00287432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287432">
        <w:rPr>
          <w:b/>
          <w:i/>
          <w:iCs/>
        </w:rPr>
        <w:t xml:space="preserve">информирование заинтересованных лиц о деятельности Эмитента, мерах, направленных на улучшение качества обслуживания клиентов, совершенствовании системы управления рисками, положительных оценках Эмитента клиентами и т.д.; </w:t>
      </w:r>
    </w:p>
    <w:p w:rsidR="00EF418C" w:rsidRPr="00287432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287432">
        <w:rPr>
          <w:b/>
          <w:i/>
          <w:iCs/>
        </w:rPr>
        <w:t xml:space="preserve">реклама и мероприятия, направленные на укрепление деловой репутации; </w:t>
      </w:r>
    </w:p>
    <w:p w:rsidR="00EF418C" w:rsidRPr="00240E80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 w:rsidRPr="00287432">
        <w:rPr>
          <w:b/>
          <w:i/>
          <w:iCs/>
        </w:rPr>
        <w:t>корпоративная</w:t>
      </w:r>
      <w:r w:rsidRPr="00240E80">
        <w:rPr>
          <w:b/>
          <w:bCs/>
          <w:i/>
          <w:iCs/>
        </w:rPr>
        <w:t xml:space="preserve"> социальная ответственность, в том числе благотворительная и</w:t>
      </w:r>
      <w:r>
        <w:rPr>
          <w:b/>
          <w:bCs/>
          <w:i/>
          <w:iCs/>
        </w:rPr>
        <w:t> </w:t>
      </w:r>
      <w:r w:rsidRPr="00240E80">
        <w:rPr>
          <w:b/>
          <w:bCs/>
          <w:i/>
          <w:iCs/>
        </w:rPr>
        <w:t xml:space="preserve">общественная деятельность.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Мероприятия по минимизации возможности возникновения фактов репутационного риска включают в себя: </w:t>
      </w:r>
    </w:p>
    <w:p w:rsidR="00EF418C" w:rsidRPr="00287432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287432">
        <w:rPr>
          <w:b/>
          <w:i/>
          <w:iCs/>
        </w:rPr>
        <w:t xml:space="preserve">мониторинг деловой репутации акционеров, аффилированных лиц; </w:t>
      </w:r>
    </w:p>
    <w:p w:rsidR="00EF418C" w:rsidRPr="00287432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287432">
        <w:rPr>
          <w:b/>
          <w:i/>
          <w:iCs/>
        </w:rPr>
        <w:t>контроль достоверности бухгалтерской отчетности и иной публикуемой информации, представляемой акционерам, клиентам и контрагентам, органам регулирования и</w:t>
      </w:r>
      <w:r>
        <w:rPr>
          <w:b/>
          <w:i/>
          <w:iCs/>
        </w:rPr>
        <w:t> </w:t>
      </w:r>
      <w:r w:rsidRPr="00287432">
        <w:rPr>
          <w:b/>
          <w:i/>
          <w:iCs/>
        </w:rPr>
        <w:t xml:space="preserve">надзора и другим заинтересованным лицам, в том числе в рекламных целях; </w:t>
      </w:r>
    </w:p>
    <w:p w:rsidR="00EF418C" w:rsidRPr="00287432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287432">
        <w:rPr>
          <w:b/>
          <w:i/>
          <w:iCs/>
        </w:rPr>
        <w:t>наличие системы информационного обеспечения, не допускающей использования информации лицами, имеющими доступ к такой информации, в личных интересах и</w:t>
      </w:r>
      <w:r>
        <w:rPr>
          <w:b/>
          <w:i/>
          <w:iCs/>
        </w:rPr>
        <w:t> </w:t>
      </w:r>
      <w:r w:rsidRPr="00287432">
        <w:rPr>
          <w:b/>
          <w:i/>
          <w:iCs/>
        </w:rPr>
        <w:t>предоставляющей органам управления и работникам информацию о негативных и</w:t>
      </w:r>
      <w:r>
        <w:rPr>
          <w:b/>
          <w:i/>
          <w:iCs/>
        </w:rPr>
        <w:t> </w:t>
      </w:r>
      <w:r w:rsidRPr="00287432">
        <w:rPr>
          <w:b/>
          <w:i/>
          <w:iCs/>
        </w:rPr>
        <w:t xml:space="preserve">позитивных отзывах и сообщениях о бирже из средств массовой информации (периодические печатные издания, радио, телевидение, иные формы периодического распространения массовой информации, включая Интернет), иных источников; </w:t>
      </w:r>
    </w:p>
    <w:p w:rsidR="00EF418C" w:rsidRPr="00287432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287432">
        <w:rPr>
          <w:b/>
          <w:i/>
          <w:iCs/>
        </w:rPr>
        <w:t xml:space="preserve">своевременное рассмотрение, анализ полноты, достоверности и объективности указанной информации; </w:t>
      </w:r>
    </w:p>
    <w:p w:rsidR="00EF418C" w:rsidRPr="00287432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287432">
        <w:rPr>
          <w:b/>
          <w:i/>
          <w:iCs/>
        </w:rPr>
        <w:t xml:space="preserve">своевременное реагирование на имеющуюся информацию; </w:t>
      </w:r>
    </w:p>
    <w:p w:rsidR="00EF418C" w:rsidRPr="00240E80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120" w:line="240" w:lineRule="auto"/>
        <w:ind w:left="714" w:hanging="357"/>
        <w:jc w:val="both"/>
        <w:rPr>
          <w:b/>
          <w:bCs/>
          <w:i/>
          <w:iCs/>
        </w:rPr>
      </w:pPr>
      <w:r w:rsidRPr="00287432">
        <w:rPr>
          <w:b/>
          <w:i/>
          <w:iCs/>
        </w:rPr>
        <w:t>применение дисциплинарных мер к работникам, виновным в повышении уровня риска потери деловой</w:t>
      </w:r>
      <w:r w:rsidRPr="00240E80">
        <w:rPr>
          <w:b/>
          <w:bCs/>
          <w:i/>
          <w:iCs/>
        </w:rPr>
        <w:t xml:space="preserve"> репутации Эмитента.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before="20"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>Также, в целях минимизации возможности возникновения фактов репутационного риска осуществляются мероприятия по минимизации вероятности возникновения фактов репутационного риска, соответствующие мероприятиям по минимизации операционного риска, которые осуществляются в рамках системы управления рисками в соответствии с</w:t>
      </w:r>
      <w:r>
        <w:rPr>
          <w:b/>
          <w:bCs/>
          <w:i/>
          <w:iCs/>
        </w:rPr>
        <w:t> </w:t>
      </w:r>
      <w:r w:rsidRPr="00240E80">
        <w:rPr>
          <w:b/>
          <w:bCs/>
          <w:i/>
          <w:iCs/>
        </w:rPr>
        <w:t xml:space="preserve">внутренними документами Эмитента.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Мероприятия по минимизации ущерба в результате возникновения фактов репутационного риска подразделяются на: </w:t>
      </w:r>
    </w:p>
    <w:p w:rsidR="00EF418C" w:rsidRPr="00287432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  <w:iCs/>
        </w:rPr>
      </w:pPr>
      <w:r w:rsidRPr="00240E80">
        <w:rPr>
          <w:b/>
          <w:bCs/>
          <w:i/>
          <w:iCs/>
        </w:rPr>
        <w:t xml:space="preserve">оперативные мероприятия (действия, которые осуществляются непосредственно после </w:t>
      </w:r>
      <w:r w:rsidRPr="00287432">
        <w:rPr>
          <w:b/>
          <w:i/>
          <w:iCs/>
        </w:rPr>
        <w:t xml:space="preserve">возникновения факта репутационного риска и направлены на ликвидацию либо </w:t>
      </w:r>
      <w:r w:rsidRPr="00287432">
        <w:rPr>
          <w:b/>
          <w:i/>
          <w:iCs/>
        </w:rPr>
        <w:lastRenderedPageBreak/>
        <w:t xml:space="preserve">компенсирование источника репутационного риска). Решение о проведении оперативных мероприятий принимает Председатель Правления Эмитента. В рамках оперативных мероприятий в средствах массовой информации и на сайте Эмитента публикуются пресс-релизы, инициируются переговоры с клиентами и контрагентами по поступившим жалобам, внесудебное урегулирование споров, если они могут принести ущерб деловой репутации Эмитента, и т.д. </w:t>
      </w:r>
    </w:p>
    <w:p w:rsidR="00EF418C" w:rsidRPr="00240E80" w:rsidRDefault="00EF418C" w:rsidP="00A6096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120" w:line="240" w:lineRule="auto"/>
        <w:ind w:left="714" w:hanging="357"/>
        <w:jc w:val="both"/>
        <w:rPr>
          <w:b/>
          <w:bCs/>
          <w:i/>
          <w:iCs/>
        </w:rPr>
      </w:pPr>
      <w:r w:rsidRPr="00287432">
        <w:rPr>
          <w:b/>
          <w:i/>
          <w:iCs/>
        </w:rPr>
        <w:t>последующие мероприятия (действия, которые осуществляются по итогам совершившегося факта репутационного</w:t>
      </w:r>
      <w:r w:rsidRPr="00240E80">
        <w:rPr>
          <w:b/>
          <w:bCs/>
          <w:i/>
          <w:iCs/>
        </w:rPr>
        <w:t xml:space="preserve"> риска и направлены на восстановление ущерба, нанесенного деловой репутации Эмитента). Решение о проведении последующих мероприятий принимает Правление Московской Биржи. В рамках последующих мероприятий даются поручения по совершенствованию контролей внутри компании, проведению дополнительных рекламных акций, возбуждению исков о защите деловой репутации Эмитента и т.д. </w:t>
      </w:r>
    </w:p>
    <w:p w:rsidR="00EF418C" w:rsidRPr="009A212D" w:rsidRDefault="00EF418C" w:rsidP="00EF418C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>Использование методов и инструментов управления риском потери деловой репутации и</w:t>
      </w:r>
      <w:r>
        <w:rPr>
          <w:b/>
          <w:bCs/>
          <w:i/>
          <w:iCs/>
        </w:rPr>
        <w:t> </w:t>
      </w:r>
      <w:r w:rsidRPr="00240E80">
        <w:rPr>
          <w:b/>
          <w:bCs/>
          <w:i/>
          <w:iCs/>
        </w:rPr>
        <w:t>выбор мер реагирования на события, связанные с угрозой потери деловой репутации Эмитента, осуществляется в рамках общей стратегии компании.</w:t>
      </w:r>
    </w:p>
    <w:p w:rsidR="00EF418C" w:rsidRDefault="00EF418C" w:rsidP="00EF418C">
      <w:pPr>
        <w:pStyle w:val="3"/>
        <w:spacing w:before="360" w:after="120"/>
        <w:rPr>
          <w:rFonts w:ascii="Times New Roman" w:hAnsi="Times New Roman"/>
          <w:sz w:val="22"/>
          <w:szCs w:val="22"/>
        </w:rPr>
      </w:pPr>
      <w:bookmarkStart w:id="128" w:name="_Toc113910482"/>
      <w:bookmarkStart w:id="129" w:name="_Toc113954731"/>
      <w:bookmarkStart w:id="130" w:name="_Toc139292040"/>
      <w:bookmarkStart w:id="131" w:name="_Toc161055610"/>
      <w:bookmarkStart w:id="132" w:name="_Toc193300359"/>
      <w:bookmarkStart w:id="133" w:name="_Toc193301440"/>
      <w:r w:rsidRPr="00BA6C88">
        <w:rPr>
          <w:rFonts w:ascii="Times New Roman" w:hAnsi="Times New Roman"/>
          <w:sz w:val="22"/>
          <w:szCs w:val="22"/>
        </w:rPr>
        <w:t>1.9.6. Стратегический риск</w:t>
      </w:r>
      <w:bookmarkEnd w:id="128"/>
      <w:bookmarkEnd w:id="129"/>
      <w:bookmarkEnd w:id="130"/>
      <w:bookmarkEnd w:id="131"/>
      <w:bookmarkEnd w:id="132"/>
      <w:bookmarkEnd w:id="133"/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Основной целью управления стратегическим риском является формирование системы, обеспечивающей возможность принятия надлежащих управленческих решений в отношении деятельности компании по снижению влияния стратегического риска на Эмитента в целом.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Источниками стратегического риска для Эмитента являются: </w:t>
      </w:r>
    </w:p>
    <w:p w:rsidR="00EF418C" w:rsidRPr="00240E80" w:rsidRDefault="00EF418C" w:rsidP="00A6096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управленческие решения по организации, структуре и развитию бизнеса; </w:t>
      </w:r>
    </w:p>
    <w:p w:rsidR="00EF418C" w:rsidRPr="00240E80" w:rsidRDefault="00EF418C" w:rsidP="00A6096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процесс стратегического планирования; </w:t>
      </w:r>
    </w:p>
    <w:p w:rsidR="00EF418C" w:rsidRPr="00240E80" w:rsidRDefault="00EF418C" w:rsidP="00A6096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0" w:after="120" w:line="240" w:lineRule="auto"/>
        <w:ind w:left="714" w:hanging="357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изменение внешней среды деятельности компании.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after="40"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Для идентификации и оценки уровня стратегического риска могут анализироваться сценарии потенциального возникновения убытков в результате принятия стратегического решения с недостатками; в результате неправильного/недостаточно обоснованного определения перспективных направлений деятельности; в результате полного/частичного отсутствия соответствующих организационных мер/управленческих решений, которые могут обеспечить достижение стратегических целей; в результате полного/частичного отсутствия необходимых ресурсов, в том числе финансовых, материально-технических и людских для достижения стратегических целей.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before="20" w:after="0"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Выявление и оценка уровня стратегического риска осуществляется на постоянной основе.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Для мониторинга и поддержания стратегического риска на приемлемом уровне применяется сочетание таких методов как: </w:t>
      </w:r>
    </w:p>
    <w:p w:rsidR="00EF418C" w:rsidRPr="00240E80" w:rsidRDefault="00EF418C" w:rsidP="00A6096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система полномочий и принятия решений. Система полномочий и принятия решений призвана обеспечить надлежащее функционирование управления стратегическим риском, придавая ему требуемую гибкость в сочетании с устойчивостью на каждом уровне управления. Система полномочий и принятия решений формируется должностным лицом (структурным подразделением), ответственным за управление рисками; </w:t>
      </w:r>
    </w:p>
    <w:p w:rsidR="00EF418C" w:rsidRPr="00240E80" w:rsidRDefault="00EF418C" w:rsidP="00A6096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система информационного обеспечения органов управления, основной задачей которой являются: обеспечение органов управления и руководителей структурных подразделений объемом информации, достаточным для принятия соответствующих управленческих решений.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В целях мониторинга стратегического риска используются показатели мониторинга стратегического риска и контрольные показатели риск-аппетита.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before="20" w:after="120"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Основными методами управления стратегическим риском являются: </w:t>
      </w:r>
    </w:p>
    <w:p w:rsidR="00EF418C" w:rsidRPr="00240E80" w:rsidRDefault="00EF418C" w:rsidP="00A6096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lastRenderedPageBreak/>
        <w:t xml:space="preserve">формирование адекватного масштабам и деятельности Эмитента процесса стратегического планирования и управления; </w:t>
      </w:r>
    </w:p>
    <w:p w:rsidR="00EF418C" w:rsidRPr="00240E80" w:rsidRDefault="00EF418C" w:rsidP="00A6096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недопущение принятия решения, в том числе стратегического, органом управления ненадлежащего уровня; </w:t>
      </w:r>
    </w:p>
    <w:p w:rsidR="00EF418C" w:rsidRPr="00240E80" w:rsidRDefault="00EF418C" w:rsidP="00A6096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общий контроль функционирования системы управления рисками; </w:t>
      </w:r>
    </w:p>
    <w:p w:rsidR="00EF418C" w:rsidRPr="00240E80" w:rsidRDefault="00EF418C" w:rsidP="00A6096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определение порядка проведения крупных сделок, разработки и реализации перспективных проектов в рамках общей концепции развития компаний Группы Московская Биржа; </w:t>
      </w:r>
    </w:p>
    <w:p w:rsidR="00EF418C" w:rsidRPr="00240E80" w:rsidRDefault="00EF418C" w:rsidP="00A6096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осуществление контроля соответствия параметров управления рисками текущему состоянию и стратегии развития Эмитента. </w:t>
      </w:r>
    </w:p>
    <w:p w:rsidR="00EF418C" w:rsidRPr="00240E80" w:rsidRDefault="00EF418C" w:rsidP="00EF418C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Мерами по минимизации стратегических рисков являются: </w:t>
      </w:r>
    </w:p>
    <w:p w:rsidR="00EF418C" w:rsidRPr="00240E80" w:rsidRDefault="00EF418C" w:rsidP="00A6096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фиксирование во внутренних документах, в том числе и в уставе, разграничения полномочий органов управления по принятию решений; </w:t>
      </w:r>
    </w:p>
    <w:p w:rsidR="00EF418C" w:rsidRPr="00240E80" w:rsidRDefault="00EF418C" w:rsidP="00A6096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контроль обязательности исполнения принятых вышестоящим органом решений нижестоящими подразделениями; </w:t>
      </w:r>
    </w:p>
    <w:p w:rsidR="00EF418C" w:rsidRPr="00240E80" w:rsidRDefault="00EF418C" w:rsidP="00A6096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определение внутреннего порядка согласования изменений в документах и процедурах, касающихся принятия решений; </w:t>
      </w:r>
    </w:p>
    <w:p w:rsidR="00EF418C" w:rsidRDefault="00EF418C" w:rsidP="00A6096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bCs/>
          <w:i/>
          <w:iCs/>
        </w:rPr>
      </w:pPr>
      <w:r w:rsidRPr="00240E80">
        <w:rPr>
          <w:b/>
          <w:bCs/>
          <w:i/>
          <w:iCs/>
        </w:rPr>
        <w:t xml:space="preserve">проведение анализа влияния факторов стратегического риска на показатели деятельности; </w:t>
      </w:r>
    </w:p>
    <w:p w:rsidR="00EF418C" w:rsidRPr="009A212D" w:rsidRDefault="00EF418C" w:rsidP="00A6096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bCs/>
          <w:i/>
          <w:iCs/>
        </w:rPr>
      </w:pPr>
      <w:r w:rsidRPr="00DF3FCB">
        <w:rPr>
          <w:b/>
          <w:bCs/>
          <w:i/>
          <w:iCs/>
        </w:rPr>
        <w:t>мониторинг ресурсов, в том числе финансовых, материально-технических, кадровых для реализации стратегических задач.</w:t>
      </w:r>
    </w:p>
    <w:p w:rsidR="00EC40AF" w:rsidRPr="00EC40AF" w:rsidRDefault="00B930FB" w:rsidP="00EC40AF">
      <w:pPr>
        <w:pStyle w:val="3"/>
        <w:spacing w:before="360" w:after="120"/>
        <w:rPr>
          <w:rFonts w:ascii="Times New Roman" w:hAnsi="Times New Roman"/>
          <w:sz w:val="22"/>
          <w:szCs w:val="22"/>
        </w:rPr>
      </w:pPr>
      <w:bookmarkStart w:id="134" w:name="_Toc193300360"/>
      <w:bookmarkStart w:id="135" w:name="_Toc193301441"/>
      <w:r w:rsidRPr="00B930FB">
        <w:rPr>
          <w:rFonts w:ascii="Times New Roman" w:hAnsi="Times New Roman"/>
          <w:sz w:val="22"/>
          <w:szCs w:val="22"/>
        </w:rPr>
        <w:t>1.9.7. Риски, связанные с деятельностью эмитента</w:t>
      </w:r>
      <w:bookmarkEnd w:id="120"/>
      <w:bookmarkEnd w:id="121"/>
      <w:bookmarkEnd w:id="122"/>
      <w:bookmarkEnd w:id="123"/>
      <w:bookmarkEnd w:id="134"/>
      <w:bookmarkEnd w:id="135"/>
    </w:p>
    <w:p w:rsidR="00416D10" w:rsidRPr="00ED2051" w:rsidRDefault="00416D10" w:rsidP="00416D10">
      <w:pPr>
        <w:widowControl w:val="0"/>
        <w:autoSpaceDE w:val="0"/>
        <w:autoSpaceDN w:val="0"/>
        <w:adjustRightInd w:val="0"/>
        <w:spacing w:line="240" w:lineRule="auto"/>
        <w:jc w:val="both"/>
      </w:pPr>
      <w:bookmarkStart w:id="136" w:name="_Toc113910484"/>
      <w:bookmarkStart w:id="137" w:name="_Toc113954733"/>
      <w:bookmarkStart w:id="138" w:name="_Toc139292042"/>
      <w:bookmarkStart w:id="139" w:name="_Toc161055612"/>
      <w:r w:rsidRPr="00ED2051">
        <w:t>Риски, связанные с отсутствием возможности продлить действие лицензии эмитента на ведение определенного вида деятельности либо на использование объектов, нахождение которых в обороте ограничено (включая природные ресурсы):</w:t>
      </w:r>
    </w:p>
    <w:p w:rsidR="00416D10" w:rsidRPr="00ED2051" w:rsidRDefault="00416D10" w:rsidP="00416D10">
      <w:pPr>
        <w:widowControl w:val="0"/>
        <w:autoSpaceDE w:val="0"/>
        <w:autoSpaceDN w:val="0"/>
        <w:adjustRightInd w:val="0"/>
        <w:spacing w:after="40" w:line="240" w:lineRule="auto"/>
        <w:ind w:firstLine="709"/>
        <w:jc w:val="both"/>
        <w:rPr>
          <w:b/>
          <w:bCs/>
          <w:i/>
          <w:iCs/>
        </w:rPr>
      </w:pPr>
      <w:bookmarkStart w:id="140" w:name="_Hlk53492219"/>
      <w:r w:rsidRPr="00ED2051">
        <w:rPr>
          <w:b/>
          <w:bCs/>
          <w:i/>
          <w:iCs/>
        </w:rPr>
        <w:t>Эмитент осуществляет основную деятельность на основании Лицензии биржи от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>29.08.2013 № 077-001, выданной Федеральной службой по финансовым рынкам без</w:t>
      </w:r>
      <w:r>
        <w:t> </w:t>
      </w:r>
      <w:r w:rsidRPr="00ED2051">
        <w:rPr>
          <w:b/>
          <w:bCs/>
          <w:i/>
          <w:iCs/>
        </w:rPr>
        <w:t xml:space="preserve">ограничения срока действия. Таким образом, риски, связанные с отсутствием возможности продлить действие лицензии, у Эмитента отсутствуют. </w:t>
      </w:r>
    </w:p>
    <w:p w:rsidR="00416D10" w:rsidRPr="00ED2051" w:rsidRDefault="00416D10" w:rsidP="00416D10">
      <w:pPr>
        <w:widowControl w:val="0"/>
        <w:autoSpaceDE w:val="0"/>
        <w:autoSpaceDN w:val="0"/>
        <w:adjustRightInd w:val="0"/>
        <w:spacing w:before="20" w:after="40" w:line="240" w:lineRule="auto"/>
        <w:ind w:firstLine="709"/>
        <w:jc w:val="both"/>
        <w:rPr>
          <w:b/>
          <w:bCs/>
          <w:i/>
          <w:iCs/>
        </w:rPr>
      </w:pPr>
      <w:r w:rsidRPr="00ED2051">
        <w:rPr>
          <w:b/>
          <w:bCs/>
          <w:i/>
          <w:iCs/>
        </w:rPr>
        <w:t>Поскольку основная деятельность Эмитента связана с обработкой информации и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>работой средств и систем информатизации, Эмитент осуществляет деятельность на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>основании Лицензии на деятельность по технической защите конфиденциальной информации (в части услуг по контролю защищенности конфиденциальной информации от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>несанкционированного доступа и ее модификации в средствах и системах информатизации;  работ и услуг по проектированию в защищенном исполнении средств и систем информатизации; помещений со средствами (системами) информатизации, подлежащими защите; защищаемых помещений; услуг по  установке, монтажу, наладке,  испытаниям, ремонту средств защиты информации) от 14.03.2017 №3190, выданной Федеральной службой по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>техническому и экспортному контролю и Лицензии на деятельность по разработке и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>производству средств защиты конфиденциальной информации (в части разработки и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>производства программных (программно-технических) средств защиты информации; защищенных программных (программно-технических) средств обработки информации; программных (программно-технических) средств контроля защищенности информации) от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>14.03.2017 №1699. В настоящий момент Эмитент осуществляет контроль защищенности конфиденциальной информации от несанкционированного доступа и модификаций самостоятельно и в полном объеме, а также следит за выполнением лицензионных требований. Таким образом, в связи с тем, что данная деятельность является неотъемлемой частью комплекса услуг, оказываемых в рамках основного вида деятельности, Эмитент осуществляет контроль за соблюдением и обеспечением соответствия лицензионных требований, риски, связанные с аннулированием или приостановлением действия лицензий, у Эмитента отсутствуют.</w:t>
      </w:r>
    </w:p>
    <w:p w:rsidR="00416D10" w:rsidRPr="00ED2051" w:rsidRDefault="00416D10" w:rsidP="00416D10">
      <w:pPr>
        <w:widowControl w:val="0"/>
        <w:autoSpaceDE w:val="0"/>
        <w:autoSpaceDN w:val="0"/>
        <w:adjustRightInd w:val="0"/>
        <w:spacing w:before="20" w:after="40" w:line="240" w:lineRule="auto"/>
        <w:ind w:firstLine="709"/>
        <w:jc w:val="both"/>
        <w:rPr>
          <w:b/>
          <w:bCs/>
          <w:i/>
          <w:iCs/>
        </w:rPr>
      </w:pPr>
      <w:r w:rsidRPr="00ED2051">
        <w:rPr>
          <w:b/>
          <w:bCs/>
          <w:i/>
          <w:iCs/>
        </w:rPr>
        <w:t xml:space="preserve">Эмитент не использует объекты, нахождение которых в обороте ограничено, </w:t>
      </w:r>
      <w:r w:rsidRPr="00ED2051">
        <w:rPr>
          <w:b/>
          <w:bCs/>
          <w:i/>
          <w:iCs/>
        </w:rPr>
        <w:lastRenderedPageBreak/>
        <w:t>в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>том</w:t>
      </w:r>
      <w:r>
        <w:rPr>
          <w:b/>
          <w:bCs/>
          <w:i/>
          <w:iCs/>
        </w:rPr>
        <w:t> </w:t>
      </w:r>
      <w:r w:rsidRPr="00ED2051">
        <w:rPr>
          <w:b/>
          <w:bCs/>
          <w:i/>
          <w:iCs/>
        </w:rPr>
        <w:t>числе природные ресурсы, в связи с чем, рисков, связанных с отсутствием возможности продлить действие лицензии на использование объектов, нахождение которых в обороте ограничено, у Эмитента не существует.</w:t>
      </w:r>
    </w:p>
    <w:p w:rsidR="00416D10" w:rsidRPr="00ED2051" w:rsidRDefault="00416D10" w:rsidP="00416D10">
      <w:pPr>
        <w:autoSpaceDE w:val="0"/>
        <w:autoSpaceDN w:val="0"/>
        <w:adjustRightInd w:val="0"/>
        <w:spacing w:before="120" w:line="240" w:lineRule="auto"/>
        <w:jc w:val="both"/>
        <w:rPr>
          <w:bCs/>
          <w:iCs/>
          <w:lang w:eastAsia="en-US"/>
        </w:rPr>
      </w:pPr>
      <w:r w:rsidRPr="00ED2051">
        <w:t xml:space="preserve">Риски, связанные с </w:t>
      </w:r>
      <w:r w:rsidRPr="00ED2051">
        <w:rPr>
          <w:bCs/>
          <w:iCs/>
          <w:lang w:eastAsia="en-US"/>
        </w:rPr>
        <w:t xml:space="preserve">возможной ответственностью эмитента (подконтрольных эмитенту организаций, имеющих для него существенное значение) по долгам третьих лиц, в том числе подконтрольных эмитенту: </w:t>
      </w:r>
      <w:r w:rsidRPr="00ED2051">
        <w:rPr>
          <w:b/>
          <w:bCs/>
          <w:i/>
          <w:iCs/>
          <w:lang w:eastAsia="en-US"/>
        </w:rPr>
        <w:t>отсутствуют.</w:t>
      </w:r>
    </w:p>
    <w:p w:rsidR="00416D10" w:rsidRPr="00EC40AF" w:rsidRDefault="00416D10" w:rsidP="00416D10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b/>
          <w:bCs/>
          <w:i/>
          <w:iCs/>
        </w:rPr>
      </w:pPr>
      <w:r w:rsidRPr="00ED2051">
        <w:t xml:space="preserve">Риски, связанные с возможностью потери потребителей, на оборот с которыми приходится не менее чем 10 процентов общей выручки от продажи продукции (работ, услуг) эмитента: </w:t>
      </w:r>
      <w:r w:rsidRPr="00ED2051">
        <w:rPr>
          <w:b/>
          <w:bCs/>
          <w:i/>
          <w:iCs/>
        </w:rPr>
        <w:t>влияни</w:t>
      </w:r>
      <w:r>
        <w:rPr>
          <w:b/>
          <w:bCs/>
          <w:i/>
          <w:iCs/>
        </w:rPr>
        <w:t>е</w:t>
      </w:r>
      <w:r w:rsidRPr="00ED2051">
        <w:rPr>
          <w:b/>
          <w:bCs/>
          <w:i/>
          <w:iCs/>
        </w:rPr>
        <w:t xml:space="preserve"> геополитических рисков может оказать существенный эффект на состав клиентской базы и структуру доходов Группы.</w:t>
      </w:r>
      <w:bookmarkEnd w:id="140"/>
    </w:p>
    <w:p w:rsidR="00B930FB" w:rsidRPr="006013E6" w:rsidRDefault="00B930FB" w:rsidP="00EC40AF">
      <w:pPr>
        <w:pStyle w:val="3"/>
        <w:spacing w:after="120"/>
        <w:rPr>
          <w:rFonts w:ascii="Times New Roman" w:hAnsi="Times New Roman"/>
          <w:sz w:val="22"/>
          <w:szCs w:val="22"/>
        </w:rPr>
      </w:pPr>
      <w:bookmarkStart w:id="141" w:name="_Toc193300361"/>
      <w:bookmarkStart w:id="142" w:name="_Toc193301442"/>
      <w:r w:rsidRPr="006013E6">
        <w:rPr>
          <w:rFonts w:ascii="Times New Roman" w:hAnsi="Times New Roman"/>
          <w:sz w:val="22"/>
          <w:szCs w:val="22"/>
        </w:rPr>
        <w:t>1.9.8. Риск информационной безопасности</w:t>
      </w:r>
      <w:bookmarkEnd w:id="136"/>
      <w:bookmarkEnd w:id="137"/>
      <w:bookmarkEnd w:id="138"/>
      <w:bookmarkEnd w:id="139"/>
      <w:bookmarkEnd w:id="141"/>
      <w:bookmarkEnd w:id="142"/>
    </w:p>
    <w:p w:rsidR="00E52BCE" w:rsidRPr="00694967" w:rsidRDefault="00E52BCE" w:rsidP="00E52BCE">
      <w:pPr>
        <w:widowControl w:val="0"/>
        <w:autoSpaceDE w:val="0"/>
        <w:autoSpaceDN w:val="0"/>
        <w:adjustRightInd w:val="0"/>
        <w:spacing w:before="120"/>
        <w:ind w:firstLine="720"/>
        <w:jc w:val="both"/>
        <w:rPr>
          <w:b/>
          <w:i/>
        </w:rPr>
      </w:pPr>
      <w:bookmarkStart w:id="143" w:name="_Toc113910485"/>
      <w:bookmarkStart w:id="144" w:name="_Toc113954734"/>
      <w:bookmarkStart w:id="145" w:name="_Toc139292043"/>
      <w:bookmarkStart w:id="146" w:name="_Toc161055613"/>
      <w:r w:rsidRPr="00694967">
        <w:rPr>
          <w:b/>
          <w:i/>
        </w:rPr>
        <w:t xml:space="preserve">Под информационной безопасностью (ИБ) понимается защищенность информации и средств её обработки от случайных или преднамеренных воздействий естественного или искусственного характера. </w:t>
      </w:r>
    </w:p>
    <w:p w:rsidR="00E52BCE" w:rsidRPr="00694967" w:rsidRDefault="00E52BCE" w:rsidP="00E52BCE">
      <w:pPr>
        <w:widowControl w:val="0"/>
        <w:autoSpaceDE w:val="0"/>
        <w:autoSpaceDN w:val="0"/>
        <w:adjustRightInd w:val="0"/>
        <w:spacing w:before="20" w:after="40"/>
        <w:ind w:firstLine="720"/>
        <w:jc w:val="both"/>
        <w:rPr>
          <w:b/>
          <w:i/>
        </w:rPr>
      </w:pPr>
      <w:r w:rsidRPr="00694967">
        <w:rPr>
          <w:b/>
          <w:i/>
        </w:rPr>
        <w:t xml:space="preserve">Основной целью деятельности по обеспечению ИБ является достижение адекватной защищенности бизнес-процессов Эмитента, а также минимизация рисков ИБ при организации торгов, предоставлении сервисов на фондовом, срочном, валютном и денежном рынках, в деятельности Оператора финансовой платформы. </w:t>
      </w:r>
    </w:p>
    <w:p w:rsidR="00E52BCE" w:rsidRPr="00694967" w:rsidRDefault="00E52BCE" w:rsidP="00E52BCE">
      <w:pPr>
        <w:widowControl w:val="0"/>
        <w:autoSpaceDE w:val="0"/>
        <w:autoSpaceDN w:val="0"/>
        <w:adjustRightInd w:val="0"/>
        <w:spacing w:before="20" w:after="40"/>
        <w:ind w:firstLine="720"/>
        <w:jc w:val="both"/>
        <w:rPr>
          <w:b/>
          <w:i/>
        </w:rPr>
      </w:pPr>
      <w:r w:rsidRPr="00694967">
        <w:rPr>
          <w:b/>
          <w:i/>
        </w:rPr>
        <w:t xml:space="preserve">Указанная цель достигается посредством обеспечения и постоянного поддержания конфиденциальности, целостности и доступности защищаемых информационных активов Эмитента. </w:t>
      </w:r>
    </w:p>
    <w:p w:rsidR="00E52BCE" w:rsidRPr="00694967" w:rsidRDefault="00E52BCE" w:rsidP="00E52BCE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b/>
          <w:i/>
        </w:rPr>
      </w:pPr>
      <w:r w:rsidRPr="00694967">
        <w:rPr>
          <w:b/>
          <w:i/>
        </w:rPr>
        <w:t xml:space="preserve">Для достижения основной цели обеспечения ИБ Эмитент обеспечивает эффективное решение следующих задач: </w:t>
      </w:r>
    </w:p>
    <w:p w:rsidR="00E52BCE" w:rsidRPr="00694967" w:rsidRDefault="00E52BCE" w:rsidP="00A6096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bCs/>
          <w:i/>
          <w:iCs/>
        </w:rPr>
        <w:t xml:space="preserve">инвентаризация и классификация информационных активов Эмитента; </w:t>
      </w:r>
    </w:p>
    <w:p w:rsidR="00E52BCE" w:rsidRPr="00694967" w:rsidRDefault="00E52BCE" w:rsidP="00A6096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bCs/>
          <w:i/>
          <w:iCs/>
        </w:rPr>
        <w:t xml:space="preserve">определение рисков ИБ и потенциальных возможностей; </w:t>
      </w:r>
    </w:p>
    <w:p w:rsidR="00E52BCE" w:rsidRPr="00694967" w:rsidRDefault="00E52BCE" w:rsidP="00A6096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bCs/>
          <w:i/>
          <w:iCs/>
        </w:rPr>
        <w:t xml:space="preserve">формирование и совершенствование системы управления информационной безопасности, в том числе процессов оценки и анализа ИБ; </w:t>
      </w:r>
    </w:p>
    <w:p w:rsidR="00E52BCE" w:rsidRPr="00694967" w:rsidRDefault="00E52BCE" w:rsidP="00A6096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bCs/>
          <w:i/>
          <w:iCs/>
        </w:rPr>
        <w:t xml:space="preserve">определение и документирование основных требований и процедур обеспечения ИБ; </w:t>
      </w:r>
    </w:p>
    <w:p w:rsidR="00E52BCE" w:rsidRPr="00694967" w:rsidRDefault="00E52BCE" w:rsidP="00A6096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bCs/>
          <w:i/>
          <w:iCs/>
        </w:rPr>
        <w:t xml:space="preserve">внедрение и настройка средств защиты информации; </w:t>
      </w:r>
    </w:p>
    <w:p w:rsidR="00E52BCE" w:rsidRPr="00694967" w:rsidRDefault="00E52BCE" w:rsidP="00A6096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bCs/>
          <w:i/>
          <w:iCs/>
        </w:rPr>
        <w:t xml:space="preserve">обучение работников Эмитента в области ИБ; </w:t>
      </w:r>
    </w:p>
    <w:p w:rsidR="00E52BCE" w:rsidRPr="00694967" w:rsidRDefault="00E52BCE" w:rsidP="00A6096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bCs/>
          <w:i/>
          <w:iCs/>
        </w:rPr>
        <w:t xml:space="preserve">своевременное выявление и устранение уязвимостей активов Эмитента и тем самым предупреждение возможности нанесения ущерба и нарушения нормального функционирования бизнес-процессов Эмитента в результате реализации угроз ИБ; </w:t>
      </w:r>
    </w:p>
    <w:p w:rsidR="00E52BCE" w:rsidRPr="00694967" w:rsidRDefault="00E52BCE" w:rsidP="00A6096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bCs/>
          <w:i/>
          <w:iCs/>
        </w:rPr>
        <w:t xml:space="preserve">уменьшение до приемлемого уровня возможного ущерба Эмитента при реализации угроз ИБ, в том числе сокращение времени восстановления бизнес-процессов после возможных прерываний; </w:t>
      </w:r>
    </w:p>
    <w:p w:rsidR="00E52BCE" w:rsidRPr="00694967" w:rsidRDefault="00E52BCE" w:rsidP="00A60963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i/>
        </w:rPr>
      </w:pPr>
      <w:r w:rsidRPr="00694967">
        <w:rPr>
          <w:b/>
          <w:bCs/>
          <w:i/>
          <w:iCs/>
        </w:rPr>
        <w:t>планирование и оптимизация</w:t>
      </w:r>
      <w:r w:rsidRPr="00694967">
        <w:rPr>
          <w:b/>
          <w:i/>
        </w:rPr>
        <w:t xml:space="preserve"> затрат на обеспечение информационной безопасности Эмитента. </w:t>
      </w:r>
    </w:p>
    <w:p w:rsidR="00E52BCE" w:rsidRPr="00694967" w:rsidRDefault="00E52BCE" w:rsidP="00E52BCE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  <w:i/>
          <w:u w:val="single"/>
        </w:rPr>
      </w:pPr>
      <w:r w:rsidRPr="00694967">
        <w:rPr>
          <w:b/>
          <w:i/>
          <w:u w:val="single"/>
        </w:rPr>
        <w:t xml:space="preserve">Основными принципами обеспечения информационной безопасности Эмитента являются: </w:t>
      </w:r>
    </w:p>
    <w:p w:rsidR="00E52BCE" w:rsidRPr="00694967" w:rsidRDefault="00E52BCE" w:rsidP="00A6096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bCs/>
          <w:i/>
          <w:iCs/>
        </w:rPr>
        <w:t xml:space="preserve">законность – применение мер и средств обеспечения ИБ в строгом соответствии с положениями действующего законодательства Российской Федерации в области ИБ; </w:t>
      </w:r>
    </w:p>
    <w:p w:rsidR="00E52BCE" w:rsidRPr="00694967" w:rsidRDefault="00E52BCE" w:rsidP="00A6096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bCs/>
          <w:i/>
          <w:iCs/>
        </w:rPr>
        <w:t xml:space="preserve">системность – учет всех взаимосвязанных, взаимодействующих и изменяющихся во времени элементов, условий и факторов, значимых для обеспечения ИБ Эмитента; </w:t>
      </w:r>
    </w:p>
    <w:p w:rsidR="00E52BCE" w:rsidRPr="00694967" w:rsidRDefault="00E52BCE" w:rsidP="00A6096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bCs/>
          <w:i/>
          <w:iCs/>
        </w:rPr>
        <w:t xml:space="preserve">комплексность – согласованное применение разнородных средств при построении целостной системы защиты, перекрывающей все существенные каналы реализации </w:t>
      </w:r>
      <w:r w:rsidRPr="00694967">
        <w:rPr>
          <w:b/>
          <w:bCs/>
          <w:i/>
          <w:iCs/>
        </w:rPr>
        <w:lastRenderedPageBreak/>
        <w:t xml:space="preserve">угроз ИБ и не содержащей слабых мест на стыках отдельных ее компонентов; </w:t>
      </w:r>
    </w:p>
    <w:p w:rsidR="00E52BCE" w:rsidRPr="00694967" w:rsidRDefault="00E52BCE" w:rsidP="00A6096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bCs/>
          <w:i/>
          <w:iCs/>
        </w:rPr>
        <w:t xml:space="preserve">эшелонированность – применение нескольких защитных барьеров на пути реализации угроз ИБ; </w:t>
      </w:r>
    </w:p>
    <w:p w:rsidR="00E52BCE" w:rsidRPr="00694967" w:rsidRDefault="00E52BCE" w:rsidP="00A6096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bCs/>
          <w:i/>
          <w:iCs/>
        </w:rPr>
        <w:t xml:space="preserve">непрерывность защиты – деятельность по обеспечению ИБ является составной частью повседневной деятельности Эмитента и не должна прерываться, в том числе должна обеспечиваться постоянная поддержка физических, технических и программных средств защиты, а также непрерывный контроль выполнения требований ИБ; </w:t>
      </w:r>
    </w:p>
    <w:p w:rsidR="00E52BCE" w:rsidRPr="00694967" w:rsidRDefault="00E52BCE" w:rsidP="00A6096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i/>
        </w:rPr>
      </w:pPr>
      <w:r w:rsidRPr="00694967">
        <w:rPr>
          <w:b/>
          <w:bCs/>
          <w:i/>
          <w:iCs/>
        </w:rPr>
        <w:t>своевременность – Эмитент должен своевременно обнаруживать угрозы ИБ, потенциально способные повлиять</w:t>
      </w:r>
      <w:r w:rsidRPr="00694967">
        <w:rPr>
          <w:b/>
          <w:i/>
        </w:rPr>
        <w:t xml:space="preserve"> на достижение бизнес-целей Эмитента, прогнозировать возможные пути их развития, оценивать степень влияния на бизнес-процессы и применять меры ИБ в тех местах и в такое время, где и когда они необходимы; </w:t>
      </w:r>
    </w:p>
    <w:p w:rsidR="00E52BCE" w:rsidRPr="00694967" w:rsidRDefault="00E52BCE" w:rsidP="00A6096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bCs/>
          <w:i/>
          <w:iCs/>
        </w:rPr>
        <w:t xml:space="preserve">адекватность – принимаемые меры ИБ должны быть эффективны и соразмерны имеющим место рискам ИБ с учетом затрат на реализацию таких мер и объема возможных потерь от выполнения угроз; </w:t>
      </w:r>
    </w:p>
    <w:p w:rsidR="00E52BCE" w:rsidRPr="00694967" w:rsidRDefault="00E52BCE" w:rsidP="00A6096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bCs/>
          <w:i/>
          <w:iCs/>
        </w:rPr>
        <w:t xml:space="preserve">реализуемость – все предъявляемые требования ИБ должны быть реально выполнимы и непротиворечивы; </w:t>
      </w:r>
    </w:p>
    <w:p w:rsidR="00E52BCE" w:rsidRPr="00694967" w:rsidRDefault="00E52BCE" w:rsidP="00A6096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bCs/>
          <w:i/>
          <w:iCs/>
        </w:rPr>
        <w:t xml:space="preserve">преемственность и совершенствование – постоянное совершенствование мер и средств защиты на основе преемственности организационных и технических решений и кадрового состава; </w:t>
      </w:r>
    </w:p>
    <w:p w:rsidR="00E52BCE" w:rsidRPr="00694967" w:rsidRDefault="00E52BCE" w:rsidP="00A6096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bCs/>
          <w:i/>
          <w:iCs/>
        </w:rPr>
        <w:t xml:space="preserve">гибкость – СУИБ Эмитента должна быть способна реагировать на изменения внешней среды и условий осуществления Эмитентом своей деятельности; </w:t>
      </w:r>
    </w:p>
    <w:p w:rsidR="00E52BCE" w:rsidRPr="00694967" w:rsidRDefault="00E52BCE" w:rsidP="00A6096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bCs/>
          <w:i/>
          <w:iCs/>
        </w:rPr>
        <w:t xml:space="preserve">удобство для пользователей – при построении и модернизации СУИБ должны учитываться и по возможности сводиться к минимуму возможные затруднения пользователей в работе со средствами защиты и при выполнении основных процедур обеспечения ИБ; </w:t>
      </w:r>
    </w:p>
    <w:p w:rsidR="00E52BCE" w:rsidRPr="00694967" w:rsidRDefault="00E52BCE" w:rsidP="00A6096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bCs/>
          <w:i/>
          <w:iCs/>
        </w:rPr>
        <w:t xml:space="preserve">документированность – все требования и меры ИБ, а также результаты деятельности по обеспечению ИБ должны быть документально зафиксированы; </w:t>
      </w:r>
    </w:p>
    <w:p w:rsidR="00E52BCE" w:rsidRPr="00694967" w:rsidRDefault="00E52BCE" w:rsidP="00A6096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bCs/>
          <w:i/>
          <w:iCs/>
        </w:rPr>
        <w:t xml:space="preserve">осведомленность о требованиях ИБ – все работники Эмитента обязаны знать требования ИБ в объеме, соответствующем их текущим должностным обязанностям и доступу к информационным ресурсам Эмитента, и руководствоваться ими в своей работе; </w:t>
      </w:r>
    </w:p>
    <w:p w:rsidR="00E52BCE" w:rsidRPr="00694967" w:rsidRDefault="00E52BCE" w:rsidP="00A6096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bCs/>
          <w:i/>
          <w:iCs/>
        </w:rPr>
        <w:t xml:space="preserve">минимизация полномочий – работникам Эмитента предоставляется доступ только к тем информационным активам и в том объеме, который необходим для выполнения их должностных обязанностей; </w:t>
      </w:r>
    </w:p>
    <w:p w:rsidR="00E52BCE" w:rsidRPr="00694967" w:rsidRDefault="00E52BCE" w:rsidP="00A6096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i/>
        </w:rPr>
      </w:pPr>
      <w:r w:rsidRPr="00694967">
        <w:rPr>
          <w:b/>
          <w:bCs/>
          <w:i/>
          <w:iCs/>
        </w:rPr>
        <w:t>исключение конфликта</w:t>
      </w:r>
      <w:r w:rsidRPr="00694967">
        <w:rPr>
          <w:b/>
          <w:i/>
        </w:rPr>
        <w:t xml:space="preserve"> интересов – четкое разделение обязанностей и исключение ситуаций, когда сфера ответственности работников допускает конфликт интересов. В</w:t>
      </w:r>
      <w:r w:rsidRPr="00694967">
        <w:t> </w:t>
      </w:r>
      <w:r w:rsidRPr="00694967">
        <w:rPr>
          <w:b/>
          <w:i/>
        </w:rPr>
        <w:t xml:space="preserve">частности, ни один работник Эмитента не должен иметь полномочий, позволяющих ему единолично осуществлять выполнение критичных операций; </w:t>
      </w:r>
    </w:p>
    <w:p w:rsidR="00E52BCE" w:rsidRPr="00694967" w:rsidRDefault="00E52BCE" w:rsidP="00A6096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94967">
        <w:rPr>
          <w:b/>
          <w:i/>
        </w:rPr>
        <w:t xml:space="preserve">знание своих клиентов и работников – Эмитент должен обладать информацией о своих </w:t>
      </w:r>
      <w:r w:rsidRPr="00694967">
        <w:rPr>
          <w:b/>
          <w:bCs/>
          <w:i/>
          <w:iCs/>
        </w:rPr>
        <w:t xml:space="preserve">клиентах, тщательно подбирать работников и обслуживающий персонал, вырабатывать и поддерживать корпоративную этику, создавая благоприятную доверительную среду для деятельности Эмитента по управлению информационными активами; </w:t>
      </w:r>
    </w:p>
    <w:p w:rsidR="00E52BCE" w:rsidRPr="00694967" w:rsidRDefault="00E52BCE" w:rsidP="00A6096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i/>
        </w:rPr>
      </w:pPr>
      <w:r w:rsidRPr="00694967">
        <w:rPr>
          <w:b/>
          <w:bCs/>
          <w:i/>
          <w:iCs/>
        </w:rPr>
        <w:t>перс</w:t>
      </w:r>
      <w:r w:rsidRPr="00694967">
        <w:rPr>
          <w:b/>
          <w:i/>
        </w:rPr>
        <w:t xml:space="preserve">ональная ответственность – ответственность за соблюдение требований ИБ возлагается на каждого работника Эмитента в пределах его полномочий. </w:t>
      </w:r>
    </w:p>
    <w:p w:rsidR="00B930FB" w:rsidRDefault="00B930FB" w:rsidP="003F4B26">
      <w:pPr>
        <w:pStyle w:val="3"/>
        <w:spacing w:before="360" w:after="120"/>
        <w:rPr>
          <w:rFonts w:ascii="Times New Roman" w:hAnsi="Times New Roman"/>
          <w:sz w:val="22"/>
          <w:szCs w:val="22"/>
        </w:rPr>
      </w:pPr>
      <w:bookmarkStart w:id="147" w:name="_Toc193300362"/>
      <w:bookmarkStart w:id="148" w:name="_Toc193301443"/>
      <w:r w:rsidRPr="00B930FB">
        <w:rPr>
          <w:rFonts w:ascii="Times New Roman" w:hAnsi="Times New Roman"/>
          <w:sz w:val="22"/>
          <w:szCs w:val="22"/>
        </w:rPr>
        <w:t>1.9.9. Природно-климатический и экологический риски</w:t>
      </w:r>
      <w:bookmarkEnd w:id="143"/>
      <w:bookmarkEnd w:id="144"/>
      <w:bookmarkEnd w:id="145"/>
      <w:bookmarkEnd w:id="146"/>
      <w:bookmarkEnd w:id="147"/>
      <w:bookmarkEnd w:id="148"/>
    </w:p>
    <w:p w:rsidR="00E52BCE" w:rsidRPr="004A6C89" w:rsidRDefault="00E52BCE" w:rsidP="00E52B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  <w:i/>
          <w:iCs/>
        </w:rPr>
      </w:pPr>
      <w:bookmarkStart w:id="149" w:name="_Toc113910486"/>
      <w:bookmarkStart w:id="150" w:name="_Toc113954735"/>
      <w:bookmarkStart w:id="151" w:name="_Toc139292044"/>
      <w:bookmarkStart w:id="152" w:name="_Toc161055614"/>
      <w:r w:rsidRPr="004A6C89">
        <w:rPr>
          <w:b/>
          <w:bCs/>
          <w:i/>
          <w:iCs/>
        </w:rPr>
        <w:t xml:space="preserve">В целях реализации дорожной карты устойчивого развития Московской Биржи разрабатываются и интегрируются в </w:t>
      </w:r>
      <w:r>
        <w:rPr>
          <w:b/>
          <w:bCs/>
          <w:i/>
          <w:iCs/>
        </w:rPr>
        <w:t xml:space="preserve">регулярную </w:t>
      </w:r>
      <w:r w:rsidRPr="004A6C89">
        <w:rPr>
          <w:b/>
          <w:bCs/>
          <w:i/>
          <w:iCs/>
        </w:rPr>
        <w:t>деятельность процессы по управлению климатическим</w:t>
      </w:r>
      <w:r>
        <w:rPr>
          <w:b/>
          <w:bCs/>
          <w:i/>
          <w:iCs/>
        </w:rPr>
        <w:t>и</w:t>
      </w:r>
      <w:r w:rsidRPr="004A6C89">
        <w:rPr>
          <w:b/>
          <w:bCs/>
          <w:i/>
          <w:iCs/>
        </w:rPr>
        <w:t xml:space="preserve"> риск</w:t>
      </w:r>
      <w:r>
        <w:rPr>
          <w:b/>
          <w:bCs/>
          <w:i/>
          <w:iCs/>
        </w:rPr>
        <w:t>а</w:t>
      </w:r>
      <w:r w:rsidRPr="004A6C89">
        <w:rPr>
          <w:b/>
          <w:bCs/>
          <w:i/>
          <w:iCs/>
        </w:rPr>
        <w:t>м</w:t>
      </w:r>
      <w:r>
        <w:rPr>
          <w:b/>
          <w:bCs/>
          <w:i/>
          <w:iCs/>
        </w:rPr>
        <w:t>и</w:t>
      </w:r>
      <w:r w:rsidRPr="004A6C89">
        <w:rPr>
          <w:b/>
          <w:bCs/>
          <w:i/>
          <w:iCs/>
        </w:rPr>
        <w:t xml:space="preserve"> и возможностями </w:t>
      </w:r>
      <w:r>
        <w:rPr>
          <w:b/>
          <w:bCs/>
          <w:i/>
          <w:iCs/>
        </w:rPr>
        <w:t xml:space="preserve">с учетом </w:t>
      </w:r>
      <w:r w:rsidRPr="00090921">
        <w:rPr>
          <w:b/>
          <w:bCs/>
          <w:i/>
          <w:iCs/>
        </w:rPr>
        <w:t xml:space="preserve">Рекомендаций Рабочей группы по </w:t>
      </w:r>
      <w:r w:rsidRPr="00090921">
        <w:rPr>
          <w:b/>
          <w:bCs/>
          <w:i/>
          <w:iCs/>
        </w:rPr>
        <w:lastRenderedPageBreak/>
        <w:t>вопросам раскрытия финансовой информации, связанной с изменением климата (Task Force on Climate Related Financial Disclosures, TCFD)</w:t>
      </w:r>
      <w:r w:rsidRPr="004A6C89">
        <w:rPr>
          <w:b/>
          <w:bCs/>
          <w:i/>
          <w:iCs/>
        </w:rPr>
        <w:t>.</w:t>
      </w:r>
    </w:p>
    <w:p w:rsidR="00E52BCE" w:rsidRPr="00C6559C" w:rsidRDefault="00E52BCE" w:rsidP="00E52BCE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b/>
          <w:bCs/>
          <w:i/>
          <w:iCs/>
        </w:rPr>
      </w:pPr>
      <w:r w:rsidRPr="00C6559C">
        <w:rPr>
          <w:b/>
          <w:bCs/>
          <w:i/>
          <w:iCs/>
        </w:rPr>
        <w:t>В соответствии с Рекомендациями TCFD ПАО Московская Биржа выделяет два главных типа климатических рисков:</w:t>
      </w:r>
    </w:p>
    <w:p w:rsidR="00E52BCE" w:rsidRPr="00C6559C" w:rsidRDefault="00E52BCE" w:rsidP="00A6096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i/>
        </w:rPr>
      </w:pPr>
      <w:r w:rsidRPr="00C6559C">
        <w:rPr>
          <w:b/>
          <w:i/>
        </w:rPr>
        <w:t>Физические климатические риски (climate physical risks) – риски, связанные с природными явлениями, возникающие вследствие изменения климата. Они подразделяются на экстренные (acute risk), связанные с внезапными событиями, и систематические (chronic risk), связанные с долгосрочными изменениями климатических характеристик и условий.</w:t>
      </w:r>
    </w:p>
    <w:p w:rsidR="00E52BCE" w:rsidRPr="00C6559C" w:rsidRDefault="00E52BCE" w:rsidP="00A6096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i/>
        </w:rPr>
      </w:pPr>
      <w:r w:rsidRPr="00C6559C">
        <w:rPr>
          <w:b/>
          <w:i/>
        </w:rPr>
        <w:t>Переходные климатические риски (climate transition risks) – это риски, связанные с переходом к низкоуглеродной экономике, в том числе с мерами, принимаемыми правительствами и органами регулирования, направленными на предотвращение климатических изменений.</w:t>
      </w:r>
    </w:p>
    <w:p w:rsidR="00E52BCE" w:rsidRPr="00DA46E3" w:rsidRDefault="00E52BCE" w:rsidP="00E52BCE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bCs/>
          <w:i/>
          <w:iCs/>
        </w:rPr>
      </w:pPr>
      <w:r w:rsidRPr="00DA46E3">
        <w:rPr>
          <w:b/>
          <w:bCs/>
          <w:i/>
          <w:iCs/>
        </w:rPr>
        <w:t>Физические риски могут нанести значительный ущерб зданиям, инфраструктуре и работникам не только Группы, но и ее клиентам и контрагентам, что приведет к нарушению непрерывности их деятельности, финансовым потерям, критичным для Группы и ее контрагентов, а также других заинтересованных сторон.</w:t>
      </w:r>
    </w:p>
    <w:p w:rsidR="00E52BCE" w:rsidRPr="00DA46E3" w:rsidRDefault="00E52BCE" w:rsidP="00E52BCE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bCs/>
          <w:i/>
          <w:iCs/>
        </w:rPr>
      </w:pPr>
      <w:r w:rsidRPr="00DA46E3">
        <w:rPr>
          <w:b/>
          <w:bCs/>
          <w:i/>
          <w:iCs/>
        </w:rPr>
        <w:t>Переходные риски, в свою очередь, подразделяются на политико-правовые, технологические, рыночные и репутационные, и каждый из них может иметь значительные финансовые последствия для бизнеса.</w:t>
      </w:r>
    </w:p>
    <w:p w:rsidR="00E52BCE" w:rsidRPr="004A6C89" w:rsidRDefault="00E52BCE" w:rsidP="00E52BCE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bCs/>
          <w:i/>
          <w:iCs/>
        </w:rPr>
      </w:pPr>
      <w:r w:rsidRPr="004A6C89">
        <w:rPr>
          <w:b/>
          <w:bCs/>
          <w:i/>
          <w:iCs/>
        </w:rPr>
        <w:t xml:space="preserve">Выявление (идентификация) климатических рисков проводится в соответствии с единой системой управления рисками Московской Биржи и предполагает ежегодный обзор всех групп климатических рисков, а также регулярное отслеживание рыночной конъюнктуры и законодательных изменений для выявления </w:t>
      </w:r>
      <w:r>
        <w:rPr>
          <w:b/>
          <w:bCs/>
          <w:i/>
          <w:iCs/>
        </w:rPr>
        <w:t>физических, политико-правовых, технологических, рыночных и репутационных рисков,</w:t>
      </w:r>
      <w:r w:rsidRPr="004A6C89">
        <w:rPr>
          <w:b/>
          <w:bCs/>
          <w:i/>
          <w:iCs/>
        </w:rPr>
        <w:t xml:space="preserve"> к которым относятся:</w:t>
      </w:r>
    </w:p>
    <w:p w:rsidR="00E52BCE" w:rsidRDefault="00E52BCE" w:rsidP="00E52BCE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Физические риски:</w:t>
      </w:r>
    </w:p>
    <w:p w:rsidR="00E52BCE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60" w:line="240" w:lineRule="auto"/>
        <w:ind w:left="0" w:firstLine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наводнения, снегопады;</w:t>
      </w:r>
    </w:p>
    <w:p w:rsidR="00E52BCE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60" w:line="240" w:lineRule="auto"/>
        <w:ind w:left="0" w:firstLine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ледяной дождь;</w:t>
      </w:r>
    </w:p>
    <w:p w:rsidR="00E52BCE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60" w:line="240" w:lineRule="auto"/>
        <w:ind w:left="0" w:firstLine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ураганы, штормовой ветер;</w:t>
      </w:r>
    </w:p>
    <w:p w:rsidR="00E52BCE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60" w:line="240" w:lineRule="auto"/>
        <w:ind w:left="0" w:firstLine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лесные пожары;</w:t>
      </w:r>
    </w:p>
    <w:p w:rsidR="00E52BCE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60" w:line="240" w:lineRule="auto"/>
        <w:ind w:left="0" w:firstLine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гололед;</w:t>
      </w:r>
    </w:p>
    <w:p w:rsidR="00E52BCE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60" w:line="240" w:lineRule="auto"/>
        <w:ind w:left="0" w:firstLine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экстремально жаркая/холодная погода.</w:t>
      </w:r>
    </w:p>
    <w:p w:rsidR="00E52BCE" w:rsidRPr="004A6C89" w:rsidRDefault="00E52BCE" w:rsidP="00E52BCE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contextualSpacing/>
        <w:jc w:val="both"/>
        <w:rPr>
          <w:b/>
          <w:bCs/>
          <w:i/>
          <w:iCs/>
        </w:rPr>
      </w:pPr>
      <w:r w:rsidRPr="004A6C89">
        <w:rPr>
          <w:b/>
          <w:bCs/>
          <w:i/>
          <w:iCs/>
        </w:rPr>
        <w:t>Политико-правовые риски:</w:t>
      </w:r>
    </w:p>
    <w:p w:rsidR="00E52BCE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60" w:line="240" w:lineRule="auto"/>
        <w:ind w:left="0" w:firstLine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высокие затраты на электроэнергию;</w:t>
      </w:r>
    </w:p>
    <w:p w:rsidR="00E52BCE" w:rsidRPr="004A6C89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60" w:line="240" w:lineRule="auto"/>
        <w:ind w:left="0" w:firstLine="0"/>
        <w:contextualSpacing/>
        <w:jc w:val="both"/>
        <w:rPr>
          <w:b/>
          <w:bCs/>
          <w:i/>
          <w:iCs/>
        </w:rPr>
      </w:pPr>
      <w:r w:rsidRPr="004A6C89">
        <w:rPr>
          <w:b/>
          <w:bCs/>
          <w:i/>
          <w:iCs/>
        </w:rPr>
        <w:t>расширенные обязательства по представлению отчетности о выбросах;</w:t>
      </w:r>
    </w:p>
    <w:p w:rsidR="00E52BCE" w:rsidRPr="004A6C89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60" w:line="240" w:lineRule="auto"/>
        <w:ind w:left="0" w:firstLine="0"/>
        <w:contextualSpacing/>
        <w:jc w:val="both"/>
        <w:rPr>
          <w:b/>
          <w:bCs/>
          <w:i/>
          <w:iCs/>
        </w:rPr>
      </w:pPr>
      <w:r w:rsidRPr="004A6C89">
        <w:rPr>
          <w:b/>
          <w:bCs/>
          <w:i/>
          <w:iCs/>
        </w:rPr>
        <w:t>неточное или ошибочное раскрытие информации о выбросах;</w:t>
      </w:r>
    </w:p>
    <w:p w:rsidR="00E52BCE" w:rsidRPr="004A6C89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60" w:line="240" w:lineRule="auto"/>
        <w:ind w:left="0" w:firstLine="0"/>
        <w:contextualSpacing/>
        <w:jc w:val="both"/>
        <w:rPr>
          <w:b/>
          <w:bCs/>
          <w:i/>
          <w:iCs/>
        </w:rPr>
      </w:pPr>
      <w:r w:rsidRPr="004A6C89">
        <w:rPr>
          <w:b/>
          <w:bCs/>
          <w:i/>
          <w:iCs/>
        </w:rPr>
        <w:t>возможное вовлечение эмитентов в судебные разбирательства, вызванные проблемами изменения климата;</w:t>
      </w:r>
    </w:p>
    <w:p w:rsidR="00E52BCE" w:rsidRPr="004A6C89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60" w:line="240" w:lineRule="auto"/>
        <w:ind w:left="0" w:firstLine="0"/>
        <w:contextualSpacing/>
        <w:jc w:val="both"/>
        <w:rPr>
          <w:b/>
          <w:bCs/>
          <w:i/>
          <w:iCs/>
        </w:rPr>
      </w:pPr>
      <w:r w:rsidRPr="004A6C89">
        <w:rPr>
          <w:b/>
          <w:bCs/>
          <w:i/>
          <w:iCs/>
        </w:rPr>
        <w:t>появление новых требований к раскрытию информации о выбросах парниковых газов, препятствующих размещению ценных бумаг эмитентов;</w:t>
      </w:r>
    </w:p>
    <w:p w:rsidR="00E52BCE" w:rsidRPr="004A6C89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0" w:line="240" w:lineRule="auto"/>
        <w:ind w:left="0" w:firstLine="0"/>
        <w:contextualSpacing/>
        <w:jc w:val="both"/>
        <w:rPr>
          <w:b/>
          <w:bCs/>
          <w:i/>
          <w:iCs/>
        </w:rPr>
      </w:pPr>
      <w:r w:rsidRPr="004A6C89">
        <w:rPr>
          <w:b/>
          <w:bCs/>
          <w:i/>
          <w:iCs/>
        </w:rPr>
        <w:t>отсутствие в законодательстве четких целевых нормативов для регулирования углеродных выбросов.</w:t>
      </w:r>
    </w:p>
    <w:p w:rsidR="00E52BCE" w:rsidRPr="004A6C89" w:rsidRDefault="00E52BCE" w:rsidP="00E52BCE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contextualSpacing/>
        <w:jc w:val="both"/>
        <w:rPr>
          <w:b/>
          <w:bCs/>
          <w:i/>
          <w:iCs/>
        </w:rPr>
      </w:pPr>
      <w:r w:rsidRPr="004A6C89">
        <w:rPr>
          <w:b/>
          <w:bCs/>
          <w:i/>
          <w:iCs/>
        </w:rPr>
        <w:t>Технологические риски:</w:t>
      </w:r>
    </w:p>
    <w:p w:rsidR="00E52BCE" w:rsidRPr="004A6C89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60" w:line="240" w:lineRule="auto"/>
        <w:ind w:left="0" w:firstLine="0"/>
        <w:contextualSpacing/>
        <w:jc w:val="both"/>
        <w:rPr>
          <w:b/>
          <w:bCs/>
          <w:i/>
          <w:iCs/>
        </w:rPr>
      </w:pPr>
      <w:r w:rsidRPr="004A6C89">
        <w:rPr>
          <w:b/>
          <w:bCs/>
          <w:i/>
          <w:iCs/>
        </w:rPr>
        <w:t>высокие затраты при переходе на технологии с низким уровнем выбросов парниковых газов;</w:t>
      </w:r>
    </w:p>
    <w:p w:rsidR="00E52BCE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0" w:line="240" w:lineRule="auto"/>
        <w:ind w:left="0" w:firstLine="0"/>
        <w:contextualSpacing/>
        <w:jc w:val="both"/>
        <w:rPr>
          <w:b/>
          <w:bCs/>
          <w:i/>
          <w:iCs/>
        </w:rPr>
      </w:pPr>
      <w:r w:rsidRPr="004A6C89">
        <w:rPr>
          <w:b/>
          <w:bCs/>
          <w:i/>
          <w:iCs/>
        </w:rPr>
        <w:t>отключения электроэнергии и аварийные ситуации из-за недостаточной надежности системы</w:t>
      </w:r>
      <w:r>
        <w:rPr>
          <w:b/>
          <w:bCs/>
          <w:i/>
          <w:iCs/>
        </w:rPr>
        <w:t>;</w:t>
      </w:r>
    </w:p>
    <w:p w:rsidR="00E52BCE" w:rsidRPr="004A6C89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0" w:line="240" w:lineRule="auto"/>
        <w:ind w:left="0" w:firstLine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и</w:t>
      </w:r>
      <w:r w:rsidRPr="000F5B55">
        <w:rPr>
          <w:b/>
          <w:bCs/>
          <w:i/>
          <w:iCs/>
        </w:rPr>
        <w:t>нвестиции в неэффективные технологии, не ведущие к существенному снижению выбросов парниковых газов</w:t>
      </w:r>
      <w:r>
        <w:rPr>
          <w:b/>
          <w:bCs/>
          <w:i/>
          <w:iCs/>
        </w:rPr>
        <w:t>.</w:t>
      </w:r>
    </w:p>
    <w:p w:rsidR="00E52BCE" w:rsidRPr="004A6C89" w:rsidRDefault="00E52BCE" w:rsidP="00E52BCE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contextualSpacing/>
        <w:jc w:val="both"/>
        <w:rPr>
          <w:b/>
          <w:bCs/>
          <w:i/>
          <w:iCs/>
        </w:rPr>
      </w:pPr>
      <w:r w:rsidRPr="004A6C89">
        <w:rPr>
          <w:b/>
          <w:bCs/>
          <w:i/>
          <w:iCs/>
        </w:rPr>
        <w:t>Рыночные риски:</w:t>
      </w:r>
    </w:p>
    <w:p w:rsidR="00E52BCE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60" w:line="240" w:lineRule="auto"/>
        <w:ind w:left="0" w:firstLine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</w:t>
      </w:r>
      <w:r w:rsidRPr="000F5B55">
        <w:rPr>
          <w:b/>
          <w:bCs/>
          <w:i/>
          <w:iCs/>
        </w:rPr>
        <w:t>ереориентация потребителей и инвесторов в пользу ESG-компаний</w:t>
      </w:r>
      <w:r>
        <w:rPr>
          <w:b/>
          <w:bCs/>
          <w:i/>
          <w:iCs/>
        </w:rPr>
        <w:t>;</w:t>
      </w:r>
    </w:p>
    <w:p w:rsidR="00E52BCE" w:rsidRPr="00B16A26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60" w:line="240" w:lineRule="auto"/>
        <w:ind w:left="0" w:firstLine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</w:t>
      </w:r>
      <w:r w:rsidRPr="000F5B55">
        <w:rPr>
          <w:b/>
          <w:bCs/>
          <w:i/>
          <w:iCs/>
        </w:rPr>
        <w:t>адение спроса и цен на энергоносители вследствие энергоперехода к безуглеродным источникам энергии</w:t>
      </w:r>
      <w:r w:rsidRPr="00B16A26">
        <w:rPr>
          <w:b/>
          <w:bCs/>
          <w:i/>
          <w:iCs/>
        </w:rPr>
        <w:t>;</w:t>
      </w:r>
    </w:p>
    <w:p w:rsidR="00E52BCE" w:rsidRPr="004A6C89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60" w:line="240" w:lineRule="auto"/>
        <w:ind w:left="0" w:firstLine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у</w:t>
      </w:r>
      <w:r w:rsidRPr="000F5B55">
        <w:rPr>
          <w:b/>
          <w:bCs/>
          <w:i/>
          <w:iCs/>
        </w:rPr>
        <w:t>величение налоговых расходов компаний-эмитентов (углеродный налог, квоты)</w:t>
      </w:r>
      <w:r w:rsidRPr="004A6C89">
        <w:rPr>
          <w:b/>
          <w:bCs/>
          <w:i/>
          <w:iCs/>
        </w:rPr>
        <w:t>;</w:t>
      </w:r>
    </w:p>
    <w:p w:rsidR="00E52BCE" w:rsidRPr="004A6C89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60" w:line="240" w:lineRule="auto"/>
        <w:ind w:left="0" w:firstLine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р</w:t>
      </w:r>
      <w:r w:rsidRPr="000F5B55">
        <w:rPr>
          <w:b/>
          <w:bCs/>
          <w:i/>
          <w:iCs/>
        </w:rPr>
        <w:t>ост цены на электроэнергию и тепло в результате перехода на безуглеродные источники энергии</w:t>
      </w:r>
      <w:r w:rsidRPr="004A6C89">
        <w:rPr>
          <w:b/>
          <w:bCs/>
          <w:i/>
          <w:iCs/>
        </w:rPr>
        <w:t>;</w:t>
      </w:r>
    </w:p>
    <w:p w:rsidR="00E52BCE" w:rsidRPr="004A6C89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60" w:line="240" w:lineRule="auto"/>
        <w:ind w:left="0" w:firstLine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</w:t>
      </w:r>
      <w:r w:rsidRPr="000F5B55">
        <w:rPr>
          <w:b/>
          <w:bCs/>
          <w:i/>
          <w:iCs/>
        </w:rPr>
        <w:t>ведение нормативов ограничения парниковых выбросов</w:t>
      </w:r>
      <w:r w:rsidRPr="004A6C89">
        <w:rPr>
          <w:b/>
          <w:bCs/>
          <w:i/>
          <w:iCs/>
        </w:rPr>
        <w:t>;</w:t>
      </w:r>
    </w:p>
    <w:p w:rsidR="00E52BCE" w:rsidRPr="004A6C89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60" w:line="240" w:lineRule="auto"/>
        <w:ind w:left="0" w:firstLine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</w:t>
      </w:r>
      <w:r w:rsidRPr="000F5B55">
        <w:rPr>
          <w:b/>
          <w:bCs/>
          <w:i/>
          <w:iCs/>
        </w:rPr>
        <w:t>тсутствие норматива доли зеленой энергетики в общих расходах на электроэнергию компаний</w:t>
      </w:r>
      <w:r>
        <w:rPr>
          <w:b/>
          <w:bCs/>
          <w:i/>
          <w:iCs/>
        </w:rPr>
        <w:t>.</w:t>
      </w:r>
    </w:p>
    <w:p w:rsidR="00E52BCE" w:rsidRDefault="00E52BCE" w:rsidP="00E52BCE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contextualSpacing/>
        <w:jc w:val="both"/>
        <w:rPr>
          <w:b/>
          <w:bCs/>
          <w:i/>
          <w:iCs/>
        </w:rPr>
      </w:pPr>
      <w:r w:rsidRPr="004A6C89">
        <w:rPr>
          <w:b/>
          <w:bCs/>
          <w:i/>
          <w:iCs/>
        </w:rPr>
        <w:t>Репутационные риски</w:t>
      </w:r>
      <w:r>
        <w:rPr>
          <w:b/>
          <w:bCs/>
          <w:i/>
          <w:iCs/>
        </w:rPr>
        <w:t>:</w:t>
      </w:r>
    </w:p>
    <w:p w:rsidR="00E52BCE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60" w:line="240" w:lineRule="auto"/>
        <w:ind w:left="0" w:firstLine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</w:t>
      </w:r>
      <w:r w:rsidRPr="000F5B55">
        <w:rPr>
          <w:b/>
          <w:bCs/>
          <w:i/>
          <w:iCs/>
        </w:rPr>
        <w:t>овышенное беспокойство заинтересованных сторон или отрицательные отзывы заинтересованных сторон, связанные с политикой Московской биржи в области ESG</w:t>
      </w:r>
      <w:r>
        <w:rPr>
          <w:b/>
          <w:bCs/>
          <w:i/>
          <w:iCs/>
        </w:rPr>
        <w:t>;</w:t>
      </w:r>
    </w:p>
    <w:p w:rsidR="00E52BCE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60" w:line="240" w:lineRule="auto"/>
        <w:ind w:left="0" w:firstLine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</w:t>
      </w:r>
      <w:r w:rsidRPr="00224343">
        <w:rPr>
          <w:b/>
          <w:bCs/>
          <w:i/>
          <w:iCs/>
        </w:rPr>
        <w:t>нижение доходов из-за падения спроса на услуги</w:t>
      </w:r>
      <w:r>
        <w:rPr>
          <w:b/>
          <w:bCs/>
          <w:i/>
          <w:iCs/>
        </w:rPr>
        <w:t>;</w:t>
      </w:r>
    </w:p>
    <w:p w:rsidR="00E52BCE" w:rsidRDefault="00E52BCE" w:rsidP="00A60963">
      <w:pPr>
        <w:widowControl w:val="0"/>
        <w:numPr>
          <w:ilvl w:val="0"/>
          <w:numId w:val="26"/>
        </w:numPr>
        <w:tabs>
          <w:tab w:val="num" w:pos="360"/>
        </w:tabs>
        <w:autoSpaceDE w:val="0"/>
        <w:autoSpaceDN w:val="0"/>
        <w:adjustRightInd w:val="0"/>
        <w:spacing w:before="20" w:after="60" w:line="240" w:lineRule="auto"/>
        <w:ind w:left="0" w:firstLine="0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</w:t>
      </w:r>
      <w:r w:rsidRPr="00224343">
        <w:rPr>
          <w:b/>
          <w:bCs/>
          <w:i/>
          <w:iCs/>
        </w:rPr>
        <w:t>нижение аппетита инвесторов из-за неопределенности в сигналах рынка</w:t>
      </w:r>
      <w:r>
        <w:rPr>
          <w:b/>
          <w:bCs/>
          <w:i/>
          <w:iCs/>
        </w:rPr>
        <w:t>.</w:t>
      </w:r>
    </w:p>
    <w:p w:rsidR="00E52BCE" w:rsidRPr="004A6C89" w:rsidRDefault="00E52BCE" w:rsidP="00E52BCE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b/>
          <w:bCs/>
          <w:i/>
          <w:iCs/>
        </w:rPr>
      </w:pPr>
      <w:r w:rsidRPr="004A6C89">
        <w:rPr>
          <w:b/>
          <w:bCs/>
          <w:i/>
          <w:iCs/>
        </w:rPr>
        <w:t xml:space="preserve">Идентификация климатических и экологических рисков, а также рисков, связанных с устойчивым развитием, проводится на основе входных параметров, установленных в ходе анализа сценариев, который охватывает всю деятельность Биржи. При выявлении возможностей и рисков учитываются также планируемые стратегические изменения, влияние внешней среды и наличие внутренних ресурсов. </w:t>
      </w:r>
    </w:p>
    <w:p w:rsidR="00E52BCE" w:rsidRDefault="00E52BCE" w:rsidP="00E52BCE">
      <w:pPr>
        <w:widowControl w:val="0"/>
        <w:autoSpaceDE w:val="0"/>
        <w:autoSpaceDN w:val="0"/>
        <w:adjustRightInd w:val="0"/>
        <w:spacing w:before="20" w:after="40" w:line="240" w:lineRule="auto"/>
        <w:ind w:firstLine="709"/>
        <w:jc w:val="both"/>
        <w:rPr>
          <w:b/>
          <w:bCs/>
          <w:i/>
          <w:iCs/>
        </w:rPr>
      </w:pPr>
      <w:r w:rsidRPr="004A6C89">
        <w:rPr>
          <w:b/>
          <w:bCs/>
          <w:i/>
          <w:iCs/>
        </w:rPr>
        <w:t xml:space="preserve">Процесс оценки климатического риска производится в соответствии с разработанной Московской Биржей методологией составления карты рисков с учетом сценарного анализа, разработанного на основе сценарных условий </w:t>
      </w:r>
      <w:r w:rsidRPr="00090921">
        <w:rPr>
          <w:b/>
          <w:bCs/>
          <w:i/>
          <w:iCs/>
        </w:rPr>
        <w:t>NGFS (Network for Greening the Financial System), относящихся к упорядоченному переходу</w:t>
      </w:r>
      <w:r w:rsidRPr="004A6C89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  <w:r w:rsidRPr="00224343">
        <w:rPr>
          <w:b/>
          <w:bCs/>
          <w:i/>
          <w:iCs/>
        </w:rPr>
        <w:t>В процессе сценарного анализа оценивалось изменение комиссионного дохода Группы «Московская Биржа» от акций и облигаций эмитентов, которые занимаются добычей/транспортировкой/переработкой энергоносителей за счет влияния факторов климатической повестки.</w:t>
      </w:r>
      <w:r>
        <w:rPr>
          <w:b/>
          <w:bCs/>
          <w:i/>
          <w:iCs/>
        </w:rPr>
        <w:t xml:space="preserve"> </w:t>
      </w:r>
      <w:r w:rsidRPr="00224343">
        <w:rPr>
          <w:b/>
          <w:bCs/>
          <w:i/>
          <w:iCs/>
        </w:rPr>
        <w:t>Для проведения сценарного анализа были выбраны следующие сценарии матрицы климатических сценариев NGFS:</w:t>
      </w:r>
    </w:p>
    <w:p w:rsidR="00E52BCE" w:rsidRDefault="00E52BCE" w:rsidP="00A6096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20" w:after="40" w:line="240" w:lineRule="auto"/>
        <w:ind w:left="360"/>
        <w:jc w:val="both"/>
        <w:rPr>
          <w:b/>
          <w:bCs/>
          <w:i/>
          <w:iCs/>
        </w:rPr>
      </w:pPr>
      <w:r w:rsidRPr="00224343">
        <w:rPr>
          <w:b/>
          <w:bCs/>
          <w:i/>
          <w:iCs/>
        </w:rPr>
        <w:t>Чистый ноль 2050</w:t>
      </w:r>
    </w:p>
    <w:p w:rsidR="00E52BCE" w:rsidRDefault="00E52BCE" w:rsidP="00E52BCE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 w:rsidRPr="00224343">
        <w:rPr>
          <w:b/>
          <w:bCs/>
          <w:i/>
          <w:iCs/>
        </w:rPr>
        <w:t>Ограничивает глобальное потепление до 1,5 °C при строгой климатической политике и инновациях, достигая чистых нулевых выбросов CO₂ к 2050 году. Предполагает немедленное внедрение амбициозной климатической политики.</w:t>
      </w:r>
    </w:p>
    <w:p w:rsidR="00E52BCE" w:rsidRDefault="00E52BCE" w:rsidP="00A6096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20" w:after="40" w:line="240" w:lineRule="auto"/>
        <w:ind w:left="360"/>
        <w:jc w:val="both"/>
        <w:rPr>
          <w:b/>
          <w:bCs/>
          <w:i/>
          <w:iCs/>
        </w:rPr>
      </w:pPr>
      <w:r w:rsidRPr="00224343">
        <w:rPr>
          <w:b/>
          <w:bCs/>
          <w:i/>
          <w:iCs/>
        </w:rPr>
        <w:t>Низкий спрос</w:t>
      </w:r>
    </w:p>
    <w:p w:rsidR="00E52BCE" w:rsidRDefault="00E52BCE" w:rsidP="00E52BCE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 w:rsidRPr="00224343">
        <w:rPr>
          <w:b/>
          <w:bCs/>
          <w:i/>
          <w:iCs/>
        </w:rPr>
        <w:t>Значительные изменения в поведении, снижающие спрос на энергию, ослабляют давление на экономическую систему.</w:t>
      </w:r>
    </w:p>
    <w:p w:rsidR="00E52BCE" w:rsidRPr="00224343" w:rsidRDefault="00E52BCE" w:rsidP="00A6096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20" w:after="40" w:line="240" w:lineRule="auto"/>
        <w:ind w:left="360"/>
        <w:jc w:val="both"/>
        <w:rPr>
          <w:b/>
          <w:bCs/>
          <w:i/>
          <w:iCs/>
        </w:rPr>
      </w:pPr>
      <w:r w:rsidRPr="00224343">
        <w:rPr>
          <w:b/>
          <w:bCs/>
          <w:i/>
          <w:iCs/>
        </w:rPr>
        <w:t xml:space="preserve">Ниже 2 °C </w:t>
      </w:r>
    </w:p>
    <w:p w:rsidR="00E52BCE" w:rsidRDefault="00E52BCE" w:rsidP="00E52BCE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 w:rsidRPr="00224343">
        <w:rPr>
          <w:b/>
          <w:bCs/>
          <w:i/>
          <w:iCs/>
        </w:rPr>
        <w:t>Климатическая политика вводится немедленно, постепенно становится более жесткой. Нулевые выбросы CO₂ будут достигнуты после 2070 года. Физические и переходные риски относительно низкие.</w:t>
      </w:r>
    </w:p>
    <w:p w:rsidR="00E52BCE" w:rsidRDefault="00E52BCE" w:rsidP="00E52BCE">
      <w:pPr>
        <w:widowControl w:val="0"/>
        <w:autoSpaceDE w:val="0"/>
        <w:autoSpaceDN w:val="0"/>
        <w:adjustRightInd w:val="0"/>
        <w:spacing w:before="20" w:after="120" w:line="240" w:lineRule="auto"/>
        <w:ind w:firstLine="720"/>
        <w:jc w:val="both"/>
        <w:rPr>
          <w:b/>
          <w:bCs/>
          <w:i/>
          <w:iCs/>
        </w:rPr>
      </w:pPr>
    </w:p>
    <w:p w:rsidR="00E52BCE" w:rsidRPr="004A6C89" w:rsidRDefault="00E52BCE" w:rsidP="00E52BCE">
      <w:pPr>
        <w:widowControl w:val="0"/>
        <w:autoSpaceDE w:val="0"/>
        <w:autoSpaceDN w:val="0"/>
        <w:adjustRightInd w:val="0"/>
        <w:spacing w:before="20" w:after="120" w:line="240" w:lineRule="auto"/>
        <w:ind w:firstLine="720"/>
        <w:jc w:val="both"/>
        <w:rPr>
          <w:b/>
          <w:bCs/>
          <w:i/>
          <w:iCs/>
        </w:rPr>
      </w:pPr>
      <w:r w:rsidRPr="004A6C89">
        <w:rPr>
          <w:b/>
          <w:bCs/>
          <w:i/>
          <w:iCs/>
        </w:rPr>
        <w:t>Управление рисками, связанными с устойчивым развитием, интегрировано в многопрофильные процессы выявления, оценки и митигации рисков, которые подчинены единому циклу управления риском. Кроме того, проводится оценка влияния рисков, связанных с устойчивым развитием, на другие виды риска, такие как операционный, риск нарушения непрерывности бизнеса, рыночный и другие.</w:t>
      </w:r>
    </w:p>
    <w:p w:rsidR="00E52BCE" w:rsidRPr="004A6C89" w:rsidRDefault="00E52BCE" w:rsidP="00E52BCE">
      <w:pPr>
        <w:widowControl w:val="0"/>
        <w:autoSpaceDE w:val="0"/>
        <w:autoSpaceDN w:val="0"/>
        <w:adjustRightInd w:val="0"/>
        <w:spacing w:before="20" w:after="120" w:line="240" w:lineRule="auto"/>
        <w:ind w:firstLine="720"/>
        <w:jc w:val="both"/>
        <w:rPr>
          <w:b/>
          <w:bCs/>
          <w:i/>
          <w:iCs/>
        </w:rPr>
      </w:pPr>
      <w:r w:rsidRPr="004A6C89">
        <w:rPr>
          <w:b/>
          <w:bCs/>
          <w:i/>
          <w:iCs/>
        </w:rPr>
        <w:t>При оценке влияния определяется в денежном выражении потенциальные финансовая выгода или ущерб от возможности или риска. Вероятность риска определяется в соответствии с существующей методологией определения вероятности в рамках единой СУР. Приоритет рисков устанавливается в соответствии с уровнем идентифицируемого риска.</w:t>
      </w:r>
    </w:p>
    <w:p w:rsidR="00E52BCE" w:rsidRPr="004A6C89" w:rsidRDefault="00E52BCE" w:rsidP="00E52BCE">
      <w:pPr>
        <w:widowControl w:val="0"/>
        <w:autoSpaceDE w:val="0"/>
        <w:autoSpaceDN w:val="0"/>
        <w:adjustRightInd w:val="0"/>
        <w:spacing w:before="20" w:after="120" w:line="240" w:lineRule="auto"/>
        <w:ind w:firstLine="720"/>
        <w:jc w:val="both"/>
        <w:rPr>
          <w:b/>
          <w:bCs/>
          <w:i/>
          <w:iCs/>
        </w:rPr>
      </w:pPr>
      <w:r w:rsidRPr="004A6C89">
        <w:rPr>
          <w:b/>
          <w:bCs/>
          <w:i/>
          <w:iCs/>
        </w:rPr>
        <w:t>Московская Биржа также внедряет в свою деятельность опыт международных практик по выявлению и оценке климатических рисков и расширяет партнерство с различными институтами для распространения знаний и опыта, в том числе, для разработки подходящих моделей выявления и оценки рисков, связанных с климатом.</w:t>
      </w:r>
    </w:p>
    <w:p w:rsidR="00632B5D" w:rsidRPr="004A6C89" w:rsidRDefault="00632B5D" w:rsidP="00632B5D">
      <w:pPr>
        <w:widowControl w:val="0"/>
        <w:autoSpaceDE w:val="0"/>
        <w:autoSpaceDN w:val="0"/>
        <w:adjustRightInd w:val="0"/>
        <w:spacing w:before="20" w:after="120" w:line="240" w:lineRule="auto"/>
        <w:ind w:firstLine="720"/>
        <w:jc w:val="both"/>
        <w:rPr>
          <w:b/>
          <w:bCs/>
          <w:i/>
          <w:iCs/>
        </w:rPr>
      </w:pPr>
      <w:r w:rsidRPr="004A6C89">
        <w:rPr>
          <w:b/>
          <w:bCs/>
          <w:i/>
          <w:iCs/>
        </w:rPr>
        <w:t xml:space="preserve">Московской Биржей в отчетном периоде </w:t>
      </w:r>
      <w:r>
        <w:rPr>
          <w:b/>
          <w:bCs/>
          <w:i/>
          <w:iCs/>
        </w:rPr>
        <w:t xml:space="preserve">проводилась оценка </w:t>
      </w:r>
      <w:r w:rsidRPr="004A6C89">
        <w:rPr>
          <w:b/>
          <w:bCs/>
          <w:i/>
          <w:iCs/>
        </w:rPr>
        <w:t>риск</w:t>
      </w:r>
      <w:r>
        <w:rPr>
          <w:b/>
          <w:bCs/>
          <w:i/>
          <w:iCs/>
        </w:rPr>
        <w:t>ов</w:t>
      </w:r>
      <w:r w:rsidRPr="004A6C89">
        <w:rPr>
          <w:b/>
          <w:bCs/>
          <w:i/>
          <w:iCs/>
        </w:rPr>
        <w:t>, связанны</w:t>
      </w:r>
      <w:r>
        <w:rPr>
          <w:b/>
          <w:bCs/>
          <w:i/>
          <w:iCs/>
        </w:rPr>
        <w:t>х</w:t>
      </w:r>
      <w:r w:rsidRPr="004A6C89">
        <w:rPr>
          <w:b/>
          <w:bCs/>
          <w:i/>
          <w:iCs/>
        </w:rPr>
        <w:t xml:space="preserve"> с устойчивым развитием, в </w:t>
      </w:r>
      <w:r>
        <w:rPr>
          <w:b/>
          <w:bCs/>
          <w:i/>
          <w:iCs/>
        </w:rPr>
        <w:t xml:space="preserve">том числе, </w:t>
      </w:r>
      <w:r w:rsidRPr="004A6C89">
        <w:rPr>
          <w:b/>
          <w:bCs/>
          <w:i/>
          <w:iCs/>
        </w:rPr>
        <w:t>социальн</w:t>
      </w:r>
      <w:r>
        <w:rPr>
          <w:b/>
          <w:bCs/>
          <w:i/>
          <w:iCs/>
        </w:rPr>
        <w:t>ого</w:t>
      </w:r>
      <w:r w:rsidRPr="004A6C89">
        <w:rPr>
          <w:b/>
          <w:bCs/>
          <w:i/>
          <w:iCs/>
        </w:rPr>
        <w:t xml:space="preserve"> риск</w:t>
      </w:r>
      <w:r>
        <w:rPr>
          <w:b/>
          <w:bCs/>
          <w:i/>
          <w:iCs/>
        </w:rPr>
        <w:t>а</w:t>
      </w:r>
      <w:r w:rsidRPr="004A6C89">
        <w:rPr>
          <w:b/>
          <w:bCs/>
          <w:i/>
          <w:iCs/>
        </w:rPr>
        <w:t xml:space="preserve">, а также произведена переоценка </w:t>
      </w:r>
      <w:r w:rsidRPr="004A6C89">
        <w:rPr>
          <w:b/>
          <w:bCs/>
          <w:i/>
          <w:iCs/>
        </w:rPr>
        <w:lastRenderedPageBreak/>
        <w:t>рисков и возможностей с учетом изменения факторов внешней среды</w:t>
      </w:r>
      <w:r>
        <w:rPr>
          <w:b/>
          <w:bCs/>
          <w:i/>
          <w:iCs/>
        </w:rPr>
        <w:t>, осуществлялся мониторинг</w:t>
      </w:r>
      <w:r w:rsidRPr="00224343">
        <w:rPr>
          <w:b/>
          <w:bCs/>
          <w:i/>
          <w:iCs/>
        </w:rPr>
        <w:t xml:space="preserve"> метрик климатических рисков</w:t>
      </w:r>
      <w:r w:rsidRPr="004A6C89">
        <w:rPr>
          <w:b/>
          <w:bCs/>
          <w:i/>
          <w:iCs/>
        </w:rPr>
        <w:t xml:space="preserve">. </w:t>
      </w:r>
    </w:p>
    <w:p w:rsidR="00E52BCE" w:rsidRPr="004A6C89" w:rsidRDefault="00E52BCE" w:rsidP="00E52BCE">
      <w:pPr>
        <w:widowControl w:val="0"/>
        <w:autoSpaceDE w:val="0"/>
        <w:autoSpaceDN w:val="0"/>
        <w:adjustRightInd w:val="0"/>
        <w:spacing w:before="20" w:after="0" w:line="240" w:lineRule="auto"/>
        <w:ind w:firstLine="720"/>
        <w:jc w:val="both"/>
        <w:rPr>
          <w:b/>
          <w:bCs/>
          <w:i/>
          <w:iCs/>
          <w:lang w:eastAsia="en-US"/>
        </w:rPr>
      </w:pPr>
      <w:r w:rsidRPr="004A6C89">
        <w:rPr>
          <w:b/>
          <w:bCs/>
          <w:i/>
          <w:iCs/>
        </w:rPr>
        <w:t xml:space="preserve">Планируется продолжить интеграцию </w:t>
      </w:r>
      <w:r w:rsidRPr="004A6C89">
        <w:rPr>
          <w:b/>
          <w:bCs/>
          <w:i/>
          <w:iCs/>
          <w:lang w:val="en-US"/>
        </w:rPr>
        <w:t>ESG</w:t>
      </w:r>
      <w:r w:rsidRPr="004A6C89">
        <w:rPr>
          <w:b/>
          <w:bCs/>
          <w:i/>
          <w:iCs/>
        </w:rPr>
        <w:t xml:space="preserve"> рисков в систему управления рисками, использовать и совершенствовать новые операционные модели для информирования будущих стратегических решений и планирования воздействия, </w:t>
      </w:r>
      <w:r>
        <w:rPr>
          <w:b/>
          <w:bCs/>
          <w:i/>
          <w:iCs/>
        </w:rPr>
        <w:t xml:space="preserve">осуществлять мониторинг метрик климатических рисков, </w:t>
      </w:r>
      <w:r w:rsidRPr="004A6C89">
        <w:rPr>
          <w:b/>
          <w:bCs/>
          <w:i/>
          <w:iCs/>
        </w:rPr>
        <w:t>а также разрабатывать дальнейшие модели количественной оценки и инструменты оценки таких рисков для других бизнес-единиц.</w:t>
      </w:r>
      <w:r w:rsidRPr="004A6C89">
        <w:rPr>
          <w:b/>
          <w:bCs/>
          <w:i/>
          <w:iCs/>
          <w:lang w:eastAsia="en-US"/>
        </w:rPr>
        <w:t xml:space="preserve"> </w:t>
      </w:r>
    </w:p>
    <w:p w:rsidR="00B82A21" w:rsidRPr="00B82A21" w:rsidRDefault="00B930FB" w:rsidP="00B82A21">
      <w:pPr>
        <w:pStyle w:val="3"/>
        <w:spacing w:before="360" w:after="120"/>
        <w:rPr>
          <w:rFonts w:ascii="Times New Roman" w:hAnsi="Times New Roman"/>
          <w:sz w:val="22"/>
          <w:szCs w:val="22"/>
        </w:rPr>
      </w:pPr>
      <w:bookmarkStart w:id="153" w:name="_Toc193300363"/>
      <w:bookmarkStart w:id="154" w:name="_Toc193301444"/>
      <w:r w:rsidRPr="00E52BCE">
        <w:rPr>
          <w:rFonts w:ascii="Times New Roman" w:hAnsi="Times New Roman"/>
          <w:sz w:val="22"/>
          <w:szCs w:val="22"/>
        </w:rPr>
        <w:t>1.9.10. Налоговые риски</w:t>
      </w:r>
      <w:bookmarkEnd w:id="149"/>
      <w:bookmarkEnd w:id="150"/>
      <w:bookmarkEnd w:id="151"/>
      <w:bookmarkEnd w:id="152"/>
      <w:bookmarkEnd w:id="153"/>
      <w:bookmarkEnd w:id="154"/>
    </w:p>
    <w:p w:rsidR="00E52BCE" w:rsidRDefault="00E52BCE" w:rsidP="00E52BCE">
      <w:pPr>
        <w:suppressAutoHyphens/>
        <w:spacing w:before="120" w:line="256" w:lineRule="auto"/>
        <w:ind w:firstLine="709"/>
        <w:jc w:val="both"/>
        <w:rPr>
          <w:b/>
          <w:i/>
          <w:lang w:eastAsia="en-US"/>
        </w:rPr>
      </w:pPr>
      <w:bookmarkStart w:id="155" w:name="_Toc113910487"/>
      <w:bookmarkStart w:id="156" w:name="_Toc113954736"/>
      <w:bookmarkStart w:id="157" w:name="_Toc139292045"/>
      <w:bookmarkStart w:id="158" w:name="_Toc161055615"/>
      <w:r>
        <w:rPr>
          <w:b/>
          <w:i/>
          <w:lang w:eastAsia="en-US"/>
        </w:rPr>
        <w:t>Компании Группы являются добросовестными налогоплательщиками, строго соблюдают налоговое законодательство, а также принятые принципы и концепции налоговых правоотношений. В то же время, учитывая существующую неопределенность отдельных положений налогового законодательства, Биржа не исключает возникновения в своей деятельности налоговых рисков, требующих управления. Управление налоговым риском в Бирже и Группе осуществляется в рамках Системы Управления Налоговыми Рисками.</w:t>
      </w:r>
    </w:p>
    <w:p w:rsidR="00E52BCE" w:rsidRDefault="00E52BCE" w:rsidP="00E52BCE">
      <w:pPr>
        <w:suppressAutoHyphens/>
        <w:spacing w:before="120"/>
        <w:ind w:firstLine="709"/>
        <w:jc w:val="both"/>
        <w:rPr>
          <w:b/>
          <w:i/>
        </w:rPr>
      </w:pPr>
      <w:r>
        <w:rPr>
          <w:b/>
          <w:bCs/>
          <w:i/>
        </w:rPr>
        <w:t xml:space="preserve">Основной целью </w:t>
      </w:r>
      <w:r>
        <w:rPr>
          <w:b/>
          <w:i/>
        </w:rPr>
        <w:t xml:space="preserve">Биржи в области управления налоговыми рисками является ограничение негативных для деятельности Биржи последствий реализации налоговых рисков (репутационных, финансовых, личной ответственности для руководства Биржи и иных). Достижение цели осуществляется за счет использования эффективных методов и механизмов управления налоговым риском, соответствующих требованиям регуляторов и лучшим практикам, включая повышение информированности органов управления Биржи об уровне принимаемого риска при принятии управленческих решений, а также обеспечение единого для Биржи понимания налогового риска и приемлемого уровня налогового риска. </w:t>
      </w:r>
    </w:p>
    <w:p w:rsidR="00E52BCE" w:rsidRDefault="00E52BCE" w:rsidP="00E52BCE">
      <w:pPr>
        <w:suppressAutoHyphens/>
        <w:spacing w:before="120" w:after="120"/>
        <w:ind w:firstLine="709"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>Задачами Биржи в области управления налоговыми рисками являются:</w:t>
      </w:r>
    </w:p>
    <w:p w:rsidR="00E52BCE" w:rsidRDefault="00E52BCE" w:rsidP="00A6096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своевременное выявление налоговых рисков Биржи;</w:t>
      </w:r>
    </w:p>
    <w:p w:rsidR="00E52BCE" w:rsidRDefault="00E52BCE" w:rsidP="00A6096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максимально объективная и всесторонняя оценка вероятности налоговых рисков и их возможных последствий;</w:t>
      </w:r>
    </w:p>
    <w:p w:rsidR="00E52BCE" w:rsidRDefault="00E52BCE" w:rsidP="00A6096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своевременное реагирование на выявленные налоговые риски;</w:t>
      </w:r>
    </w:p>
    <w:p w:rsidR="00E52BCE" w:rsidRDefault="00E52BCE" w:rsidP="00A6096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эффективное применение методов управления налоговыми рисками, направленное на ограничение общего уровня налоговых рисков Группы;</w:t>
      </w:r>
    </w:p>
    <w:p w:rsidR="00E52BCE" w:rsidRDefault="00E52BCE" w:rsidP="00A6096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непрерывный процесс мониторинга статуса управления налоговыми рисками;</w:t>
      </w:r>
    </w:p>
    <w:p w:rsidR="00E52BCE" w:rsidRDefault="00E52BCE" w:rsidP="00A6096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i/>
          <w:lang w:eastAsia="en-US"/>
        </w:rPr>
      </w:pPr>
      <w:r>
        <w:rPr>
          <w:b/>
          <w:bCs/>
          <w:i/>
          <w:iCs/>
        </w:rPr>
        <w:t>эффективный</w:t>
      </w:r>
      <w:r>
        <w:rPr>
          <w:b/>
          <w:i/>
          <w:lang w:eastAsia="en-US"/>
        </w:rPr>
        <w:t xml:space="preserve"> контроль за функционированием Системы Управления Налоговыми Рисками каждой компании Группы.</w:t>
      </w:r>
    </w:p>
    <w:p w:rsidR="00E52BCE" w:rsidRDefault="00E52BCE" w:rsidP="00E52BCE">
      <w:pPr>
        <w:suppressAutoHyphens/>
        <w:spacing w:before="120" w:after="120" w:line="256" w:lineRule="auto"/>
        <w:ind w:firstLine="709"/>
        <w:jc w:val="both"/>
        <w:rPr>
          <w:b/>
          <w:i/>
          <w:lang w:eastAsia="en-US"/>
        </w:rPr>
      </w:pPr>
      <w:bookmarkStart w:id="159" w:name="_Toc80892634"/>
      <w:bookmarkStart w:id="160" w:name="_Toc352223507"/>
      <w:r>
        <w:rPr>
          <w:b/>
          <w:bCs/>
          <w:i/>
          <w:kern w:val="32"/>
        </w:rPr>
        <w:t>Общие принципы управления налоговым риском</w:t>
      </w:r>
      <w:bookmarkEnd w:id="159"/>
      <w:bookmarkEnd w:id="160"/>
      <w:r>
        <w:rPr>
          <w:b/>
          <w:bCs/>
          <w:i/>
          <w:kern w:val="32"/>
        </w:rPr>
        <w:t xml:space="preserve"> </w:t>
      </w:r>
    </w:p>
    <w:p w:rsidR="00E52BCE" w:rsidRDefault="00E52BCE" w:rsidP="00E52BCE">
      <w:pPr>
        <w:suppressAutoHyphens/>
        <w:ind w:firstLine="709"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>Система управления налоговыми рисками строится в соответствии со следующими принципами:</w:t>
      </w:r>
      <w:bookmarkStart w:id="161" w:name="_Toc80892635"/>
      <w:bookmarkStart w:id="162" w:name="_Toc56070711"/>
      <w:bookmarkStart w:id="163" w:name="_Toc52540630"/>
      <w:bookmarkStart w:id="164" w:name="_Toc52466095"/>
      <w:bookmarkStart w:id="165" w:name="_Toc33188044"/>
      <w:bookmarkStart w:id="166" w:name="_Toc33029660"/>
      <w:bookmarkStart w:id="167" w:name="_Toc27657397"/>
    </w:p>
    <w:p w:rsidR="00E52BCE" w:rsidRDefault="00E52BCE" w:rsidP="00E52BCE">
      <w:pPr>
        <w:suppressAutoHyphens/>
        <w:spacing w:before="120" w:after="120"/>
        <w:ind w:firstLine="709"/>
        <w:jc w:val="both"/>
        <w:rPr>
          <w:b/>
          <w:i/>
          <w:lang w:eastAsia="en-US"/>
        </w:rPr>
      </w:pPr>
      <w:r>
        <w:rPr>
          <w:b/>
          <w:bCs/>
          <w:i/>
          <w:iCs/>
        </w:rPr>
        <w:t>Принцип 1. Недопущение нарушения Биржей действующего налогового законодательства и поддержание репутации добросовестного налогоплательщика</w:t>
      </w:r>
      <w:bookmarkEnd w:id="161"/>
      <w:bookmarkEnd w:id="162"/>
      <w:bookmarkEnd w:id="163"/>
      <w:bookmarkEnd w:id="164"/>
      <w:bookmarkEnd w:id="165"/>
      <w:bookmarkEnd w:id="166"/>
      <w:bookmarkEnd w:id="167"/>
      <w:r>
        <w:rPr>
          <w:b/>
          <w:bCs/>
          <w:i/>
          <w:iCs/>
        </w:rPr>
        <w:t>.</w:t>
      </w:r>
    </w:p>
    <w:p w:rsidR="00E52BCE" w:rsidRDefault="00E52BCE" w:rsidP="00E52BCE">
      <w:pPr>
        <w:suppressAutoHyphens/>
        <w:ind w:firstLine="709"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>Для Биржи являются недопустимыми риски прямого нарушения действующего налогового законодательства, а также риски, способные нанести ущерб репутации компаний Группы как добросовестных налогоплательщиков.</w:t>
      </w:r>
      <w:bookmarkStart w:id="168" w:name="_Toc33188046"/>
      <w:bookmarkStart w:id="169" w:name="_Toc33029662"/>
      <w:bookmarkStart w:id="170" w:name="_Toc27657399"/>
      <w:bookmarkStart w:id="171" w:name="_Toc52466096"/>
      <w:bookmarkStart w:id="172" w:name="_Toc52540631"/>
      <w:bookmarkStart w:id="173" w:name="_Toc56070712"/>
      <w:bookmarkStart w:id="174" w:name="_Toc80892636"/>
    </w:p>
    <w:p w:rsidR="00E52BCE" w:rsidRDefault="00E52BCE" w:rsidP="00E52BCE">
      <w:pPr>
        <w:suppressAutoHyphens/>
        <w:spacing w:before="120" w:after="120"/>
        <w:ind w:firstLine="709"/>
        <w:jc w:val="both"/>
        <w:rPr>
          <w:b/>
          <w:i/>
          <w:lang w:eastAsia="en-US"/>
        </w:rPr>
      </w:pPr>
      <w:r>
        <w:rPr>
          <w:b/>
          <w:bCs/>
          <w:i/>
          <w:iCs/>
        </w:rPr>
        <w:t xml:space="preserve">Принцип 2. </w:t>
      </w:r>
      <w:bookmarkStart w:id="175" w:name="_Toc33188047"/>
      <w:bookmarkStart w:id="176" w:name="_Toc33029663"/>
      <w:bookmarkStart w:id="177" w:name="_Toc27657400"/>
      <w:bookmarkEnd w:id="168"/>
      <w:bookmarkEnd w:id="169"/>
      <w:bookmarkEnd w:id="170"/>
      <w:r>
        <w:rPr>
          <w:b/>
          <w:bCs/>
          <w:i/>
          <w:iCs/>
        </w:rPr>
        <w:t>Обеспечение многоуровневой системы управления налоговым риском</w:t>
      </w:r>
      <w:bookmarkEnd w:id="171"/>
      <w:bookmarkEnd w:id="172"/>
      <w:bookmarkEnd w:id="173"/>
      <w:bookmarkEnd w:id="174"/>
      <w:bookmarkEnd w:id="175"/>
      <w:bookmarkEnd w:id="176"/>
      <w:bookmarkEnd w:id="177"/>
      <w:r>
        <w:rPr>
          <w:b/>
          <w:bCs/>
          <w:i/>
          <w:iCs/>
        </w:rPr>
        <w:t>:</w:t>
      </w:r>
    </w:p>
    <w:p w:rsidR="00E52BCE" w:rsidRDefault="00E52BCE" w:rsidP="00A60963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налоговое сопровождение бизнеса от налоговой экспертизы предполагаемых условий сделки до защиты интересов Биржи в налоговых органах и суде;</w:t>
      </w:r>
    </w:p>
    <w:p w:rsidR="00E52BCE" w:rsidRDefault="00E52BCE" w:rsidP="00A60963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выявление, оценка и снижение влияния внешних факторов на деятельность Биржи;</w:t>
      </w:r>
    </w:p>
    <w:p w:rsidR="00E52BCE" w:rsidRDefault="00E52BCE" w:rsidP="00A60963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i/>
          <w:lang w:eastAsia="en-US"/>
        </w:rPr>
      </w:pPr>
      <w:r>
        <w:rPr>
          <w:b/>
          <w:bCs/>
          <w:i/>
          <w:iCs/>
        </w:rPr>
        <w:t>реализация</w:t>
      </w:r>
      <w:r>
        <w:rPr>
          <w:b/>
          <w:i/>
          <w:lang w:eastAsia="en-US"/>
        </w:rPr>
        <w:t xml:space="preserve"> контрольных процедур в части обеспечения корректности формирования налоговой базы и соблюдением структурными подразделениями требований законодательства о налогах и сборах.</w:t>
      </w:r>
      <w:bookmarkStart w:id="178" w:name="_Toc80892637"/>
      <w:bookmarkStart w:id="179" w:name="_Toc56070713"/>
      <w:bookmarkStart w:id="180" w:name="_Toc52540632"/>
      <w:bookmarkStart w:id="181" w:name="_Toc52466097"/>
      <w:bookmarkStart w:id="182" w:name="_Toc33188048"/>
      <w:bookmarkStart w:id="183" w:name="_Toc33029664"/>
      <w:bookmarkStart w:id="184" w:name="_Toc27657401"/>
    </w:p>
    <w:p w:rsidR="00E52BCE" w:rsidRDefault="00E52BCE" w:rsidP="00E52BCE">
      <w:pPr>
        <w:suppressAutoHyphens/>
        <w:spacing w:before="120" w:after="120"/>
        <w:ind w:firstLine="709"/>
        <w:jc w:val="both"/>
        <w:rPr>
          <w:b/>
          <w:i/>
          <w:lang w:eastAsia="en-US"/>
        </w:rPr>
      </w:pPr>
      <w:r>
        <w:rPr>
          <w:b/>
          <w:bCs/>
          <w:i/>
          <w:iCs/>
        </w:rPr>
        <w:t>Принцип 3. Учет налоговых рисков при планировании и принятии управленческих решений</w:t>
      </w:r>
      <w:bookmarkEnd w:id="178"/>
      <w:bookmarkEnd w:id="179"/>
      <w:bookmarkEnd w:id="180"/>
      <w:bookmarkEnd w:id="181"/>
      <w:bookmarkEnd w:id="182"/>
      <w:bookmarkEnd w:id="183"/>
      <w:bookmarkEnd w:id="184"/>
      <w:r>
        <w:rPr>
          <w:b/>
          <w:bCs/>
          <w:i/>
          <w:iCs/>
        </w:rPr>
        <w:t>.</w:t>
      </w:r>
    </w:p>
    <w:p w:rsidR="00E52BCE" w:rsidRDefault="00E52BCE" w:rsidP="00E52BCE">
      <w:pPr>
        <w:suppressAutoHyphens/>
        <w:ind w:firstLine="709"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>Управление налоговым риском включается в процессы бизнес-планирования и принятия управленческих решений на всех уровнях, как в Бирже, так и в других компаниях Группы.</w:t>
      </w:r>
    </w:p>
    <w:p w:rsidR="00E52BCE" w:rsidRDefault="00E52BCE" w:rsidP="00E52BCE">
      <w:pPr>
        <w:suppressAutoHyphens/>
        <w:ind w:firstLine="709"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>При принятии решений по планируемым операциям и сделкам Биржа стремится минимизировать налоговые риски.</w:t>
      </w:r>
      <w:bookmarkStart w:id="185" w:name="_Toc80892638"/>
      <w:bookmarkStart w:id="186" w:name="_Toc56070714"/>
      <w:bookmarkStart w:id="187" w:name="_Toc52540633"/>
      <w:bookmarkStart w:id="188" w:name="_Toc52466098"/>
      <w:bookmarkStart w:id="189" w:name="_Toc33188050"/>
      <w:bookmarkStart w:id="190" w:name="_Toc33029666"/>
      <w:bookmarkStart w:id="191" w:name="_Toc27657403"/>
    </w:p>
    <w:p w:rsidR="00E52BCE" w:rsidRDefault="00E52BCE" w:rsidP="00E52BCE">
      <w:pPr>
        <w:suppressAutoHyphens/>
        <w:spacing w:before="120" w:after="120"/>
        <w:ind w:firstLine="709"/>
        <w:jc w:val="both"/>
        <w:rPr>
          <w:b/>
          <w:i/>
          <w:lang w:eastAsia="en-US"/>
        </w:rPr>
      </w:pPr>
      <w:bookmarkStart w:id="192" w:name="_Toc80892639"/>
      <w:bookmarkStart w:id="193" w:name="_Toc56070715"/>
      <w:bookmarkStart w:id="194" w:name="_Toc52540634"/>
      <w:bookmarkStart w:id="195" w:name="_Toc52466099"/>
      <w:bookmarkStart w:id="196" w:name="_Toc33188051"/>
      <w:bookmarkStart w:id="197" w:name="_Toc33029667"/>
      <w:bookmarkStart w:id="198" w:name="_Toc27657404"/>
      <w:bookmarkEnd w:id="185"/>
      <w:bookmarkEnd w:id="186"/>
      <w:bookmarkEnd w:id="187"/>
      <w:bookmarkEnd w:id="188"/>
      <w:bookmarkEnd w:id="189"/>
      <w:bookmarkEnd w:id="190"/>
      <w:bookmarkEnd w:id="191"/>
      <w:r>
        <w:rPr>
          <w:b/>
          <w:bCs/>
          <w:i/>
          <w:iCs/>
        </w:rPr>
        <w:t>Принцип 4. Профессиональный консерватизм</w:t>
      </w:r>
      <w:bookmarkEnd w:id="192"/>
      <w:bookmarkEnd w:id="193"/>
      <w:bookmarkEnd w:id="194"/>
      <w:bookmarkEnd w:id="195"/>
      <w:bookmarkEnd w:id="196"/>
      <w:bookmarkEnd w:id="197"/>
      <w:bookmarkEnd w:id="198"/>
      <w:r>
        <w:rPr>
          <w:b/>
          <w:bCs/>
          <w:i/>
          <w:iCs/>
        </w:rPr>
        <w:t>.</w:t>
      </w:r>
    </w:p>
    <w:p w:rsidR="00E52BCE" w:rsidRDefault="00E52BCE" w:rsidP="00E52BCE">
      <w:pPr>
        <w:suppressAutoHyphens/>
        <w:ind w:firstLine="709"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>При управлении налоговыми рисками используется принцип профессионального консерватизма, предполагающий определенную степень осторожности при оценке налоговых рисков и выборе методов управления налоговыми рисками.</w:t>
      </w:r>
      <w:bookmarkStart w:id="199" w:name="_Toc80892640"/>
      <w:bookmarkStart w:id="200" w:name="_Toc56070716"/>
      <w:bookmarkStart w:id="201" w:name="_Toc52540635"/>
      <w:bookmarkStart w:id="202" w:name="_Toc52466100"/>
      <w:bookmarkStart w:id="203" w:name="_Toc33188052"/>
      <w:bookmarkStart w:id="204" w:name="_Toc33029668"/>
      <w:bookmarkStart w:id="205" w:name="_Toc27657405"/>
    </w:p>
    <w:p w:rsidR="00E52BCE" w:rsidRDefault="00E52BCE" w:rsidP="00E52BCE">
      <w:pPr>
        <w:suppressAutoHyphens/>
        <w:spacing w:before="120" w:after="60"/>
        <w:ind w:firstLine="709"/>
        <w:jc w:val="both"/>
        <w:rPr>
          <w:b/>
          <w:i/>
          <w:lang w:eastAsia="en-US"/>
        </w:rPr>
      </w:pPr>
      <w:r>
        <w:rPr>
          <w:b/>
          <w:bCs/>
          <w:i/>
          <w:iCs/>
        </w:rPr>
        <w:t>Принцип 5. Поддержание конструктивных, рабочих отношений с государственными органами</w:t>
      </w:r>
      <w:bookmarkEnd w:id="199"/>
      <w:bookmarkEnd w:id="200"/>
      <w:bookmarkEnd w:id="201"/>
      <w:bookmarkEnd w:id="202"/>
      <w:bookmarkEnd w:id="203"/>
      <w:bookmarkEnd w:id="204"/>
      <w:bookmarkEnd w:id="205"/>
      <w:r>
        <w:rPr>
          <w:b/>
          <w:bCs/>
          <w:i/>
          <w:iCs/>
        </w:rPr>
        <w:t>.</w:t>
      </w:r>
    </w:p>
    <w:p w:rsidR="00E52BCE" w:rsidRDefault="00E52BCE" w:rsidP="00E52BCE">
      <w:pPr>
        <w:suppressAutoHyphens/>
        <w:ind w:firstLine="709"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 xml:space="preserve">Группа стремится к открытому и конструктивному диалогу с контролирующими, регулирующими и законодательными органами по вопросам разработки и применения налогового законодательства, а также по вопросам взаимодействия с налоговыми органами в рамках налогового контроля в форме Налогового мониторинга. </w:t>
      </w:r>
      <w:bookmarkStart w:id="206" w:name="_Toc80892641"/>
      <w:bookmarkStart w:id="207" w:name="_Toc56070717"/>
      <w:bookmarkStart w:id="208" w:name="_Toc52540636"/>
      <w:bookmarkStart w:id="209" w:name="_Toc52466101"/>
      <w:bookmarkStart w:id="210" w:name="_Toc33188053"/>
      <w:bookmarkStart w:id="211" w:name="_Toc33029669"/>
      <w:bookmarkStart w:id="212" w:name="_Toc27657407"/>
      <w:bookmarkStart w:id="213" w:name="_Toc354515025"/>
    </w:p>
    <w:p w:rsidR="00E52BCE" w:rsidRDefault="00E52BCE" w:rsidP="00E52BCE">
      <w:pPr>
        <w:suppressAutoHyphens/>
        <w:spacing w:before="120" w:after="120"/>
        <w:ind w:firstLine="709"/>
        <w:jc w:val="both"/>
        <w:rPr>
          <w:b/>
          <w:i/>
          <w:lang w:eastAsia="en-US"/>
        </w:rPr>
      </w:pPr>
      <w:r>
        <w:rPr>
          <w:b/>
          <w:bCs/>
          <w:i/>
          <w:iCs/>
        </w:rPr>
        <w:t>Принцип 6. Постоянное совершенствование системы управления налоговым риском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r>
        <w:rPr>
          <w:b/>
          <w:bCs/>
          <w:i/>
          <w:iCs/>
        </w:rPr>
        <w:t>.</w:t>
      </w:r>
    </w:p>
    <w:p w:rsidR="00E52BCE" w:rsidRPr="00B82A21" w:rsidRDefault="00E52BCE" w:rsidP="00E52BCE">
      <w:pPr>
        <w:spacing w:after="0" w:line="256" w:lineRule="auto"/>
        <w:ind w:firstLine="720"/>
        <w:jc w:val="both"/>
        <w:rPr>
          <w:b/>
          <w:i/>
        </w:rPr>
      </w:pPr>
      <w:r>
        <w:rPr>
          <w:b/>
          <w:i/>
        </w:rPr>
        <w:t>Биржа постоянно совершенствует элементы системы управления налоговым риском, включая информационные системы, процедуры и методики, с учетом поставленных стратегических задач, изменений во внешней среде и нововведений в мировой практике управления налоговыми рисками. Процесс управления налоговым риском строится на основе использования современных информационных технологий, позволяющих своевременно идентифицировать, анализировать, оценивать, управлять и осуществлять контроль потенциального и реализованного налогового риска.</w:t>
      </w:r>
    </w:p>
    <w:p w:rsidR="00B930FB" w:rsidRPr="00B82A21" w:rsidRDefault="00B930FB" w:rsidP="003F4B26">
      <w:pPr>
        <w:pStyle w:val="3"/>
        <w:spacing w:before="360" w:after="120"/>
        <w:rPr>
          <w:rFonts w:ascii="Times New Roman" w:hAnsi="Times New Roman"/>
          <w:sz w:val="22"/>
          <w:szCs w:val="22"/>
          <w:highlight w:val="cyan"/>
        </w:rPr>
      </w:pPr>
      <w:bookmarkStart w:id="214" w:name="_Toc193300364"/>
      <w:bookmarkStart w:id="215" w:name="_Toc193301445"/>
      <w:r w:rsidRPr="00CB1656">
        <w:rPr>
          <w:rFonts w:ascii="Times New Roman" w:hAnsi="Times New Roman"/>
          <w:sz w:val="22"/>
          <w:szCs w:val="22"/>
        </w:rPr>
        <w:t>1.9.11. Операционный риск</w:t>
      </w:r>
      <w:bookmarkStart w:id="216" w:name="_Toc52394080"/>
      <w:bookmarkEnd w:id="155"/>
      <w:bookmarkEnd w:id="156"/>
      <w:bookmarkEnd w:id="157"/>
      <w:bookmarkEnd w:id="158"/>
      <w:bookmarkEnd w:id="214"/>
      <w:bookmarkEnd w:id="215"/>
      <w:bookmarkEnd w:id="216"/>
    </w:p>
    <w:p w:rsidR="00E52BCE" w:rsidRPr="00632FCD" w:rsidRDefault="00E52BCE" w:rsidP="00E52BCE">
      <w:pPr>
        <w:widowControl w:val="0"/>
        <w:autoSpaceDE w:val="0"/>
        <w:autoSpaceDN w:val="0"/>
        <w:adjustRightInd w:val="0"/>
        <w:spacing w:before="20"/>
        <w:ind w:firstLine="709"/>
        <w:jc w:val="both"/>
        <w:rPr>
          <w:b/>
          <w:bCs/>
          <w:i/>
          <w:iCs/>
          <w:color w:val="000000"/>
        </w:rPr>
      </w:pPr>
      <w:bookmarkStart w:id="217" w:name="_Toc113954737"/>
      <w:bookmarkStart w:id="218" w:name="_Toc139292046"/>
      <w:bookmarkStart w:id="219" w:name="_Toc161055616"/>
      <w:r w:rsidRPr="00632FCD">
        <w:rPr>
          <w:b/>
          <w:bCs/>
          <w:i/>
          <w:iCs/>
          <w:color w:val="000000"/>
        </w:rPr>
        <w:t>Операционный риск - риск возникновения последствий, влекущих за собой приостановление или прекращение оказания услуг в полном или неполном объеме, а также риск возникновения расходов (убытков) Эмитента в результате сбоев и (или) ошибок программно-технических средств Эмитента, включая программно-технические средства и</w:t>
      </w:r>
      <w:r>
        <w:rPr>
          <w:b/>
          <w:bCs/>
          <w:i/>
          <w:iCs/>
          <w:color w:val="000000"/>
        </w:rPr>
        <w:t> </w:t>
      </w:r>
      <w:r w:rsidRPr="00632FCD">
        <w:rPr>
          <w:b/>
          <w:bCs/>
          <w:i/>
          <w:iCs/>
          <w:color w:val="000000"/>
        </w:rPr>
        <w:t xml:space="preserve">информационно-коммуникационные средства связи, и (или) во внутренних бизнес-процессах Эмитента, ошибок работников и (или) в результате внешних событий, оказывающих негативное воздействие на деятельность Эмитента. </w:t>
      </w:r>
    </w:p>
    <w:p w:rsidR="00E52BCE" w:rsidRPr="00632FCD" w:rsidRDefault="00E52BCE" w:rsidP="00E52BCE">
      <w:pPr>
        <w:widowControl w:val="0"/>
        <w:autoSpaceDE w:val="0"/>
        <w:autoSpaceDN w:val="0"/>
        <w:adjustRightInd w:val="0"/>
        <w:spacing w:before="20"/>
        <w:ind w:firstLine="709"/>
        <w:jc w:val="both"/>
        <w:rPr>
          <w:b/>
          <w:bCs/>
          <w:i/>
          <w:iCs/>
          <w:color w:val="000000"/>
        </w:rPr>
      </w:pPr>
      <w:r w:rsidRPr="00632FCD">
        <w:rPr>
          <w:b/>
          <w:bCs/>
          <w:i/>
          <w:iCs/>
          <w:color w:val="000000"/>
        </w:rPr>
        <w:t>Деятельность инфраструктурных организаций финансовых рынков подвержена значительному операционному риску. Эффективное управление операционным риском приобретает особое значение с учетом существенной системной важности инфраструктурных функций для всех обслуживаемых рынков и финансовой системы в целом. В связи с этим надежность и отсутствие сбоев в функционировании инфраструктурных организаций являются важным фактором снижения и системного риска на финансовых рынках. Целевые показатели операционной надежности Эмитента, обеспечивающие бесперебойность его</w:t>
      </w:r>
      <w:r>
        <w:rPr>
          <w:b/>
          <w:bCs/>
          <w:i/>
          <w:iCs/>
          <w:color w:val="000000"/>
        </w:rPr>
        <w:t> </w:t>
      </w:r>
      <w:r w:rsidRPr="00632FCD">
        <w:rPr>
          <w:b/>
          <w:bCs/>
          <w:i/>
          <w:iCs/>
          <w:color w:val="000000"/>
        </w:rPr>
        <w:t xml:space="preserve">деятельности, а также конфиденциальность, целостность и </w:t>
      </w:r>
      <w:r w:rsidRPr="00632FCD">
        <w:rPr>
          <w:b/>
          <w:bCs/>
          <w:i/>
          <w:iCs/>
          <w:color w:val="000000"/>
        </w:rPr>
        <w:lastRenderedPageBreak/>
        <w:t>сохранность данных, доступ к</w:t>
      </w:r>
      <w:r>
        <w:rPr>
          <w:b/>
          <w:bCs/>
          <w:i/>
          <w:iCs/>
          <w:color w:val="000000"/>
        </w:rPr>
        <w:t> </w:t>
      </w:r>
      <w:r w:rsidRPr="00632FCD">
        <w:rPr>
          <w:b/>
          <w:bCs/>
          <w:i/>
          <w:iCs/>
          <w:color w:val="000000"/>
        </w:rPr>
        <w:t>данным на постоянной основе, определяются в соответствии с Политикой обеспечения непрерывности бизнеса и Политикой управления информационной безопасностью ПАО</w:t>
      </w:r>
      <w:r>
        <w:rPr>
          <w:b/>
          <w:bCs/>
          <w:i/>
          <w:iCs/>
          <w:color w:val="000000"/>
        </w:rPr>
        <w:t> </w:t>
      </w:r>
      <w:r w:rsidRPr="00632FCD">
        <w:rPr>
          <w:b/>
          <w:bCs/>
          <w:i/>
          <w:iCs/>
          <w:color w:val="000000"/>
        </w:rPr>
        <w:t>Московская Биржа, а также Порядком обеспечения операционной надежности при</w:t>
      </w:r>
      <w:r>
        <w:rPr>
          <w:b/>
          <w:bCs/>
          <w:i/>
          <w:iCs/>
          <w:color w:val="000000"/>
        </w:rPr>
        <w:t> </w:t>
      </w:r>
      <w:r w:rsidRPr="00632FCD">
        <w:rPr>
          <w:b/>
          <w:bCs/>
          <w:i/>
          <w:iCs/>
          <w:color w:val="000000"/>
        </w:rPr>
        <w:t>осуществлении деятельности в сфере финансовых рынков в целях обеспечения непрерывности оказания финансовых услуг ПАО Московская биржа.</w:t>
      </w:r>
    </w:p>
    <w:p w:rsidR="00E52BCE" w:rsidRPr="00632FCD" w:rsidRDefault="00E52BCE" w:rsidP="00E52BCE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iCs/>
          <w:color w:val="000000"/>
        </w:rPr>
      </w:pPr>
      <w:r w:rsidRPr="00632FCD">
        <w:rPr>
          <w:b/>
          <w:bCs/>
          <w:i/>
          <w:iCs/>
          <w:color w:val="000000"/>
        </w:rPr>
        <w:t>Основными целями управления операционным риском являются:</w:t>
      </w:r>
    </w:p>
    <w:p w:rsidR="00E52BCE" w:rsidRPr="00060DDB" w:rsidRDefault="00E52BCE" w:rsidP="00A6096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632FCD">
        <w:rPr>
          <w:b/>
          <w:bCs/>
          <w:i/>
          <w:iCs/>
          <w:color w:val="000000"/>
        </w:rPr>
        <w:t xml:space="preserve">снижение ущерба для Эмитента в случае возникновения события операционного </w:t>
      </w:r>
      <w:r w:rsidRPr="00060DDB">
        <w:rPr>
          <w:b/>
          <w:bCs/>
          <w:i/>
          <w:iCs/>
        </w:rPr>
        <w:t xml:space="preserve">риска и/или снижение вероятности возникновения события операционного риска путем прогнозирования, выявления и контроля операционных рисков; </w:t>
      </w:r>
    </w:p>
    <w:p w:rsidR="00E52BCE" w:rsidRPr="00060DDB" w:rsidRDefault="00E52BCE" w:rsidP="00A6096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060DDB">
        <w:rPr>
          <w:b/>
          <w:bCs/>
          <w:i/>
          <w:iCs/>
        </w:rPr>
        <w:t xml:space="preserve">снижение уровня операционного риска посредством содействия в оптимизации бизнес-процессов и системы контрольных процедур; </w:t>
      </w:r>
    </w:p>
    <w:p w:rsidR="00E52BCE" w:rsidRPr="00060DDB" w:rsidRDefault="00E52BCE" w:rsidP="00A6096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060DDB">
        <w:rPr>
          <w:b/>
          <w:bCs/>
          <w:i/>
          <w:iCs/>
        </w:rPr>
        <w:t xml:space="preserve">обеспечение полного, своевременного и эффективного достижения стратегических задач, стоящих перед Эмитентом, в том числе, за счет ограничения и контроля уровня принимаемого операционного риска; </w:t>
      </w:r>
    </w:p>
    <w:p w:rsidR="00E52BCE" w:rsidRPr="00060DDB" w:rsidRDefault="00E52BCE" w:rsidP="00A6096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060DDB">
        <w:rPr>
          <w:b/>
          <w:bCs/>
          <w:i/>
          <w:iCs/>
        </w:rPr>
        <w:t>соблюдение требований законодательства, правил и обычаев делового оборота, условий заключаемых договоров и сделок и поддержание высокого уровня доверия к компании со</w:t>
      </w:r>
      <w:r>
        <w:rPr>
          <w:b/>
          <w:bCs/>
          <w:i/>
          <w:iCs/>
        </w:rPr>
        <w:t> </w:t>
      </w:r>
      <w:r w:rsidRPr="00060DDB">
        <w:rPr>
          <w:b/>
          <w:bCs/>
          <w:i/>
          <w:iCs/>
        </w:rPr>
        <w:t>стороны клиентов и инвесторов;</w:t>
      </w:r>
    </w:p>
    <w:p w:rsidR="00E52BCE" w:rsidRPr="00632FCD" w:rsidRDefault="00E52BCE" w:rsidP="00A6096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  <w:color w:val="000000"/>
        </w:rPr>
      </w:pPr>
      <w:r w:rsidRPr="00060DDB">
        <w:rPr>
          <w:b/>
          <w:bCs/>
          <w:i/>
          <w:iCs/>
        </w:rPr>
        <w:t>проведение целенаправленной, системной работы по предупреждению возникновения событий операционного риска и максимально возможному сокращению</w:t>
      </w:r>
      <w:r w:rsidRPr="00632FCD">
        <w:rPr>
          <w:b/>
          <w:bCs/>
          <w:i/>
          <w:iCs/>
          <w:color w:val="000000"/>
        </w:rPr>
        <w:t xml:space="preserve"> количества этих событий в целях стабильного поддержания уровня данного риска в приемлемых пределах, исключающих нанесение материального ущерба Эмитенту и возникновение риска потери деловой репутации.</w:t>
      </w:r>
    </w:p>
    <w:p w:rsidR="00E52BCE" w:rsidRPr="00632FCD" w:rsidRDefault="00E52BCE" w:rsidP="00E52BCE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b/>
          <w:bCs/>
          <w:i/>
          <w:iCs/>
          <w:color w:val="000000"/>
        </w:rPr>
      </w:pPr>
      <w:r w:rsidRPr="00632FCD">
        <w:rPr>
          <w:b/>
          <w:bCs/>
          <w:i/>
          <w:iCs/>
          <w:color w:val="000000"/>
        </w:rPr>
        <w:t>Система управления операционными рисками Эмитента устроена в соответствии со</w:t>
      </w:r>
      <w:r>
        <w:rPr>
          <w:b/>
          <w:bCs/>
          <w:i/>
          <w:iCs/>
          <w:color w:val="000000"/>
        </w:rPr>
        <w:t> </w:t>
      </w:r>
      <w:r w:rsidRPr="00632FCD">
        <w:rPr>
          <w:b/>
          <w:bCs/>
          <w:i/>
          <w:iCs/>
          <w:color w:val="000000"/>
        </w:rPr>
        <w:t>следующими принципами:</w:t>
      </w:r>
    </w:p>
    <w:p w:rsidR="00E52BCE" w:rsidRPr="00632FCD" w:rsidRDefault="00E52BCE" w:rsidP="00E52BCE">
      <w:pPr>
        <w:suppressAutoHyphens/>
        <w:spacing w:after="60"/>
        <w:ind w:firstLine="709"/>
        <w:contextualSpacing/>
        <w:jc w:val="both"/>
        <w:rPr>
          <w:b/>
          <w:bCs/>
          <w:i/>
          <w:iCs/>
          <w:color w:val="000000"/>
        </w:rPr>
      </w:pPr>
      <w:r w:rsidRPr="00632FCD">
        <w:rPr>
          <w:b/>
          <w:bCs/>
          <w:i/>
          <w:iCs/>
          <w:color w:val="000000"/>
        </w:rPr>
        <w:t xml:space="preserve">Принцип 1 </w:t>
      </w:r>
    </w:p>
    <w:p w:rsidR="00E52BCE" w:rsidRPr="00632FCD" w:rsidRDefault="00E52BCE" w:rsidP="00E52BCE">
      <w:pPr>
        <w:widowControl w:val="0"/>
        <w:autoSpaceDE w:val="0"/>
        <w:autoSpaceDN w:val="0"/>
        <w:adjustRightInd w:val="0"/>
        <w:spacing w:before="20"/>
        <w:ind w:firstLine="709"/>
        <w:contextualSpacing/>
        <w:jc w:val="both"/>
        <w:rPr>
          <w:b/>
          <w:bCs/>
          <w:i/>
          <w:iCs/>
          <w:color w:val="000000"/>
        </w:rPr>
      </w:pPr>
      <w:r w:rsidRPr="00632FCD">
        <w:rPr>
          <w:b/>
          <w:bCs/>
          <w:i/>
          <w:iCs/>
          <w:color w:val="000000"/>
        </w:rPr>
        <w:t xml:space="preserve">Операционный риск присущ всем процессам, продуктам/услугам. Управление операционным риском включено в деятельность по управлению процессами и оказанию услуг, что требует вовлечения в управление операционным риском всех подразделений компании. Данный принцип реализуется посредством поддержания риск-культуры и постоянного обучения. </w:t>
      </w:r>
    </w:p>
    <w:p w:rsidR="00E52BCE" w:rsidRPr="00632FCD" w:rsidRDefault="00E52BCE" w:rsidP="00E52BCE">
      <w:pPr>
        <w:suppressAutoHyphens/>
        <w:spacing w:before="120" w:after="60"/>
        <w:ind w:firstLine="709"/>
        <w:contextualSpacing/>
        <w:jc w:val="both"/>
        <w:rPr>
          <w:b/>
          <w:bCs/>
          <w:i/>
          <w:iCs/>
          <w:color w:val="000000"/>
        </w:rPr>
      </w:pPr>
      <w:r w:rsidRPr="00632FCD">
        <w:rPr>
          <w:b/>
          <w:bCs/>
          <w:i/>
          <w:iCs/>
          <w:color w:val="000000"/>
        </w:rPr>
        <w:t>Принцип 2</w:t>
      </w:r>
    </w:p>
    <w:p w:rsidR="00E52BCE" w:rsidRPr="00632FCD" w:rsidRDefault="00E52BCE" w:rsidP="00E52BCE">
      <w:pPr>
        <w:widowControl w:val="0"/>
        <w:autoSpaceDE w:val="0"/>
        <w:autoSpaceDN w:val="0"/>
        <w:adjustRightInd w:val="0"/>
        <w:spacing w:before="20"/>
        <w:ind w:firstLine="709"/>
        <w:contextualSpacing/>
        <w:jc w:val="both"/>
        <w:rPr>
          <w:b/>
          <w:bCs/>
          <w:i/>
          <w:iCs/>
          <w:color w:val="000000"/>
        </w:rPr>
      </w:pPr>
      <w:r w:rsidRPr="00632FCD">
        <w:rPr>
          <w:b/>
          <w:bCs/>
          <w:i/>
          <w:iCs/>
          <w:color w:val="000000"/>
        </w:rPr>
        <w:t>Управление операционным риском представляет собой цикличный процесс, который включает в себя выявление рисков, анализ и оценку, разработку и реализацию адекватных мер</w:t>
      </w:r>
      <w:r>
        <w:rPr>
          <w:b/>
          <w:bCs/>
          <w:i/>
          <w:iCs/>
          <w:color w:val="000000"/>
        </w:rPr>
        <w:t> </w:t>
      </w:r>
      <w:r w:rsidRPr="00632FCD">
        <w:rPr>
          <w:b/>
          <w:bCs/>
          <w:i/>
          <w:iCs/>
          <w:color w:val="000000"/>
        </w:rPr>
        <w:t xml:space="preserve">реагирования, мониторинг и отчетность по операционному риску. </w:t>
      </w:r>
    </w:p>
    <w:p w:rsidR="00E52BCE" w:rsidRPr="00632FCD" w:rsidRDefault="00E52BCE" w:rsidP="00E52BCE">
      <w:pPr>
        <w:suppressAutoHyphens/>
        <w:spacing w:before="120" w:after="60"/>
        <w:ind w:firstLine="709"/>
        <w:contextualSpacing/>
        <w:jc w:val="both"/>
        <w:rPr>
          <w:b/>
          <w:bCs/>
          <w:i/>
          <w:iCs/>
          <w:color w:val="000000"/>
        </w:rPr>
      </w:pPr>
      <w:r w:rsidRPr="00632FCD">
        <w:rPr>
          <w:b/>
          <w:bCs/>
          <w:i/>
          <w:iCs/>
          <w:color w:val="000000"/>
        </w:rPr>
        <w:t>Принцип 3</w:t>
      </w:r>
    </w:p>
    <w:p w:rsidR="00E52BCE" w:rsidRPr="00632FCD" w:rsidRDefault="00E52BCE" w:rsidP="00E52BCE">
      <w:pPr>
        <w:widowControl w:val="0"/>
        <w:autoSpaceDE w:val="0"/>
        <w:autoSpaceDN w:val="0"/>
        <w:adjustRightInd w:val="0"/>
        <w:spacing w:before="20"/>
        <w:ind w:firstLine="709"/>
        <w:contextualSpacing/>
        <w:jc w:val="both"/>
        <w:rPr>
          <w:b/>
          <w:bCs/>
          <w:i/>
          <w:iCs/>
          <w:color w:val="000000"/>
        </w:rPr>
      </w:pPr>
      <w:r w:rsidRPr="00632FCD">
        <w:rPr>
          <w:b/>
          <w:bCs/>
          <w:i/>
          <w:iCs/>
          <w:color w:val="000000"/>
        </w:rPr>
        <w:t>Методы управления операционным риском подлежат непрерывному развитию и</w:t>
      </w:r>
      <w:r>
        <w:rPr>
          <w:b/>
          <w:bCs/>
          <w:i/>
          <w:iCs/>
          <w:color w:val="000000"/>
        </w:rPr>
        <w:t> </w:t>
      </w:r>
      <w:r w:rsidRPr="00632FCD">
        <w:rPr>
          <w:b/>
          <w:bCs/>
          <w:i/>
          <w:iCs/>
          <w:color w:val="000000"/>
        </w:rPr>
        <w:t xml:space="preserve">совершенствованию. Процессы и инструменты управления операционным риском регулярно пересматриваются на предмет соответствия лучшим международным практикам, изменениям внешней среды, стратегическим задачам. </w:t>
      </w:r>
    </w:p>
    <w:p w:rsidR="00E52BCE" w:rsidRPr="00632FCD" w:rsidRDefault="00E52BCE" w:rsidP="00E52BCE">
      <w:pPr>
        <w:suppressAutoHyphens/>
        <w:spacing w:before="120" w:after="60"/>
        <w:ind w:firstLine="709"/>
        <w:contextualSpacing/>
        <w:jc w:val="both"/>
        <w:rPr>
          <w:b/>
          <w:bCs/>
          <w:i/>
          <w:iCs/>
          <w:color w:val="000000"/>
        </w:rPr>
      </w:pPr>
      <w:r w:rsidRPr="00632FCD">
        <w:rPr>
          <w:b/>
          <w:bCs/>
          <w:i/>
          <w:iCs/>
          <w:color w:val="000000"/>
        </w:rPr>
        <w:t>Принцип 4</w:t>
      </w:r>
    </w:p>
    <w:p w:rsidR="00E52BCE" w:rsidRPr="00632FCD" w:rsidRDefault="00E52BCE" w:rsidP="00E52BCE">
      <w:pPr>
        <w:widowControl w:val="0"/>
        <w:autoSpaceDE w:val="0"/>
        <w:autoSpaceDN w:val="0"/>
        <w:adjustRightInd w:val="0"/>
        <w:spacing w:before="20"/>
        <w:ind w:firstLine="709"/>
        <w:contextualSpacing/>
        <w:jc w:val="both"/>
        <w:rPr>
          <w:b/>
          <w:bCs/>
          <w:i/>
          <w:iCs/>
          <w:color w:val="000000"/>
        </w:rPr>
      </w:pPr>
      <w:r w:rsidRPr="00632FCD">
        <w:rPr>
          <w:b/>
          <w:bCs/>
          <w:i/>
          <w:iCs/>
          <w:color w:val="000000"/>
        </w:rPr>
        <w:t>Управление операционным риском осуществляется на трех уровнях (три уровня защиты). Первый уровень защиты: уровень структурных подразделений. Второй уровень защиты: подразделение операционного риск-менеджмента. Третий уровень защиты: независимая оценка системы управления операционным риском на уровне компании. Оценка эффективности управления операционным риском осуществляется на периодической основе (но</w:t>
      </w:r>
      <w:r>
        <w:rPr>
          <w:b/>
          <w:bCs/>
          <w:i/>
          <w:iCs/>
          <w:color w:val="000000"/>
        </w:rPr>
        <w:t> </w:t>
      </w:r>
      <w:r w:rsidRPr="00632FCD">
        <w:rPr>
          <w:b/>
          <w:bCs/>
          <w:i/>
          <w:iCs/>
          <w:color w:val="000000"/>
        </w:rPr>
        <w:t xml:space="preserve">не реже одного раза в год) на всех трех уровнях защиты. </w:t>
      </w:r>
    </w:p>
    <w:p w:rsidR="00E52BCE" w:rsidRPr="00632FCD" w:rsidRDefault="00E52BCE" w:rsidP="00E52BCE">
      <w:pPr>
        <w:suppressAutoHyphens/>
        <w:spacing w:before="120" w:after="60"/>
        <w:ind w:firstLine="709"/>
        <w:contextualSpacing/>
        <w:jc w:val="both"/>
        <w:rPr>
          <w:b/>
          <w:bCs/>
          <w:i/>
          <w:iCs/>
          <w:color w:val="000000"/>
        </w:rPr>
      </w:pPr>
      <w:r w:rsidRPr="00632FCD">
        <w:rPr>
          <w:b/>
          <w:bCs/>
          <w:i/>
          <w:iCs/>
          <w:color w:val="000000"/>
        </w:rPr>
        <w:t>Принцип 5</w:t>
      </w:r>
    </w:p>
    <w:p w:rsidR="00E52BCE" w:rsidRPr="00632FCD" w:rsidRDefault="00E52BCE" w:rsidP="00E52BCE">
      <w:pPr>
        <w:widowControl w:val="0"/>
        <w:autoSpaceDE w:val="0"/>
        <w:autoSpaceDN w:val="0"/>
        <w:adjustRightInd w:val="0"/>
        <w:spacing w:before="20"/>
        <w:ind w:firstLine="709"/>
        <w:contextualSpacing/>
        <w:jc w:val="both"/>
        <w:rPr>
          <w:b/>
          <w:bCs/>
          <w:i/>
          <w:iCs/>
          <w:color w:val="000000"/>
        </w:rPr>
      </w:pPr>
      <w:r w:rsidRPr="00632FCD">
        <w:rPr>
          <w:b/>
          <w:bCs/>
          <w:i/>
          <w:iCs/>
          <w:color w:val="000000"/>
        </w:rPr>
        <w:t xml:space="preserve">Все новые продукты, процессы и системы проходят процедуру анализа и оценки операционного риска. </w:t>
      </w:r>
    </w:p>
    <w:p w:rsidR="00E52BCE" w:rsidRPr="00632FCD" w:rsidRDefault="00E52BCE" w:rsidP="00E52BCE">
      <w:pPr>
        <w:suppressAutoHyphens/>
        <w:spacing w:before="120" w:after="60"/>
        <w:ind w:firstLine="709"/>
        <w:contextualSpacing/>
        <w:jc w:val="both"/>
        <w:rPr>
          <w:b/>
          <w:bCs/>
          <w:i/>
          <w:iCs/>
          <w:color w:val="000000"/>
        </w:rPr>
      </w:pPr>
      <w:r w:rsidRPr="00632FCD">
        <w:rPr>
          <w:b/>
          <w:bCs/>
          <w:i/>
          <w:iCs/>
          <w:color w:val="000000"/>
        </w:rPr>
        <w:t>Принцип 6</w:t>
      </w:r>
    </w:p>
    <w:p w:rsidR="00E52BCE" w:rsidRPr="00632FCD" w:rsidRDefault="00E52BCE" w:rsidP="00E52BCE">
      <w:pPr>
        <w:widowControl w:val="0"/>
        <w:autoSpaceDE w:val="0"/>
        <w:autoSpaceDN w:val="0"/>
        <w:adjustRightInd w:val="0"/>
        <w:spacing w:before="20"/>
        <w:ind w:firstLine="709"/>
        <w:contextualSpacing/>
        <w:jc w:val="both"/>
        <w:rPr>
          <w:b/>
          <w:bCs/>
          <w:i/>
          <w:iCs/>
          <w:color w:val="000000"/>
        </w:rPr>
      </w:pPr>
      <w:r w:rsidRPr="00632FCD">
        <w:rPr>
          <w:b/>
          <w:bCs/>
          <w:i/>
          <w:iCs/>
          <w:color w:val="000000"/>
        </w:rPr>
        <w:lastRenderedPageBreak/>
        <w:t xml:space="preserve">Информация, публикуемая Эмитентом, должна позволять заинтересованным сторонам оценивать подходы компании к управлению операционным риском. </w:t>
      </w:r>
    </w:p>
    <w:p w:rsidR="00E52BCE" w:rsidRPr="00632FCD" w:rsidRDefault="00E52BCE" w:rsidP="00E52BCE">
      <w:pPr>
        <w:suppressAutoHyphens/>
        <w:spacing w:before="120" w:after="60"/>
        <w:ind w:firstLine="709"/>
        <w:contextualSpacing/>
        <w:jc w:val="both"/>
        <w:rPr>
          <w:b/>
          <w:bCs/>
          <w:i/>
          <w:iCs/>
          <w:color w:val="000000"/>
        </w:rPr>
      </w:pPr>
      <w:r w:rsidRPr="00632FCD">
        <w:rPr>
          <w:b/>
          <w:bCs/>
          <w:i/>
          <w:iCs/>
          <w:color w:val="000000"/>
        </w:rPr>
        <w:t>Принцип 7</w:t>
      </w:r>
    </w:p>
    <w:p w:rsidR="00E52BCE" w:rsidRPr="00632FCD" w:rsidRDefault="00E52BCE" w:rsidP="00E52BCE">
      <w:pPr>
        <w:widowControl w:val="0"/>
        <w:autoSpaceDE w:val="0"/>
        <w:autoSpaceDN w:val="0"/>
        <w:adjustRightInd w:val="0"/>
        <w:spacing w:before="20"/>
        <w:ind w:firstLine="709"/>
        <w:contextualSpacing/>
        <w:jc w:val="both"/>
        <w:rPr>
          <w:b/>
          <w:bCs/>
          <w:i/>
          <w:iCs/>
          <w:color w:val="000000"/>
        </w:rPr>
      </w:pPr>
      <w:r w:rsidRPr="00632FCD">
        <w:rPr>
          <w:b/>
          <w:bCs/>
          <w:i/>
          <w:iCs/>
          <w:color w:val="000000"/>
        </w:rPr>
        <w:t>Риск-культура Эмитента должна поддерживать высокие стандарты управления операционным риском. Для этого проводятся регулярное обучение и работа с персоналом с целью выявления ранее не выявленных рисков, как то разумное провоцирование и стресс-тестирование процессов.</w:t>
      </w:r>
    </w:p>
    <w:p w:rsidR="00E52BCE" w:rsidRPr="00632FCD" w:rsidRDefault="00E52BCE" w:rsidP="00E52BCE">
      <w:pPr>
        <w:widowControl w:val="0"/>
        <w:autoSpaceDE w:val="0"/>
        <w:autoSpaceDN w:val="0"/>
        <w:adjustRightInd w:val="0"/>
        <w:spacing w:before="20"/>
        <w:ind w:firstLine="709"/>
        <w:jc w:val="both"/>
        <w:rPr>
          <w:b/>
          <w:bCs/>
          <w:i/>
          <w:iCs/>
          <w:color w:val="000000"/>
        </w:rPr>
      </w:pPr>
      <w:r w:rsidRPr="00632FCD">
        <w:rPr>
          <w:b/>
          <w:bCs/>
          <w:i/>
          <w:iCs/>
          <w:color w:val="000000"/>
        </w:rPr>
        <w:t>В связи с макроэкономичекими изменениями Эмитентом разработан подход к</w:t>
      </w:r>
      <w:r>
        <w:rPr>
          <w:b/>
          <w:bCs/>
          <w:i/>
          <w:iCs/>
          <w:color w:val="000000"/>
        </w:rPr>
        <w:t> </w:t>
      </w:r>
      <w:r w:rsidRPr="00632FCD">
        <w:rPr>
          <w:b/>
          <w:bCs/>
          <w:i/>
          <w:iCs/>
          <w:color w:val="000000"/>
        </w:rPr>
        <w:t>управлению операционным риском, причиной возникновения которого явились внешние факторы, такие как уход с российского рынка мировых производителей программного обеспечения, инфраструктурного оборудования, а также провайдеров внешних сервисов и</w:t>
      </w:r>
      <w:r>
        <w:rPr>
          <w:b/>
          <w:bCs/>
          <w:i/>
          <w:iCs/>
          <w:color w:val="000000"/>
        </w:rPr>
        <w:t> </w:t>
      </w:r>
      <w:r w:rsidRPr="00632FCD">
        <w:rPr>
          <w:b/>
          <w:bCs/>
          <w:i/>
          <w:iCs/>
          <w:color w:val="000000"/>
        </w:rPr>
        <w:t xml:space="preserve">информационных потоков. </w:t>
      </w:r>
    </w:p>
    <w:p w:rsidR="00E52BCE" w:rsidRPr="00632FCD" w:rsidRDefault="00E52BCE" w:rsidP="00E52BCE">
      <w:pPr>
        <w:widowControl w:val="0"/>
        <w:autoSpaceDE w:val="0"/>
        <w:autoSpaceDN w:val="0"/>
        <w:adjustRightInd w:val="0"/>
        <w:spacing w:before="20"/>
        <w:ind w:firstLine="709"/>
        <w:jc w:val="both"/>
        <w:rPr>
          <w:b/>
          <w:bCs/>
          <w:i/>
          <w:iCs/>
          <w:color w:val="000000"/>
        </w:rPr>
      </w:pPr>
      <w:r w:rsidRPr="00632FCD">
        <w:rPr>
          <w:b/>
          <w:bCs/>
          <w:i/>
          <w:iCs/>
          <w:color w:val="000000"/>
        </w:rPr>
        <w:t>Проведена оперативная оценка уровня риска всего технологического ландшафта Эмитента с учетом влияния ИТ-активов на процессы Эмитента. По результатам анализа Эмитент обладает достаточным запасом прочности для поддержания ключевых процессов, включая деятельность Организатора торгов, Оператора финансовой платформы</w:t>
      </w:r>
      <w:r>
        <w:rPr>
          <w:b/>
          <w:bCs/>
          <w:i/>
          <w:iCs/>
          <w:color w:val="000000"/>
        </w:rPr>
        <w:t>, Оператора обмена Цифровых финансовых активов</w:t>
      </w:r>
      <w:r w:rsidRPr="00632FCD">
        <w:rPr>
          <w:b/>
          <w:bCs/>
          <w:i/>
          <w:iCs/>
          <w:color w:val="000000"/>
        </w:rPr>
        <w:t>. Ключевой бизнес продолжит функционировать без деградации. Мониторинг совокупного уровня риска проводится на постоянной основе.</w:t>
      </w:r>
    </w:p>
    <w:p w:rsidR="00E52BCE" w:rsidRPr="00632FCD" w:rsidRDefault="00E52BCE" w:rsidP="00E52BCE">
      <w:pPr>
        <w:widowControl w:val="0"/>
        <w:autoSpaceDE w:val="0"/>
        <w:autoSpaceDN w:val="0"/>
        <w:adjustRightInd w:val="0"/>
        <w:spacing w:before="20" w:after="240"/>
        <w:ind w:firstLine="709"/>
        <w:jc w:val="both"/>
        <w:rPr>
          <w:b/>
          <w:bCs/>
          <w:i/>
          <w:iCs/>
          <w:color w:val="000000"/>
        </w:rPr>
      </w:pPr>
      <w:r w:rsidRPr="00632FCD">
        <w:rPr>
          <w:b/>
          <w:bCs/>
          <w:i/>
          <w:iCs/>
          <w:color w:val="000000"/>
        </w:rPr>
        <w:t>По итогам анализа составлена матрица риска и определена стратегия реагирования на</w:t>
      </w:r>
      <w:r>
        <w:rPr>
          <w:b/>
          <w:bCs/>
          <w:i/>
          <w:iCs/>
          <w:color w:val="000000"/>
        </w:rPr>
        <w:t> </w:t>
      </w:r>
      <w:r w:rsidRPr="00632FCD">
        <w:rPr>
          <w:b/>
          <w:bCs/>
          <w:i/>
          <w:iCs/>
          <w:color w:val="000000"/>
        </w:rPr>
        <w:t>реализовавшийся риск: спрогнозированы пессимистичный, умеренный, оптимистичный сценарии дальнейшего развития событий, определены приоритеты замещения ИТ-активов и</w:t>
      </w:r>
      <w:r>
        <w:rPr>
          <w:b/>
          <w:bCs/>
          <w:i/>
          <w:iCs/>
          <w:color w:val="000000"/>
        </w:rPr>
        <w:t> </w:t>
      </w:r>
      <w:r w:rsidRPr="00632FCD">
        <w:rPr>
          <w:b/>
          <w:bCs/>
          <w:i/>
          <w:iCs/>
          <w:color w:val="000000"/>
        </w:rPr>
        <w:t>составлена дорожная карта замещения.</w:t>
      </w:r>
    </w:p>
    <w:p w:rsidR="00B930FB" w:rsidRPr="00B930FB" w:rsidRDefault="00B930FB" w:rsidP="00DD0966">
      <w:pPr>
        <w:widowControl w:val="0"/>
        <w:autoSpaceDE w:val="0"/>
        <w:autoSpaceDN w:val="0"/>
        <w:adjustRightInd w:val="0"/>
        <w:spacing w:before="240" w:after="360" w:line="240" w:lineRule="auto"/>
        <w:jc w:val="center"/>
        <w:outlineLvl w:val="0"/>
        <w:rPr>
          <w:b/>
          <w:bCs/>
          <w:sz w:val="28"/>
          <w:szCs w:val="28"/>
        </w:rPr>
      </w:pPr>
      <w:bookmarkStart w:id="220" w:name="_Toc193300365"/>
      <w:bookmarkStart w:id="221" w:name="_Toc193301446"/>
      <w:r w:rsidRPr="00B930FB">
        <w:rPr>
          <w:b/>
          <w:bCs/>
          <w:sz w:val="28"/>
          <w:szCs w:val="28"/>
        </w:rPr>
        <w:t>Раздел 2. Сведения о лицах, входящих в состав органов управления эмитента, сведения об организации в эмитенте управления рисками, контроля за финансово-хозяйственной деятельностью и внутреннего контроля, внутреннего аудита, а также сведения о работниках эмитента</w:t>
      </w:r>
      <w:bookmarkEnd w:id="217"/>
      <w:bookmarkEnd w:id="218"/>
      <w:bookmarkEnd w:id="219"/>
      <w:bookmarkEnd w:id="220"/>
      <w:bookmarkEnd w:id="221"/>
    </w:p>
    <w:p w:rsidR="00B930FB" w:rsidRDefault="00B930FB" w:rsidP="00286FCA">
      <w:pPr>
        <w:widowControl w:val="0"/>
        <w:autoSpaceDE w:val="0"/>
        <w:autoSpaceDN w:val="0"/>
        <w:adjustRightInd w:val="0"/>
        <w:spacing w:after="360" w:line="240" w:lineRule="auto"/>
        <w:outlineLvl w:val="1"/>
        <w:rPr>
          <w:b/>
          <w:bCs/>
        </w:rPr>
      </w:pPr>
      <w:bookmarkStart w:id="222" w:name="_Toc113954738"/>
      <w:bookmarkStart w:id="223" w:name="_Toc139292047"/>
      <w:bookmarkStart w:id="224" w:name="_Toc161055617"/>
      <w:bookmarkStart w:id="225" w:name="_Toc193300366"/>
      <w:bookmarkStart w:id="226" w:name="_Toc193301447"/>
      <w:bookmarkStart w:id="227" w:name="_Hlk113895590"/>
      <w:r w:rsidRPr="00B930FB">
        <w:rPr>
          <w:b/>
          <w:bCs/>
        </w:rPr>
        <w:t>2.1. Информация о лицах, входящих в состав органов управления эмитента</w:t>
      </w:r>
      <w:bookmarkEnd w:id="222"/>
      <w:bookmarkEnd w:id="223"/>
      <w:bookmarkEnd w:id="224"/>
      <w:bookmarkEnd w:id="225"/>
      <w:bookmarkEnd w:id="226"/>
    </w:p>
    <w:p w:rsidR="00B930FB" w:rsidRPr="00B930FB" w:rsidRDefault="00B930FB" w:rsidP="00A15D88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bookmarkStart w:id="228" w:name="_Toc113954742"/>
      <w:bookmarkStart w:id="229" w:name="_Toc139292051"/>
      <w:bookmarkStart w:id="230" w:name="_Toc161055621"/>
      <w:bookmarkStart w:id="231" w:name="_Toc193300370"/>
      <w:bookmarkStart w:id="232" w:name="_Toc193301451"/>
      <w:bookmarkEnd w:id="227"/>
      <w:r w:rsidRPr="00E84618">
        <w:rPr>
          <w:b/>
          <w:bCs/>
        </w:rPr>
        <w:t>2.2. Сведения о политике в области вознаграждения и (или) компенсации расходов, а также о размере вознаграждения и (или) компенсации расходов по каждому органу управления эмитента</w:t>
      </w:r>
      <w:bookmarkEnd w:id="228"/>
      <w:bookmarkEnd w:id="229"/>
      <w:bookmarkEnd w:id="230"/>
      <w:bookmarkEnd w:id="231"/>
      <w:bookmarkEnd w:id="232"/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031EF1">
        <w:t>Основные положения политики в области вознаграждения и (или) компенсации расходов членов органов управления эмитента: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before="240" w:after="40" w:line="240" w:lineRule="auto"/>
        <w:jc w:val="both"/>
        <w:rPr>
          <w:b/>
          <w:i/>
        </w:rPr>
      </w:pPr>
      <w:r w:rsidRPr="00DD402E">
        <w:rPr>
          <w:b/>
          <w:i/>
          <w:u w:val="single"/>
        </w:rPr>
        <w:t>Политика по вознаграждению и возмещению расходов (компенсаций) членов Наблюдательного совета</w:t>
      </w:r>
      <w:r w:rsidRPr="00DD402E">
        <w:rPr>
          <w:b/>
          <w:i/>
        </w:rPr>
        <w:t>.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Действующая на Бирже система вознаграждения членов Наблюдательного совета Биржи строится на основе взаимосвязанных принципов доступности, прозрачности и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полноты, достаточности, разумности и обоснованности, а также принципа индивидуализации вознаграждения в зависимости от вклада каждого члена Наблюдательного совета в его работу. 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Подходы к определению размера вознаграждения членов Наблюдательного совета Биржи: 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Членам Наблюдательного совета Биржи, кроме тех, которые являются работниками или </w:t>
      </w:r>
      <w:r w:rsidR="00B823C6" w:rsidRPr="00B823C6">
        <w:rPr>
          <w:b/>
          <w:i/>
        </w:rPr>
        <w:t>членами исполнительных органов</w:t>
      </w:r>
      <w:r w:rsidRPr="00031EF1">
        <w:rPr>
          <w:b/>
          <w:i/>
        </w:rPr>
        <w:t xml:space="preserve"> Биржи или ее дочерних компаний, а также государственными служащими и работниками Банка России, выплачивается базовое и </w:t>
      </w:r>
      <w:r w:rsidRPr="00031EF1">
        <w:rPr>
          <w:b/>
          <w:i/>
        </w:rPr>
        <w:lastRenderedPageBreak/>
        <w:t>дополнительное вознаграждение за исполнение обязанностей члена Наблюдательного совета в размере, определенном Положением о вознаграждении и компенсации расходов членов Наблюдательного совета Публичного акционерного общества Московская Биржа ММВБ-РТС (далее – Положение). Вознаграждение за выполнение обязанностей члена Наблюдательного совета Биржи не выплачивается государственным служащим и работникам Банка России, являющимся членами Наблюдательного совета, в силу законодательного запрета на</w:t>
      </w:r>
      <w:r w:rsidR="00A15D88">
        <w:rPr>
          <w:b/>
          <w:i/>
        </w:rPr>
        <w:t> </w:t>
      </w:r>
      <w:r w:rsidRPr="00031EF1">
        <w:rPr>
          <w:b/>
          <w:i/>
        </w:rPr>
        <w:t>получение ими вознаграждения от юридических лиц в связи с исполнением ими должностных обязанностей членов Наблюдательного совета. Вознаграждение за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выполнение обязанностей члена Наблюдательного совета Биржи </w:t>
      </w:r>
      <w:r w:rsidR="00B823C6" w:rsidRPr="00B823C6">
        <w:rPr>
          <w:b/>
          <w:i/>
        </w:rPr>
        <w:t>не выплачивается работникам и членам исполнительных органов Биржи и ее дочерних компаний ввиду получения работниками и членами исполнительных органов Биржи и ее дочерних компаний вознаграждения за исполнение своих трудовых функций.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Уровень выплачиваемого Биржей вознаграждения членам Наблюдательного совета должен быть достаточным для привлечения, мотивации и удержания лиц, обладающих необходимой для Биржи компетенцией и квалификацией. Рекомендации по уровню вознаграждения членам Наблюдательного совета представляются Комиссией по</w:t>
      </w:r>
      <w:r w:rsidR="00A15D88">
        <w:rPr>
          <w:b/>
          <w:i/>
        </w:rPr>
        <w:t> </w:t>
      </w:r>
      <w:r w:rsidRPr="00031EF1">
        <w:rPr>
          <w:b/>
          <w:i/>
        </w:rPr>
        <w:t>назначениям и вознаграждениям Наблюдательного совета Биржи на основе экспертной оценки уровня выплачиваемого вознаграждения сопоставимыми по уровню капитализации российскими компаниями, а также конкурентами Биржи, в том числе на основе результатов внешних исследований, проводимых по инициативе Комиссии по назначениям и</w:t>
      </w:r>
      <w:r w:rsidR="00A15D88">
        <w:rPr>
          <w:b/>
          <w:i/>
        </w:rPr>
        <w:t> </w:t>
      </w:r>
      <w:r w:rsidRPr="00031EF1">
        <w:rPr>
          <w:b/>
          <w:i/>
        </w:rPr>
        <w:t>вознаграждениям Наблюдательного совета Биржи. При выработке рекомендаций о размере вознаграждения Комиссия по назначениям и вознаграждениям придерживается целевого уровня вознаграждения в сопоставимых компаниях, отклонение в сторону увеличения или</w:t>
      </w:r>
      <w:r w:rsidR="00A15D88">
        <w:rPr>
          <w:b/>
          <w:i/>
        </w:rPr>
        <w:t> </w:t>
      </w:r>
      <w:r w:rsidRPr="00031EF1">
        <w:rPr>
          <w:b/>
          <w:i/>
        </w:rPr>
        <w:t>уменьшения уровня вознаграждения должно быть оправданно и соответствовать достижению результатов, соответствующих общему росту Биржи и финансовой отрасли в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целом. 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Сумма базового вознаграждения члена Наблюдательного совета дифференцируется в зависимости от того, является ли член Наблюдательного совета независимым или нет. Размер базовой части вознаграждения независимого члена Наблюдательного совета превышает размер базовой части вознаграждения члена Наблюдательного совета, не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являющегося независимым, в связи с ограничениями, предусмотренными для членов Наблюдательного совета, которым необходимо соблюдать критерии независимости. 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За выполнение членом Наблюдательного совета дополнительных обязанностей Председателя Наблюдательного совета, заместителя Председателя Наблюдательного совета, Председателя комиссии Наблюдательного совета, члена комиссии Наблюдательного совета, требующих дополнительных временных затрат и усилий, членам Наблюдательного совета выплачивается дифференцированное дополнительное вознаграждение в размерах, определенных Положением. </w:t>
      </w:r>
      <w:r w:rsidR="00043720" w:rsidRPr="00B823C6">
        <w:rPr>
          <w:b/>
          <w:i/>
        </w:rPr>
        <w:t>В случае существенных изменений условий осуществления деятельности членов Наблюдательного совета Биржи, в том числе увеличением их нагрузки,</w:t>
      </w:r>
      <w:r w:rsidR="00043720">
        <w:rPr>
          <w:b/>
          <w:i/>
        </w:rPr>
        <w:t xml:space="preserve"> </w:t>
      </w:r>
      <w:r w:rsidR="00043720" w:rsidRPr="00B823C6">
        <w:rPr>
          <w:b/>
          <w:i/>
        </w:rPr>
        <w:t>решением Общего собрания акционеров может быть предусмотрено увеличение базового размера вознаграждения членов Наблюдательного совета.</w:t>
      </w:r>
      <w:r w:rsidR="00043720">
        <w:rPr>
          <w:b/>
          <w:i/>
        </w:rPr>
        <w:t xml:space="preserve"> </w:t>
      </w:r>
      <w:r w:rsidRPr="00031EF1">
        <w:rPr>
          <w:b/>
          <w:i/>
        </w:rPr>
        <w:t>Выполнение обязанностей Председателя Наблюдательного совета и Председателя комиссии Наблюдательного совета связано с повышенной нагрузкой и</w:t>
      </w:r>
      <w:r w:rsidR="00A15D88">
        <w:rPr>
          <w:b/>
          <w:i/>
        </w:rPr>
        <w:t> </w:t>
      </w:r>
      <w:r w:rsidRPr="00031EF1">
        <w:rPr>
          <w:b/>
          <w:i/>
        </w:rPr>
        <w:t>степенью ответственности, поэтому размер дополнительного вознаграждения за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выполнение указанных функций </w:t>
      </w:r>
      <w:r w:rsidR="00043720" w:rsidRPr="00043720">
        <w:rPr>
          <w:b/>
          <w:i/>
        </w:rPr>
        <w:t xml:space="preserve">должен быть </w:t>
      </w:r>
      <w:r w:rsidRPr="00031EF1">
        <w:rPr>
          <w:b/>
          <w:i/>
        </w:rPr>
        <w:t xml:space="preserve">выше, чем дополнительное вознаграждение заместителя Председателя Наблюдательного совета и члена комиссии Наблюдательного совета соответственно. 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Размер базового и дополнительного вознаграждения члена Наблюдательного совета является фиксированным, отражает ожидаемые временные затраты, сопряженные с выполнением функций члена Наблюдательного совета, и не устанавливается </w:t>
      </w:r>
      <w:r w:rsidR="00043720">
        <w:rPr>
          <w:b/>
          <w:i/>
        </w:rPr>
        <w:t>за</w:t>
      </w:r>
      <w:r w:rsidRPr="00031EF1">
        <w:rPr>
          <w:b/>
          <w:i/>
        </w:rPr>
        <w:t xml:space="preserve"> участи</w:t>
      </w:r>
      <w:r w:rsidR="00043720">
        <w:rPr>
          <w:b/>
          <w:i/>
        </w:rPr>
        <w:t>е</w:t>
      </w:r>
      <w:r w:rsidRPr="00031EF1">
        <w:rPr>
          <w:b/>
          <w:i/>
        </w:rPr>
        <w:t xml:space="preserve"> в каждом</w:t>
      </w:r>
      <w:r w:rsidR="00043720" w:rsidRPr="00043720">
        <w:t xml:space="preserve"> </w:t>
      </w:r>
      <w:r w:rsidR="00043720" w:rsidRPr="00043720">
        <w:rPr>
          <w:b/>
          <w:i/>
        </w:rPr>
        <w:t>отдельном</w:t>
      </w:r>
      <w:r w:rsidRPr="00031EF1">
        <w:rPr>
          <w:b/>
          <w:i/>
        </w:rPr>
        <w:t xml:space="preserve"> заседании Наблюдательного совета/Комиссий Наблюдательного совета (в том числе внеплановых).</w:t>
      </w:r>
      <w:r w:rsidRPr="00031EF1">
        <w:rPr>
          <w:rFonts w:ascii="Calibri" w:hAnsi="Calibri" w:cs="Calibri"/>
        </w:rPr>
        <w:t xml:space="preserve"> </w:t>
      </w:r>
      <w:r w:rsidRPr="00031EF1">
        <w:rPr>
          <w:b/>
          <w:i/>
        </w:rPr>
        <w:t xml:space="preserve">Размеры вознаграждения ежегодно индексируются. В целях реализации принципа индивидуализации вознаграждения каждого члена Наблюдательного совета в зависимости от его вклада в работу Наблюдательного совета, а также в целях мотивирования членов Наблюдательного совета к добросовестной и результативной деятельности в составе Наблюдательного совета Положением установлен порядок </w:t>
      </w:r>
      <w:r w:rsidR="00043720" w:rsidRPr="00043720">
        <w:rPr>
          <w:b/>
          <w:i/>
        </w:rPr>
        <w:t>определения вознаграждения в зависимости от степени вовлеченности и участия в как общем количестве заседаний, так и в количестве очных заседаний в корпоративном году.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lastRenderedPageBreak/>
        <w:t xml:space="preserve">Работа членов Наблюдательного совета в составе различных Комиссий Наблюдательного совета оплачивается одинаково, поскольку для участия в их деятельности требуется одинаково высокий уровень ответственности и компетенции. 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По решению Общего собрания акционеров членам Наблюдательного совета может быть выплачено дополнительное вознаграждение за участие в конференциях или форумах, проводимых по инициативе или с участием Общества и направленных на улучшение взаимодействия Общества с инвесторами или участниками финансового рынка; а также за участие в переговорах в целях установления и (или) поддержания взаимного сотрудничества Общества с инвесторами или участниками финансового рынка, в том числе связанных с потребностями развития Общества и усиления его деловой репутации, - дифференцированно, в зависимости от статуса налогового резидента. Точный размер указанного дополнительного вознаграждения определяется с учетом значимости, продолжительности и удаленности места проведения мероприятия от основного места пребывания члена Наблюдательного совета таким образом, чтобы обеспечить оплату временных затрат и усилий члена Наблюдательного совета в связи с участием в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мероприятиях, не связанных с проведением заседаний Наблюдательного совета/комиссий Наблюдательного совета. 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В целях реализации принципа независимости принятия решений вознаграждение членов Наблюдательного совета не привязано к результатам деятельности компании или стоимости акций Общества и не включает опционные программы. В интересах членов Наблюдательного совета не осуществляются пенсионные отчисления, не реализуются программы страхования (помимо страхования ответственности члена Наблюдательного совета и страхования, связанного с поездками в рамках работы Наблюдательного совета), инвестиционные программы и не предоставляются иные льготы и привилегии. 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Выплата вознаграждения членам Наблюдательного совета осуществляется только денежными средствами. Не предусмотрена выплата вознаграждения акциями полностью либо частично. 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Размер, порядок и периодичность выплаты вознаграждения членам Наблюдательного совета за участие в работе Наблюдательного совета в соответствующем корпоративном году устанавливается Положением. В целях справедливого использования ресурсов Биржи и индивидуализации вознаграждения каждого члена Наблюдательного совета в случае досрочного прекращения их полномочий Положением</w:t>
      </w:r>
      <w:r w:rsidRPr="00031EF1">
        <w:rPr>
          <w:rFonts w:ascii="Calibri" w:hAnsi="Calibri" w:cs="Calibri"/>
        </w:rPr>
        <w:t xml:space="preserve"> </w:t>
      </w:r>
      <w:r w:rsidRPr="00031EF1">
        <w:rPr>
          <w:b/>
          <w:i/>
        </w:rPr>
        <w:t xml:space="preserve">по общему правилу должна предусматриваться выплата вознаграждения членам Наблюдательного совета пропорционально периоду исполнения им обязанностей члена Наблюдательного совета в течение корпоративного года. 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Помимо выплаты вознаграждения за работу в составе Наблюдательного совета и комиссиях Наблюдательного совета, членам Наблюдательного совета осуществляется оплата (компенсация) командировочных расходов, связанных с участием в заседаниях Наблюдательного совета или его комиссий, Общих собраниях акционеров, проводимых в</w:t>
      </w:r>
      <w:r w:rsidR="00A15D88">
        <w:rPr>
          <w:b/>
          <w:i/>
        </w:rPr>
        <w:t> </w:t>
      </w:r>
      <w:r w:rsidRPr="00031EF1">
        <w:rPr>
          <w:b/>
          <w:i/>
        </w:rPr>
        <w:t>форме совместного присутствия в соответствии с условиями, определенными в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Положении. 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Членам Наблюдательного совета осуществляется оплата (компенсация) командировочных расходов, связанных с участием, а также мероприятиях, участие в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которых осуществляется в рамках исполнения возложенных на членов Наблюдательного совета обязанностей. 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Перечень компенсируемых расходов установлен Положением и является исчерпывающим. Уровень обслуживания, на который могут претендовать члены Наблюдательного совета, соответствует уровню, предоставляемому членам исполнительных органов Общества в соответствии с внутренними документами, регулирующими компенсацию расходов в служебных командировках и деловых поездках. 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Членам Наблюдательного совета, осуществляющим поездки для участия в заседаниях и иных мероприятиях, проводимых вне места их проживания, оплачиваются (компенсируются) представительские расходы в размере, установленном Положением. Денежные средства, переводимые Обществом в оплату представительских расходов, используются членами Наблюдательного совета добросовестно и на основе общепринятых норм деловой этики. Не допускается осуществление представительских расходов в личных целях и для оплаты запрещенных товаров или услуг, а также услуг, использование которых </w:t>
      </w:r>
      <w:r w:rsidRPr="00031EF1">
        <w:rPr>
          <w:b/>
          <w:i/>
        </w:rPr>
        <w:lastRenderedPageBreak/>
        <w:t xml:space="preserve">может нанести ущерб репутации члена Наблюдательного совета или Биржи. 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В целях поддержания необходимого профессионального уровня членов Наблюдательного совета, по рекомендации Комиссии по назначениям и вознаграждениям Наблюдательного совета Биржи членам Наблюдательного совета может быть оплачено обучение и курсы повышения квалификации в размере и порядке, предусмотренном Положением. </w:t>
      </w:r>
    </w:p>
    <w:p w:rsid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В целях обеспечения недискриминационных условий для работы членов Наблюдательного совета, не являющихся резидентами Российской Федерации, Положением должны быть предусмотрены меры хеджирования валютных рисков, влияющих на размер вознаграждения данных членов Наблюдательного совета. </w:t>
      </w:r>
    </w:p>
    <w:p w:rsidR="00427ABE" w:rsidRPr="00031EF1" w:rsidRDefault="00427ABE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427ABE">
        <w:rPr>
          <w:b/>
          <w:i/>
        </w:rPr>
        <w:t>Председателю Наблюдательного совета могут предоставляться дополнительные компенсации и льготы, обусловленные его должностью и установленные Положением.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before="120" w:after="40" w:line="240" w:lineRule="auto"/>
        <w:ind w:left="403"/>
      </w:pPr>
      <w:r w:rsidRPr="00031EF1">
        <w:t>Совет директоров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before="20" w:after="40" w:line="240" w:lineRule="auto"/>
        <w:ind w:left="600"/>
      </w:pPr>
      <w:r w:rsidRPr="00031EF1">
        <w:t>Единица измерения:</w:t>
      </w:r>
      <w:r w:rsidRPr="00031EF1">
        <w:rPr>
          <w:b/>
          <w:bCs/>
          <w:i/>
          <w:iCs/>
        </w:rPr>
        <w:t xml:space="preserve"> тыс. руб.</w:t>
      </w:r>
    </w:p>
    <w:tbl>
      <w:tblPr>
        <w:tblW w:w="4866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121"/>
        <w:gridCol w:w="2193"/>
      </w:tblGrid>
      <w:tr w:rsidR="00031EF1" w:rsidRPr="00031EF1" w:rsidTr="00252393">
        <w:trPr>
          <w:trHeight w:val="254"/>
        </w:trPr>
        <w:tc>
          <w:tcPr>
            <w:tcW w:w="3823" w:type="pct"/>
            <w:tcBorders>
              <w:top w:val="double" w:sz="4" w:space="0" w:color="auto"/>
            </w:tcBorders>
          </w:tcPr>
          <w:p w:rsidR="00031EF1" w:rsidRPr="00031EF1" w:rsidRDefault="00031EF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b/>
              </w:rPr>
            </w:pPr>
            <w:r w:rsidRPr="00031EF1">
              <w:rPr>
                <w:b/>
              </w:rPr>
              <w:t>Наименование показателя</w:t>
            </w:r>
          </w:p>
        </w:tc>
        <w:tc>
          <w:tcPr>
            <w:tcW w:w="1177" w:type="pct"/>
            <w:tcBorders>
              <w:top w:val="double" w:sz="4" w:space="0" w:color="auto"/>
            </w:tcBorders>
          </w:tcPr>
          <w:p w:rsidR="00031EF1" w:rsidRPr="00943CD0" w:rsidRDefault="00031EF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highlight w:val="cyan"/>
              </w:rPr>
            </w:pPr>
            <w:r w:rsidRPr="00C25641">
              <w:rPr>
                <w:b/>
              </w:rPr>
              <w:t>202</w:t>
            </w:r>
            <w:r w:rsidR="00C25641" w:rsidRPr="00C25641">
              <w:rPr>
                <w:b/>
              </w:rPr>
              <w:t>4</w:t>
            </w:r>
          </w:p>
        </w:tc>
      </w:tr>
      <w:tr w:rsidR="00C25641" w:rsidRPr="00031EF1" w:rsidTr="00402203">
        <w:trPr>
          <w:trHeight w:val="254"/>
        </w:trPr>
        <w:tc>
          <w:tcPr>
            <w:tcW w:w="3823" w:type="pct"/>
          </w:tcPr>
          <w:p w:rsidR="00C25641" w:rsidRPr="00031EF1" w:rsidRDefault="00C25641" w:rsidP="00C2564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Вознаграждение за участие в работе органа управления</w:t>
            </w:r>
          </w:p>
        </w:tc>
        <w:tc>
          <w:tcPr>
            <w:tcW w:w="1177" w:type="pct"/>
            <w:vAlign w:val="center"/>
          </w:tcPr>
          <w:p w:rsidR="00C25641" w:rsidRPr="001F47C8" w:rsidRDefault="00C25641" w:rsidP="00C25641">
            <w:pPr>
              <w:spacing w:after="0" w:line="240" w:lineRule="auto"/>
              <w:jc w:val="center"/>
            </w:pPr>
            <w:r w:rsidRPr="001F47C8">
              <w:t>199 162,23</w:t>
            </w:r>
          </w:p>
        </w:tc>
      </w:tr>
      <w:tr w:rsidR="00C25641" w:rsidRPr="00031EF1" w:rsidTr="00402203">
        <w:trPr>
          <w:trHeight w:val="244"/>
        </w:trPr>
        <w:tc>
          <w:tcPr>
            <w:tcW w:w="3823" w:type="pct"/>
          </w:tcPr>
          <w:p w:rsidR="00C25641" w:rsidRPr="00031EF1" w:rsidRDefault="00C25641" w:rsidP="00C2564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Заработная плата</w:t>
            </w:r>
          </w:p>
        </w:tc>
        <w:tc>
          <w:tcPr>
            <w:tcW w:w="1177" w:type="pct"/>
            <w:vAlign w:val="center"/>
          </w:tcPr>
          <w:p w:rsidR="00C25641" w:rsidRPr="001F47C8" w:rsidRDefault="00C25641" w:rsidP="00C25641">
            <w:pPr>
              <w:spacing w:after="0" w:line="240" w:lineRule="auto"/>
              <w:jc w:val="center"/>
            </w:pPr>
            <w:r w:rsidRPr="001F47C8">
              <w:t>0,00</w:t>
            </w:r>
          </w:p>
        </w:tc>
      </w:tr>
      <w:tr w:rsidR="00C25641" w:rsidRPr="00031EF1" w:rsidTr="00402203">
        <w:trPr>
          <w:trHeight w:val="244"/>
        </w:trPr>
        <w:tc>
          <w:tcPr>
            <w:tcW w:w="3823" w:type="pct"/>
          </w:tcPr>
          <w:p w:rsidR="00C25641" w:rsidRPr="00031EF1" w:rsidRDefault="00C25641" w:rsidP="00C2564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Премии</w:t>
            </w:r>
          </w:p>
        </w:tc>
        <w:tc>
          <w:tcPr>
            <w:tcW w:w="1177" w:type="pct"/>
            <w:vAlign w:val="center"/>
          </w:tcPr>
          <w:p w:rsidR="00C25641" w:rsidRPr="001F47C8" w:rsidRDefault="00C25641" w:rsidP="00C25641">
            <w:pPr>
              <w:spacing w:after="0" w:line="240" w:lineRule="auto"/>
              <w:jc w:val="center"/>
            </w:pPr>
            <w:r w:rsidRPr="001F47C8">
              <w:t>0,00</w:t>
            </w:r>
          </w:p>
        </w:tc>
      </w:tr>
      <w:tr w:rsidR="00C25641" w:rsidRPr="00031EF1" w:rsidTr="00402203">
        <w:trPr>
          <w:trHeight w:val="244"/>
        </w:trPr>
        <w:tc>
          <w:tcPr>
            <w:tcW w:w="3823" w:type="pct"/>
          </w:tcPr>
          <w:p w:rsidR="00C25641" w:rsidRPr="00031EF1" w:rsidRDefault="00C25641" w:rsidP="00C2564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Комиссионные</w:t>
            </w:r>
          </w:p>
        </w:tc>
        <w:tc>
          <w:tcPr>
            <w:tcW w:w="1177" w:type="pct"/>
            <w:vAlign w:val="center"/>
          </w:tcPr>
          <w:p w:rsidR="00C25641" w:rsidRPr="001F47C8" w:rsidRDefault="00C25641" w:rsidP="00C25641">
            <w:pPr>
              <w:spacing w:after="0" w:line="240" w:lineRule="auto"/>
              <w:jc w:val="center"/>
            </w:pPr>
            <w:r w:rsidRPr="001F47C8">
              <w:t>0,00</w:t>
            </w:r>
          </w:p>
        </w:tc>
      </w:tr>
      <w:tr w:rsidR="00C25641" w:rsidRPr="00031EF1" w:rsidTr="00402203">
        <w:trPr>
          <w:trHeight w:val="244"/>
        </w:trPr>
        <w:tc>
          <w:tcPr>
            <w:tcW w:w="3823" w:type="pct"/>
          </w:tcPr>
          <w:p w:rsidR="00C25641" w:rsidRPr="00031EF1" w:rsidRDefault="00C25641" w:rsidP="00C2564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Иные виды вознаграждений</w:t>
            </w:r>
          </w:p>
        </w:tc>
        <w:tc>
          <w:tcPr>
            <w:tcW w:w="1177" w:type="pct"/>
            <w:vAlign w:val="center"/>
          </w:tcPr>
          <w:p w:rsidR="00C25641" w:rsidRPr="001F47C8" w:rsidRDefault="00C25641" w:rsidP="00C25641">
            <w:pPr>
              <w:spacing w:after="0" w:line="240" w:lineRule="auto"/>
              <w:jc w:val="center"/>
            </w:pPr>
            <w:r w:rsidRPr="001F47C8">
              <w:t>2 448,00</w:t>
            </w:r>
          </w:p>
        </w:tc>
      </w:tr>
      <w:tr w:rsidR="00031EF1" w:rsidRPr="00031EF1" w:rsidTr="00252393">
        <w:trPr>
          <w:trHeight w:val="244"/>
        </w:trPr>
        <w:tc>
          <w:tcPr>
            <w:tcW w:w="3823" w:type="pct"/>
            <w:tcBorders>
              <w:bottom w:val="double" w:sz="4" w:space="0" w:color="auto"/>
            </w:tcBorders>
          </w:tcPr>
          <w:p w:rsidR="00031EF1" w:rsidRPr="00031EF1" w:rsidRDefault="00031EF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b/>
              </w:rPr>
            </w:pPr>
            <w:r w:rsidRPr="00031EF1">
              <w:rPr>
                <w:b/>
              </w:rPr>
              <w:t>ИТОГО</w:t>
            </w:r>
          </w:p>
        </w:tc>
        <w:tc>
          <w:tcPr>
            <w:tcW w:w="1177" w:type="pct"/>
            <w:tcBorders>
              <w:bottom w:val="double" w:sz="4" w:space="0" w:color="auto"/>
            </w:tcBorders>
          </w:tcPr>
          <w:p w:rsidR="00031EF1" w:rsidRPr="00943CD0" w:rsidRDefault="00C25641" w:rsidP="00B8367D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highlight w:val="cyan"/>
              </w:rPr>
            </w:pPr>
            <w:r w:rsidRPr="00C25641">
              <w:t>201 610,23</w:t>
            </w:r>
          </w:p>
        </w:tc>
      </w:tr>
    </w:tbl>
    <w:p w:rsidR="00031EF1" w:rsidRPr="00031EF1" w:rsidRDefault="00031EF1" w:rsidP="00031EF1">
      <w:pPr>
        <w:widowControl w:val="0"/>
        <w:autoSpaceDE w:val="0"/>
        <w:autoSpaceDN w:val="0"/>
        <w:adjustRightInd w:val="0"/>
        <w:spacing w:before="120" w:after="40" w:line="240" w:lineRule="auto"/>
        <w:ind w:left="403"/>
      </w:pPr>
    </w:p>
    <w:p w:rsidR="00BA7234" w:rsidRPr="00031EF1" w:rsidRDefault="00BA7234" w:rsidP="00BA7234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E84618">
        <w:rPr>
          <w:b/>
          <w:i/>
          <w:u w:val="single"/>
        </w:rPr>
        <w:t>Политика по вознаграждению и компенсации расходов членов исполнительных органов.</w:t>
      </w:r>
      <w:r w:rsidRPr="00031EF1">
        <w:rPr>
          <w:b/>
          <w:i/>
        </w:rPr>
        <w:br/>
        <w:t xml:space="preserve">В рамках реализации Политики Общество стремится обеспечить конкурентоспособный уровень предоставляемого членам исполнительных органов вознаграждения, достаточного для привлечения, мотивации эффективной работы и удержания лиц, обладающих необходимой для Общества компетенцией и квалификацией. Для этого в Обществе реализована комплексная система мотивации членов исполнительных органов, включающая в себя денежное вознаграждение, социальный пакет, нематериальное стимулирование. Общество избегает устанавливать членам исполнительных органов размер вознаграждения, превышающий уровень, необходимый для достижения этих целей. </w:t>
      </w:r>
    </w:p>
    <w:p w:rsidR="00BA7234" w:rsidRPr="00031EF1" w:rsidRDefault="00BA7234" w:rsidP="00BA7234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031EF1">
        <w:rPr>
          <w:b/>
          <w:i/>
        </w:rPr>
        <w:t xml:space="preserve">Система вознаграждения членов исполнительных органов нацелена на достижение оптимального баланса между зависимостью вознаграждения от результатов деятельности Общества и от личного вклада каждого члена исполнительного органа в достижение этого результата. </w:t>
      </w:r>
    </w:p>
    <w:p w:rsidR="00BA7234" w:rsidRPr="00031EF1" w:rsidRDefault="00BA7234" w:rsidP="00BA7234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031EF1">
        <w:rPr>
          <w:b/>
          <w:i/>
        </w:rPr>
        <w:t xml:space="preserve">При формировании и пересмотре системы вознаграждения членов исполнительных органов Комиссия по назначениям и вознаграждениям проводит анализ, в том числе рыночной практики вознаграждения на основании результатов обзоров (исследований) вознаграждений, закупаемых Обществом консалтинговых компаний, и представляет рекомендации Наблюдательному совету в отношении каждой из составных частей системы вознаграждения, а также их пропорционального соотношения в целях обеспечения разумного баланса между краткосрочными и долгосрочными результатами деятельности. </w:t>
      </w:r>
    </w:p>
    <w:p w:rsidR="00BA7234" w:rsidRPr="00031EF1" w:rsidRDefault="00BA7234" w:rsidP="00BA7234">
      <w:pPr>
        <w:widowControl w:val="0"/>
        <w:autoSpaceDE w:val="0"/>
        <w:autoSpaceDN w:val="0"/>
        <w:adjustRightInd w:val="0"/>
        <w:spacing w:before="20" w:after="60" w:line="240" w:lineRule="auto"/>
        <w:jc w:val="both"/>
        <w:rPr>
          <w:b/>
          <w:i/>
        </w:rPr>
      </w:pPr>
      <w:r w:rsidRPr="00031EF1">
        <w:rPr>
          <w:b/>
          <w:i/>
        </w:rPr>
        <w:t>При разработке Политики Комиссия по назначениям и вознаграждениям приняла во внимание следующие приоритеты:</w:t>
      </w:r>
    </w:p>
    <w:p w:rsidR="00BA7234" w:rsidRPr="00031EF1" w:rsidRDefault="00285830" w:rsidP="00A3257C">
      <w:pPr>
        <w:widowControl w:val="0"/>
        <w:tabs>
          <w:tab w:val="num" w:pos="360"/>
        </w:tabs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BA7234" w:rsidRPr="00031EF1">
        <w:rPr>
          <w:b/>
          <w:bCs/>
          <w:i/>
          <w:iCs/>
        </w:rPr>
        <w:t>необходимость привлечения и удержания членов исполнительных органов требуемой квалификации</w:t>
      </w:r>
      <w:r>
        <w:rPr>
          <w:b/>
          <w:bCs/>
          <w:i/>
          <w:iCs/>
        </w:rPr>
        <w:t xml:space="preserve"> и деловой репутации</w:t>
      </w:r>
      <w:r w:rsidR="00BA7234" w:rsidRPr="00031EF1">
        <w:rPr>
          <w:b/>
          <w:bCs/>
          <w:i/>
          <w:iCs/>
        </w:rPr>
        <w:t>;</w:t>
      </w:r>
    </w:p>
    <w:p w:rsidR="00BA7234" w:rsidRPr="00031EF1" w:rsidRDefault="00285830" w:rsidP="00A3257C">
      <w:pPr>
        <w:widowControl w:val="0"/>
        <w:tabs>
          <w:tab w:val="num" w:pos="360"/>
        </w:tabs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BA7234" w:rsidRPr="00031EF1">
        <w:rPr>
          <w:b/>
          <w:bCs/>
          <w:i/>
          <w:iCs/>
        </w:rPr>
        <w:t>намерение Общества следовать лучшим рыночным практикам в области вознаграждения;</w:t>
      </w:r>
    </w:p>
    <w:p w:rsidR="00BA7234" w:rsidRPr="00031EF1" w:rsidRDefault="00285830" w:rsidP="00A3257C">
      <w:pPr>
        <w:widowControl w:val="0"/>
        <w:tabs>
          <w:tab w:val="num" w:pos="360"/>
        </w:tabs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BA7234" w:rsidRPr="00031EF1">
        <w:rPr>
          <w:b/>
          <w:bCs/>
          <w:i/>
          <w:iCs/>
        </w:rPr>
        <w:t>зависимость уровня вознаграждения от результатов деятельности членов исполнительных органов и Общества в целом;</w:t>
      </w:r>
    </w:p>
    <w:p w:rsidR="00BA7234" w:rsidRPr="00031EF1" w:rsidRDefault="00285830" w:rsidP="00A3257C">
      <w:pPr>
        <w:widowControl w:val="0"/>
        <w:tabs>
          <w:tab w:val="num" w:pos="360"/>
        </w:tabs>
        <w:autoSpaceDE w:val="0"/>
        <w:autoSpaceDN w:val="0"/>
        <w:adjustRightInd w:val="0"/>
        <w:spacing w:before="20" w:after="120" w:line="240" w:lineRule="auto"/>
        <w:jc w:val="both"/>
        <w:rPr>
          <w:b/>
          <w:i/>
        </w:rPr>
      </w:pPr>
      <w:r>
        <w:rPr>
          <w:b/>
          <w:bCs/>
          <w:i/>
          <w:iCs/>
        </w:rPr>
        <w:t xml:space="preserve">- </w:t>
      </w:r>
      <w:r w:rsidR="00BA7234" w:rsidRPr="00031EF1">
        <w:rPr>
          <w:b/>
          <w:bCs/>
          <w:i/>
          <w:iCs/>
        </w:rPr>
        <w:t>акцент на</w:t>
      </w:r>
      <w:r w:rsidR="00BA7234" w:rsidRPr="00031EF1">
        <w:rPr>
          <w:b/>
          <w:i/>
        </w:rPr>
        <w:t xml:space="preserve"> росте стоимости акций Общества. </w:t>
      </w:r>
    </w:p>
    <w:p w:rsidR="00BA7234" w:rsidRPr="00031EF1" w:rsidRDefault="00BA7234" w:rsidP="0091539E">
      <w:pPr>
        <w:widowControl w:val="0"/>
        <w:autoSpaceDE w:val="0"/>
        <w:autoSpaceDN w:val="0"/>
        <w:adjustRightInd w:val="0"/>
        <w:spacing w:before="20" w:after="120" w:line="240" w:lineRule="auto"/>
        <w:contextualSpacing/>
        <w:jc w:val="both"/>
        <w:rPr>
          <w:b/>
          <w:i/>
        </w:rPr>
      </w:pPr>
      <w:r w:rsidRPr="00031EF1">
        <w:rPr>
          <w:b/>
          <w:i/>
        </w:rPr>
        <w:t xml:space="preserve">Основными элементами вознаграждения (в целях Политики) являются: </w:t>
      </w:r>
    </w:p>
    <w:p w:rsidR="00285830" w:rsidRPr="00285830" w:rsidRDefault="00285830" w:rsidP="00A6096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20" w:after="40" w:line="240" w:lineRule="auto"/>
        <w:ind w:left="284" w:hanging="284"/>
        <w:jc w:val="both"/>
        <w:rPr>
          <w:b/>
          <w:bCs/>
          <w:i/>
          <w:iCs/>
        </w:rPr>
      </w:pPr>
      <w:r w:rsidRPr="00285830">
        <w:rPr>
          <w:b/>
          <w:bCs/>
          <w:i/>
          <w:iCs/>
        </w:rPr>
        <w:t>Фиксированная часть оплаты труда:</w:t>
      </w:r>
    </w:p>
    <w:p w:rsidR="00285830" w:rsidRPr="00285830" w:rsidRDefault="00285830" w:rsidP="00285830">
      <w:pPr>
        <w:widowControl w:val="0"/>
        <w:autoSpaceDE w:val="0"/>
        <w:autoSpaceDN w:val="0"/>
        <w:adjustRightInd w:val="0"/>
        <w:spacing w:before="20" w:after="40" w:line="240" w:lineRule="auto"/>
        <w:ind w:left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- </w:t>
      </w:r>
      <w:r w:rsidRPr="00285830">
        <w:rPr>
          <w:b/>
          <w:bCs/>
          <w:i/>
          <w:iCs/>
        </w:rPr>
        <w:t>оклад (должностной оклад);</w:t>
      </w:r>
    </w:p>
    <w:p w:rsidR="00285830" w:rsidRPr="00285830" w:rsidRDefault="00285830" w:rsidP="00285830">
      <w:pPr>
        <w:widowControl w:val="0"/>
        <w:autoSpaceDE w:val="0"/>
        <w:autoSpaceDN w:val="0"/>
        <w:adjustRightInd w:val="0"/>
        <w:spacing w:before="20" w:after="40" w:line="240" w:lineRule="auto"/>
        <w:ind w:left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Pr="00285830">
        <w:rPr>
          <w:b/>
          <w:bCs/>
          <w:i/>
          <w:iCs/>
        </w:rPr>
        <w:t>доплаты и надбавки компенсационного и стимулирующего характера.</w:t>
      </w:r>
    </w:p>
    <w:p w:rsidR="00285830" w:rsidRPr="00285830" w:rsidRDefault="00285830" w:rsidP="00A6096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20" w:after="40" w:line="240" w:lineRule="auto"/>
        <w:ind w:left="284" w:hanging="284"/>
        <w:jc w:val="both"/>
        <w:rPr>
          <w:b/>
          <w:bCs/>
          <w:i/>
          <w:iCs/>
        </w:rPr>
      </w:pPr>
      <w:r w:rsidRPr="00285830">
        <w:rPr>
          <w:b/>
          <w:bCs/>
          <w:i/>
          <w:iCs/>
        </w:rPr>
        <w:t>Нефиксированная (переменная) часть оплаты труда:</w:t>
      </w:r>
    </w:p>
    <w:p w:rsidR="00285830" w:rsidRPr="00285830" w:rsidRDefault="00285830" w:rsidP="000E4D98">
      <w:pPr>
        <w:widowControl w:val="0"/>
        <w:autoSpaceDE w:val="0"/>
        <w:autoSpaceDN w:val="0"/>
        <w:adjustRightInd w:val="0"/>
        <w:spacing w:before="20" w:after="40" w:line="240" w:lineRule="auto"/>
        <w:ind w:left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Pr="00285830">
        <w:rPr>
          <w:b/>
          <w:bCs/>
          <w:i/>
          <w:iCs/>
        </w:rPr>
        <w:t>краткосрочное вознаграждение – премия по результатам работы за год (далее - годовая премия или годовой бонус), разовая премия;</w:t>
      </w:r>
    </w:p>
    <w:p w:rsidR="00285830" w:rsidRPr="00285830" w:rsidRDefault="00285830" w:rsidP="000E4D98">
      <w:pPr>
        <w:widowControl w:val="0"/>
        <w:autoSpaceDE w:val="0"/>
        <w:autoSpaceDN w:val="0"/>
        <w:adjustRightInd w:val="0"/>
        <w:spacing w:before="20" w:after="40" w:line="240" w:lineRule="auto"/>
        <w:ind w:left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Pr="00285830">
        <w:rPr>
          <w:b/>
          <w:bCs/>
          <w:i/>
          <w:iCs/>
        </w:rPr>
        <w:t>долгосрочное вознаграждение - вознаграждение в рамках программ долгосрочной мотивации (в т.ч. основанных на акциях ПАО Московская Биржа);</w:t>
      </w:r>
    </w:p>
    <w:p w:rsidR="00285830" w:rsidRPr="00285830" w:rsidRDefault="00285830" w:rsidP="00A6096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20" w:after="40" w:line="240" w:lineRule="auto"/>
        <w:ind w:left="284" w:hanging="284"/>
        <w:jc w:val="both"/>
        <w:rPr>
          <w:b/>
          <w:bCs/>
          <w:i/>
          <w:iCs/>
        </w:rPr>
      </w:pPr>
      <w:r w:rsidRPr="00285830">
        <w:rPr>
          <w:b/>
          <w:bCs/>
          <w:i/>
          <w:iCs/>
        </w:rPr>
        <w:t>Нестандартные выплаты и льготы.</w:t>
      </w:r>
    </w:p>
    <w:p w:rsidR="00BA7234" w:rsidRPr="00031EF1" w:rsidRDefault="00BA7234" w:rsidP="00BA7234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031EF1">
        <w:rPr>
          <w:b/>
          <w:i/>
        </w:rPr>
        <w:t>Структура элементов вознаграждения и их соотношение устанавливается индивидуально как проценты в целевом годовом доходе и дифференцировано в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зависимости от степени влияния члена исполнительного органа на финансовые показатели Общества </w:t>
      </w:r>
    </w:p>
    <w:p w:rsidR="00BA7234" w:rsidRPr="00031EF1" w:rsidRDefault="00BA7234" w:rsidP="00BA7234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031EF1">
        <w:rPr>
          <w:b/>
          <w:i/>
        </w:rPr>
        <w:t>Вне зависимости от принятых Обществом процедур и подходов к применению тех или иных видов вознаграждения, Общество стремится избегать возникновения конфликта интересов при определении вознаграждения конкретного лица, в частности при обсуждении и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принятии решения по размеру вознаграждения с участием лица, вознаграждение которого обсуждается. 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before="120" w:after="40" w:line="240" w:lineRule="auto"/>
        <w:ind w:left="403"/>
      </w:pPr>
      <w:r w:rsidRPr="00031EF1">
        <w:t>Коллегиальный исполнительный орган</w:t>
      </w:r>
    </w:p>
    <w:p w:rsidR="00031EF1" w:rsidRPr="00031EF1" w:rsidRDefault="00031EF1" w:rsidP="00031EF1">
      <w:pPr>
        <w:widowControl w:val="0"/>
        <w:autoSpaceDE w:val="0"/>
        <w:autoSpaceDN w:val="0"/>
        <w:adjustRightInd w:val="0"/>
        <w:spacing w:before="20" w:after="40" w:line="240" w:lineRule="auto"/>
        <w:ind w:left="600"/>
      </w:pPr>
      <w:r w:rsidRPr="00031EF1">
        <w:t>Единица измерения:</w:t>
      </w:r>
      <w:r w:rsidRPr="00031EF1">
        <w:rPr>
          <w:b/>
          <w:bCs/>
          <w:i/>
          <w:iCs/>
        </w:rPr>
        <w:t xml:space="preserve"> тыс. руб.</w:t>
      </w:r>
    </w:p>
    <w:tbl>
      <w:tblPr>
        <w:tblW w:w="4888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471"/>
        <w:gridCol w:w="1886"/>
      </w:tblGrid>
      <w:tr w:rsidR="00031EF1" w:rsidRPr="00031EF1" w:rsidTr="00E35306">
        <w:trPr>
          <w:trHeight w:val="254"/>
        </w:trPr>
        <w:tc>
          <w:tcPr>
            <w:tcW w:w="3992" w:type="pct"/>
            <w:tcBorders>
              <w:top w:val="double" w:sz="4" w:space="0" w:color="auto"/>
            </w:tcBorders>
          </w:tcPr>
          <w:p w:rsidR="00031EF1" w:rsidRPr="00031EF1" w:rsidRDefault="00031EF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rPr>
                <w:b/>
              </w:rPr>
              <w:t>Наименование показателя</w:t>
            </w:r>
          </w:p>
        </w:tc>
        <w:tc>
          <w:tcPr>
            <w:tcW w:w="1008" w:type="pct"/>
            <w:tcBorders>
              <w:top w:val="double" w:sz="4" w:space="0" w:color="auto"/>
            </w:tcBorders>
          </w:tcPr>
          <w:p w:rsidR="00031EF1" w:rsidRPr="00031EF1" w:rsidRDefault="00031EF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 w:rsidRPr="00031EF1">
              <w:rPr>
                <w:b/>
              </w:rPr>
              <w:t>202</w:t>
            </w:r>
            <w:r w:rsidR="00C25641">
              <w:rPr>
                <w:b/>
              </w:rPr>
              <w:t>4</w:t>
            </w:r>
          </w:p>
        </w:tc>
      </w:tr>
      <w:tr w:rsidR="00031EF1" w:rsidRPr="00031EF1" w:rsidTr="00E35306">
        <w:trPr>
          <w:trHeight w:val="254"/>
        </w:trPr>
        <w:tc>
          <w:tcPr>
            <w:tcW w:w="3992" w:type="pct"/>
          </w:tcPr>
          <w:p w:rsidR="00031EF1" w:rsidRPr="00031EF1" w:rsidRDefault="00031EF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Вознаграждение за участие в работе органа управления</w:t>
            </w:r>
          </w:p>
        </w:tc>
        <w:tc>
          <w:tcPr>
            <w:tcW w:w="1008" w:type="pct"/>
          </w:tcPr>
          <w:p w:rsidR="00031EF1" w:rsidRPr="00031EF1" w:rsidRDefault="00031EF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 w:rsidRPr="00950880">
              <w:t>0,00</w:t>
            </w:r>
          </w:p>
        </w:tc>
      </w:tr>
      <w:tr w:rsidR="00031EF1" w:rsidRPr="00031EF1" w:rsidTr="00E35306">
        <w:trPr>
          <w:trHeight w:val="244"/>
        </w:trPr>
        <w:tc>
          <w:tcPr>
            <w:tcW w:w="3992" w:type="pct"/>
          </w:tcPr>
          <w:p w:rsidR="00031EF1" w:rsidRPr="00031EF1" w:rsidRDefault="00031EF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Заработная плата</w:t>
            </w:r>
          </w:p>
        </w:tc>
        <w:tc>
          <w:tcPr>
            <w:tcW w:w="1008" w:type="pct"/>
          </w:tcPr>
          <w:p w:rsidR="00031EF1" w:rsidRPr="00031EF1" w:rsidRDefault="00C2564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>
              <w:t>235 369,48</w:t>
            </w:r>
          </w:p>
        </w:tc>
      </w:tr>
      <w:tr w:rsidR="00031EF1" w:rsidRPr="00031EF1" w:rsidTr="00E35306">
        <w:trPr>
          <w:trHeight w:val="244"/>
        </w:trPr>
        <w:tc>
          <w:tcPr>
            <w:tcW w:w="3992" w:type="pct"/>
          </w:tcPr>
          <w:p w:rsidR="00031EF1" w:rsidRPr="00031EF1" w:rsidRDefault="00031EF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Премии</w:t>
            </w:r>
          </w:p>
        </w:tc>
        <w:tc>
          <w:tcPr>
            <w:tcW w:w="1008" w:type="pct"/>
          </w:tcPr>
          <w:p w:rsidR="00031EF1" w:rsidRPr="00031EF1" w:rsidRDefault="00C2564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>
              <w:t>1 291 352,49</w:t>
            </w:r>
          </w:p>
        </w:tc>
      </w:tr>
      <w:tr w:rsidR="00031EF1" w:rsidRPr="00031EF1" w:rsidTr="00E35306">
        <w:trPr>
          <w:trHeight w:val="244"/>
        </w:trPr>
        <w:tc>
          <w:tcPr>
            <w:tcW w:w="3992" w:type="pct"/>
          </w:tcPr>
          <w:p w:rsidR="00031EF1" w:rsidRPr="00031EF1" w:rsidRDefault="00031EF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Комиссионные</w:t>
            </w:r>
          </w:p>
        </w:tc>
        <w:tc>
          <w:tcPr>
            <w:tcW w:w="1008" w:type="pct"/>
          </w:tcPr>
          <w:p w:rsidR="00031EF1" w:rsidRPr="00031EF1" w:rsidRDefault="00031EF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 w:rsidRPr="00950880">
              <w:t>0,00</w:t>
            </w:r>
          </w:p>
        </w:tc>
      </w:tr>
      <w:tr w:rsidR="00031EF1" w:rsidRPr="00031EF1" w:rsidTr="00E35306">
        <w:trPr>
          <w:trHeight w:val="244"/>
        </w:trPr>
        <w:tc>
          <w:tcPr>
            <w:tcW w:w="3992" w:type="pct"/>
          </w:tcPr>
          <w:p w:rsidR="00031EF1" w:rsidRPr="00031EF1" w:rsidRDefault="00031EF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Иные виды вознаграждений</w:t>
            </w:r>
          </w:p>
        </w:tc>
        <w:tc>
          <w:tcPr>
            <w:tcW w:w="1008" w:type="pct"/>
          </w:tcPr>
          <w:p w:rsidR="00031EF1" w:rsidRPr="00031EF1" w:rsidRDefault="00C2564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>
              <w:t>809 407,46</w:t>
            </w:r>
          </w:p>
        </w:tc>
      </w:tr>
      <w:tr w:rsidR="00031EF1" w:rsidRPr="00031EF1" w:rsidTr="00E35306">
        <w:trPr>
          <w:trHeight w:val="30"/>
        </w:trPr>
        <w:tc>
          <w:tcPr>
            <w:tcW w:w="3992" w:type="pct"/>
            <w:tcBorders>
              <w:bottom w:val="double" w:sz="4" w:space="0" w:color="auto"/>
            </w:tcBorders>
          </w:tcPr>
          <w:p w:rsidR="00031EF1" w:rsidRPr="00031EF1" w:rsidRDefault="00031EF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b/>
              </w:rPr>
            </w:pPr>
            <w:r w:rsidRPr="00031EF1">
              <w:rPr>
                <w:b/>
              </w:rPr>
              <w:t>ИТОГО</w:t>
            </w:r>
          </w:p>
        </w:tc>
        <w:tc>
          <w:tcPr>
            <w:tcW w:w="1008" w:type="pct"/>
            <w:tcBorders>
              <w:bottom w:val="double" w:sz="4" w:space="0" w:color="auto"/>
            </w:tcBorders>
          </w:tcPr>
          <w:p w:rsidR="00031EF1" w:rsidRPr="003778EA" w:rsidRDefault="00C2564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>
              <w:t>2 336 129,44</w:t>
            </w:r>
          </w:p>
        </w:tc>
      </w:tr>
    </w:tbl>
    <w:p w:rsidR="00A15D88" w:rsidRDefault="00A15D88" w:rsidP="00A15D8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66609" w:rsidRPr="00031EF1" w:rsidRDefault="00031EF1" w:rsidP="00A15D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031EF1">
        <w:t>Сведения о принятых уполномоченными органами управления эмитента решениях и (или) существующих соглашениях относительно размера такого вознаграждения, подлежащего выплате, и (или) размера таких расходов, подлежащих компенсации:</w:t>
      </w:r>
      <w:r w:rsidR="00B8367D">
        <w:t xml:space="preserve"> </w:t>
      </w:r>
      <w:r w:rsidRPr="00031EF1">
        <w:rPr>
          <w:b/>
          <w:i/>
        </w:rPr>
        <w:t>о</w:t>
      </w:r>
      <w:r w:rsidRPr="00031EF1">
        <w:rPr>
          <w:b/>
          <w:bCs/>
          <w:i/>
          <w:iCs/>
        </w:rPr>
        <w:t>тсутствуют.</w:t>
      </w:r>
    </w:p>
    <w:p w:rsidR="00B930FB" w:rsidRDefault="00B930FB" w:rsidP="00A15D88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bookmarkStart w:id="233" w:name="_Toc113954743"/>
      <w:bookmarkStart w:id="234" w:name="_Toc139292052"/>
      <w:bookmarkStart w:id="235" w:name="_Toc161055622"/>
      <w:bookmarkStart w:id="236" w:name="_Toc193300371"/>
      <w:bookmarkStart w:id="237" w:name="_Toc193301452"/>
      <w:r w:rsidRPr="00E84618">
        <w:rPr>
          <w:b/>
          <w:bCs/>
        </w:rPr>
        <w:t>2.3. Сведения об организации в эмитенте управления рисками, контроля за финансово-хозяйственной деятельностью, внутреннего контроля и внутреннего аудита</w:t>
      </w:r>
      <w:bookmarkEnd w:id="233"/>
      <w:bookmarkEnd w:id="234"/>
      <w:bookmarkEnd w:id="235"/>
      <w:bookmarkEnd w:id="236"/>
      <w:bookmarkEnd w:id="237"/>
    </w:p>
    <w:p w:rsidR="00A1061D" w:rsidRDefault="00A1061D" w:rsidP="00A1061D">
      <w:pPr>
        <w:autoSpaceDE w:val="0"/>
        <w:autoSpaceDN w:val="0"/>
        <w:spacing w:before="200"/>
        <w:ind w:firstLine="540"/>
        <w:contextualSpacing/>
        <w:jc w:val="both"/>
        <w:rPr>
          <w:b/>
          <w:bCs/>
          <w:i/>
          <w:color w:val="000000"/>
          <w:lang w:eastAsia="en-US"/>
        </w:rPr>
      </w:pPr>
      <w:bookmarkStart w:id="238" w:name="_Toc113954744"/>
      <w:bookmarkStart w:id="239" w:name="_Toc139292053"/>
      <w:bookmarkStart w:id="240" w:name="_Toc161055623"/>
      <w:r>
        <w:rPr>
          <w:b/>
          <w:bCs/>
          <w:i/>
          <w:color w:val="000000"/>
          <w:lang w:eastAsia="en-US"/>
        </w:rPr>
        <w:t>Эмитентом в соответствии с требованиями законодательства организована система управления рисками, контроля за финансово-хозяйственной деятельностью, внутреннего контроля и внутреннего аудита.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Система управления рисками Эмитента соответствует характеру и объему совершаемых Эмитентом операций и содержит меры, направленные на снижение рисков, систему мониторинга рисков, обеспечивающую доведение необходимой информации до сведения органов управления Эмитента, а также процесс управления основными группами рисков, которые могут негативно повлиять на его деятельность. 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Целью функционирования системы управления рисками Эмитента является ограничение принимаемых рисков по всем направлениям деятельности в соответствии с собственными стратегическими задачами и целями, обеспечение достаточности собственных средств на покрытие принимаемых рисков и обеспечение надежного функционирования бизнес-процессов.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Эмитент совмещает деятельность в качестве организатора торговли с деятельностью оператора финансовой платформы и оператора </w:t>
      </w:r>
      <w:bookmarkStart w:id="241" w:name="_Hlk144193067"/>
      <w:r>
        <w:rPr>
          <w:b/>
          <w:i/>
          <w:color w:val="000000"/>
          <w:lang w:eastAsia="en-US"/>
        </w:rPr>
        <w:t>обмена цифровых финансовых активов</w:t>
      </w:r>
      <w:bookmarkEnd w:id="241"/>
      <w:r>
        <w:rPr>
          <w:b/>
          <w:i/>
          <w:color w:val="000000"/>
          <w:lang w:eastAsia="en-US"/>
        </w:rPr>
        <w:t>.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Управление рисками, связанными с осуществлением деятельности организатора торговли, оператора финансовой платформы и оператора обмена цифровых финансовых </w:t>
      </w:r>
      <w:r>
        <w:rPr>
          <w:b/>
          <w:i/>
          <w:color w:val="000000"/>
          <w:lang w:eastAsia="en-US"/>
        </w:rPr>
        <w:lastRenderedPageBreak/>
        <w:t xml:space="preserve">активов, осуществляется в соответствии с требованиями Банка России, а также с учетом рекомендаций международных организаций в части стандартов управления рисками (BIS, BCBS, CPSS, IOSCO и др.). 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Эмитентом разработаны и утверждены правила управления рисками, связанными с осуществлением деятельности организатора торговли, оператора обмена цифровых финансовых активов, и Правила управления рисками, связанными с осуществлением деятельности оператора финансовой платформы, которые, в частности, устанавливают принципы и цели управления рисками, связанными с осуществлением деятельности организатора торговли, оператора цифровых финансовых активов и оператора финансовой платформы.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В рамках системы мер по минимизации риска, связанного с совмещением деятельности, Эмитент принимает меры, направленные на выявление конфликта интересов, связанного с таким совмещением, предотвращение негативных последствий данного конфликта интересов, выражающегося в нарушении прав и законных интересов потребителей финансовых услуг, а также на минимизацию риска этих последствий.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Функции по организации управления рисками распределены между Наблюдательным советом, исполнительными органами, подразделениями и руководителями подразделений, ответственными за определенные направления деятельности Биржи, в рамках которых возможно возникновение рисков, специально созданным подразделением, отвечающим за систему управления рисками, возникающими в деятельности организатора торговли, а также подразделениями и руководителями подразделений, ответственными за управление отдельными видами рисков. 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:rsidR="00A1061D" w:rsidRPr="00811C22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811C22">
        <w:rPr>
          <w:b/>
          <w:i/>
          <w:color w:val="000000"/>
          <w:lang w:eastAsia="en-US"/>
        </w:rPr>
        <w:t xml:space="preserve">Контроль за финансово-хозяйственной деятельностью Эмитента осуществляется органами управления Эмитента (Общим собранием акционеров, Наблюдательным советом, Правлением, Председателем Правления) каждый – в соответствии с полномочиями, определенными Уставом Эмитента и конкретизированными во внутренних документах, Комиссией по аудиту Наблюдательного совета, внутренними структурными подразделениями и специальными должностными лицами Эмитента, осуществляющими внутренний контроль за финансово-хозяйственной деятельностью в соответствии с полномочиями, определяемыми внутренними документами. 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811C22">
        <w:rPr>
          <w:b/>
          <w:i/>
          <w:color w:val="000000"/>
          <w:lang w:eastAsia="en-US"/>
        </w:rPr>
        <w:t xml:space="preserve">Для проверки и подтверждения достоверности бухгалтерской (финансовой) отчетности, подготовленной в соответствии с законодательством Российской Федерации, а также финансовой отчетности, подготовленной в соответствии с Международными стандартами финансовой отчетности, Эмитент на договорной основе привлекает аудиторскую организацию, осуществляющую аудиторскую деятельность в соответствии с законодательством Российской Федерации и Международными стандартами аудита. </w:t>
      </w:r>
    </w:p>
    <w:p w:rsidR="00A1061D" w:rsidRPr="00811C22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:rsidR="00A1061D" w:rsidRPr="00811C22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811C22">
        <w:rPr>
          <w:b/>
          <w:i/>
          <w:color w:val="000000"/>
          <w:lang w:eastAsia="en-US"/>
        </w:rPr>
        <w:t>Внутренний контроль осуществляется Эмитентом в соответствии с Положением о внутреннем контроле Эмитента в целях обеспечения контроля за соответствием деятельности, осуществляемой Эмитентом на основании лицензии биржи, требованиям федеральных законов и принятых в соответствии с ними нормативных актов, правилам организованных торгов, а также учредительным и внутренним документам Биржи, эффективностью и результативностью финансово</w:t>
      </w:r>
      <w:r w:rsidRPr="00811C22">
        <w:rPr>
          <w:b/>
          <w:i/>
          <w:color w:val="000000"/>
          <w:lang w:eastAsia="en-US"/>
        </w:rPr>
        <w:softHyphen/>
        <w:t>-хозяйственной деятельности, эффективностью управления активами и пассивами, включая обеспечение сохранности активов, эффективностью управления рисками организатора торговли, а также совокупность направлений и способов осуществления контроля.</w:t>
      </w:r>
    </w:p>
    <w:p w:rsidR="00A1061D" w:rsidRPr="00811C22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811C22">
        <w:rPr>
          <w:b/>
          <w:i/>
          <w:color w:val="000000"/>
          <w:lang w:eastAsia="en-US"/>
        </w:rPr>
        <w:t xml:space="preserve"> Поскольку Эмитент совмещает деятельность в качестве организатора торговли с деятельностью оператора финансовой платформы, внутренний контроль также осуществляется в целях обеспечения контроля за соответствием деятельности, осуществляемой Эмитентом в качестве оператора финансовой платформы требованиям федеральных законов и принятых в соответствии с ними нормативных актов, правилам </w:t>
      </w:r>
      <w:r w:rsidRPr="00811C22">
        <w:rPr>
          <w:b/>
          <w:i/>
          <w:color w:val="000000"/>
          <w:lang w:eastAsia="en-US"/>
        </w:rPr>
        <w:lastRenderedPageBreak/>
        <w:t>оператора финансовой платформы, а также требованиям Устава и внутренних документов Эмитента.</w:t>
      </w:r>
    </w:p>
    <w:p w:rsidR="00A1061D" w:rsidRPr="00811C22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811C22">
        <w:rPr>
          <w:b/>
          <w:i/>
          <w:color w:val="000000"/>
          <w:lang w:eastAsia="en-US"/>
        </w:rPr>
        <w:t>Также внутренний контроль осуществляется в целях обеспечения контроля за соответствием деятельности, осуществляемой Эмитентом в качестве оператора обмена цифровых финансовых активов согласно требованиям федеральных законов и принятых в соответствии с ними нормативных актов, правилам обмена цифровых финансовых активов.</w:t>
      </w:r>
    </w:p>
    <w:p w:rsidR="00A1061D" w:rsidRPr="00811C22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811C22">
        <w:rPr>
          <w:b/>
          <w:i/>
          <w:color w:val="000000"/>
          <w:lang w:eastAsia="en-US"/>
        </w:rPr>
        <w:t xml:space="preserve">Система внутреннего контроля Эмитента базируется на концепции COSO по внутреннему контролю и построена по модели Трёх линий защиты, в соответствии с которой обязанности в рамках управления рисками и внутреннего контроля распределены между органами управления, подразделениями, осуществляющими контрольные и координирующие функции и внутренним аудитом. </w:t>
      </w:r>
    </w:p>
    <w:p w:rsidR="00A1061D" w:rsidRPr="00811C22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811C22">
        <w:rPr>
          <w:b/>
          <w:i/>
          <w:color w:val="000000"/>
          <w:lang w:eastAsia="en-US"/>
        </w:rPr>
        <w:t xml:space="preserve">Первой линией защиты являются все сотрудники бизнес-функций и операционных подразделений Эмитента. Первая линия защиты осуществляет выявление, оценку и управление рисками, присущих ежедневной деятельности, разработку и реализацию политик и процедур, регламентирующих действующие бизнес-процессы. </w:t>
      </w:r>
    </w:p>
    <w:p w:rsidR="00A1061D" w:rsidRPr="00811C22" w:rsidRDefault="00A1061D" w:rsidP="00A1061D">
      <w:pPr>
        <w:spacing w:after="0"/>
        <w:ind w:firstLine="411"/>
        <w:jc w:val="both"/>
        <w:rPr>
          <w:b/>
          <w:i/>
          <w:color w:val="000000"/>
          <w:lang w:eastAsia="en-US"/>
        </w:rPr>
      </w:pPr>
      <w:r w:rsidRPr="00811C22">
        <w:rPr>
          <w:b/>
          <w:i/>
          <w:color w:val="000000"/>
          <w:lang w:eastAsia="en-US"/>
        </w:rPr>
        <w:t xml:space="preserve">Второй линией защиты являются Департамент операционных рисков, информационной безопасности и непрерывности бизнеса, Департамент по внутреннему контролю и комплаенсу, Служба внутреннего контроля, Управление финансовых рисков (в части финансовых рисков, в том числе связанных с осуществлением операций с собственным имуществом), Департамент безопасности, Юридический департамент, Департамент по персоналу и кадровой политики, а также отдельные сотрудники и подразделения Блока Финансов осуществляющие непрерывный мониторинг и управление рисками, а также осуществляющие контрольные функции за соответствием деятельности требованиям законодательства, правилам организованных торгов, </w:t>
      </w:r>
      <w:r w:rsidRPr="00811C22">
        <w:rPr>
          <w:b/>
          <w:bCs/>
          <w:i/>
          <w:iCs/>
          <w:color w:val="000000"/>
          <w:lang w:eastAsia="en-US"/>
        </w:rPr>
        <w:t xml:space="preserve">правилам финансовой платформы, правилам обмена цифровых финансовых активов, </w:t>
      </w:r>
      <w:r w:rsidRPr="00811C22">
        <w:rPr>
          <w:b/>
          <w:i/>
          <w:color w:val="000000"/>
          <w:lang w:eastAsia="en-US"/>
        </w:rPr>
        <w:t>а также учредительным и внутренним документам Эмитента. Указанные подразделения осуществляет непрерывный мониторинг процессов внутреннего контроля и управления рисками, оказывают поддержку подразделениям первой линии защиты по вопросам управления рисками, разработки и внедрения контрольных процедур, разъяснения требований применимого законодательства, подготовки отчетности по результатам мониторинга для органов управления. Каждое из указанных подразделений в тесном сотрудничестве с подразделениями первой линии обеспечивает надлежащее осуществление внутреннего контроля.</w:t>
      </w:r>
    </w:p>
    <w:p w:rsidR="00A1061D" w:rsidRPr="00811C22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811C22">
        <w:rPr>
          <w:b/>
          <w:i/>
          <w:color w:val="000000"/>
          <w:lang w:eastAsia="en-US"/>
        </w:rPr>
        <w:t xml:space="preserve">Третья линия защиты – Служба внутреннего аудита, организующая и осуществляющая в соответствии с внутренними документами Эмитента внутренний аудит, включающий систематическую независимую оценку надежности, результативности и эффективности процессов, разработанных первой и второй линиями защиты. Третья линия защиты предоставляет независимую и объективную информацию органам управления Эмитента об эффективности построения работы первой и второй линии защиты и результатах ежегодной оценки эффективности систем внутреннего контроля и управления рисками в целом. 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:rsidR="00A1061D" w:rsidRDefault="00A1061D" w:rsidP="00A1061D">
      <w:pPr>
        <w:spacing w:after="0"/>
        <w:ind w:firstLine="567"/>
        <w:contextualSpacing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>В соответствии с п. 2 ст. 87.1 Федерального закона от 26.12.1995 N 208-ФЗ «Об акционерных обществах» Эмитентом осуществляется внутренний аудит.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>Внутренний аудит является деятельностью по предоставлению независимых и объективных гарантий и консультаций, направленной на совершенствование работы Эмитента.  Внутренний аудит помогает Эмитенту достичь поставленных целей, используя систематизированный и последовательный подход к оценке и повышению эффективности процессов управления рисками, внутреннего контроля и корпоративного управления.</w:t>
      </w:r>
    </w:p>
    <w:p w:rsidR="00A1061D" w:rsidRDefault="00A1061D" w:rsidP="00A1061D">
      <w:pPr>
        <w:spacing w:before="120" w:after="120"/>
        <w:ind w:firstLine="567"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 xml:space="preserve"> Концепция внутреннего аудита включает в себя следующие компоненты:</w:t>
      </w:r>
    </w:p>
    <w:p w:rsidR="00A1061D" w:rsidRDefault="00A1061D" w:rsidP="00A6096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внутренний аудит проводится на условиях максимальной эффективности и оптимального использования ресурсов;</w:t>
      </w:r>
    </w:p>
    <w:p w:rsidR="00A1061D" w:rsidRDefault="00A1061D" w:rsidP="00A6096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внутренний аудит гарантирует, что вселенная аудита включает в себя все направления деятельности Эмитента, что каждый объект аудита оценивается с точки зрения рисков и частота проверок этого объекта связана с его уровнем риска, что трехлетний аудиторский план охватывает всю вселенную аудита;</w:t>
      </w:r>
    </w:p>
    <w:p w:rsidR="00A1061D" w:rsidRDefault="00A1061D" w:rsidP="00A6096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внутренние аудиторы постоянно совершенствуют свои методы работы и навыки;</w:t>
      </w:r>
    </w:p>
    <w:p w:rsidR="00A1061D" w:rsidRDefault="00A1061D" w:rsidP="00A6096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современные способы работы с информацией, необходимые для оценки бизнес-процессов, позволяют посредством внутреннего аудита получать всестороннее и многоуровневое понимание операций;</w:t>
      </w:r>
    </w:p>
    <w:p w:rsidR="00A1061D" w:rsidRDefault="00A1061D" w:rsidP="00A6096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внутренний аудит использует наиболее оптимальные способы взаимодействия со всеми заинтересованными сторонами, способствует построению конструктивного диалога с проверяемыми подразделениями;</w:t>
      </w:r>
    </w:p>
    <w:p w:rsidR="00A1061D" w:rsidRDefault="00A1061D" w:rsidP="00A6096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квалификация внутренних аудиторов должна поддерживаться на уровне, достаточном для соблюдения принципа профессиональной компетентности;</w:t>
      </w:r>
    </w:p>
    <w:p w:rsidR="00A1061D" w:rsidRDefault="00A1061D" w:rsidP="00A6096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своей деятельностью внутренний аудит способствует достижению Эмитентом и другими компаниями Группы «Московская Биржа» поставленных стратегических целей;</w:t>
      </w:r>
    </w:p>
    <w:p w:rsidR="00A1061D" w:rsidRDefault="00A1061D" w:rsidP="00A6096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i/>
          <w:color w:val="000000"/>
          <w:lang w:eastAsia="en-US"/>
        </w:rPr>
      </w:pPr>
      <w:r>
        <w:rPr>
          <w:b/>
          <w:bCs/>
          <w:i/>
          <w:iCs/>
        </w:rPr>
        <w:t>внутренний аудит прежде всего ориентирован на выявление и оценку рисков. Внутренний аудит  также направлен на повышение</w:t>
      </w:r>
      <w:r>
        <w:rPr>
          <w:b/>
          <w:i/>
          <w:color w:val="000000"/>
          <w:lang w:eastAsia="en-US"/>
        </w:rPr>
        <w:t xml:space="preserve"> эффективности и результативности деятельности Эмитента.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:rsidR="00A1061D" w:rsidRDefault="00A1061D" w:rsidP="00A1061D">
      <w:pPr>
        <w:spacing w:after="0"/>
        <w:ind w:firstLine="567"/>
        <w:contextualSpacing/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 xml:space="preserve">Сведения о наличии комитета по аудиту совета директоров (наблюдательного совета) эмитента, его функциях, персональном и количественном составе: 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Для </w:t>
      </w:r>
      <w:r>
        <w:rPr>
          <w:b/>
          <w:bCs/>
          <w:i/>
          <w:iCs/>
          <w:color w:val="000000"/>
          <w:lang w:eastAsia="en-US"/>
        </w:rPr>
        <w:t xml:space="preserve">предварительного рассмотрения вопросов, связанных с контролем за финансово-хозяйственной деятельностью Эмитента, в том числе с оценкой независимости аудитора Эмитента и отсутствием у него конфликта интересов, а также с оценкой качества проведения аудита бухгалтерской (финансовой) отчетности Эмитентом </w:t>
      </w:r>
      <w:r>
        <w:rPr>
          <w:b/>
          <w:i/>
          <w:color w:val="000000"/>
          <w:lang w:eastAsia="en-US"/>
        </w:rPr>
        <w:t xml:space="preserve">создана Комиссия по аудиту Наблюдательного совета, которая осуществляет свою деятельность в соответствии с Положением о Комиссии по аудиту Наблюдательного совета. Основной целью деятельности Комиссии по аудиту является обеспечение эффективной работы Наблюдательного совета в решении вопросов, относящихся к контролю за финансово-хозяйственной деятельностью. </w:t>
      </w:r>
    </w:p>
    <w:p w:rsidR="00A1061D" w:rsidRPr="00811C22" w:rsidRDefault="00A1061D" w:rsidP="00A1061D">
      <w:pPr>
        <w:spacing w:after="120"/>
        <w:ind w:firstLine="567"/>
        <w:jc w:val="both"/>
        <w:rPr>
          <w:b/>
          <w:i/>
          <w:color w:val="000000"/>
          <w:lang w:eastAsia="en-US"/>
        </w:rPr>
      </w:pPr>
      <w:r w:rsidRPr="00811C22">
        <w:rPr>
          <w:b/>
          <w:i/>
          <w:color w:val="000000"/>
          <w:lang w:eastAsia="en-US"/>
        </w:rPr>
        <w:t xml:space="preserve">Основными функциями Комиссии по аудиту являются: 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контроль за обеспечением полноты, точности и достоверности бухгалтерской (финансовой) отчетности; 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контроль за надежностью и эффективностью функционирования системы управления рисками, внутреннего контроля и системы корпоративного управления; 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обеспечение независимости и объективности осуществления функций внутреннего и внешнего аудита; 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наблюдение за деятельностью Службы внутреннего аудита, проведение оценки эффективности процесса проведения и осуществления функции внутреннего аудита, подготовка предложений по их совершенствованию; 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информирование Наблюдательного совета о финансово-хозяйственной деятельности; 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контроль эффективности функционирования системы оповещения о потенциальных случаях недобросовестных действий работников (в том числе недобросовестного использования инсайдерской или конфиденциальной информации), а также третьих лиц, и об иных нарушениях; 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контроль за реализацией мер, принятых Правлением и Председателем Правления по фактам информирования о потенциальных случаях недобросовестных действий работников и иных нарушениях; 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надзор за проведением специальных расследований по вопросам потенциальных случаев мошенничества, недобросовестного использования инсайдерской </w:t>
      </w:r>
      <w:r w:rsidRPr="00811C22">
        <w:rPr>
          <w:b/>
          <w:bCs/>
          <w:i/>
          <w:iCs/>
        </w:rPr>
        <w:lastRenderedPageBreak/>
        <w:t xml:space="preserve">или конфиденциальной информации в Эмитенте и компаниях Группы «Московская Биржа»; 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участие в рассмотрении существенных вопросов и суждений в отношении бухгалтерской (финансовой) отчетности Эмитента; 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подготовка рекомендаций о возможности предварительного утверждения годового отчета и утверждения бухгалтерской (финансовой) отчетности Наблюдательным советом Эмитента; 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оценка независимости, объективности и отсутствия конфликта интересов внешних аудиторов Эмитента и компаний Группы «Московская Биржа»; 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контроль процедур, обеспечивающих соблюдение требований законодательства, а также этических норм, правил и процедур Эмитента, требований организатора торговли, осуществляющего листинг ценных бумаг Эмитента; 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анализ и оценка исполнения политики управления конфликтом интересов; 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>анализ и оценка исполнения политики в области управления рисками и внутреннего контроля;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содействие эффективной работе системы органов внутреннего контроля; 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контроль выполнения рекомендаций Службы внутреннего аудита, аудиторской организации, руководством и подразделениями Эмитента; 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наблюдение за деятельностью внешних консультантов, оценщиков и прочих профессиональных организаций, оказывающих услуги, влияющие на состояние систем внутреннего аудита и контроля Эмитента; 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участие в разработке, а также рассмотрение внутренних документов, регламентирующих деятельность по управлению рисками и внутреннему контролю, а также документов, определяющих деятельность соответствующих подразделений Эмитента; 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 xml:space="preserve">рассмотрение письменных отчетов, докладных записок, сообщений подразделений внутреннего аудита о выявленных за соответствующий период деятельности нарушениях; 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>надзор за проведением внешнего аудита и оценка качества выполнения аудиторской проверки и заключений аудиторов, оценка заключения аудитора и ее предоставление в качестве материалов к годовому Общему собранию акционеров;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811C22">
        <w:rPr>
          <w:b/>
          <w:bCs/>
          <w:i/>
          <w:iCs/>
        </w:rPr>
        <w:t>осуществление контроля за исполнением бюджета;</w:t>
      </w:r>
    </w:p>
    <w:p w:rsidR="00A1061D" w:rsidRPr="00811C22" w:rsidRDefault="00A1061D" w:rsidP="00A60963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20" w:after="0" w:line="240" w:lineRule="auto"/>
        <w:ind w:left="714" w:hanging="357"/>
        <w:jc w:val="both"/>
        <w:rPr>
          <w:b/>
          <w:i/>
          <w:color w:val="000000"/>
          <w:lang w:eastAsia="en-US"/>
        </w:rPr>
      </w:pPr>
      <w:r w:rsidRPr="00811C22">
        <w:rPr>
          <w:b/>
          <w:bCs/>
          <w:i/>
          <w:iCs/>
        </w:rPr>
        <w:t>предвар</w:t>
      </w:r>
      <w:r w:rsidRPr="00811C22">
        <w:rPr>
          <w:b/>
          <w:i/>
          <w:color w:val="000000"/>
          <w:lang w:eastAsia="en-US"/>
        </w:rPr>
        <w:t>ительное рассмотрение целесообразности выплаты дивидендов и выработка рекомендаций по размеру выплачиваемых компаниями Группы «Московская Биржа» дивидендов по результатам первого квартала, полугодия, девяти месяцев отчетного года и (или) по результатам отчетного года и порядку их выплаты (при необходимости).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:rsidR="00A1061D" w:rsidRDefault="00A1061D" w:rsidP="00A1061D">
      <w:pPr>
        <w:spacing w:before="120" w:after="0"/>
        <w:ind w:firstLine="567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В состав Комиссии по аудиту избраны члены Наблюдательного совета, являющиеся независимыми директорами.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:rsidR="00A1061D" w:rsidRDefault="00A1061D" w:rsidP="00A1061D">
      <w:pPr>
        <w:spacing w:after="0"/>
        <w:ind w:firstLine="567"/>
        <w:contextualSpacing/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 xml:space="preserve">Сведения о наличии отдельного структурного подразделения (подразделений) эмитента по управлению рисками, его задачах и функциях: </w:t>
      </w:r>
    </w:p>
    <w:p w:rsidR="00A1061D" w:rsidRDefault="00A1061D" w:rsidP="00A1061D">
      <w:pPr>
        <w:spacing w:after="0"/>
        <w:ind w:firstLine="567"/>
        <w:contextualSpacing/>
        <w:jc w:val="both"/>
        <w:rPr>
          <w:bCs/>
          <w:iCs/>
          <w:color w:val="000000"/>
          <w:lang w:eastAsia="en-US"/>
        </w:rPr>
      </w:pPr>
    </w:p>
    <w:p w:rsidR="00A1061D" w:rsidRPr="000B5C31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0B5C31">
        <w:rPr>
          <w:b/>
          <w:i/>
          <w:color w:val="000000"/>
          <w:lang w:eastAsia="en-US"/>
        </w:rPr>
        <w:t xml:space="preserve">Эмитентом создано отдельное структурное подразделение, ответственное за организацию системы управления рисками, - </w:t>
      </w:r>
      <w:bookmarkStart w:id="242" w:name="_Hlk98517844"/>
      <w:r w:rsidRPr="000B5C31">
        <w:rPr>
          <w:b/>
          <w:i/>
          <w:color w:val="000000"/>
          <w:lang w:eastAsia="en-US"/>
        </w:rPr>
        <w:t>Департамент операционных рисков</w:t>
      </w:r>
      <w:bookmarkEnd w:id="242"/>
      <w:r w:rsidRPr="000B5C31">
        <w:rPr>
          <w:b/>
          <w:i/>
          <w:color w:val="000000"/>
          <w:lang w:eastAsia="en-US"/>
        </w:rPr>
        <w:t>, информационной безопасности и непрерывности бизнеса, руководство которым осуществляет Заместитель Председателя Правления по информационной безопасности.</w:t>
      </w:r>
    </w:p>
    <w:p w:rsidR="00A1061D" w:rsidRPr="00811C22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:rsidR="00A1061D" w:rsidRPr="000B5C31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0B5C31">
        <w:rPr>
          <w:b/>
          <w:i/>
          <w:color w:val="000000"/>
          <w:lang w:eastAsia="en-US"/>
        </w:rPr>
        <w:lastRenderedPageBreak/>
        <w:t xml:space="preserve">Целью деятельности подразделения является выявление рисков организатора торговли, </w:t>
      </w:r>
      <w:r w:rsidRPr="000B5C31">
        <w:rPr>
          <w:b/>
          <w:bCs/>
          <w:i/>
          <w:iCs/>
          <w:color w:val="000000"/>
          <w:lang w:eastAsia="en-US"/>
        </w:rPr>
        <w:t xml:space="preserve">оператора финансовой платформы, оператора обмена цифровых финансовых активов, </w:t>
      </w:r>
      <w:r w:rsidRPr="000B5C31">
        <w:rPr>
          <w:b/>
          <w:i/>
          <w:color w:val="000000"/>
          <w:lang w:eastAsia="en-US"/>
        </w:rPr>
        <w:t xml:space="preserve">проведение их оценки и разработка мер по их снижению, управление рисками. </w:t>
      </w:r>
    </w:p>
    <w:p w:rsidR="00A1061D" w:rsidRPr="000B5C31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0B5C31">
        <w:rPr>
          <w:b/>
          <w:i/>
          <w:color w:val="000000"/>
          <w:lang w:eastAsia="en-US"/>
        </w:rPr>
        <w:t xml:space="preserve">Департамент операционных рисков, информационной безопасности и непрерывности бизнеса содействует Наблюдательному совету, Правлению и Председателю Правления в повышении эффективности управления Эмитентом, совершенствовании его финансово-хозяйственной деятельности путем системного и последовательного подхода к анализу и оценке системы управления рисками и как инструментов обеспечения разумной уверенности в достижении поставленных целей. </w:t>
      </w:r>
    </w:p>
    <w:p w:rsidR="00A1061D" w:rsidRPr="000B5C31" w:rsidRDefault="00A1061D" w:rsidP="00A1061D">
      <w:pPr>
        <w:spacing w:before="120" w:after="120"/>
        <w:ind w:firstLine="567"/>
        <w:jc w:val="both"/>
        <w:rPr>
          <w:b/>
          <w:i/>
          <w:color w:val="000000"/>
          <w:lang w:eastAsia="en-US"/>
        </w:rPr>
      </w:pPr>
      <w:r w:rsidRPr="000B5C31">
        <w:rPr>
          <w:b/>
          <w:i/>
          <w:color w:val="000000"/>
          <w:lang w:eastAsia="en-US"/>
        </w:rPr>
        <w:t xml:space="preserve">Основной задачей подразделения является обеспечение системного, комплексного подхода к управлению рисками, которая обеспечивается через реализацию следующих функций: </w:t>
      </w:r>
    </w:p>
    <w:p w:rsidR="00A1061D" w:rsidRPr="000B5C31" w:rsidRDefault="00A1061D" w:rsidP="00A60963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0B5C31">
        <w:rPr>
          <w:b/>
          <w:bCs/>
          <w:i/>
          <w:iCs/>
        </w:rPr>
        <w:t xml:space="preserve">выявление, анализ, мониторинг и оценка рисков на постоянной основе; </w:t>
      </w:r>
    </w:p>
    <w:p w:rsidR="00A1061D" w:rsidRPr="000B5C31" w:rsidRDefault="00A1061D" w:rsidP="00A60963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0B5C31">
        <w:rPr>
          <w:b/>
          <w:bCs/>
          <w:i/>
          <w:iCs/>
        </w:rPr>
        <w:t xml:space="preserve">организацию информационного обмена между структурными подразделениями Эмитента в процессе выявления рисков; </w:t>
      </w:r>
    </w:p>
    <w:p w:rsidR="00A1061D" w:rsidRPr="000B5C31" w:rsidRDefault="00A1061D" w:rsidP="00A60963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0B5C31">
        <w:rPr>
          <w:b/>
          <w:bCs/>
          <w:i/>
          <w:iCs/>
        </w:rPr>
        <w:t xml:space="preserve">качественную и количественную оценку (измерение) рисков; </w:t>
      </w:r>
    </w:p>
    <w:p w:rsidR="00A1061D" w:rsidRPr="000B5C31" w:rsidRDefault="00A1061D" w:rsidP="00A60963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0B5C31">
        <w:rPr>
          <w:b/>
          <w:bCs/>
          <w:i/>
          <w:iCs/>
        </w:rPr>
        <w:t xml:space="preserve">предоставление отчетности по вопросам управления рисками Наблюдательному совету и исполнительным органам Эмитента; </w:t>
      </w:r>
    </w:p>
    <w:p w:rsidR="00A1061D" w:rsidRPr="000B5C31" w:rsidRDefault="00A1061D" w:rsidP="00A60963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0B5C31">
        <w:rPr>
          <w:b/>
          <w:bCs/>
          <w:i/>
          <w:iCs/>
        </w:rPr>
        <w:t xml:space="preserve">осуществление контроля эффективности управления рисками и обеспечения операционной надежности процессов; </w:t>
      </w:r>
    </w:p>
    <w:p w:rsidR="00A1061D" w:rsidRPr="000B5C31" w:rsidRDefault="00A1061D" w:rsidP="00A60963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0B5C31">
        <w:rPr>
          <w:b/>
          <w:bCs/>
          <w:i/>
          <w:iCs/>
        </w:rPr>
        <w:t xml:space="preserve">создание системы контрольных мероприятий по предупреждению событий риска, поддержанию приемлемого уровня риска (рисков), а также системы быстрого и адекватного реагирования для устранения последствий таких событий в случае их возникновения. </w:t>
      </w:r>
    </w:p>
    <w:p w:rsidR="00A1061D" w:rsidRPr="00811C22" w:rsidRDefault="00A1061D" w:rsidP="00A1061D">
      <w:pPr>
        <w:spacing w:after="0"/>
        <w:contextualSpacing/>
        <w:jc w:val="both"/>
        <w:rPr>
          <w:color w:val="000000"/>
          <w:lang w:eastAsia="en-US"/>
        </w:rPr>
      </w:pPr>
    </w:p>
    <w:p w:rsidR="00A1061D" w:rsidRPr="000B5C31" w:rsidRDefault="00A1061D" w:rsidP="00A1061D">
      <w:pPr>
        <w:spacing w:after="0"/>
        <w:ind w:firstLine="567"/>
        <w:contextualSpacing/>
        <w:jc w:val="both"/>
        <w:rPr>
          <w:color w:val="000000"/>
          <w:lang w:eastAsia="en-US"/>
        </w:rPr>
      </w:pPr>
      <w:r w:rsidRPr="000B5C31">
        <w:rPr>
          <w:color w:val="000000"/>
          <w:lang w:eastAsia="en-US"/>
        </w:rPr>
        <w:t>Сведения о наличии отдельного структурного подразделения (подразделений) эмитента по внутреннему контролю, его задачах и функциях:</w:t>
      </w:r>
    </w:p>
    <w:p w:rsidR="00A1061D" w:rsidRPr="000B5C31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0B5C31">
        <w:rPr>
          <w:b/>
          <w:i/>
          <w:color w:val="000000"/>
          <w:lang w:eastAsia="en-US"/>
        </w:rPr>
        <w:t>Для организации и осуществления внутреннего контроля за соответствием деятельности эмитента в качестве организатора торговли</w:t>
      </w:r>
      <w:r w:rsidRPr="000B5C31">
        <w:rPr>
          <w:b/>
          <w:bCs/>
          <w:i/>
          <w:iCs/>
          <w:color w:val="000000"/>
          <w:lang w:eastAsia="en-US"/>
        </w:rPr>
        <w:t xml:space="preserve"> и оператора финансовой платформы</w:t>
      </w:r>
      <w:r w:rsidRPr="000B5C31">
        <w:rPr>
          <w:b/>
          <w:i/>
          <w:color w:val="000000"/>
          <w:lang w:eastAsia="en-US"/>
        </w:rPr>
        <w:t xml:space="preserve"> требованиям законодательства, нормативных правовых актов, а также за соблюдением Устава и внутренних документов Эмитента, Эмитентом сформировано отдельное структурное подразделение - Служба внутреннего контроля. </w:t>
      </w:r>
    </w:p>
    <w:p w:rsidR="00A1061D" w:rsidRDefault="00A1061D" w:rsidP="00A1061D">
      <w:pPr>
        <w:spacing w:after="0"/>
        <w:ind w:firstLine="567"/>
        <w:contextualSpacing/>
        <w:jc w:val="both"/>
        <w:rPr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 </w:t>
      </w:r>
    </w:p>
    <w:p w:rsidR="00A1061D" w:rsidRPr="00DE63A0" w:rsidRDefault="00A1061D" w:rsidP="00A1061D">
      <w:pPr>
        <w:spacing w:before="120" w:after="120"/>
        <w:ind w:firstLine="567"/>
        <w:jc w:val="both"/>
        <w:rPr>
          <w:b/>
          <w:i/>
          <w:color w:val="000000"/>
          <w:lang w:eastAsia="en-US"/>
        </w:rPr>
      </w:pPr>
      <w:r w:rsidRPr="00DE63A0">
        <w:rPr>
          <w:b/>
          <w:i/>
          <w:color w:val="000000"/>
          <w:lang w:eastAsia="en-US"/>
        </w:rPr>
        <w:t xml:space="preserve">Основными задачами Службы внутреннего контроля являются: </w:t>
      </w:r>
    </w:p>
    <w:p w:rsidR="00A1061D" w:rsidRPr="00DE63A0" w:rsidRDefault="00A1061D" w:rsidP="00A60963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DE63A0">
        <w:rPr>
          <w:b/>
          <w:bCs/>
          <w:i/>
          <w:iCs/>
        </w:rPr>
        <w:t>осуществление контроля за соблюдением Эмитентом законодательства Российской Федерации, учредительных и внутренних документов Эмитента;</w:t>
      </w:r>
    </w:p>
    <w:p w:rsidR="00A1061D" w:rsidRPr="00DE63A0" w:rsidRDefault="00A1061D" w:rsidP="00A60963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DE63A0">
        <w:rPr>
          <w:b/>
          <w:bCs/>
          <w:i/>
          <w:iCs/>
        </w:rPr>
        <w:t>исключение неправомерного использования инсайдерской информации и (или) манипулирования рынком;</w:t>
      </w:r>
    </w:p>
    <w:p w:rsidR="00A1061D" w:rsidRPr="00DE63A0" w:rsidRDefault="00A1061D" w:rsidP="00A60963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20" w:after="120" w:line="240" w:lineRule="auto"/>
        <w:ind w:left="714" w:hanging="357"/>
        <w:jc w:val="both"/>
        <w:rPr>
          <w:b/>
          <w:i/>
          <w:color w:val="000000"/>
          <w:lang w:eastAsia="en-US"/>
        </w:rPr>
      </w:pPr>
      <w:r w:rsidRPr="00DE63A0">
        <w:rPr>
          <w:b/>
          <w:bCs/>
          <w:i/>
          <w:iCs/>
        </w:rPr>
        <w:t>исключение вовлечения Биржи и её работников в осуществление противоправной и недобросовестной деятельности, в том числе в легализацию (отмывание) доходов, полученных преступным путём, в финансирование терроризма и финансирование распространения оружия массового уничтожения;</w:t>
      </w:r>
    </w:p>
    <w:p w:rsidR="00A1061D" w:rsidRPr="00DE63A0" w:rsidRDefault="00A1061D" w:rsidP="00A60963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before="20" w:after="120" w:line="240" w:lineRule="auto"/>
        <w:ind w:left="714" w:hanging="357"/>
        <w:jc w:val="both"/>
        <w:rPr>
          <w:b/>
          <w:i/>
          <w:color w:val="000000"/>
          <w:lang w:eastAsia="en-US"/>
        </w:rPr>
      </w:pPr>
      <w:r w:rsidRPr="00DE63A0">
        <w:rPr>
          <w:b/>
          <w:bCs/>
          <w:i/>
          <w:iCs/>
        </w:rPr>
        <w:t>исключение конфликта интересов, в том числе выявление и контроль конфликта интересов, а так</w:t>
      </w:r>
      <w:r w:rsidRPr="00DE63A0">
        <w:rPr>
          <w:b/>
          <w:i/>
          <w:color w:val="000000"/>
          <w:lang w:eastAsia="en-US"/>
        </w:rPr>
        <w:t xml:space="preserve">же предотвращение последствий конфликта интересов. </w:t>
      </w:r>
    </w:p>
    <w:p w:rsidR="00A1061D" w:rsidRDefault="00A1061D" w:rsidP="00A1061D">
      <w:pPr>
        <w:spacing w:before="120" w:after="120"/>
        <w:ind w:firstLine="567"/>
        <w:jc w:val="both"/>
        <w:rPr>
          <w:b/>
          <w:i/>
          <w:color w:val="000000"/>
          <w:lang w:eastAsia="en-US"/>
        </w:rPr>
      </w:pPr>
      <w:r w:rsidRPr="00DE63A0">
        <w:rPr>
          <w:b/>
          <w:i/>
          <w:color w:val="000000"/>
          <w:lang w:eastAsia="en-US"/>
        </w:rPr>
        <w:t xml:space="preserve">Методы осуществления внутреннего контроля основаны на выявлении, анализе, оценке, мониторинге риска возникновения у организатора торговли, оператора обмена цифровых финансовых активов и оператора финансовой платформы расходов (убытков) и (или) иных неблагоприятных последствий в результате несоответствия деятельности, осуществляемой им на основании лицензии биржи, а также на основании включения </w:t>
      </w:r>
      <w:r w:rsidRPr="00DE63A0">
        <w:rPr>
          <w:b/>
          <w:i/>
          <w:color w:val="000000"/>
          <w:lang w:eastAsia="en-US"/>
        </w:rPr>
        <w:lastRenderedPageBreak/>
        <w:t xml:space="preserve">Эмитента в реестры операторов финансовой платформы и операторов обмена цифровых финансовых активов требованиям федеральных законов и принятых в соответствии с ними нормативных актов, правилам организованных торгов, правилам оператора финансовой платформы, правилам оператора обмена цифровых финансовых активов, учредительным и внутренним документам Эмитента, а также в результате применения мер со стороны Банка России и иных надзорных органов (далее – регуляторный риск), а также управление таким риском. </w:t>
      </w:r>
    </w:p>
    <w:p w:rsidR="00A1061D" w:rsidRDefault="00A1061D" w:rsidP="00A1061D">
      <w:pPr>
        <w:spacing w:before="120" w:after="120"/>
        <w:ind w:firstLine="567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Для достижения поставленных задач Служба внутреннего контроля осуществляет следующие функции: 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организация процессов, направленных на выявление, анализ, оценку, мониторинг и управление регуляторным риском деятельности по организации торгов, деятельности оператора обмена цифровых финансовых активов и деятельности оператора финансовой платформы, в том числе разработка и контроль выполнения мероприятий, направленных на предупреждение и предотвращение последствий реализации регуляторного риска деятельности по организации торгов, деятельности оператора обмена цифровых финансовых активов и деятельности оператора финансовой платформы; 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ведение учёта событий, связанных с регуляторным риском деятельности по организации торгов, деятельности оператора обмена цифровых финансовых активов и деятельности оператора финансовой платформы; 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определение вероятности возникновения событий, связанных с регуляторным риском организатора торговли, оператора обмена цифровых финансовых активов и оператора финансовой платформы, и количественная оценка возможных последствий возникновения событий, связанных с регуляторным риском организатора торговли, оператора обмена цифровых финансовых активов и оператора финансовой платформы; 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информирование единоличного исполнительного органа Эмитента о вероятных и (или) наступивших событиях регуляторного риска деятельности по организации торгов, деятельности оператора обмена цифровых финансовых активов и деятельности оператора финансовой платформы, приведших (способных привести) к последствиям, признанным Эмитентом существенными, в том числе к возникновению у организатора торговли и (или) оператора обмена цифровых финансовых активов и (или) оператора финансовой платформы и (или) его клиентов (контрагентов) расходов (убытков), признанных Эмитентом существенными (далее – существенные события регуляторного риска деятельности по организации торгов); 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i/>
          <w:color w:val="000000"/>
          <w:lang w:eastAsia="en-US"/>
        </w:rPr>
      </w:pPr>
      <w:r>
        <w:rPr>
          <w:b/>
          <w:bCs/>
          <w:i/>
          <w:iCs/>
        </w:rPr>
        <w:t>анализ соблюдения Эмитентом прав клиентов в рамках осуществления деятельности по организации торгов, деятельности оператора обмена цифровых финансовых активов и деятельности оператора платформы путём постоянного мониторинга за раскрытием</w:t>
      </w:r>
      <w:r>
        <w:rPr>
          <w:b/>
          <w:i/>
          <w:color w:val="000000"/>
          <w:lang w:eastAsia="en-US"/>
        </w:rPr>
        <w:t xml:space="preserve"> на сайте Эмитента достоверной информации организатора торговли, оператора обмена цифровых финансовых активов и оператора финансовой платформы, обязательной к раскрытию в соответствии с требованиями законодательства; своевременным реагированием на обращения, запросы и заявления участников торгов, участников обмена цифровых финансовых активов и участников финансовой платформы, соблюдения законодательства в части обеспечения законных прав участников торгов, участников обмена цифровых финансовых активов и участников финансовой платформы, соответствия правил организованных торгов, правил оператора обмена цифровых финансовых активов </w:t>
      </w:r>
      <w:r>
        <w:rPr>
          <w:b/>
          <w:bCs/>
          <w:i/>
          <w:iCs/>
          <w:color w:val="000000"/>
          <w:lang w:eastAsia="en-US"/>
        </w:rPr>
        <w:t xml:space="preserve">и правил финансовой платформы </w:t>
      </w:r>
      <w:r>
        <w:rPr>
          <w:b/>
          <w:i/>
          <w:color w:val="000000"/>
          <w:lang w:eastAsia="en-US"/>
        </w:rPr>
        <w:t xml:space="preserve">требованиям законодательства; обеспечения предоставления Эмитентом своим клиентам услуг по организации торговли, по обеспечению возможности заключения сделок с цифровыми финансовыми активами путем сбора и сопоставления разнонаправленных заявок на совершение таких сделок, либо путем участия за свой счет в сделке с цифровыми финансовыми активами в качестве стороны такой сделки в интересах третьих лиц, </w:t>
      </w:r>
      <w:r>
        <w:rPr>
          <w:b/>
          <w:bCs/>
          <w:i/>
          <w:iCs/>
          <w:color w:val="000000"/>
          <w:lang w:eastAsia="en-US"/>
        </w:rPr>
        <w:t xml:space="preserve">и услуг, связанных с обеспечением возможности совершения финансовых сделок участникам финансовой платформы </w:t>
      </w:r>
      <w:r>
        <w:rPr>
          <w:b/>
          <w:i/>
          <w:color w:val="000000"/>
          <w:lang w:eastAsia="en-US"/>
        </w:rPr>
        <w:lastRenderedPageBreak/>
        <w:t xml:space="preserve">надлежащего качества и повышения контроля этого качества при расширении спектра финансовых инструментов, распределением функций и обязанностей подразделений Эмитента, взаимодействующих с участниками торгов </w:t>
      </w:r>
      <w:r>
        <w:rPr>
          <w:b/>
          <w:bCs/>
          <w:i/>
          <w:iCs/>
          <w:color w:val="000000"/>
          <w:lang w:eastAsia="en-US"/>
        </w:rPr>
        <w:t xml:space="preserve">и участниками финансовой платформы </w:t>
      </w:r>
      <w:r>
        <w:rPr>
          <w:b/>
          <w:i/>
          <w:color w:val="000000"/>
          <w:lang w:eastAsia="en-US"/>
        </w:rPr>
        <w:t xml:space="preserve">при осуществлении Эмитентом деятельности по организации торгов; 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i/>
          <w:color w:val="000000"/>
          <w:lang w:eastAsia="en-US"/>
        </w:rPr>
        <w:t xml:space="preserve">участие в рассмотрении обращений (в том числе жалоб), запросов и заявлений, связанных с </w:t>
      </w:r>
      <w:r>
        <w:rPr>
          <w:b/>
          <w:bCs/>
          <w:i/>
          <w:iCs/>
        </w:rPr>
        <w:t>деятельностью по организации торгов, деятельностью оператора обмена цифровых финансовых активов и деятельности оператора финансовой платформы, в части выявления регуляторного риска деятельности по организации торгов, деятельности оператора обмена цифровых финансовых активов и деятельности оператора финансовой платформы, а также анализ статистики указанных обращений, запросов и заявлений;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участие в мероприятиях, направленных на предотвращение конфликта интересов в деятельности организатора торговли, деятельности оператора обмена цифровых финансовых активов и деятельности оператора финансовой платформы;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участие в разработке внутренних документов Эмитента и мероприятиях, направленных на соблюдение работниками Эмитента норм профессиональной этики и поддержание деловой репутации; 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i/>
          <w:color w:val="000000"/>
          <w:lang w:eastAsia="en-US"/>
        </w:rPr>
      </w:pPr>
      <w:r>
        <w:rPr>
          <w:b/>
          <w:bCs/>
          <w:i/>
          <w:iCs/>
        </w:rPr>
        <w:t>участие в разработке внутренних документов Эмитента и мероприятиях, направленных на противодействие коммерческому подкупу и коррупции, а также мошенничеству в сфере деятельности</w:t>
      </w:r>
      <w:r>
        <w:rPr>
          <w:b/>
          <w:i/>
          <w:color w:val="000000"/>
          <w:lang w:eastAsia="en-US"/>
        </w:rPr>
        <w:t xml:space="preserve"> по организации торгов, </w:t>
      </w:r>
      <w:r>
        <w:rPr>
          <w:b/>
          <w:bCs/>
          <w:i/>
          <w:iCs/>
        </w:rPr>
        <w:t>деятельности оператора обмена цифровых финансовых активов</w:t>
      </w:r>
      <w:r>
        <w:rPr>
          <w:b/>
          <w:bCs/>
          <w:i/>
          <w:iCs/>
          <w:color w:val="000000"/>
          <w:lang w:eastAsia="en-US"/>
        </w:rPr>
        <w:t xml:space="preserve"> и деятельности оператора финансовой платформы;</w:t>
      </w:r>
      <w:r>
        <w:rPr>
          <w:b/>
          <w:i/>
          <w:color w:val="000000"/>
          <w:lang w:eastAsia="en-US"/>
        </w:rPr>
        <w:t xml:space="preserve"> 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анализ проектов внутренних документов, связанных с осуществлением деятельности по организации торгов, деятельности оператора обмена цифровых финансовых активов и деятельностью оператора финансовой платформы, Положения о внутреннем контроле в целях выявления регуляторного риска деятельности по организации торгов, деятельности оператора обмена цифровых финансовых активов и деятельности оператора финансовой платформы; 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разработка и представление на рассмотрение единоличному исполнительному органу плана деятельности Службы внутреннего контроля и изменений в план, отчета о выявленных существенных событиях регуляторного риска деятельности по организации торгов, деятельности оператора обмена цифровых финансовых активов и деятельности оператора финансовой платформы, содержащего рекомендации о мерах, необходимых для недопущения и (или) предотвращения таких событий; отчета о деятельности Службы внутреннего контроля; 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участие в рамках своей компетенции во взаимодействии организатора торговли и оператора финансовой платформы с Банком России; 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информирование единоличного исполнительного органа обо всех случаях, препятствующих осуществлению функций Службы внутреннего контроля; 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120" w:line="240" w:lineRule="auto"/>
        <w:jc w:val="both"/>
        <w:rPr>
          <w:b/>
          <w:i/>
          <w:color w:val="000000"/>
          <w:lang w:eastAsia="en-US"/>
        </w:rPr>
      </w:pPr>
      <w:r>
        <w:rPr>
          <w:b/>
          <w:bCs/>
          <w:i/>
          <w:iCs/>
        </w:rPr>
        <w:t>иные функции</w:t>
      </w:r>
      <w:r>
        <w:rPr>
          <w:b/>
          <w:i/>
          <w:color w:val="000000"/>
          <w:lang w:eastAsia="en-US"/>
        </w:rPr>
        <w:t xml:space="preserve">, осуществляемые в рамках внутреннего контроля. </w:t>
      </w:r>
    </w:p>
    <w:p w:rsidR="00A1061D" w:rsidRPr="00DE63A0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DE63A0">
        <w:rPr>
          <w:b/>
          <w:i/>
          <w:color w:val="000000"/>
          <w:lang w:eastAsia="en-US"/>
        </w:rPr>
        <w:t xml:space="preserve">Возглавляет подразделение Руководитель Службы внутреннего контроля. В соответствии с Федеральным законом от 21.11.2011 N 325-ФЗ Об организованных торгах и Уставом Эмитента Руководитель Службы внутреннего контроля подотчетен Председателю Правления. Председатель Правления принимает решение о назначении на должность и освобождении от должности Руководителя (или лица, временно исполняющего обязанности руководителя в случае отсутствия Руководителя на срок более одного месяца) Службы внутреннего контроля. 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 w:rsidRPr="00DE63A0">
        <w:rPr>
          <w:b/>
          <w:i/>
          <w:color w:val="000000"/>
          <w:lang w:eastAsia="en-US"/>
        </w:rPr>
        <w:t>Руководитель Службы внутреннего контроля обеспечивает выполнение возложенных на Службу внутреннего контроля задач и функций, осуществляет контроль за устранением выявленных нарушений и соблюдением мер по предупреждению аналогичных нарушений в дальнейшей деятельности Эмитента, а также контроль за исполнением рекомендаций по результатам проверок.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:rsidR="00A1061D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Для организации внутреннего контроля Эмитента как оператора финансовой платформы и оператора обмена цифровыми финансовыми активами в области противодействия отмыванию доходов, полученных преступным путем, финансированию терроризма и финансированию распространения оружия массового уничтожения (ПОД/ФТ/ФРОМУ) создано отдельное структурное подразделение – Отдел финансового мониторинга в составе Департамента по внутреннему контролю и комплаенсу.</w:t>
      </w:r>
    </w:p>
    <w:p w:rsidR="00A1061D" w:rsidRDefault="00A1061D" w:rsidP="00A1061D">
      <w:pPr>
        <w:spacing w:before="120" w:after="120"/>
        <w:ind w:firstLine="567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Задачами Отдела финансового мониторинга являются: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недопущение вовлечения Эмитента в осуществление легализации (отмывания) доходов, полученных преступным путем, и финансирования терроризма;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обеспечение участия в процессе осуществления внутреннего контроля в целях ПОД/ФТ/ФРОМУ всех работников независимо от занимаемой должности в рамках их компетенции;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сохранение конфиденциальности информации, получаемой в процессе осуществления внутреннего контроля в целях ПОД/ФТ/ФРОМУ;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исключение участия работников Эмитента в осуществлении легализации (отмывания) доходов, полученных преступным путем, и финансирования терроризма;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запрет на  информирования клиентов, иных лиц о принимаемых Эмитентом мерах,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за исключением информирования клиентов о принятых мерах по замораживанию (блокированию) денежных средств или иного имущества, о приостановлении операции, об отказе клиенту в приеме на обслуживание об отказе в совершении операции и их причинах, о необходимости предоставления документов по основаниям, предусмотренным Федеральным закон от 07.08.2001 № 115-ФЗ О противодействии легализации (отмыванию) доходов, полученных преступным путем, и финансированию терроризма (далее – Федеральный закон);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сохранение конфиденциальности сведений о внутренних документах Эмитента, разработанных в целях ПОД/ФТ/ФРОМУ;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обеспечение полноты и своевременности представления в Федеральную службу по финансовому мониторингу сведений, предусмотренных Федеральным законом;</w:t>
      </w:r>
    </w:p>
    <w:p w:rsidR="00A1061D" w:rsidRDefault="00A1061D" w:rsidP="00A60963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i/>
          <w:color w:val="000000"/>
          <w:lang w:eastAsia="en-US"/>
        </w:rPr>
      </w:pPr>
      <w:r>
        <w:rPr>
          <w:b/>
          <w:bCs/>
          <w:i/>
          <w:iCs/>
        </w:rPr>
        <w:t>применение эффективных процедур управления риском легализации (отмывания) доходов, полученных преступным</w:t>
      </w:r>
      <w:r>
        <w:rPr>
          <w:b/>
          <w:i/>
          <w:color w:val="000000"/>
          <w:lang w:eastAsia="en-US"/>
        </w:rPr>
        <w:t xml:space="preserve"> путем, и финансирования терроризма.</w:t>
      </w:r>
    </w:p>
    <w:p w:rsidR="00A1061D" w:rsidRDefault="00A1061D" w:rsidP="00A1061D">
      <w:pPr>
        <w:spacing w:before="120" w:after="120"/>
        <w:ind w:firstLine="567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Функциями Отдела финансового мониторинга являются:</w:t>
      </w:r>
    </w:p>
    <w:p w:rsidR="00A1061D" w:rsidRDefault="00A1061D" w:rsidP="00A60963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организация разработки, внесения изменений и реализации Правил внутреннего контроля в целях ПОД/ФТ/ФРОМУ; </w:t>
      </w:r>
    </w:p>
    <w:p w:rsidR="00A1061D" w:rsidRDefault="00A1061D" w:rsidP="00A60963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консультирование работников Эмитента по вопросам, возникающим при реализации программ Правил внутреннего контроля в целях ПОД/ФТ/ФРОМУ;</w:t>
      </w:r>
    </w:p>
    <w:p w:rsidR="00A1061D" w:rsidRDefault="00A1061D" w:rsidP="00A60963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принятие решений при осуществлении внутреннего контроля по ПОД/ФТ/ФРОМУ по полученным от работников Эмитента сообщениям, подготовленным согласно требованиям программ осуществления внутреннего контроля в целях ПОД/ФТ/ФРОМУ;</w:t>
      </w:r>
    </w:p>
    <w:p w:rsidR="00A1061D" w:rsidRDefault="00A1061D" w:rsidP="00A60963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разработка рекомендаций по вопросам ПОД/ФТ/ФРОМУ для работников Эмитента; </w:t>
      </w:r>
    </w:p>
    <w:p w:rsidR="00A1061D" w:rsidRDefault="00A1061D" w:rsidP="00A60963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организация представления в уполномоченный орган сведений в соответствии с законодательством Российской Федерации, нормативными актами Банка России;</w:t>
      </w:r>
    </w:p>
    <w:p w:rsidR="00A1061D" w:rsidRDefault="00A1061D" w:rsidP="00A60963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и обучение работников Эмитента по вопросам ПОД/ФТ/ФРОМУ, включая проведение вводного (первичного) инструктажа, целевого (внепланового) инструктажа, обеспечение повышения квалификации работников (планового инструктажа), проверку знаний и регистрацию сведений о проверке знаний работников;</w:t>
      </w:r>
    </w:p>
    <w:p w:rsidR="00A1061D" w:rsidRDefault="00A1061D" w:rsidP="00A60963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оказание содействия в пределах своей компетенции уполномоченным представителям Банка России при проведении ими инспекционных проверок деятельности Эмитента по вопросам ПОД/ФТ/ФРОМУ;</w:t>
      </w:r>
    </w:p>
    <w:p w:rsidR="00A1061D" w:rsidRDefault="00A1061D" w:rsidP="00A60963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иные функции в установленной сфере деятельности, если такие функции предусмотрены федеральными законами, нормативными актами Банка России, внутренними документами Эмитента.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:rsidR="00A1061D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Для организации внутреннего контроля в области противодействия неправомерному использованию инсайдерской информации и манипулированию рынком в структуре Департамента по внутреннему контролю и комплаенсу создано отдельное структурное подразделение: </w:t>
      </w:r>
      <w:bookmarkStart w:id="243" w:name="_Hlk69300316"/>
      <w:r>
        <w:rPr>
          <w:b/>
          <w:bCs/>
          <w:i/>
          <w:color w:val="000000"/>
          <w:lang w:eastAsia="en-US"/>
        </w:rPr>
        <w:t>Управление противодействия недобросовестным рыночным практикам</w:t>
      </w:r>
      <w:bookmarkEnd w:id="243"/>
      <w:r>
        <w:rPr>
          <w:b/>
          <w:i/>
          <w:color w:val="000000"/>
          <w:lang w:eastAsia="en-US"/>
        </w:rPr>
        <w:t>.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bCs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Основной задачей </w:t>
      </w:r>
      <w:r>
        <w:rPr>
          <w:b/>
          <w:bCs/>
          <w:i/>
          <w:color w:val="000000"/>
          <w:lang w:eastAsia="en-US"/>
        </w:rPr>
        <w:t>Управления противодействия недобросовестным рыночным практикам является осуществление контроля за соблюдением требований Федерального закона от 27 июля 2010 года N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и принятых в соответствии с ним нормативных актов.</w:t>
      </w:r>
    </w:p>
    <w:p w:rsidR="00A1061D" w:rsidRDefault="00A1061D" w:rsidP="00A1061D">
      <w:pPr>
        <w:spacing w:before="120" w:after="120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Функциями Управления противодействия недобросовестным рыночным практикам являются:</w:t>
      </w:r>
    </w:p>
    <w:p w:rsidR="00A1061D" w:rsidRDefault="00A1061D" w:rsidP="00A60963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Выявление, анализ, оценка, мониторинг и управление регуляторным риском в области ПНИИИМР, в том числе разработка мероприятий, направленных на предупреждение и предотвращение последствий реализации регуляторного риска в области ПНИИИМР, а также осуществление контроля за проведением указанных мероприятий. Указанная функция осуществляется в соответствии с Основными подходами к управлению комплаенс-рисками ПАО Московская Биржа.</w:t>
      </w:r>
    </w:p>
    <w:p w:rsidR="00A1061D" w:rsidRDefault="00A1061D" w:rsidP="00A60963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Ведение учета событий, связанных с регуляторным риском в области ПНИИИМР.</w:t>
      </w:r>
    </w:p>
    <w:p w:rsidR="00A1061D" w:rsidRDefault="00A1061D" w:rsidP="00A60963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iCs/>
        </w:rPr>
        <w:t>Осуществление</w:t>
      </w:r>
      <w:r>
        <w:rPr>
          <w:b/>
          <w:bCs/>
          <w:i/>
          <w:color w:val="000000"/>
          <w:lang w:eastAsia="en-US"/>
        </w:rPr>
        <w:t xml:space="preserve"> контроля в указанном ниже порядке за следующими действиями:</w:t>
      </w:r>
    </w:p>
    <w:p w:rsidR="00A1061D" w:rsidRDefault="00A1061D" w:rsidP="00A60963">
      <w:pPr>
        <w:widowControl w:val="0"/>
        <w:numPr>
          <w:ilvl w:val="1"/>
          <w:numId w:val="60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Информированием Биржей Банка России о вероятных и (или) наступивших событиях регуляторного риска в области ПНИИИМР, признанных Биржей существенными.</w:t>
      </w:r>
    </w:p>
    <w:p w:rsidR="00A1061D" w:rsidRDefault="00A1061D" w:rsidP="00A60963">
      <w:pPr>
        <w:widowControl w:val="0"/>
        <w:numPr>
          <w:ilvl w:val="1"/>
          <w:numId w:val="60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 xml:space="preserve">Составлением Биржей собственных перечней инсайдерской информации и внесение в них изменений. </w:t>
      </w:r>
    </w:p>
    <w:p w:rsidR="00A1061D" w:rsidRDefault="00A1061D" w:rsidP="00A60963">
      <w:pPr>
        <w:widowControl w:val="0"/>
        <w:numPr>
          <w:ilvl w:val="1"/>
          <w:numId w:val="60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 xml:space="preserve">Соблюдением Биржей порядка доступа к инсайдерской информации. </w:t>
      </w:r>
    </w:p>
    <w:p w:rsidR="00A1061D" w:rsidRDefault="00A1061D" w:rsidP="00A60963">
      <w:pPr>
        <w:widowControl w:val="0"/>
        <w:numPr>
          <w:ilvl w:val="1"/>
          <w:numId w:val="60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 xml:space="preserve">Соблюдением Биржей порядка и сроков раскрытия инсайдерской информации Биржи в соответствии с Перечнем инсайдерской информации Биржи. </w:t>
      </w:r>
    </w:p>
    <w:p w:rsidR="00A1061D" w:rsidRDefault="00A1061D" w:rsidP="00A60963">
      <w:pPr>
        <w:widowControl w:val="0"/>
        <w:numPr>
          <w:ilvl w:val="1"/>
          <w:numId w:val="60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Проведением мероприятий, направленных на реализацию прав (исполнение обязанностей) в части:</w:t>
      </w:r>
    </w:p>
    <w:p w:rsidR="00A1061D" w:rsidRDefault="00A1061D" w:rsidP="00A60963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ведения списка инсайдеров;</w:t>
      </w:r>
    </w:p>
    <w:p w:rsidR="00A1061D" w:rsidRDefault="00A1061D" w:rsidP="00A60963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уведомления лиц, включенных в список инсайдеров, об их включении в такой список и исключении из него, а также информирования указанных лиц о требованиях Закона № 224-ФЗ;</w:t>
      </w:r>
    </w:p>
    <w:p w:rsidR="00A1061D" w:rsidRDefault="00A1061D" w:rsidP="00A60963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передачи списка инсайдеров в Банк России по его требованию;</w:t>
      </w:r>
    </w:p>
    <w:p w:rsidR="00A1061D" w:rsidRDefault="00A1061D" w:rsidP="00A60963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направления запросов, содержащих информацию, предусмотренную частями 1 - 3 статьи 10 Закона № 224-ФЗ, а также предоставления информации при получении Биржей указанных запросов;</w:t>
      </w:r>
    </w:p>
    <w:p w:rsidR="00A1061D" w:rsidRDefault="00A1061D" w:rsidP="00A60963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направления Биржей требований, предусмотренных пунктом 1 части 2 статьи 12 Закона № 224-ФЗ;</w:t>
      </w:r>
    </w:p>
    <w:p w:rsidR="00A1061D" w:rsidRDefault="00A1061D" w:rsidP="00A60963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направления Биржей в Банк России уведомления обо всех выявленных в течение каждого торгового дня нестандартных сделках (заявках) и о результатах проведенных проверок;</w:t>
      </w:r>
    </w:p>
    <w:p w:rsidR="00A1061D" w:rsidRDefault="00A1061D" w:rsidP="00A60963">
      <w:pPr>
        <w:widowControl w:val="0"/>
        <w:numPr>
          <w:ilvl w:val="0"/>
          <w:numId w:val="61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lastRenderedPageBreak/>
        <w:t>контроля за совершением операций с финансовыми инструментами, иностранной валютой и (или) товарами от своего имени и за свой счет, а также лицами, включенными в список инсайдеров Биржи.</w:t>
      </w:r>
    </w:p>
    <w:p w:rsidR="00A1061D" w:rsidRDefault="00A1061D" w:rsidP="00A60963">
      <w:pPr>
        <w:widowControl w:val="0"/>
        <w:numPr>
          <w:ilvl w:val="1"/>
          <w:numId w:val="60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Соблюдением лицами, указанными в пунктах 7 и 13 статьи 4 Закона №224-ФЗ, включенными в список инсайдеров Биржи, связанными с ними лицами, а также всеми работниками Биржи Условий совершения операций с финансовыми инструментами в ПАО Московская Биржа, определенных Наблюдательным советом Биржи. Контроль осуществляется посредством мероприятий, указанных в Разделе 6.</w:t>
      </w:r>
    </w:p>
    <w:p w:rsidR="00A1061D" w:rsidRDefault="00A1061D" w:rsidP="00A60963">
      <w:pPr>
        <w:widowControl w:val="0"/>
        <w:numPr>
          <w:ilvl w:val="1"/>
          <w:numId w:val="60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Выявлением нестандартных сделок (заявок) и проведением Биржей проверок нестандартных сделок (заявок) на предмет неправомерного использования инсайдерской информации и (или) манипулирования рынком в соответствии с пунктом 2 части 1 статьи 12 Закона №224-ФЗ и в соответствии с Правилами предотвращения, выявления и пресечения случаев неправомерного использования инсайдерской информации и (или) манипулирования рынком.</w:t>
      </w:r>
    </w:p>
    <w:p w:rsidR="00A1061D" w:rsidRDefault="00A1061D" w:rsidP="00A60963">
      <w:pPr>
        <w:widowControl w:val="0"/>
        <w:numPr>
          <w:ilvl w:val="1"/>
          <w:numId w:val="60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Обеспечением соответствия документов Биржи требованиям в области ПНИИИМР и соответствия документов Биржи друг другу. Ответственное структурное подразделение осуществляет контроль путем анализа информации об основных изменениях нормативных актов, подготавливаемой юридическим департаментом Биржи, на предмет выявления несоответствий и противоречий документов Биржи требованиям в области ПНИИИМР и документов Биржи друг другу.</w:t>
      </w:r>
    </w:p>
    <w:p w:rsidR="00A1061D" w:rsidRDefault="00A1061D" w:rsidP="00A60963">
      <w:pPr>
        <w:widowControl w:val="0"/>
        <w:numPr>
          <w:ilvl w:val="1"/>
          <w:numId w:val="60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 xml:space="preserve">Проведением ознакомления лиц, входящих в состав органов управления, и работников Биржи с требованиями в области ПНИИИМР и внутренними документами Биржи. </w:t>
      </w:r>
    </w:p>
    <w:p w:rsidR="00A1061D" w:rsidRDefault="00A1061D" w:rsidP="00A60963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Участие в рассмотрении обращений (в том числе жалоб), запросов и заявлений в области ПНИИИМР, а также анализ статистики обращений (в том числе жалоб), запросов и заявлений.</w:t>
      </w:r>
    </w:p>
    <w:p w:rsidR="00A1061D" w:rsidRDefault="00A1061D" w:rsidP="00A60963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Составление и предоставление Председателю Правления Биржи отчетов о вероятных и (или) наступивших событиях регуляторного риска в области ПНИИИМР и отчетов о деятельности Ответственного структурного подразделения. </w:t>
      </w:r>
    </w:p>
    <w:p w:rsidR="00A1061D" w:rsidRDefault="00A1061D" w:rsidP="00A60963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Составление и предоставление Председателю Правления Биржи предложений, направленных на совершенствование проводимых Биржей мероприятий по ПНИИИМР. </w:t>
      </w:r>
    </w:p>
    <w:p w:rsidR="00A1061D" w:rsidRDefault="00A1061D" w:rsidP="00A60963">
      <w:pPr>
        <w:widowControl w:val="0"/>
        <w:numPr>
          <w:ilvl w:val="0"/>
          <w:numId w:val="59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iCs/>
        </w:rPr>
        <w:t>Участие</w:t>
      </w:r>
      <w:r>
        <w:rPr>
          <w:b/>
          <w:bCs/>
          <w:i/>
          <w:color w:val="000000"/>
          <w:lang w:eastAsia="en-US"/>
        </w:rPr>
        <w:t xml:space="preserve"> в процессе пересмотра ПВК по ПНИИИМР.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:rsidR="00A1061D" w:rsidRDefault="00A1061D" w:rsidP="00A1061D">
      <w:pPr>
        <w:spacing w:after="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Сведения о наличии у эмитента отдельного структурного подразделения (службы) внутреннего аудита, его задачах и функциях: 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 xml:space="preserve">Внутренний аудит эмитента осуществляет самостоятельное структурное подразделение Эмитента – Служба внутреннего аудита (далее также – СВА, Служба), которая осуществляет свою деятельность в соответствии с действующим законодательством Российской Федерации, Уставом Эмитента и Положением о Службе внутреннего аудита, утвержденном Наблюдательным советом Эмитента. 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>Служба внутреннего аудита обладает достаточной независимостью и особым статусом в организационной структуре, что достигается путем разграничения ее функциональной и административной подотчетности. Руководитель СВА функционально подотчетен Наблюдательному совету и административно подчинен Председателю Правления Эмитента.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>Одной из целей Службы внутреннего аудита является деятельность по предоставлению независимых и объективных гарантий и консультаций, направленная на</w:t>
      </w:r>
      <w:r>
        <w:t> </w:t>
      </w:r>
      <w:r>
        <w:rPr>
          <w:b/>
          <w:bCs/>
          <w:i/>
          <w:iCs/>
          <w:color w:val="000000"/>
          <w:lang w:eastAsia="en-US"/>
        </w:rPr>
        <w:t xml:space="preserve">совершенствование работы Эмитента и содействие в достижении Эмитентом поставленных целей, используя систематизированный и последовательный подход к оценке </w:t>
      </w:r>
      <w:r>
        <w:rPr>
          <w:b/>
          <w:bCs/>
          <w:i/>
          <w:iCs/>
          <w:color w:val="000000"/>
          <w:lang w:eastAsia="en-US"/>
        </w:rPr>
        <w:lastRenderedPageBreak/>
        <w:t>и повышению эффективности процессов управления рисками, внутреннего контроля и корпоративного управления.</w:t>
      </w:r>
    </w:p>
    <w:p w:rsidR="00A1061D" w:rsidRDefault="00A1061D" w:rsidP="00A1061D">
      <w:pPr>
        <w:spacing w:before="120" w:after="120"/>
        <w:ind w:firstLine="567"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>Основными задачами Службы являются:</w:t>
      </w:r>
    </w:p>
    <w:p w:rsidR="00A1061D" w:rsidRDefault="00A1061D" w:rsidP="00A60963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независимая оценка эффективности систем внутреннего контроля, корпоративного управления, системы управления рисками, финансово-хозяйственной деятельности, применяемых способов (методов) обеспечения сохранности имущества, соблюдения эмитентом законодательства Российской Федерации, учредительных и внутренних документов эмитента, обеспечения информационной безопасности организатора торговли, достоверности, полноты, объективности и своевременности составления и представления организатором торговли бухгалтерской (финансовой), статистической и иной отчетности;</w:t>
      </w:r>
    </w:p>
    <w:p w:rsidR="00A1061D" w:rsidRDefault="00A1061D" w:rsidP="00A60963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рекомендаций по снижению уровня риска, совершенствованию системы управления рисками, обеспечению соответствия рисков, связанных с каждым объектом аудита, риск-аппетиту, а также совершенствованию и повышению эффективности процессов, систем и процедур;</w:t>
      </w:r>
    </w:p>
    <w:p w:rsidR="00A1061D" w:rsidRDefault="00A1061D" w:rsidP="00A60963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контроль за принятием своевременных и эффективных мер, направленных на устранение выявленных недостатков и нарушений, в том числе, контроль за своевременным исполнением работниками Биржи рекомендаций по результатам проведенных проверок;</w:t>
      </w:r>
    </w:p>
    <w:p w:rsidR="00A1061D" w:rsidRDefault="00A1061D" w:rsidP="00A60963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координация деятельности с внешним аудитором Биржи, а также лицами, оказывающими услуги по консультированию в области управления рисками, внутреннего контроля и корпоративного управления;</w:t>
      </w:r>
    </w:p>
    <w:p w:rsidR="00A1061D" w:rsidRDefault="00A1061D" w:rsidP="00A60963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проведение по поручению Наблюдательного совета проверок дочерних компаний Группы;</w:t>
      </w:r>
    </w:p>
    <w:p w:rsidR="00A1061D" w:rsidRDefault="00A1061D" w:rsidP="00A60963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и предоставление Наблюдательному совету, Председателю Правления и Правлению эмитента отчетов по результатам деятельности Службы;</w:t>
      </w:r>
    </w:p>
    <w:p w:rsidR="00A1061D" w:rsidRDefault="00A1061D" w:rsidP="00A60963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проверка соблюдения членами Правления, Председателем Правления и работниками эмитента положений законодательства и внутренних документов/политик эмитента, касающихся инсайдерской информации и борьбы с коррупцией, соблюдения требований Кодекса этики эмитента;</w:t>
      </w:r>
    </w:p>
    <w:p w:rsidR="00A1061D" w:rsidRDefault="00A1061D" w:rsidP="00A60963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</w:rPr>
        <w:t>содействие развитию</w:t>
      </w:r>
      <w:r>
        <w:rPr>
          <w:b/>
          <w:bCs/>
          <w:i/>
          <w:iCs/>
          <w:color w:val="000000"/>
          <w:lang w:eastAsia="en-US"/>
        </w:rPr>
        <w:t xml:space="preserve"> и организация взаимодействия внутреннего аудита Группы.</w:t>
      </w:r>
    </w:p>
    <w:p w:rsidR="00A1061D" w:rsidRDefault="00A1061D" w:rsidP="00A1061D">
      <w:pPr>
        <w:spacing w:before="120" w:after="120"/>
        <w:ind w:firstLine="567"/>
        <w:jc w:val="both"/>
        <w:rPr>
          <w:b/>
          <w:bCs/>
          <w:i/>
          <w:iCs/>
          <w:color w:val="000000"/>
          <w:lang w:eastAsia="en-US"/>
        </w:rPr>
      </w:pPr>
      <w:bookmarkStart w:id="244" w:name="_Hlk98748263"/>
      <w:r>
        <w:rPr>
          <w:b/>
          <w:bCs/>
          <w:i/>
          <w:iCs/>
          <w:color w:val="000000"/>
          <w:lang w:eastAsia="en-US"/>
        </w:rPr>
        <w:t xml:space="preserve">Для достижения поставленных перед ней задач Служба осуществляет следующие функции: </w:t>
      </w:r>
    </w:p>
    <w:p w:rsidR="00A1061D" w:rsidRDefault="00A1061D" w:rsidP="00A60963">
      <w:pPr>
        <w:widowControl w:val="0"/>
        <w:numPr>
          <w:ilvl w:val="0"/>
          <w:numId w:val="63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оценка эффективности и результативности </w:t>
      </w:r>
      <w:bookmarkStart w:id="245" w:name="_Hlk143597532"/>
      <w:r>
        <w:rPr>
          <w:b/>
          <w:bCs/>
          <w:i/>
          <w:iCs/>
        </w:rPr>
        <w:t>корпоративного управления, бизнес-процессов эмитента, внутреннего контроля, а также системы управления рисками</w:t>
      </w:r>
      <w:bookmarkEnd w:id="245"/>
      <w:r>
        <w:rPr>
          <w:b/>
          <w:bCs/>
          <w:i/>
          <w:iCs/>
        </w:rPr>
        <w:t xml:space="preserve"> эмитента (включая эффективность способов (методов) обеспечения информационной безопасности и мер, определенных во внутренних документах Эмитента, предусмотренном частью 5 статьи 15 Федерального закона Об организованных торгах, операционной надежности и бесперебойного (непрерывного) функционирования, защиты от несанкционированного доступа к информационным системам эмитента или несанкционированного использования информационных систем Биржи), применяемых способов (методов) обеспечения сохранности имущества Биржи;</w:t>
      </w:r>
    </w:p>
    <w:p w:rsidR="00A1061D" w:rsidRDefault="00A1061D" w:rsidP="00A60963">
      <w:pPr>
        <w:widowControl w:val="0"/>
        <w:numPr>
          <w:ilvl w:val="0"/>
          <w:numId w:val="63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проведение проверок </w:t>
      </w:r>
      <w:bookmarkStart w:id="246" w:name="_Hlk143597585"/>
      <w:r>
        <w:rPr>
          <w:b/>
          <w:bCs/>
          <w:i/>
          <w:iCs/>
        </w:rPr>
        <w:t>по всем направлениям деятельности эмитента, в том числе любого структурного подразделения (работников структурного подразделения) Эмитента, всех бизнес-процессов и операций, совершаемых Эмитентом, а также достоверности, полноты и своевременности бухгалтерского учета и отчетности, предусмотренной законодательством Российской Федерации, надежности (включая достоверность, полноту и своевременность) ее сбора и представления</w:t>
      </w:r>
      <w:bookmarkEnd w:id="246"/>
      <w:r>
        <w:rPr>
          <w:b/>
          <w:bCs/>
          <w:i/>
          <w:iCs/>
        </w:rPr>
        <w:t>;</w:t>
      </w:r>
    </w:p>
    <w:p w:rsidR="00A1061D" w:rsidRDefault="00A1061D" w:rsidP="00A60963">
      <w:pPr>
        <w:widowControl w:val="0"/>
        <w:numPr>
          <w:ilvl w:val="0"/>
          <w:numId w:val="63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разработка на основании результатов оценки рисков, изменений в организационной структуре Эмитента, анализа внедрения новых продуктов, сервисов и функций </w:t>
      </w:r>
      <w:bookmarkStart w:id="247" w:name="_Hlk143598625"/>
      <w:r>
        <w:rPr>
          <w:b/>
          <w:bCs/>
          <w:i/>
          <w:iCs/>
        </w:rPr>
        <w:t>в рамках осуществляемой эмитентом деятельности</w:t>
      </w:r>
      <w:bookmarkEnd w:id="247"/>
      <w:r>
        <w:rPr>
          <w:b/>
          <w:bCs/>
          <w:i/>
          <w:iCs/>
        </w:rPr>
        <w:t xml:space="preserve">, а также периодичности </w:t>
      </w:r>
      <w:r>
        <w:rPr>
          <w:b/>
          <w:bCs/>
          <w:i/>
          <w:iCs/>
        </w:rPr>
        <w:lastRenderedPageBreak/>
        <w:t>проверок, проводимых Службой, плана работы Службы;</w:t>
      </w:r>
    </w:p>
    <w:p w:rsidR="00A1061D" w:rsidRDefault="00A1061D" w:rsidP="00A60963">
      <w:pPr>
        <w:widowControl w:val="0"/>
        <w:numPr>
          <w:ilvl w:val="0"/>
          <w:numId w:val="63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составление отчетов (актов) по результатам проверок, проведенных Службой;</w:t>
      </w:r>
    </w:p>
    <w:p w:rsidR="00A1061D" w:rsidRDefault="00A1061D" w:rsidP="00A60963">
      <w:pPr>
        <w:widowControl w:val="0"/>
        <w:numPr>
          <w:ilvl w:val="0"/>
          <w:numId w:val="63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и направление Наблюдательному совету отчета о проведенных проверках Службой и ходе выполнения рекомендаций, а также информации о случаях, препятствующих осуществлению Службой своих функций (при наличии таких случаев);</w:t>
      </w:r>
    </w:p>
    <w:p w:rsidR="00A1061D" w:rsidRDefault="00A1061D" w:rsidP="00A60963">
      <w:pPr>
        <w:widowControl w:val="0"/>
        <w:numPr>
          <w:ilvl w:val="0"/>
          <w:numId w:val="63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анализ экономической целесообразности планируемых к внедрению и внедренных Эмитентом новых продуктов и сервисов, планируемых к осуществлению и осуществляемых организатором торговли новых функций, а также анализ совершенных организатором торговли сделок.</w:t>
      </w:r>
    </w:p>
    <w:p w:rsidR="00A1061D" w:rsidRDefault="00A1061D" w:rsidP="00A1061D">
      <w:pPr>
        <w:spacing w:after="0"/>
        <w:contextualSpacing/>
        <w:jc w:val="both"/>
        <w:rPr>
          <w:b/>
          <w:bCs/>
          <w:i/>
          <w:iCs/>
          <w:color w:val="000000"/>
          <w:lang w:eastAsia="en-US"/>
        </w:rPr>
      </w:pPr>
    </w:p>
    <w:p w:rsidR="00A1061D" w:rsidRDefault="00A1061D" w:rsidP="00A1061D">
      <w:pPr>
        <w:spacing w:after="0"/>
        <w:ind w:firstLine="567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Сведения о наличии и компетенции ревизионной комиссии (ревизора):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>Уставом Эмитента формирование Ревизионной комиссии (ревизора) не предусмотрено.</w:t>
      </w:r>
    </w:p>
    <w:p w:rsidR="00A1061D" w:rsidRDefault="00A1061D" w:rsidP="00A1061D">
      <w:pPr>
        <w:spacing w:after="0"/>
        <w:ind w:firstLine="567"/>
        <w:contextualSpacing/>
        <w:jc w:val="both"/>
        <w:rPr>
          <w:b/>
          <w:bCs/>
          <w:i/>
          <w:iCs/>
          <w:color w:val="000000"/>
          <w:lang w:eastAsia="en-US"/>
        </w:rPr>
      </w:pPr>
    </w:p>
    <w:p w:rsidR="00A1061D" w:rsidRPr="00DE63A0" w:rsidRDefault="00A1061D" w:rsidP="00A1061D">
      <w:pPr>
        <w:spacing w:after="0"/>
        <w:ind w:firstLine="567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Сведения о политике эмитента в области управления рисками, внутреннего контроля и внутреннего аудита, а также о наличии внутреннего документа эмитента, устанавливающего правила по предотвращению неправомерного использования конфиденциальной и инсайдерской информации: </w:t>
      </w:r>
    </w:p>
    <w:bookmarkEnd w:id="244"/>
    <w:p w:rsidR="00A1061D" w:rsidRDefault="00A1061D" w:rsidP="00A1061D">
      <w:pPr>
        <w:spacing w:before="120" w:after="120"/>
        <w:ind w:firstLine="567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Внутренний контроль осуществляется Эмитентом в соответствии со следующими внутренними нормативными актами Эмитента:</w:t>
      </w:r>
    </w:p>
    <w:p w:rsidR="00A1061D" w:rsidRDefault="00A1061D" w:rsidP="00A60963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Принципами организации системы внутреннего контроля ПАО Московская Биржа;</w:t>
      </w:r>
    </w:p>
    <w:p w:rsidR="00A1061D" w:rsidRDefault="00A1061D" w:rsidP="00A60963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Положением о внутреннем контроле ПАО Московская Биржа; </w:t>
      </w:r>
    </w:p>
    <w:p w:rsidR="00A1061D" w:rsidRDefault="00A1061D" w:rsidP="00A60963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Правилами внутреннего контроля в целях противодействия легализации (отмыванию) доходов, полученных преступным путем, финансированию терроризма и финансированию распространения оружия массового уничтожения в ПАО Московская Биржа при осуществлении деятельности оператора финансовой платформы;</w:t>
      </w:r>
    </w:p>
    <w:p w:rsidR="00A1061D" w:rsidRDefault="00A1061D" w:rsidP="00A60963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 w:rsidRPr="00C8043E">
        <w:rPr>
          <w:b/>
          <w:bCs/>
          <w:i/>
          <w:iCs/>
        </w:rPr>
        <w:t>Правила внутреннего контроля по предотвращению, выявлению и пресечению неправомерного использования инсайдерской информации и (или) манипулирования рынком Публичного акционерного общества «Московская Биржа ММВБ</w:t>
      </w:r>
      <w:r w:rsidRPr="007A50CD">
        <w:rPr>
          <w:b/>
          <w:bCs/>
          <w:i/>
          <w:iCs/>
        </w:rPr>
        <w:t>–</w:t>
      </w:r>
      <w:r w:rsidRPr="00C8043E">
        <w:rPr>
          <w:b/>
          <w:bCs/>
          <w:i/>
          <w:iCs/>
        </w:rPr>
        <w:t>РТС»</w:t>
      </w:r>
      <w:r>
        <w:rPr>
          <w:b/>
          <w:bCs/>
          <w:i/>
          <w:iCs/>
        </w:rPr>
        <w:t>;</w:t>
      </w:r>
    </w:p>
    <w:p w:rsidR="00A1061D" w:rsidRPr="00C8043E" w:rsidRDefault="00A1061D" w:rsidP="00A60963">
      <w:pPr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Правила предотвращения, выявления и пресечения случаев неправомерного использования инсайдерской информации и (или) манипулирования рынком, в том числе критерии сделок (заявок), имеющих признаки неправомерного использования инсайдерской информации и (или) манипулирования рынком ПАО Московская Биржа. </w:t>
      </w:r>
    </w:p>
    <w:p w:rsidR="00A1061D" w:rsidRDefault="00A1061D" w:rsidP="00A1061D">
      <w:pPr>
        <w:spacing w:after="0"/>
        <w:ind w:firstLine="567"/>
        <w:contextualSpacing/>
        <w:jc w:val="both"/>
        <w:rPr>
          <w:color w:val="000000"/>
          <w:lang w:eastAsia="en-US"/>
        </w:rPr>
      </w:pPr>
    </w:p>
    <w:p w:rsidR="00A1061D" w:rsidRDefault="00A1061D" w:rsidP="00A1061D">
      <w:pPr>
        <w:spacing w:after="120"/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Система управления рисками Эмитента базируется на следующих внутренних нормативных документах Эмитента:</w:t>
      </w:r>
    </w:p>
    <w:p w:rsidR="00A1061D" w:rsidRDefault="00A1061D" w:rsidP="00A60963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Правила управления рисками, связанными с осуществлением деятельности организатора торговли и оператора обмена цифровых финансовых активов;</w:t>
      </w:r>
    </w:p>
    <w:p w:rsidR="00A1061D" w:rsidRDefault="00A1061D" w:rsidP="00A60963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</w:rPr>
        <w:t>Правила управления рисками, связанными с осуществлением деятельности оператора финансовой</w:t>
      </w:r>
      <w:r>
        <w:rPr>
          <w:b/>
          <w:bCs/>
          <w:i/>
          <w:iCs/>
          <w:color w:val="000000"/>
          <w:lang w:eastAsia="en-US"/>
        </w:rPr>
        <w:t xml:space="preserve"> платформы;</w:t>
      </w:r>
    </w:p>
    <w:p w:rsidR="00A1061D" w:rsidRDefault="00A1061D" w:rsidP="00A60963">
      <w:pPr>
        <w:widowControl w:val="0"/>
        <w:numPr>
          <w:ilvl w:val="0"/>
          <w:numId w:val="65"/>
        </w:numPr>
        <w:autoSpaceDE w:val="0"/>
        <w:autoSpaceDN w:val="0"/>
        <w:adjustRightInd w:val="0"/>
        <w:spacing w:before="20" w:after="0" w:line="240" w:lineRule="auto"/>
        <w:ind w:left="714" w:hanging="357"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</w:rPr>
        <w:t>Принципы</w:t>
      </w:r>
      <w:r>
        <w:rPr>
          <w:b/>
          <w:bCs/>
          <w:i/>
          <w:iCs/>
          <w:color w:val="000000"/>
          <w:lang w:eastAsia="en-US"/>
        </w:rPr>
        <w:t xml:space="preserve"> управления комплаенс-рисками. </w:t>
      </w:r>
    </w:p>
    <w:p w:rsidR="00A1061D" w:rsidRDefault="00A1061D" w:rsidP="00A1061D">
      <w:pPr>
        <w:spacing w:after="0"/>
        <w:ind w:firstLine="567"/>
        <w:contextualSpacing/>
        <w:jc w:val="both"/>
        <w:rPr>
          <w:color w:val="000000"/>
          <w:lang w:eastAsia="en-US"/>
        </w:rPr>
      </w:pPr>
    </w:p>
    <w:p w:rsidR="00A1061D" w:rsidRDefault="00A1061D" w:rsidP="00A1061D">
      <w:pPr>
        <w:spacing w:after="120"/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Внутренний аудит осуществляется Эмитентом в соответствии со следующими внутренними нормативными актами Эмитента:</w:t>
      </w:r>
    </w:p>
    <w:p w:rsidR="00A1061D" w:rsidRDefault="00A1061D" w:rsidP="00A60963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Положение о Службе внутреннего аудита ПАО Московская Биржа и Изменение № 1 к нему;</w:t>
      </w:r>
    </w:p>
    <w:p w:rsidR="00A1061D" w:rsidRDefault="00A1061D" w:rsidP="00A60963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before="20" w:after="0" w:line="240" w:lineRule="auto"/>
        <w:ind w:left="714" w:hanging="357"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</w:rPr>
        <w:t>П</w:t>
      </w:r>
      <w:r>
        <w:rPr>
          <w:b/>
          <w:bCs/>
          <w:i/>
          <w:iCs/>
          <w:color w:val="000000"/>
          <w:lang w:eastAsia="en-US"/>
        </w:rPr>
        <w:t>олитики (Стандарты) Эмитента в области внутреннего аудита.</w:t>
      </w:r>
    </w:p>
    <w:p w:rsidR="00A1061D" w:rsidRDefault="00A1061D" w:rsidP="00A1061D">
      <w:pPr>
        <w:spacing w:after="0"/>
        <w:ind w:firstLine="567"/>
        <w:jc w:val="both"/>
        <w:rPr>
          <w:color w:val="000000"/>
          <w:lang w:eastAsia="en-US"/>
        </w:rPr>
      </w:pPr>
    </w:p>
    <w:p w:rsidR="00A1061D" w:rsidRDefault="00A1061D" w:rsidP="00A1061D">
      <w:pPr>
        <w:spacing w:after="120"/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lastRenderedPageBreak/>
        <w:t xml:space="preserve">Внутренними документами, устанавливающими правила по предотвращению использования служебной (инсайдерской) информации Эмитента, являются: </w:t>
      </w:r>
    </w:p>
    <w:p w:rsidR="00A1061D" w:rsidRDefault="00A1061D" w:rsidP="00A60963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C8043E">
        <w:rPr>
          <w:b/>
          <w:bCs/>
          <w:i/>
          <w:iCs/>
        </w:rPr>
        <w:t>Правила внутреннего контроля по предотвращению, выявлению и пресечению неправомерного использования инсайдерской информации и (или) манипулирования рынком Публичного акционерного общества «Московская Биржа ММВБ</w:t>
      </w:r>
      <w:r w:rsidRPr="007A50CD">
        <w:rPr>
          <w:b/>
          <w:bCs/>
          <w:i/>
          <w:iCs/>
        </w:rPr>
        <w:t>–</w:t>
      </w:r>
      <w:r w:rsidRPr="00C8043E">
        <w:rPr>
          <w:b/>
          <w:bCs/>
          <w:i/>
          <w:iCs/>
        </w:rPr>
        <w:t>РТС»;</w:t>
      </w:r>
    </w:p>
    <w:p w:rsidR="00A1061D" w:rsidRDefault="00A1061D" w:rsidP="00A60963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Правила предотвращения, выявления и пресечения случаев неправомерного использования инсайдерской информации и (или) манипулирования рынком, в том числе критерии сделок (заявок), имеющих признаки неправомерного использования инсайдерской информации и (или) манипулирования рынком ПАО Московская Биржа; </w:t>
      </w:r>
    </w:p>
    <w:p w:rsidR="00A1061D" w:rsidRDefault="00A1061D" w:rsidP="00A60963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C8043E">
        <w:rPr>
          <w:b/>
          <w:bCs/>
          <w:i/>
          <w:iCs/>
        </w:rPr>
        <w:t>Условия совершения операций с финансовыми инструментами в ПАО Московская Биржа;</w:t>
      </w:r>
    </w:p>
    <w:p w:rsidR="00A1061D" w:rsidRDefault="00A1061D" w:rsidP="00A60963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Перечень инсайдерской информации ПАО Московская Биржа; </w:t>
      </w:r>
    </w:p>
    <w:p w:rsidR="00A1061D" w:rsidRDefault="00A1061D" w:rsidP="00A60963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Порядок передачи списков инсайдеров ПАО Московская Биржа;</w:t>
      </w:r>
    </w:p>
    <w:p w:rsidR="00A1061D" w:rsidRDefault="00A1061D" w:rsidP="00A60963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Перечень мер, направленных на предотвращение неправомерного использования сведений, составляющих служебную информацию и коммерческую тайну ОАО Московская Биржа; </w:t>
      </w:r>
    </w:p>
    <w:p w:rsidR="00A1061D" w:rsidRDefault="00A1061D" w:rsidP="00A60963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Положение о выявлении и предотвращении конфликта интересов при осуществлении ПАО Московская Биржа деятельности организатора торговли и деятельности оператора финансовой платформы;</w:t>
      </w:r>
    </w:p>
    <w:p w:rsidR="00A1061D" w:rsidRDefault="00A1061D" w:rsidP="00A60963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Меры, направленные на выявление и предотвращение конфликта интересов, связанного с совмещением деятельности оператора финансовой платформы с иными видами деятельности Публичного акционерного общества Московская Биржа ММВБ-РТС;</w:t>
      </w:r>
    </w:p>
    <w:p w:rsidR="00A1061D" w:rsidRDefault="00A1061D" w:rsidP="00A60963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Положение о работе со сведениями, составляющими коммерческую тайну в ОАО Московская Биржа; </w:t>
      </w:r>
    </w:p>
    <w:p w:rsidR="00A1061D" w:rsidRPr="003771F4" w:rsidRDefault="00A1061D" w:rsidP="00A60963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before="20" w:after="0" w:line="240" w:lineRule="auto"/>
        <w:ind w:left="714" w:hanging="357"/>
        <w:jc w:val="both"/>
        <w:rPr>
          <w:b/>
          <w:i/>
          <w:color w:val="000000"/>
          <w:lang w:eastAsia="en-US"/>
        </w:rPr>
      </w:pPr>
      <w:r>
        <w:rPr>
          <w:b/>
          <w:bCs/>
          <w:i/>
          <w:iCs/>
        </w:rPr>
        <w:t>Перечень</w:t>
      </w:r>
      <w:r>
        <w:rPr>
          <w:b/>
          <w:bCs/>
          <w:i/>
          <w:iCs/>
          <w:color w:val="000000"/>
          <w:lang w:eastAsia="en-US"/>
        </w:rPr>
        <w:t xml:space="preserve"> сведений, составляющих коммерческую тайну ОАО Московская Биржа.</w:t>
      </w:r>
    </w:p>
    <w:p w:rsidR="000A4182" w:rsidRDefault="00680C94" w:rsidP="00C11752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  <w:i/>
        </w:rPr>
      </w:pPr>
      <w:bookmarkStart w:id="248" w:name="_Toc193300372"/>
      <w:bookmarkStart w:id="249" w:name="_Toc193301453"/>
      <w:r>
        <w:rPr>
          <w:b/>
          <w:bCs/>
        </w:rPr>
        <w:t xml:space="preserve">2.4. </w:t>
      </w:r>
      <w:r w:rsidR="00B930FB" w:rsidRPr="00B930FB">
        <w:rPr>
          <w:b/>
          <w:bCs/>
        </w:rPr>
        <w:t>Информация о лицах, ответственных в эмитенте за организацию и осуществление управления рисками, контроля за финансово-хозяйственной деятельностью и внутреннего контроля, внутреннего аудита</w:t>
      </w:r>
      <w:bookmarkEnd w:id="238"/>
      <w:bookmarkEnd w:id="239"/>
      <w:bookmarkEnd w:id="240"/>
      <w:bookmarkEnd w:id="248"/>
      <w:bookmarkEnd w:id="249"/>
      <w:r w:rsidR="000A4182" w:rsidRPr="000A4182">
        <w:rPr>
          <w:b/>
          <w:bCs/>
          <w:i/>
        </w:rPr>
        <w:t xml:space="preserve"> </w:t>
      </w:r>
    </w:p>
    <w:p w:rsidR="00716410" w:rsidRPr="006A42F7" w:rsidRDefault="00716410" w:rsidP="00716410">
      <w:pPr>
        <w:spacing w:after="120" w:line="240" w:lineRule="auto"/>
        <w:jc w:val="both"/>
      </w:pPr>
      <w:r w:rsidRPr="006A42F7">
        <w:t>Наличие ревизионной комиссии (ревизора) не предусмотрено Уставом.</w:t>
      </w:r>
    </w:p>
    <w:p w:rsidR="00716410" w:rsidRPr="006A42F7" w:rsidRDefault="00716410" w:rsidP="00716410">
      <w:pPr>
        <w:widowControl w:val="0"/>
        <w:autoSpaceDE w:val="0"/>
        <w:autoSpaceDN w:val="0"/>
        <w:adjustRightInd w:val="0"/>
        <w:spacing w:after="120" w:line="240" w:lineRule="auto"/>
        <w:jc w:val="both"/>
      </w:pPr>
      <w:r w:rsidRPr="006A42F7">
        <w:t>Сведения о руководителях отдельных структурных подразделений по управлению рисками и</w:t>
      </w:r>
      <w:r w:rsidRPr="006A42F7">
        <w:rPr>
          <w:b/>
          <w:i/>
        </w:rPr>
        <w:t> </w:t>
      </w:r>
      <w:r w:rsidRPr="006A42F7">
        <w:t>(или)</w:t>
      </w:r>
      <w:r>
        <w:t> </w:t>
      </w:r>
      <w:r w:rsidRPr="006A42F7">
        <w:t>внутреннему контролю, структурных подразделений (должностных лицах), ответственного за</w:t>
      </w:r>
      <w:r>
        <w:t> </w:t>
      </w:r>
      <w:r w:rsidRPr="006A42F7">
        <w:t>организацию и осуществление внутреннего аудита</w:t>
      </w:r>
    </w:p>
    <w:p w:rsidR="00716410" w:rsidRPr="006A42F7" w:rsidRDefault="00716410" w:rsidP="0071641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b/>
          <w:bCs/>
          <w:i/>
          <w:iCs/>
        </w:rPr>
      </w:pPr>
      <w:r w:rsidRPr="006A42F7">
        <w:t>Наименование органа контроля за финансово-хозяйственной деятельностью эмитента:</w:t>
      </w:r>
      <w:r w:rsidRPr="006A42F7">
        <w:rPr>
          <w:b/>
          <w:bCs/>
          <w:i/>
          <w:iCs/>
        </w:rPr>
        <w:t xml:space="preserve"> Департамент операционных рисков, информационной безопасности и непрерывности бизнеса ПАО Московская Биржа. </w:t>
      </w:r>
    </w:p>
    <w:p w:rsidR="00716410" w:rsidRPr="006A42F7" w:rsidRDefault="00716410" w:rsidP="00716410">
      <w:pPr>
        <w:widowControl w:val="0"/>
        <w:autoSpaceDE w:val="0"/>
        <w:autoSpaceDN w:val="0"/>
        <w:adjustRightInd w:val="0"/>
        <w:spacing w:after="120" w:line="240" w:lineRule="auto"/>
        <w:jc w:val="both"/>
      </w:pPr>
      <w:r w:rsidRPr="006A42F7">
        <w:t>Информация о руководителе такого отдельного структурного подразделения (органа) эмитента</w:t>
      </w:r>
    </w:p>
    <w:p w:rsidR="00716410" w:rsidRPr="0052329A" w:rsidRDefault="00716410" w:rsidP="00716410">
      <w:pPr>
        <w:widowControl w:val="0"/>
        <w:autoSpaceDE w:val="0"/>
        <w:autoSpaceDN w:val="0"/>
        <w:adjustRightInd w:val="0"/>
        <w:spacing w:after="120" w:line="240" w:lineRule="auto"/>
        <w:jc w:val="both"/>
      </w:pPr>
      <w:r w:rsidRPr="00C45BF3">
        <w:t>Наименование органа контроля за финансово-хозяйственной деятельностью эмитента:</w:t>
      </w:r>
      <w:r w:rsidRPr="00C45BF3">
        <w:rPr>
          <w:b/>
          <w:bCs/>
          <w:i/>
          <w:iCs/>
        </w:rPr>
        <w:t xml:space="preserve"> Служба внутреннего аудита.</w:t>
      </w:r>
    </w:p>
    <w:p w:rsidR="00716410" w:rsidRPr="006A42F7" w:rsidRDefault="00716410" w:rsidP="00716410">
      <w:pPr>
        <w:widowControl w:val="0"/>
        <w:autoSpaceDE w:val="0"/>
        <w:autoSpaceDN w:val="0"/>
        <w:adjustRightInd w:val="0"/>
        <w:spacing w:after="120" w:line="240" w:lineRule="auto"/>
        <w:jc w:val="both"/>
      </w:pPr>
      <w:r w:rsidRPr="006A42F7">
        <w:t>Наименование органа контроля за финансово-хозяйственной деятельностью эмитента:</w:t>
      </w:r>
      <w:r w:rsidRPr="006A42F7">
        <w:rPr>
          <w:b/>
          <w:bCs/>
          <w:i/>
          <w:iCs/>
        </w:rPr>
        <w:t xml:space="preserve"> Служба внутреннего контроля ПАО Московская Биржа.</w:t>
      </w:r>
    </w:p>
    <w:p w:rsidR="000A4182" w:rsidRPr="00FA3E47" w:rsidRDefault="00680C94" w:rsidP="00C11752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  <w:i/>
        </w:rPr>
      </w:pPr>
      <w:bookmarkStart w:id="250" w:name="_Toc139292054"/>
      <w:bookmarkStart w:id="251" w:name="_Toc161055624"/>
      <w:bookmarkStart w:id="252" w:name="_Toc193300373"/>
      <w:bookmarkStart w:id="253" w:name="_Toc193301454"/>
      <w:r w:rsidRPr="00FA3E47">
        <w:rPr>
          <w:b/>
          <w:bCs/>
        </w:rPr>
        <w:t xml:space="preserve">2.5. </w:t>
      </w:r>
      <w:r w:rsidR="00B930FB" w:rsidRPr="00FA3E47">
        <w:rPr>
          <w:b/>
          <w:bCs/>
        </w:rPr>
        <w:t>Сведения о любых обязательствах эмитента перед работниками эмитента и работниками подконтрольных эмитенту организаций, касающихся возможности их участия в уставном капитале эмитента</w:t>
      </w:r>
      <w:bookmarkEnd w:id="250"/>
      <w:bookmarkEnd w:id="251"/>
      <w:bookmarkEnd w:id="252"/>
      <w:bookmarkEnd w:id="253"/>
      <w:r w:rsidR="000A4182" w:rsidRPr="00FA3E47">
        <w:rPr>
          <w:b/>
          <w:bCs/>
          <w:i/>
        </w:rPr>
        <w:t xml:space="preserve"> </w:t>
      </w:r>
    </w:p>
    <w:p w:rsidR="00272C91" w:rsidRPr="00FA3E47" w:rsidRDefault="00272C91" w:rsidP="00272C91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rFonts w:cs="Calibri"/>
        </w:rPr>
      </w:pPr>
      <w:bookmarkStart w:id="254" w:name="_Hlk145098962"/>
      <w:r w:rsidRPr="00FA3E47">
        <w:rPr>
          <w:rFonts w:cs="Calibri"/>
        </w:rPr>
        <w:t xml:space="preserve">В случае если имеют место любые соглашения или обязательства эмитента или подконтрольных эмитенту организаций, предусматривающие право участия работников эмитента и работников подконтрольных эмитенту организаций в его уставном капитале, указываются сведения о </w:t>
      </w:r>
      <w:r w:rsidRPr="00FA3E47">
        <w:rPr>
          <w:rFonts w:cs="Calibri"/>
        </w:rPr>
        <w:lastRenderedPageBreak/>
        <w:t>заключении таких соглашений или обязательств, их общий объем, а также совокупная доля участия в уставном капитале эмитента (совокупное количество обыкновенных акций эмитента - акционерного общества), которая может быть приобретена (которое может быть приобретено) по таким соглашениям или обязательствам работниками эмитента и работниками подконтрольных эмитенту организаций, или указывается на отсутствие таких соглашений или обязательств. Для эмитентов, являющихся акционерными обществами, дополнительно раскрываются сведения о предоставлении или возможности предоставления работникам эмитента и работникам подконтрольных эмитенту организаций ценных бумаг, конвертируемых в акции эмитента.</w:t>
      </w:r>
    </w:p>
    <w:p w:rsidR="00272C91" w:rsidRPr="00FA3E47" w:rsidRDefault="00272C91" w:rsidP="00272C91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rFonts w:cs="Calibri"/>
          <w:b/>
          <w:bCs/>
          <w:i/>
          <w:iCs/>
        </w:rPr>
      </w:pPr>
      <w:r w:rsidRPr="00FA3E47">
        <w:rPr>
          <w:rFonts w:cs="Calibri"/>
          <w:b/>
          <w:bCs/>
          <w:i/>
          <w:iCs/>
        </w:rPr>
        <w:t>В ПАО Московская Биржа с 2011 года действуют Программы долгосрочной мотивации, которые предусматривают обязательства эмитента, касающиеся возможности участия работников эмитента в его уставном капитале.</w:t>
      </w:r>
    </w:p>
    <w:p w:rsidR="00272C91" w:rsidRPr="00FA3E47" w:rsidRDefault="00272C91" w:rsidP="00272C91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cs="Calibri"/>
          <w:b/>
          <w:bCs/>
          <w:i/>
          <w:iCs/>
        </w:rPr>
      </w:pPr>
      <w:r w:rsidRPr="00FA3E47">
        <w:rPr>
          <w:rFonts w:cs="Calibri"/>
          <w:b/>
          <w:bCs/>
          <w:i/>
          <w:iCs/>
        </w:rPr>
        <w:t>Данные Программы направлены на достижение следующих целей:</w:t>
      </w:r>
    </w:p>
    <w:p w:rsidR="00272C91" w:rsidRPr="00FA3E47" w:rsidRDefault="00272C91" w:rsidP="00A60963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FA3E47">
        <w:rPr>
          <w:b/>
          <w:bCs/>
          <w:i/>
          <w:iCs/>
        </w:rPr>
        <w:t>создание дополнительной материальной заинтересованности руководителей в повышении эффективности работы ПАО Московская Биржа;</w:t>
      </w:r>
    </w:p>
    <w:p w:rsidR="00272C91" w:rsidRPr="00FA3E47" w:rsidRDefault="00272C91" w:rsidP="00A60963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FA3E47">
        <w:rPr>
          <w:b/>
          <w:bCs/>
          <w:i/>
          <w:iCs/>
        </w:rPr>
        <w:t>удержание высококвалифицированных руководителей на долгосрочный период;</w:t>
      </w:r>
    </w:p>
    <w:p w:rsidR="00272C91" w:rsidRPr="00FA3E47" w:rsidRDefault="00272C91" w:rsidP="00A60963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before="20" w:after="120" w:line="240" w:lineRule="auto"/>
        <w:ind w:left="714" w:hanging="357"/>
        <w:jc w:val="both"/>
        <w:rPr>
          <w:rFonts w:cs="Calibri"/>
          <w:b/>
          <w:bCs/>
          <w:i/>
          <w:iCs/>
        </w:rPr>
      </w:pPr>
      <w:r w:rsidRPr="00FA3E47">
        <w:rPr>
          <w:b/>
          <w:bCs/>
          <w:i/>
          <w:iCs/>
        </w:rPr>
        <w:t>обеспечение</w:t>
      </w:r>
      <w:r w:rsidRPr="00FA3E47">
        <w:rPr>
          <w:rFonts w:cs="Calibri"/>
          <w:b/>
          <w:bCs/>
          <w:i/>
          <w:iCs/>
        </w:rPr>
        <w:t xml:space="preserve"> последовательного подхода к мотивации руководителей, позволяющего сформировать пакет мотивации, соответствующий передовой международной практике.</w:t>
      </w:r>
    </w:p>
    <w:p w:rsidR="00272C91" w:rsidRPr="00FA3E47" w:rsidRDefault="00272C91" w:rsidP="00272C91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rFonts w:cs="Calibri"/>
          <w:b/>
          <w:bCs/>
          <w:i/>
          <w:iCs/>
        </w:rPr>
      </w:pPr>
      <w:r w:rsidRPr="00FA3E47">
        <w:rPr>
          <w:rFonts w:cs="Calibri"/>
          <w:b/>
          <w:bCs/>
          <w:i/>
          <w:iCs/>
        </w:rPr>
        <w:t xml:space="preserve">Действие данных Программ распространяется на отдельных руководителей высшего и среднего звена ПАО Московская Биржа, перечень которых утверждается Председателем Правления ПАО Московская Биржа, а в отношении членов Правления – Наблюдательным советом ПАО Московская Биржа. </w:t>
      </w:r>
    </w:p>
    <w:p w:rsidR="00272C91" w:rsidRDefault="00272C91" w:rsidP="00272C91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rFonts w:cs="Calibri"/>
          <w:b/>
          <w:bCs/>
          <w:i/>
          <w:iCs/>
        </w:rPr>
      </w:pPr>
      <w:r w:rsidRPr="00FA3E47">
        <w:rPr>
          <w:rFonts w:cs="Calibri"/>
          <w:b/>
          <w:bCs/>
          <w:i/>
          <w:iCs/>
        </w:rPr>
        <w:t>В рамках Программы долгосрочной мотивации, основанной на акциях, принципы и</w:t>
      </w:r>
      <w:r w:rsidRPr="00FA3E47">
        <w:rPr>
          <w:rFonts w:cs="Calibri"/>
        </w:rPr>
        <w:t> </w:t>
      </w:r>
      <w:r w:rsidRPr="00FA3E47">
        <w:rPr>
          <w:rFonts w:cs="Calibri"/>
          <w:b/>
          <w:bCs/>
          <w:i/>
          <w:iCs/>
        </w:rPr>
        <w:t xml:space="preserve">параметры которой утверждены Наблюдательным советом ПАО Московская Биржа в 2020 году (с последующими изменениями), количество акций ПАО Московская Биржа, по которым есть обязательства перед ее участниками (т.е. акции могут быть приобретены в будущем), по состоянию на </w:t>
      </w:r>
      <w:r w:rsidRPr="00F87048">
        <w:rPr>
          <w:rFonts w:cs="Calibri"/>
          <w:b/>
          <w:bCs/>
          <w:i/>
          <w:iCs/>
        </w:rPr>
        <w:t>31.12.2024 составляет 3 205 308 штук.</w:t>
      </w:r>
    </w:p>
    <w:p w:rsidR="00934155" w:rsidRDefault="00934155" w:rsidP="000C3125">
      <w:pPr>
        <w:widowControl w:val="0"/>
        <w:autoSpaceDE w:val="0"/>
        <w:autoSpaceDN w:val="0"/>
        <w:adjustRightInd w:val="0"/>
        <w:spacing w:before="20" w:after="0" w:line="240" w:lineRule="auto"/>
        <w:ind w:firstLine="720"/>
        <w:jc w:val="both"/>
        <w:rPr>
          <w:b/>
          <w:bCs/>
          <w:i/>
        </w:rPr>
      </w:pPr>
    </w:p>
    <w:p w:rsidR="000C3125" w:rsidRPr="008A190D" w:rsidRDefault="000C3125" w:rsidP="000C3125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i/>
          <w:iCs/>
        </w:rPr>
      </w:pPr>
      <w:r w:rsidRPr="004C0E55">
        <w:rPr>
          <w:b/>
          <w:bCs/>
          <w:i/>
        </w:rPr>
        <w:t xml:space="preserve">В период между отчетной датой и датой раскрытия </w:t>
      </w:r>
      <w:r>
        <w:rPr>
          <w:b/>
          <w:bCs/>
          <w:i/>
        </w:rPr>
        <w:t xml:space="preserve">обобщенной </w:t>
      </w:r>
      <w:r w:rsidRPr="004C0E55">
        <w:rPr>
          <w:b/>
          <w:bCs/>
          <w:i/>
        </w:rPr>
        <w:t xml:space="preserve">консолидированной финансовой отчетности в составе </w:t>
      </w:r>
      <w:r>
        <w:rPr>
          <w:b/>
          <w:bCs/>
          <w:i/>
        </w:rPr>
        <w:t xml:space="preserve">пунктов </w:t>
      </w:r>
      <w:r w:rsidRPr="000C3125">
        <w:rPr>
          <w:b/>
          <w:bCs/>
          <w:i/>
        </w:rPr>
        <w:t>2.1, 2.3 - 2.5</w:t>
      </w:r>
      <w:r>
        <w:rPr>
          <w:b/>
          <w:bCs/>
          <w:i/>
        </w:rPr>
        <w:t xml:space="preserve"> </w:t>
      </w:r>
      <w:r w:rsidRPr="004C0E55">
        <w:rPr>
          <w:b/>
          <w:bCs/>
          <w:i/>
        </w:rPr>
        <w:t>изменения не происходили</w:t>
      </w:r>
      <w:r>
        <w:rPr>
          <w:b/>
          <w:bCs/>
          <w:i/>
        </w:rPr>
        <w:t>.</w:t>
      </w:r>
    </w:p>
    <w:p w:rsidR="000C3125" w:rsidRPr="00FA3E47" w:rsidRDefault="000C3125" w:rsidP="00FA3E47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rFonts w:cs="Calibri"/>
          <w:b/>
          <w:bCs/>
          <w:i/>
          <w:iCs/>
        </w:rPr>
      </w:pPr>
    </w:p>
    <w:p w:rsidR="00CA522A" w:rsidRDefault="00CA522A" w:rsidP="00C117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bookmarkStart w:id="255" w:name="_Toc113954745"/>
      <w:bookmarkStart w:id="256" w:name="_Toc139292055"/>
      <w:bookmarkStart w:id="257" w:name="_Toc161055625"/>
      <w:bookmarkEnd w:id="254"/>
    </w:p>
    <w:p w:rsidR="00B930FB" w:rsidRPr="00B930FB" w:rsidRDefault="00B930FB" w:rsidP="00C117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bookmarkStart w:id="258" w:name="_Toc193300374"/>
      <w:bookmarkStart w:id="259" w:name="_Toc193301455"/>
      <w:r w:rsidRPr="00B930FB">
        <w:rPr>
          <w:b/>
          <w:bCs/>
          <w:sz w:val="28"/>
          <w:szCs w:val="28"/>
        </w:rPr>
        <w:t>Раздел 3. Сведения об акционерах (участниках, членах) эмитента, а также о сделках эмитента, в совершении которых имелась заинтересованность, и крупных сделках эмитента</w:t>
      </w:r>
      <w:bookmarkEnd w:id="255"/>
      <w:bookmarkEnd w:id="256"/>
      <w:bookmarkEnd w:id="257"/>
      <w:bookmarkEnd w:id="258"/>
      <w:bookmarkEnd w:id="259"/>
    </w:p>
    <w:p w:rsidR="00B930FB" w:rsidRPr="00CA522A" w:rsidRDefault="00B930FB" w:rsidP="00E35306">
      <w:pPr>
        <w:widowControl w:val="0"/>
        <w:autoSpaceDE w:val="0"/>
        <w:autoSpaceDN w:val="0"/>
        <w:adjustRightInd w:val="0"/>
        <w:spacing w:before="240" w:after="120" w:line="240" w:lineRule="auto"/>
        <w:outlineLvl w:val="1"/>
        <w:rPr>
          <w:b/>
          <w:bCs/>
        </w:rPr>
      </w:pPr>
      <w:bookmarkStart w:id="260" w:name="_Toc113954746"/>
      <w:bookmarkStart w:id="261" w:name="_Toc139292056"/>
      <w:bookmarkStart w:id="262" w:name="_Toc161055626"/>
      <w:bookmarkStart w:id="263" w:name="_Toc193300375"/>
      <w:bookmarkStart w:id="264" w:name="_Toc193301456"/>
      <w:r w:rsidRPr="009F011C">
        <w:rPr>
          <w:b/>
          <w:bCs/>
        </w:rPr>
        <w:t>3.1. Сведения об общем количестве акционеров (участников, членов) эмитента</w:t>
      </w:r>
      <w:bookmarkEnd w:id="260"/>
      <w:bookmarkEnd w:id="261"/>
      <w:bookmarkEnd w:id="262"/>
      <w:bookmarkEnd w:id="263"/>
      <w:bookmarkEnd w:id="264"/>
    </w:p>
    <w:p w:rsidR="00E2716B" w:rsidRPr="00CA522A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 w:rsidRPr="00803BCD">
        <w:t>Общее количество лиц с ненулевыми остатками на лицевых счетах, зарегистрированных в реестре акционеров эмитента на дату окончания последнего отчетного периода:</w:t>
      </w:r>
      <w:r w:rsidRPr="00803BCD">
        <w:rPr>
          <w:b/>
          <w:bCs/>
          <w:i/>
          <w:iCs/>
        </w:rPr>
        <w:t xml:space="preserve"> </w:t>
      </w:r>
      <w:r w:rsidR="00DC01C3" w:rsidRPr="00803BCD">
        <w:rPr>
          <w:b/>
          <w:bCs/>
          <w:i/>
          <w:iCs/>
        </w:rPr>
        <w:t>1</w:t>
      </w:r>
      <w:r w:rsidR="009F011C">
        <w:rPr>
          <w:b/>
          <w:bCs/>
          <w:i/>
          <w:iCs/>
        </w:rPr>
        <w:t>08</w:t>
      </w:r>
      <w:r w:rsidRPr="00803BCD">
        <w:rPr>
          <w:b/>
          <w:bCs/>
          <w:i/>
          <w:iCs/>
        </w:rPr>
        <w:t>.</w:t>
      </w:r>
    </w:p>
    <w:p w:rsidR="00E2716B" w:rsidRPr="00CA522A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803BCD">
        <w:t xml:space="preserve">Общее количество номинальных держателей акций эмитента: </w:t>
      </w:r>
      <w:r w:rsidR="00DC01C3" w:rsidRPr="00803BCD">
        <w:rPr>
          <w:b/>
          <w:i/>
        </w:rPr>
        <w:t>2</w:t>
      </w:r>
      <w:r w:rsidR="00803BCD" w:rsidRPr="00803BCD">
        <w:rPr>
          <w:b/>
          <w:i/>
        </w:rPr>
        <w:t>4</w:t>
      </w:r>
      <w:r w:rsidRPr="00803BCD">
        <w:rPr>
          <w:b/>
          <w:i/>
        </w:rPr>
        <w:t>.</w:t>
      </w:r>
    </w:p>
    <w:p w:rsidR="00E2716B" w:rsidRPr="00CA522A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CA522A">
        <w:t xml:space="preserve">Общее количество лиц, включенных в составленный последним список лиц, имевших (имеющих) право на участие в общем собрании акционеров эмитента (иной список лиц, составленный в целях осуществления (реализации) прав по акциям эмитента и для составления которого номинальные держатели акций эмитента представляли данные о лицах, в интересах которых они владели (владеют) акциями эмитента), или иной имеющийся у эмитента список, для составления которого номинальные держатели акций эмитента представляли данные о лицах, в интересах которых они владели (владеют) акциями эмитента, с указанием категорий (типов) акций эмитента, владельцы которых подлежали включению в последний имеющийся у эмитента список: </w:t>
      </w:r>
      <w:r w:rsidR="00FF64A8" w:rsidRPr="00272C91">
        <w:rPr>
          <w:b/>
          <w:bCs/>
          <w:i/>
          <w:iCs/>
        </w:rPr>
        <w:t>523502</w:t>
      </w:r>
      <w:r w:rsidRPr="00CA522A">
        <w:rPr>
          <w:b/>
          <w:i/>
        </w:rPr>
        <w:t>.</w:t>
      </w:r>
    </w:p>
    <w:p w:rsidR="00E2716B" w:rsidRPr="00CA522A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CA522A">
        <w:t xml:space="preserve">Дата, на которую в таком списке указывались лица, имеющие право осуществлять права по акциям эмитента: </w:t>
      </w:r>
      <w:r w:rsidR="000C617A" w:rsidRPr="00272C91">
        <w:rPr>
          <w:b/>
          <w:i/>
        </w:rPr>
        <w:t>19</w:t>
      </w:r>
      <w:r w:rsidRPr="00CA522A">
        <w:rPr>
          <w:b/>
          <w:i/>
        </w:rPr>
        <w:t>.</w:t>
      </w:r>
      <w:r w:rsidR="000C617A" w:rsidRPr="00272C91">
        <w:rPr>
          <w:b/>
          <w:i/>
        </w:rPr>
        <w:t>1</w:t>
      </w:r>
      <w:r w:rsidR="00BA2321">
        <w:rPr>
          <w:b/>
          <w:i/>
        </w:rPr>
        <w:t>1</w:t>
      </w:r>
      <w:r w:rsidRPr="00CA522A">
        <w:rPr>
          <w:b/>
          <w:i/>
        </w:rPr>
        <w:t>.</w:t>
      </w:r>
      <w:r w:rsidR="000C617A" w:rsidRPr="00CA522A">
        <w:rPr>
          <w:b/>
          <w:i/>
        </w:rPr>
        <w:t>202</w:t>
      </w:r>
      <w:r w:rsidR="000C617A" w:rsidRPr="009C675D">
        <w:rPr>
          <w:b/>
          <w:i/>
        </w:rPr>
        <w:t>4</w:t>
      </w:r>
      <w:r w:rsidRPr="00CA522A">
        <w:rPr>
          <w:b/>
          <w:i/>
        </w:rPr>
        <w:t>.</w:t>
      </w:r>
    </w:p>
    <w:p w:rsidR="00E2716B" w:rsidRPr="00CA522A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CA522A">
        <w:lastRenderedPageBreak/>
        <w:t>Информация о количестве акций, приобретенных и (или) выкупленных эмитентом, и (или) поступивших в его распоряжение, на дату окончания отчетного периода, отдельно по каждой категории (типу) акций:</w:t>
      </w:r>
    </w:p>
    <w:p w:rsidR="00E2716B" w:rsidRPr="00CA522A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</w:pPr>
      <w:r w:rsidRPr="00CA522A">
        <w:t xml:space="preserve">Категория (тип) акций: </w:t>
      </w:r>
      <w:r w:rsidRPr="00CA522A">
        <w:rPr>
          <w:b/>
          <w:bCs/>
          <w:i/>
        </w:rPr>
        <w:t>обыкновенные акции</w:t>
      </w:r>
      <w:r w:rsidRPr="00CA522A">
        <w:rPr>
          <w:b/>
          <w:i/>
        </w:rPr>
        <w:t>.</w:t>
      </w:r>
    </w:p>
    <w:p w:rsidR="00E2716B" w:rsidRPr="00CA522A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b/>
          <w:bCs/>
          <w:i/>
        </w:rPr>
      </w:pPr>
      <w:r w:rsidRPr="00CA522A">
        <w:t xml:space="preserve">Количество собственных акций, находящихся на балансе эмитента: </w:t>
      </w:r>
      <w:r w:rsidRPr="00CA522A">
        <w:rPr>
          <w:b/>
          <w:bCs/>
          <w:i/>
        </w:rPr>
        <w:t>0.</w:t>
      </w:r>
    </w:p>
    <w:p w:rsidR="00E2716B" w:rsidRPr="00CA522A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CA522A">
        <w:t>Информация о количестве акций эмитента, принадлежащих подконтрольным им организациям, отдельно по каждой категории (типу) акций:</w:t>
      </w:r>
    </w:p>
    <w:p w:rsidR="00E2716B" w:rsidRPr="00CA522A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</w:pPr>
      <w:r w:rsidRPr="00CA522A">
        <w:t>Категория (тип) акций: обыкновенные акции.</w:t>
      </w:r>
    </w:p>
    <w:p w:rsidR="00F259D9" w:rsidRPr="00D03FBF" w:rsidRDefault="00E2716B" w:rsidP="00D03FBF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b/>
          <w:bCs/>
          <w:i/>
        </w:rPr>
      </w:pPr>
      <w:r w:rsidRPr="00CA522A">
        <w:t>Количество</w:t>
      </w:r>
      <w:r w:rsidRPr="00CA522A">
        <w:rPr>
          <w:b/>
          <w:bCs/>
          <w:sz w:val="20"/>
          <w:szCs w:val="20"/>
        </w:rPr>
        <w:t xml:space="preserve"> </w:t>
      </w:r>
      <w:r w:rsidRPr="00CA522A">
        <w:t>акций эмитента, принадлежащих подконтрольной организации:</w:t>
      </w:r>
      <w:r w:rsidRPr="00CA522A">
        <w:rPr>
          <w:sz w:val="20"/>
          <w:szCs w:val="20"/>
        </w:rPr>
        <w:t xml:space="preserve"> </w:t>
      </w:r>
      <w:r w:rsidR="00E32CDF">
        <w:rPr>
          <w:b/>
          <w:bCs/>
          <w:i/>
          <w:iCs/>
        </w:rPr>
        <w:t>12 087 296</w:t>
      </w:r>
      <w:r w:rsidRPr="00CA522A">
        <w:rPr>
          <w:b/>
          <w:bCs/>
          <w:i/>
        </w:rPr>
        <w:t>.</w:t>
      </w:r>
    </w:p>
    <w:p w:rsidR="00833888" w:rsidRPr="00724015" w:rsidRDefault="00B930FB" w:rsidP="003B741E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outlineLvl w:val="1"/>
        <w:rPr>
          <w:b/>
          <w:bCs/>
        </w:rPr>
      </w:pPr>
      <w:bookmarkStart w:id="265" w:name="_Toc113954747"/>
      <w:bookmarkStart w:id="266" w:name="_Toc139292057"/>
      <w:bookmarkStart w:id="267" w:name="_Toc161055627"/>
      <w:bookmarkStart w:id="268" w:name="_Toc193300376"/>
      <w:bookmarkStart w:id="269" w:name="_Toc193301457"/>
      <w:r w:rsidRPr="009F011C">
        <w:rPr>
          <w:b/>
          <w:bCs/>
        </w:rPr>
        <w:t>3.2. Сведения об акционерах (участниках, членах) эмитента или лицах, имеющих право распоряжаться голосами, приходящимися на голосующие акции (доли), составляющие уставный (складочный) капитал (паевой фонд) эмитента</w:t>
      </w:r>
      <w:bookmarkEnd w:id="265"/>
      <w:bookmarkEnd w:id="266"/>
      <w:bookmarkEnd w:id="267"/>
      <w:bookmarkEnd w:id="268"/>
      <w:bookmarkEnd w:id="269"/>
    </w:p>
    <w:p w:rsidR="003B741E" w:rsidRPr="003B741E" w:rsidRDefault="003B741E" w:rsidP="003B741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highlight w:val="cyan"/>
        </w:rPr>
      </w:pPr>
    </w:p>
    <w:p w:rsidR="00B930FB" w:rsidRPr="00107600" w:rsidRDefault="00B930FB" w:rsidP="00E35306">
      <w:pPr>
        <w:widowControl w:val="0"/>
        <w:autoSpaceDE w:val="0"/>
        <w:autoSpaceDN w:val="0"/>
        <w:adjustRightInd w:val="0"/>
        <w:spacing w:before="240" w:after="60" w:line="240" w:lineRule="auto"/>
        <w:jc w:val="both"/>
        <w:outlineLvl w:val="1"/>
        <w:rPr>
          <w:b/>
          <w:bCs/>
        </w:rPr>
      </w:pPr>
      <w:bookmarkStart w:id="270" w:name="_Toc113954748"/>
      <w:bookmarkStart w:id="271" w:name="_Toc139292058"/>
      <w:bookmarkStart w:id="272" w:name="_Toc161055629"/>
      <w:bookmarkStart w:id="273" w:name="_Toc193300377"/>
      <w:bookmarkStart w:id="274" w:name="_Toc193301458"/>
      <w:r w:rsidRPr="00107600">
        <w:rPr>
          <w:b/>
          <w:bCs/>
        </w:rPr>
        <w:t>3.3. Сведения о доле участия Российской Федерации, субъекта Российской Федерации или муниципального образования в уставном капитале эмитента, наличии специального права (</w:t>
      </w:r>
      <w:r w:rsidR="0002208B" w:rsidRPr="00107600">
        <w:rPr>
          <w:b/>
          <w:bCs/>
        </w:rPr>
        <w:t>«</w:t>
      </w:r>
      <w:r w:rsidRPr="00107600">
        <w:rPr>
          <w:b/>
          <w:bCs/>
        </w:rPr>
        <w:t>золотой акции</w:t>
      </w:r>
      <w:r w:rsidR="0002208B" w:rsidRPr="00107600">
        <w:rPr>
          <w:b/>
          <w:bCs/>
        </w:rPr>
        <w:t>»</w:t>
      </w:r>
      <w:r w:rsidRPr="00107600">
        <w:rPr>
          <w:b/>
          <w:bCs/>
        </w:rPr>
        <w:t>)</w:t>
      </w:r>
      <w:bookmarkEnd w:id="270"/>
      <w:bookmarkEnd w:id="271"/>
      <w:bookmarkEnd w:id="272"/>
      <w:bookmarkEnd w:id="273"/>
      <w:bookmarkEnd w:id="274"/>
    </w:p>
    <w:p w:rsidR="00230EB1" w:rsidRPr="00107600" w:rsidRDefault="00230EB1" w:rsidP="00230EB1">
      <w:pPr>
        <w:widowControl w:val="0"/>
        <w:autoSpaceDE w:val="0"/>
        <w:autoSpaceDN w:val="0"/>
        <w:adjustRightInd w:val="0"/>
        <w:spacing w:before="20" w:after="40"/>
        <w:jc w:val="both"/>
      </w:pPr>
      <w:bookmarkStart w:id="275" w:name="_Hlk144826945"/>
      <w:r w:rsidRPr="00107600">
        <w:rPr>
          <w:b/>
          <w:bCs/>
          <w:i/>
          <w:iCs/>
        </w:rPr>
        <w:t>В уставном капитале эмитента нет долей, находящихся в государственной (федеральной) собственности.</w:t>
      </w:r>
    </w:p>
    <w:p w:rsidR="00230EB1" w:rsidRPr="00107600" w:rsidRDefault="00230EB1" w:rsidP="00230EB1">
      <w:pPr>
        <w:widowControl w:val="0"/>
        <w:autoSpaceDE w:val="0"/>
        <w:autoSpaceDN w:val="0"/>
        <w:adjustRightInd w:val="0"/>
        <w:spacing w:before="20" w:after="40"/>
        <w:jc w:val="both"/>
      </w:pPr>
      <w:bookmarkStart w:id="276" w:name="_Hlk161065838"/>
      <w:r w:rsidRPr="00107600">
        <w:rPr>
          <w:b/>
          <w:bCs/>
          <w:i/>
          <w:iCs/>
        </w:rPr>
        <w:t>В уставном капитале эмитента нет долей, находящихся в собственности субъектов Российской Федерации</w:t>
      </w:r>
      <w:bookmarkEnd w:id="276"/>
      <w:r w:rsidRPr="00107600">
        <w:rPr>
          <w:b/>
          <w:bCs/>
          <w:i/>
          <w:iCs/>
        </w:rPr>
        <w:t>.</w:t>
      </w:r>
    </w:p>
    <w:p w:rsidR="00230EB1" w:rsidRPr="00107600" w:rsidRDefault="00230EB1" w:rsidP="00230EB1">
      <w:pPr>
        <w:widowControl w:val="0"/>
        <w:autoSpaceDE w:val="0"/>
        <w:autoSpaceDN w:val="0"/>
        <w:adjustRightInd w:val="0"/>
        <w:spacing w:before="20" w:after="40"/>
        <w:jc w:val="both"/>
      </w:pPr>
      <w:r w:rsidRPr="00107600">
        <w:rPr>
          <w:b/>
          <w:bCs/>
          <w:i/>
          <w:iCs/>
        </w:rPr>
        <w:t>В уставном капитале эмитента нет долей, находящихся в муниципальной собственности.</w:t>
      </w:r>
    </w:p>
    <w:p w:rsidR="003B741E" w:rsidRPr="00107600" w:rsidRDefault="00230EB1" w:rsidP="003B741E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  <w:i/>
          <w:iCs/>
        </w:rPr>
      </w:pPr>
      <w:r w:rsidRPr="00107600">
        <w:t xml:space="preserve">Наличие специального права на участие Российской Федерации, субъектов Российской Федерации, муниципальных образований в управлении эмитентом - акционерным обществом (золотой акции), срок действия специального права (золотой акции): </w:t>
      </w:r>
      <w:r w:rsidRPr="00107600">
        <w:rPr>
          <w:b/>
          <w:bCs/>
          <w:i/>
          <w:iCs/>
        </w:rPr>
        <w:t>указанное право не предусмотрено.</w:t>
      </w:r>
      <w:bookmarkStart w:id="277" w:name="_Toc113954749"/>
      <w:bookmarkStart w:id="278" w:name="_Toc139292059"/>
      <w:bookmarkStart w:id="279" w:name="_Toc161055630"/>
      <w:bookmarkEnd w:id="275"/>
    </w:p>
    <w:p w:rsidR="00B930FB" w:rsidRPr="0008083B" w:rsidRDefault="00B930FB" w:rsidP="0008083B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1"/>
        <w:rPr>
          <w:b/>
          <w:bCs/>
        </w:rPr>
      </w:pPr>
      <w:bookmarkStart w:id="280" w:name="_Toc193301459"/>
      <w:r w:rsidRPr="006A489C">
        <w:rPr>
          <w:b/>
          <w:bCs/>
        </w:rPr>
        <w:t>3.4. Сделки эмитента, в совершении которых имелась заинтересованность</w:t>
      </w:r>
      <w:bookmarkEnd w:id="277"/>
      <w:bookmarkEnd w:id="278"/>
      <w:bookmarkEnd w:id="279"/>
      <w:bookmarkEnd w:id="280"/>
    </w:p>
    <w:p w:rsidR="00290686" w:rsidRPr="000D25C2" w:rsidRDefault="00290686" w:rsidP="00290686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bookmarkStart w:id="281" w:name="_Toc113954750"/>
      <w:bookmarkStart w:id="282" w:name="_Toc139292060"/>
      <w:bookmarkStart w:id="283" w:name="_Toc161055631"/>
      <w:r w:rsidRPr="000D25C2">
        <w:t>Ссылка на страницу в сети Интернет, на которой опубликован</w:t>
      </w:r>
      <w:r>
        <w:t xml:space="preserve">а информация: </w:t>
      </w:r>
    </w:p>
    <w:p w:rsidR="00290686" w:rsidRPr="00290686" w:rsidRDefault="00290686" w:rsidP="006A489C">
      <w:pPr>
        <w:widowControl w:val="0"/>
        <w:autoSpaceDE w:val="0"/>
        <w:autoSpaceDN w:val="0"/>
        <w:adjustRightInd w:val="0"/>
        <w:jc w:val="both"/>
      </w:pPr>
      <w:hyperlink r:id="rId8" w:history="1">
        <w:r w:rsidRPr="00CA5035">
          <w:rPr>
            <w:rStyle w:val="a7"/>
            <w:b/>
            <w:i/>
          </w:rPr>
          <w:t>https://www.e-disclosure.ru/portal/files.aspx?id=43&amp;type=2</w:t>
        </w:r>
      </w:hyperlink>
      <w:r w:rsidR="006A489C">
        <w:t>.</w:t>
      </w:r>
    </w:p>
    <w:p w:rsidR="006267F7" w:rsidRPr="00400475" w:rsidRDefault="00B930FB" w:rsidP="00354D9D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1"/>
        <w:rPr>
          <w:b/>
          <w:bCs/>
        </w:rPr>
      </w:pPr>
      <w:bookmarkStart w:id="284" w:name="_Toc193300378"/>
      <w:bookmarkStart w:id="285" w:name="_Toc193301460"/>
      <w:bookmarkStart w:id="286" w:name="_Hlk193301365"/>
      <w:r w:rsidRPr="003A7072">
        <w:rPr>
          <w:b/>
          <w:bCs/>
        </w:rPr>
        <w:t>3.5. Крупные сделки эмитента</w:t>
      </w:r>
      <w:bookmarkEnd w:id="281"/>
      <w:bookmarkEnd w:id="282"/>
      <w:bookmarkEnd w:id="283"/>
      <w:bookmarkEnd w:id="284"/>
      <w:bookmarkEnd w:id="285"/>
    </w:p>
    <w:bookmarkEnd w:id="286"/>
    <w:p w:rsidR="008A190D" w:rsidRDefault="00E125BE" w:rsidP="008A190D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DF2F91">
        <w:t>Перечень совершенных эмитентом в отчетном году сделок, признаваемых в соответствии с</w:t>
      </w:r>
      <w:r w:rsidRPr="00DF2F91">
        <w:rPr>
          <w:b/>
          <w:bCs/>
          <w:i/>
          <w:iCs/>
        </w:rPr>
        <w:t> </w:t>
      </w:r>
      <w:r w:rsidRPr="00DF2F91">
        <w:t>Федеральным законом</w:t>
      </w:r>
      <w:r w:rsidR="00D03FBF">
        <w:t xml:space="preserve"> </w:t>
      </w:r>
      <w:r w:rsidRPr="00DF2F91">
        <w:t xml:space="preserve">Об акционерных обществах крупными сделками: </w:t>
      </w:r>
      <w:r w:rsidRPr="00FF17E9">
        <w:rPr>
          <w:b/>
          <w:bCs/>
          <w:i/>
          <w:iCs/>
        </w:rPr>
        <w:t>указанных сделок не</w:t>
      </w:r>
      <w:r>
        <w:rPr>
          <w:b/>
          <w:bCs/>
          <w:i/>
          <w:iCs/>
        </w:rPr>
        <w:t> </w:t>
      </w:r>
      <w:r w:rsidRPr="00FF17E9">
        <w:rPr>
          <w:b/>
          <w:bCs/>
          <w:i/>
          <w:iCs/>
        </w:rPr>
        <w:t>совершалось.</w:t>
      </w:r>
      <w:bookmarkStart w:id="287" w:name="_Hlk145099116"/>
    </w:p>
    <w:p w:rsidR="005D6357" w:rsidRPr="008A190D" w:rsidRDefault="005D6357" w:rsidP="00957668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i/>
          <w:iCs/>
        </w:rPr>
      </w:pPr>
      <w:r w:rsidRPr="004C0E55">
        <w:rPr>
          <w:b/>
          <w:bCs/>
          <w:i/>
        </w:rPr>
        <w:t xml:space="preserve">В период между отчетной датой и датой раскрытия </w:t>
      </w:r>
      <w:r w:rsidR="00D03FBF">
        <w:rPr>
          <w:b/>
          <w:bCs/>
          <w:i/>
        </w:rPr>
        <w:t xml:space="preserve">обобщенной </w:t>
      </w:r>
      <w:r w:rsidRPr="004C0E55">
        <w:rPr>
          <w:b/>
          <w:bCs/>
          <w:i/>
        </w:rPr>
        <w:t xml:space="preserve">консолидированной финансовой отчетности в составе </w:t>
      </w:r>
      <w:r>
        <w:rPr>
          <w:b/>
          <w:bCs/>
          <w:i/>
        </w:rPr>
        <w:t>пунктов 3.</w:t>
      </w:r>
      <w:r w:rsidR="00D03FBF">
        <w:rPr>
          <w:b/>
          <w:bCs/>
          <w:i/>
        </w:rPr>
        <w:t xml:space="preserve">1 – </w:t>
      </w:r>
      <w:r>
        <w:rPr>
          <w:b/>
          <w:bCs/>
          <w:i/>
        </w:rPr>
        <w:t xml:space="preserve">3.3 </w:t>
      </w:r>
      <w:r w:rsidRPr="004C0E55">
        <w:rPr>
          <w:b/>
          <w:bCs/>
          <w:i/>
        </w:rPr>
        <w:t>изменения не происходили</w:t>
      </w:r>
      <w:r>
        <w:rPr>
          <w:b/>
          <w:bCs/>
          <w:i/>
        </w:rPr>
        <w:t>.</w:t>
      </w:r>
    </w:p>
    <w:p w:rsidR="00A86D68" w:rsidRDefault="00A86D68" w:rsidP="00A86D68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1"/>
        <w:rPr>
          <w:b/>
          <w:bCs/>
          <w:sz w:val="28"/>
          <w:szCs w:val="28"/>
        </w:rPr>
      </w:pPr>
      <w:bookmarkStart w:id="288" w:name="_Toc113954751"/>
      <w:bookmarkStart w:id="289" w:name="_Toc139292061"/>
      <w:bookmarkStart w:id="290" w:name="_Toc161055632"/>
      <w:bookmarkEnd w:id="287"/>
    </w:p>
    <w:p w:rsidR="00B930FB" w:rsidRPr="00A86D68" w:rsidRDefault="00B930FB" w:rsidP="00A86D68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1"/>
        <w:rPr>
          <w:b/>
          <w:bCs/>
        </w:rPr>
      </w:pPr>
      <w:bookmarkStart w:id="291" w:name="_Toc193301461"/>
      <w:r w:rsidRPr="00B930FB">
        <w:rPr>
          <w:b/>
          <w:bCs/>
          <w:sz w:val="28"/>
          <w:szCs w:val="28"/>
        </w:rPr>
        <w:t>Раздел 4. Дополнительные сведения об эмитенте и о размещенных им</w:t>
      </w:r>
      <w:r w:rsidRPr="00B930FB">
        <w:rPr>
          <w:i/>
          <w:iCs/>
        </w:rPr>
        <w:t> </w:t>
      </w:r>
      <w:r w:rsidRPr="00B930FB">
        <w:rPr>
          <w:b/>
          <w:bCs/>
          <w:sz w:val="28"/>
          <w:szCs w:val="28"/>
        </w:rPr>
        <w:t>ценных бумагах</w:t>
      </w:r>
      <w:bookmarkEnd w:id="288"/>
      <w:bookmarkEnd w:id="289"/>
      <w:bookmarkEnd w:id="290"/>
      <w:bookmarkEnd w:id="291"/>
    </w:p>
    <w:p w:rsidR="00B930FB" w:rsidRDefault="00B930FB" w:rsidP="00C11752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bookmarkStart w:id="292" w:name="_Toc113954752"/>
      <w:bookmarkStart w:id="293" w:name="_Toc139292062"/>
      <w:bookmarkStart w:id="294" w:name="_Toc161055633"/>
      <w:bookmarkStart w:id="295" w:name="_Toc193300379"/>
      <w:bookmarkStart w:id="296" w:name="_Toc193301462"/>
      <w:bookmarkStart w:id="297" w:name="_Hlk160443528"/>
      <w:bookmarkStart w:id="298" w:name="_Hlk113895642"/>
      <w:r w:rsidRPr="006A489C">
        <w:rPr>
          <w:b/>
          <w:bCs/>
        </w:rPr>
        <w:t>4.1. Подконтрольные эмитенту организации, имеющие для него существенное значение</w:t>
      </w:r>
      <w:bookmarkEnd w:id="292"/>
      <w:bookmarkEnd w:id="293"/>
      <w:bookmarkEnd w:id="294"/>
      <w:bookmarkEnd w:id="295"/>
      <w:bookmarkEnd w:id="296"/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i/>
          <w:iCs/>
        </w:rPr>
      </w:pPr>
      <w:r w:rsidRPr="00552C29">
        <w:rPr>
          <w:rFonts w:cs="Calibri"/>
        </w:rPr>
        <w:t>1) Полное фирменное наименование:</w:t>
      </w:r>
      <w:r w:rsidRPr="00552C29">
        <w:rPr>
          <w:rFonts w:cs="Calibri"/>
          <w:b/>
          <w:bCs/>
          <w:i/>
          <w:iCs/>
        </w:rPr>
        <w:t xml:space="preserve"> Небанковская кредитная организация акционерное общество Национальный расчетный депозитарий.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552C29">
        <w:rPr>
          <w:rFonts w:cs="Calibri"/>
        </w:rPr>
        <w:t>Сокращенное фирменное наименование:</w:t>
      </w:r>
      <w:r w:rsidRPr="00552C29">
        <w:rPr>
          <w:rFonts w:cs="Calibri"/>
          <w:b/>
          <w:i/>
        </w:rPr>
        <w:t xml:space="preserve"> НКО АО</w:t>
      </w:r>
      <w:r w:rsidRPr="00552C29">
        <w:rPr>
          <w:rFonts w:cs="Calibri"/>
          <w:b/>
          <w:bCs/>
          <w:i/>
          <w:iCs/>
        </w:rPr>
        <w:t xml:space="preserve"> НРД.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552C29">
        <w:rPr>
          <w:rFonts w:cs="Calibri"/>
        </w:rPr>
        <w:t xml:space="preserve">Место нахождения: </w:t>
      </w:r>
      <w:r w:rsidRPr="00552C29">
        <w:rPr>
          <w:rFonts w:cs="Calibri"/>
          <w:b/>
          <w:bCs/>
          <w:i/>
          <w:iCs/>
        </w:rPr>
        <w:t>105066, Россия, г. Москва, ул. Спартаковская, дом 12.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i/>
        </w:rPr>
      </w:pPr>
      <w:r w:rsidRPr="00552C29">
        <w:rPr>
          <w:rFonts w:cs="Calibri"/>
        </w:rPr>
        <w:lastRenderedPageBreak/>
        <w:t>ИНН:</w:t>
      </w:r>
      <w:r w:rsidRPr="00552C29">
        <w:rPr>
          <w:rFonts w:cs="Calibri"/>
          <w:b/>
          <w:i/>
        </w:rPr>
        <w:t xml:space="preserve"> 7702165310.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i/>
        </w:rPr>
      </w:pPr>
      <w:r w:rsidRPr="00552C29">
        <w:rPr>
          <w:rFonts w:cs="Calibri"/>
        </w:rPr>
        <w:t>ОГРН:</w:t>
      </w:r>
      <w:r w:rsidRPr="00552C29">
        <w:rPr>
          <w:rFonts w:cs="Calibri"/>
          <w:b/>
          <w:i/>
        </w:rPr>
        <w:t xml:space="preserve"> 1027739132563.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552C29">
        <w:rPr>
          <w:rFonts w:cs="Calibri"/>
        </w:rPr>
        <w:t>Признак осуществления эмитентом контроля над организацией, в отношении которой он</w:t>
      </w:r>
      <w:r w:rsidRPr="00552C29">
        <w:rPr>
          <w:rFonts w:cs="Calibri"/>
          <w:b/>
          <w:bCs/>
          <w:i/>
          <w:iCs/>
        </w:rPr>
        <w:t> </w:t>
      </w:r>
      <w:r w:rsidRPr="00552C29">
        <w:rPr>
          <w:rFonts w:cs="Calibri"/>
        </w:rPr>
        <w:t>является контролирующим лицом:</w:t>
      </w:r>
      <w:r w:rsidRPr="00552C29">
        <w:rPr>
          <w:rFonts w:cs="Calibri"/>
          <w:b/>
          <w:bCs/>
          <w:i/>
          <w:iCs/>
        </w:rPr>
        <w:t xml:space="preserve"> право распоряжаться более 50 процентов голосов в высшем органе управления подконтрольной Эмитенту организации.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552C29">
        <w:rPr>
          <w:rFonts w:cs="Calibri"/>
        </w:rPr>
        <w:t>Вид контроля:</w:t>
      </w:r>
      <w:r w:rsidRPr="00552C29">
        <w:rPr>
          <w:rFonts w:cs="Calibri"/>
          <w:b/>
          <w:bCs/>
          <w:i/>
          <w:iCs/>
        </w:rPr>
        <w:t xml:space="preserve"> прямой контроль.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552C29">
        <w:rPr>
          <w:rFonts w:cs="Calibri"/>
        </w:rPr>
        <w:t>Размер доли участия эмитента в уставном капитале подконтрольной эмитенту организации:</w:t>
      </w:r>
      <w:r w:rsidRPr="00552C29">
        <w:rPr>
          <w:rFonts w:cs="Calibri"/>
          <w:b/>
          <w:bCs/>
          <w:i/>
          <w:iCs/>
        </w:rPr>
        <w:t xml:space="preserve"> 99,997%.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552C29">
        <w:rPr>
          <w:rFonts w:cs="Calibri"/>
        </w:rPr>
        <w:t>Размер доли подконтрольной организации в уставном капитале эмитента:</w:t>
      </w:r>
      <w:r w:rsidRPr="00552C29">
        <w:rPr>
          <w:rFonts w:cs="Calibri"/>
          <w:b/>
          <w:bCs/>
          <w:i/>
          <w:iCs/>
        </w:rPr>
        <w:t xml:space="preserve"> 0%.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i/>
        </w:rPr>
      </w:pPr>
      <w:r w:rsidRPr="00552C29">
        <w:rPr>
          <w:rFonts w:cs="Calibri"/>
        </w:rPr>
        <w:t>Описание основного вида деятельности подконтрольной организации:</w:t>
      </w:r>
      <w:r w:rsidRPr="00552C29">
        <w:rPr>
          <w:rFonts w:cs="Calibri"/>
          <w:b/>
          <w:i/>
        </w:rPr>
        <w:t xml:space="preserve"> депозитарная деятельность, в том числе деятельность центрального депозитария; деятельность по</w:t>
      </w:r>
      <w:r w:rsidR="00C11752">
        <w:rPr>
          <w:rFonts w:cs="Calibri"/>
          <w:b/>
          <w:i/>
        </w:rPr>
        <w:t> </w:t>
      </w:r>
      <w:r w:rsidRPr="00552C29">
        <w:rPr>
          <w:rFonts w:cs="Calibri"/>
          <w:b/>
          <w:i/>
        </w:rPr>
        <w:t>определению взаимных обязательств (клирингов); деятельность денежно-кредитных учреждений (коммерческих банков и прочих кредитных учреждений, имеющих лицензии на</w:t>
      </w:r>
      <w:r w:rsidR="00C11752">
        <w:rPr>
          <w:rFonts w:cs="Calibri"/>
          <w:b/>
          <w:i/>
        </w:rPr>
        <w:t> </w:t>
      </w:r>
      <w:r w:rsidRPr="00552C29">
        <w:rPr>
          <w:rFonts w:cs="Calibri"/>
          <w:b/>
          <w:i/>
        </w:rPr>
        <w:t>осуществление банковских операций).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b/>
          <w:bCs/>
          <w:i/>
          <w:iCs/>
        </w:rPr>
      </w:pPr>
      <w:r w:rsidRPr="00552C29">
        <w:rPr>
          <w:rFonts w:cs="Calibri"/>
        </w:rPr>
        <w:t>2) Полное фирменное наименование:</w:t>
      </w:r>
      <w:r w:rsidRPr="00552C29">
        <w:rPr>
          <w:rFonts w:cs="Calibri"/>
          <w:b/>
          <w:bCs/>
          <w:i/>
          <w:iCs/>
        </w:rPr>
        <w:t xml:space="preserve"> Небанковская кредитная организация-центральный контрагент Национальный Клиринговый Центр (Акционерное общество).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b/>
          <w:i/>
        </w:rPr>
      </w:pPr>
      <w:r w:rsidRPr="00552C29">
        <w:rPr>
          <w:rFonts w:cs="Calibri"/>
        </w:rPr>
        <w:t>Сокращенное фирменное наименование:</w:t>
      </w:r>
      <w:r w:rsidRPr="00552C29">
        <w:rPr>
          <w:rFonts w:cs="Calibri"/>
          <w:b/>
          <w:i/>
        </w:rPr>
        <w:t xml:space="preserve"> НКО НКЦ (АО).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552C29">
        <w:rPr>
          <w:rFonts w:cs="Calibri"/>
        </w:rPr>
        <w:t xml:space="preserve">Место нахождения: </w:t>
      </w:r>
      <w:r w:rsidRPr="00552C29">
        <w:rPr>
          <w:rFonts w:cs="Calibri"/>
          <w:b/>
          <w:i/>
        </w:rPr>
        <w:t>125009, Россия, г. Москва, Большой Кисловский переулок, д. 13.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552C29">
        <w:rPr>
          <w:rFonts w:cs="Calibri"/>
        </w:rPr>
        <w:t>ИНН:</w:t>
      </w:r>
      <w:r w:rsidRPr="00552C29">
        <w:rPr>
          <w:rFonts w:cs="Calibri"/>
          <w:b/>
          <w:i/>
        </w:rPr>
        <w:t xml:space="preserve"> 7750004023.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552C29">
        <w:rPr>
          <w:rFonts w:cs="Calibri"/>
        </w:rPr>
        <w:t>ОГРН:</w:t>
      </w:r>
      <w:r w:rsidRPr="00552C29">
        <w:rPr>
          <w:rFonts w:cs="Calibri"/>
          <w:b/>
          <w:i/>
        </w:rPr>
        <w:t xml:space="preserve"> 1067711004481.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552C29">
        <w:rPr>
          <w:rFonts w:cs="Calibri"/>
        </w:rPr>
        <w:t>Признак осуществления эмитентом контроля над организацией, в отношении которой он</w:t>
      </w:r>
      <w:r w:rsidRPr="00552C29">
        <w:rPr>
          <w:rFonts w:cs="Calibri"/>
          <w:b/>
          <w:bCs/>
          <w:i/>
          <w:iCs/>
        </w:rPr>
        <w:t> </w:t>
      </w:r>
      <w:r w:rsidRPr="00552C29">
        <w:rPr>
          <w:rFonts w:cs="Calibri"/>
        </w:rPr>
        <w:t>является контролирующим лицом:</w:t>
      </w:r>
      <w:r w:rsidRPr="00552C29">
        <w:rPr>
          <w:rFonts w:cs="Calibri"/>
          <w:b/>
          <w:i/>
        </w:rPr>
        <w:t xml:space="preserve"> право распоряжаться более 50 процентов голосов в</w:t>
      </w:r>
      <w:r w:rsidRPr="00552C29">
        <w:rPr>
          <w:rFonts w:cs="Calibri"/>
          <w:b/>
          <w:bCs/>
          <w:i/>
          <w:iCs/>
        </w:rPr>
        <w:t> </w:t>
      </w:r>
      <w:r w:rsidRPr="00552C29">
        <w:rPr>
          <w:rFonts w:cs="Calibri"/>
          <w:b/>
          <w:i/>
        </w:rPr>
        <w:t>высшем органе управления подконтрольной Эмитенту организации.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552C29">
        <w:rPr>
          <w:rFonts w:cs="Calibri"/>
        </w:rPr>
        <w:t>Вид контроля:</w:t>
      </w:r>
      <w:r w:rsidRPr="00552C29">
        <w:rPr>
          <w:rFonts w:cs="Calibri"/>
          <w:b/>
          <w:bCs/>
          <w:i/>
          <w:iCs/>
        </w:rPr>
        <w:t xml:space="preserve"> прямой контроль.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552C29">
        <w:rPr>
          <w:rFonts w:cs="Calibri"/>
        </w:rPr>
        <w:t>Размер доли участия эмитента в уставном капитале подконтрольной эмитенту организации:</w:t>
      </w:r>
      <w:r w:rsidRPr="00552C29">
        <w:rPr>
          <w:rFonts w:cs="Calibri"/>
          <w:b/>
          <w:bCs/>
          <w:i/>
          <w:iCs/>
        </w:rPr>
        <w:t xml:space="preserve"> 100%.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552C29">
        <w:rPr>
          <w:rFonts w:cs="Calibri"/>
        </w:rPr>
        <w:t>Размер доли подконтрольной организации в уставном капитале эмитента:</w:t>
      </w:r>
      <w:r w:rsidRPr="00552C29">
        <w:rPr>
          <w:rFonts w:cs="Calibri"/>
          <w:b/>
          <w:bCs/>
          <w:i/>
          <w:iCs/>
        </w:rPr>
        <w:t xml:space="preserve"> 0%.</w:t>
      </w:r>
    </w:p>
    <w:p w:rsidR="00552C29" w:rsidRPr="00552C29" w:rsidRDefault="00552C29" w:rsidP="00552C2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b/>
          <w:i/>
        </w:rPr>
      </w:pPr>
      <w:r w:rsidRPr="00552C29">
        <w:rPr>
          <w:rFonts w:cs="Calibri"/>
        </w:rPr>
        <w:t>Описание основного вида деятельности подконтрольной организации:</w:t>
      </w:r>
      <w:r w:rsidRPr="00552C29">
        <w:rPr>
          <w:rFonts w:cs="Calibri"/>
          <w:b/>
          <w:i/>
        </w:rPr>
        <w:t xml:space="preserve"> банковская деятельность, клиринговая деятельность.</w:t>
      </w:r>
    </w:p>
    <w:p w:rsidR="00B930FB" w:rsidRPr="00B930FB" w:rsidRDefault="00B930FB" w:rsidP="00C11752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bookmarkStart w:id="299" w:name="_Toc113954753"/>
      <w:bookmarkStart w:id="300" w:name="_Toc139292063"/>
      <w:bookmarkStart w:id="301" w:name="_Toc161055634"/>
      <w:bookmarkStart w:id="302" w:name="_Toc193300380"/>
      <w:bookmarkStart w:id="303" w:name="_Toc193301463"/>
      <w:bookmarkEnd w:id="297"/>
      <w:bookmarkEnd w:id="298"/>
      <w:r w:rsidRPr="00B930FB">
        <w:rPr>
          <w:b/>
          <w:bCs/>
        </w:rPr>
        <w:t xml:space="preserve">4.2. </w:t>
      </w:r>
      <w:bookmarkEnd w:id="299"/>
      <w:r w:rsidR="00F33AEE" w:rsidRPr="00F33AEE">
        <w:rPr>
          <w:b/>
          <w:bCs/>
        </w:rPr>
        <w:t>Дополнительные сведения, раскрываемые эмитентами зеленых облигаций, социальных облигаций, облигаций устойчивого развития, адаптационных облигаций</w:t>
      </w:r>
      <w:bookmarkEnd w:id="300"/>
      <w:bookmarkEnd w:id="301"/>
      <w:bookmarkEnd w:id="302"/>
      <w:bookmarkEnd w:id="303"/>
    </w:p>
    <w:p w:rsidR="00552C29" w:rsidRDefault="00552C29" w:rsidP="00C117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  <w:r w:rsidRPr="000C3FF8">
        <w:rPr>
          <w:b/>
          <w:i/>
        </w:rPr>
        <w:t>Эмитентом не выпускались зеленые облигации, социальные облигации, облигации устойчивого развития, адаптационные облигации.</w:t>
      </w:r>
    </w:p>
    <w:p w:rsidR="00F33AEE" w:rsidRDefault="00F33AEE" w:rsidP="00C11752">
      <w:pPr>
        <w:pStyle w:val="3"/>
        <w:spacing w:before="360" w:after="120"/>
        <w:jc w:val="both"/>
        <w:rPr>
          <w:rFonts w:ascii="Times New Roman" w:hAnsi="Times New Roman"/>
          <w:iCs/>
          <w:sz w:val="22"/>
        </w:rPr>
      </w:pPr>
      <w:bookmarkStart w:id="304" w:name="_Toc139292064"/>
      <w:bookmarkStart w:id="305" w:name="_Toc161055635"/>
      <w:bookmarkStart w:id="306" w:name="_Toc193300381"/>
      <w:bookmarkStart w:id="307" w:name="_Toc193301464"/>
      <w:r w:rsidRPr="00F33AEE">
        <w:rPr>
          <w:rFonts w:ascii="Times New Roman" w:hAnsi="Times New Roman"/>
          <w:iCs/>
          <w:sz w:val="22"/>
        </w:rPr>
        <w:t>4.2.1. Информация о реализации проекта (проектов), для финансирования и (или) рефинансирования которого (которых) используются денежные средства, полученные от размещения зеленых облигаций, социальных облигаций, облигаций устойчивого развития, адаптационных облигаций</w:t>
      </w:r>
      <w:bookmarkEnd w:id="304"/>
      <w:bookmarkEnd w:id="305"/>
      <w:bookmarkEnd w:id="306"/>
      <w:bookmarkEnd w:id="307"/>
    </w:p>
    <w:p w:rsidR="00F33AEE" w:rsidRPr="00F33AEE" w:rsidRDefault="00F33AEE" w:rsidP="00C11752">
      <w:pPr>
        <w:spacing w:after="0"/>
        <w:rPr>
          <w:b/>
          <w:bCs/>
          <w:i/>
          <w:iCs/>
        </w:rPr>
      </w:pPr>
      <w:r w:rsidRPr="00F33AEE">
        <w:rPr>
          <w:b/>
          <w:bCs/>
          <w:i/>
          <w:iCs/>
        </w:rPr>
        <w:t>Нет</w:t>
      </w:r>
    </w:p>
    <w:p w:rsidR="00F33AEE" w:rsidRDefault="00F33AEE" w:rsidP="00C11752">
      <w:pPr>
        <w:pStyle w:val="3"/>
        <w:spacing w:before="360" w:after="120"/>
        <w:jc w:val="both"/>
        <w:rPr>
          <w:rFonts w:ascii="Times New Roman" w:hAnsi="Times New Roman"/>
          <w:iCs/>
          <w:sz w:val="22"/>
        </w:rPr>
      </w:pPr>
      <w:bookmarkStart w:id="308" w:name="_Toc139292065"/>
      <w:bookmarkStart w:id="309" w:name="_Toc161055636"/>
      <w:bookmarkStart w:id="310" w:name="_Toc193300382"/>
      <w:bookmarkStart w:id="311" w:name="_Toc193301465"/>
      <w:r w:rsidRPr="00F33AEE">
        <w:rPr>
          <w:rFonts w:ascii="Times New Roman" w:hAnsi="Times New Roman"/>
          <w:iCs/>
          <w:sz w:val="22"/>
        </w:rPr>
        <w:t>4.2.2. Описание политики эмитента по управлению денежными средствами, полученными от размещения зеленых облигаций, социальных облигаций, облигаций устойчивого развития, адаптационных облигаций</w:t>
      </w:r>
      <w:bookmarkEnd w:id="308"/>
      <w:bookmarkEnd w:id="309"/>
      <w:bookmarkEnd w:id="310"/>
      <w:bookmarkEnd w:id="311"/>
    </w:p>
    <w:p w:rsidR="00F33AEE" w:rsidRPr="00F33AEE" w:rsidRDefault="00F33AEE" w:rsidP="00C117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F33AEE">
        <w:rPr>
          <w:rFonts w:cs="Calibri"/>
          <w:b/>
          <w:i/>
        </w:rPr>
        <w:t>Нет</w:t>
      </w:r>
    </w:p>
    <w:p w:rsidR="00F33AEE" w:rsidRDefault="00F33AEE" w:rsidP="00C11752">
      <w:pPr>
        <w:pStyle w:val="3"/>
        <w:spacing w:before="360" w:after="120"/>
        <w:jc w:val="both"/>
        <w:rPr>
          <w:rFonts w:ascii="Times New Roman" w:hAnsi="Times New Roman"/>
          <w:iCs/>
          <w:sz w:val="22"/>
        </w:rPr>
      </w:pPr>
      <w:bookmarkStart w:id="312" w:name="_Toc139292066"/>
      <w:bookmarkStart w:id="313" w:name="_Toc161055637"/>
      <w:bookmarkStart w:id="314" w:name="_Toc193300383"/>
      <w:bookmarkStart w:id="315" w:name="_Toc193301466"/>
      <w:r w:rsidRPr="00F33AEE">
        <w:rPr>
          <w:rFonts w:ascii="Times New Roman" w:hAnsi="Times New Roman"/>
          <w:iCs/>
          <w:sz w:val="22"/>
        </w:rPr>
        <w:lastRenderedPageBreak/>
        <w:t>4.2.3. Отчет об использовании денежных средств, полученных от размещения зеленых облигаций, социальных облигаций, облигаций устойчивого развития, адаптационных облигаций</w:t>
      </w:r>
      <w:bookmarkEnd w:id="312"/>
      <w:bookmarkEnd w:id="313"/>
      <w:bookmarkEnd w:id="314"/>
      <w:bookmarkEnd w:id="315"/>
    </w:p>
    <w:p w:rsidR="00F33AEE" w:rsidRDefault="00F33AEE" w:rsidP="00C117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F33AEE">
        <w:rPr>
          <w:rFonts w:cs="Calibri"/>
          <w:b/>
          <w:i/>
        </w:rPr>
        <w:t>Нет</w:t>
      </w:r>
    </w:p>
    <w:p w:rsidR="00F33AEE" w:rsidRPr="00F33AEE" w:rsidRDefault="00F33AEE" w:rsidP="00C11752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F33AEE">
        <w:rPr>
          <w:rFonts w:cs="Calibri"/>
          <w:b/>
          <w:iCs/>
        </w:rPr>
        <w:t>4.2(1). Дополнительные сведения, раскрываемые эмитентами инфраструктурных облигаций</w:t>
      </w:r>
    </w:p>
    <w:p w:rsidR="00F33AEE" w:rsidRPr="00F33AEE" w:rsidRDefault="00F33AEE" w:rsidP="00C117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F33AEE">
        <w:rPr>
          <w:rFonts w:cs="Calibri"/>
          <w:b/>
          <w:i/>
        </w:rPr>
        <w:t>Нет</w:t>
      </w:r>
    </w:p>
    <w:p w:rsidR="00F33AEE" w:rsidRPr="00F33AEE" w:rsidRDefault="00F33AEE" w:rsidP="00C11752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F33AEE">
        <w:rPr>
          <w:rFonts w:cs="Calibri"/>
          <w:b/>
          <w:iCs/>
        </w:rPr>
        <w:t>4.2(1).1. Информация о целевом использовании денежных средств, полученных от</w:t>
      </w:r>
      <w:r w:rsidR="00C11752">
        <w:rPr>
          <w:rFonts w:cs="Calibri"/>
          <w:b/>
          <w:iCs/>
        </w:rPr>
        <w:t> </w:t>
      </w:r>
      <w:r w:rsidRPr="00F33AEE">
        <w:rPr>
          <w:rFonts w:cs="Calibri"/>
          <w:b/>
          <w:iCs/>
        </w:rPr>
        <w:t>размещения инфраструктурных облигаций</w:t>
      </w:r>
    </w:p>
    <w:p w:rsidR="00F33AEE" w:rsidRPr="00F33AEE" w:rsidRDefault="00F33AEE" w:rsidP="00C117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F33AEE">
        <w:rPr>
          <w:rFonts w:cs="Calibri"/>
          <w:b/>
          <w:i/>
        </w:rPr>
        <w:t>Нет</w:t>
      </w:r>
    </w:p>
    <w:p w:rsidR="00F33AEE" w:rsidRPr="00F33AEE" w:rsidRDefault="00F33AEE" w:rsidP="00C11752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F33AEE">
        <w:rPr>
          <w:rFonts w:cs="Calibri"/>
          <w:b/>
          <w:iCs/>
        </w:rPr>
        <w:t>4.2(1).2. Информация о реализации инфраструктурного проекта</w:t>
      </w:r>
    </w:p>
    <w:p w:rsidR="00F33AEE" w:rsidRPr="00F33AEE" w:rsidRDefault="00F33AEE" w:rsidP="00C117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F33AEE">
        <w:rPr>
          <w:rFonts w:cs="Calibri"/>
          <w:b/>
          <w:i/>
        </w:rPr>
        <w:t>Нет</w:t>
      </w:r>
    </w:p>
    <w:p w:rsidR="00F33AEE" w:rsidRPr="00F33AEE" w:rsidRDefault="00F33AEE" w:rsidP="00C11752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F33AEE">
        <w:rPr>
          <w:rFonts w:cs="Calibri"/>
          <w:b/>
          <w:iCs/>
        </w:rPr>
        <w:t>4.2(2). Дополнительные сведения, раскрываемые эмитентами облигаций, связанных с</w:t>
      </w:r>
      <w:r w:rsidR="00C11752">
        <w:rPr>
          <w:rFonts w:cs="Calibri"/>
          <w:b/>
          <w:iCs/>
        </w:rPr>
        <w:t> </w:t>
      </w:r>
      <w:r w:rsidRPr="00F33AEE">
        <w:rPr>
          <w:rFonts w:cs="Calibri"/>
          <w:b/>
          <w:iCs/>
        </w:rPr>
        <w:t>целями устойчивого развития</w:t>
      </w:r>
    </w:p>
    <w:p w:rsidR="00F33AEE" w:rsidRPr="00F33AEE" w:rsidRDefault="00F33AEE" w:rsidP="00C117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F33AEE">
        <w:rPr>
          <w:rFonts w:cs="Calibri"/>
          <w:b/>
          <w:i/>
        </w:rPr>
        <w:t>Нет</w:t>
      </w:r>
    </w:p>
    <w:p w:rsidR="00F33AEE" w:rsidRPr="00F33AEE" w:rsidRDefault="00F33AEE" w:rsidP="00C11752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F33AEE">
        <w:rPr>
          <w:rFonts w:cs="Calibri"/>
          <w:b/>
          <w:iCs/>
        </w:rPr>
        <w:t>4.2(2).1. Описание стратегии устойчивого развития эмитента</w:t>
      </w:r>
    </w:p>
    <w:p w:rsidR="00F33AEE" w:rsidRPr="00F33AEE" w:rsidRDefault="00F33AEE" w:rsidP="00C117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F33AEE">
        <w:rPr>
          <w:rFonts w:cs="Calibri"/>
          <w:b/>
          <w:i/>
        </w:rPr>
        <w:t>Нет</w:t>
      </w:r>
    </w:p>
    <w:p w:rsidR="00F33AEE" w:rsidRPr="00F33AEE" w:rsidRDefault="00F33AEE" w:rsidP="00C11752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F33AEE">
        <w:rPr>
          <w:rFonts w:cs="Calibri"/>
          <w:b/>
          <w:iCs/>
        </w:rPr>
        <w:t>4.2(2).2. Информация о текущем (фактическом) значении ключевого показателя (показателей) деятельности эмитента, связанного с достижением целей устойчивого развития</w:t>
      </w:r>
    </w:p>
    <w:p w:rsidR="00F33AEE" w:rsidRPr="00F33AEE" w:rsidRDefault="00F33AEE" w:rsidP="00C117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F33AEE">
        <w:rPr>
          <w:rFonts w:cs="Calibri"/>
          <w:b/>
          <w:i/>
        </w:rPr>
        <w:t>Нет</w:t>
      </w:r>
    </w:p>
    <w:p w:rsidR="00F33AEE" w:rsidRPr="00F33AEE" w:rsidRDefault="00F33AEE" w:rsidP="00C11752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F33AEE">
        <w:rPr>
          <w:rFonts w:cs="Calibri"/>
          <w:b/>
          <w:iCs/>
        </w:rPr>
        <w:t>4.2(3). Дополнительные сведения, раскрываемые эмитентами облигаций климатического перехода</w:t>
      </w:r>
    </w:p>
    <w:p w:rsidR="00F33AEE" w:rsidRPr="00F33AEE" w:rsidRDefault="00F33AEE" w:rsidP="00C117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F33AEE">
        <w:rPr>
          <w:rFonts w:cs="Calibri"/>
          <w:b/>
          <w:i/>
        </w:rPr>
        <w:t>Нет</w:t>
      </w:r>
    </w:p>
    <w:p w:rsidR="00F33AEE" w:rsidRPr="00F33AEE" w:rsidRDefault="00F33AEE" w:rsidP="00C11752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F33AEE">
        <w:rPr>
          <w:rFonts w:cs="Calibri"/>
          <w:b/>
          <w:iCs/>
        </w:rPr>
        <w:t>4.2(3).1. Описание стратегии климатического перехода эмитента</w:t>
      </w:r>
    </w:p>
    <w:p w:rsidR="00F33AEE" w:rsidRPr="00F33AEE" w:rsidRDefault="00F33AEE" w:rsidP="00C117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F33AEE">
        <w:rPr>
          <w:rFonts w:cs="Calibri"/>
          <w:b/>
          <w:i/>
        </w:rPr>
        <w:t>Нет</w:t>
      </w:r>
    </w:p>
    <w:p w:rsidR="00F33AEE" w:rsidRPr="00F33AEE" w:rsidRDefault="00F33AEE" w:rsidP="00C11752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F33AEE">
        <w:rPr>
          <w:rFonts w:cs="Calibri"/>
          <w:b/>
          <w:iCs/>
        </w:rPr>
        <w:t>4.2(3).2. Информация о реализации стратегии климатического перехода эмитента</w:t>
      </w:r>
    </w:p>
    <w:p w:rsidR="00F33AEE" w:rsidRPr="00F33AEE" w:rsidRDefault="00F33AEE" w:rsidP="00C117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F33AEE">
        <w:rPr>
          <w:rFonts w:cs="Calibri"/>
          <w:b/>
          <w:i/>
        </w:rPr>
        <w:t>Нет</w:t>
      </w:r>
    </w:p>
    <w:p w:rsidR="00B930FB" w:rsidRDefault="00B930FB" w:rsidP="00C11752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outlineLvl w:val="1"/>
        <w:rPr>
          <w:b/>
          <w:bCs/>
        </w:rPr>
      </w:pPr>
      <w:bookmarkStart w:id="316" w:name="_Toc113954754"/>
      <w:bookmarkStart w:id="317" w:name="_Toc139292067"/>
      <w:bookmarkStart w:id="318" w:name="_Toc161055638"/>
      <w:bookmarkStart w:id="319" w:name="_Toc193300384"/>
      <w:bookmarkStart w:id="320" w:name="_Toc193301467"/>
      <w:r w:rsidRPr="00B930FB">
        <w:rPr>
          <w:b/>
          <w:bCs/>
        </w:rPr>
        <w:t>4.3. Сведения о лице (лицах), предоставившем (предоставивших) обеспечение по</w:t>
      </w:r>
      <w:r w:rsidRPr="00B930FB">
        <w:rPr>
          <w:i/>
          <w:iCs/>
        </w:rPr>
        <w:t> </w:t>
      </w:r>
      <w:r w:rsidRPr="00B930FB">
        <w:rPr>
          <w:b/>
          <w:bCs/>
        </w:rPr>
        <w:t>облигациям эмитента с обеспечением, а также об обеспечении, предоставленном по</w:t>
      </w:r>
      <w:r w:rsidRPr="00B930FB">
        <w:rPr>
          <w:i/>
          <w:iCs/>
        </w:rPr>
        <w:t> </w:t>
      </w:r>
      <w:r w:rsidRPr="00B930FB">
        <w:rPr>
          <w:b/>
          <w:bCs/>
        </w:rPr>
        <w:t>облигациям эмитента с обеспечением</w:t>
      </w:r>
      <w:bookmarkEnd w:id="316"/>
      <w:bookmarkEnd w:id="317"/>
      <w:bookmarkEnd w:id="318"/>
      <w:bookmarkEnd w:id="319"/>
      <w:bookmarkEnd w:id="320"/>
    </w:p>
    <w:p w:rsidR="00142426" w:rsidRPr="00142426" w:rsidRDefault="00142426" w:rsidP="00142426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cs="Calibri"/>
          <w:b/>
          <w:i/>
        </w:rPr>
      </w:pPr>
      <w:r w:rsidRPr="00142426">
        <w:rPr>
          <w:rFonts w:cs="Calibri"/>
          <w:b/>
          <w:i/>
        </w:rPr>
        <w:t>В обращении нет облигаций эмитента, в отношении которых зарегистрирован проспект и (или) размещенные путем открытой подписки, в отношении которых предоставлено обеспечение.</w:t>
      </w:r>
    </w:p>
    <w:p w:rsidR="00B930FB" w:rsidRDefault="00B930FB" w:rsidP="00142426">
      <w:pPr>
        <w:pStyle w:val="3"/>
        <w:spacing w:before="0" w:after="120"/>
        <w:rPr>
          <w:rFonts w:ascii="Times New Roman" w:hAnsi="Times New Roman"/>
          <w:sz w:val="22"/>
          <w:szCs w:val="22"/>
        </w:rPr>
      </w:pPr>
      <w:bookmarkStart w:id="321" w:name="_Toc113910506"/>
      <w:bookmarkStart w:id="322" w:name="_Toc113954755"/>
      <w:bookmarkStart w:id="323" w:name="_Toc139292068"/>
      <w:bookmarkStart w:id="324" w:name="_Toc161055639"/>
      <w:bookmarkStart w:id="325" w:name="_Toc193300385"/>
      <w:bookmarkStart w:id="326" w:name="_Toc193301468"/>
      <w:r w:rsidRPr="00B930FB">
        <w:rPr>
          <w:rFonts w:ascii="Times New Roman" w:hAnsi="Times New Roman"/>
          <w:sz w:val="22"/>
          <w:szCs w:val="22"/>
        </w:rPr>
        <w:lastRenderedPageBreak/>
        <w:t>4.3.1. Дополнительные сведения об ипотечном покрытии по облигациям эмитента с ипотечным покрытием</w:t>
      </w:r>
      <w:bookmarkEnd w:id="321"/>
      <w:bookmarkEnd w:id="322"/>
      <w:bookmarkEnd w:id="323"/>
      <w:bookmarkEnd w:id="324"/>
      <w:bookmarkEnd w:id="325"/>
      <w:bookmarkEnd w:id="326"/>
    </w:p>
    <w:p w:rsidR="00142426" w:rsidRPr="00142426" w:rsidRDefault="00142426" w:rsidP="0014242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cs="Calibri"/>
          <w:b/>
          <w:i/>
        </w:rPr>
      </w:pPr>
      <w:bookmarkStart w:id="327" w:name="_Toc113910507"/>
      <w:bookmarkStart w:id="328" w:name="_Toc113954756"/>
      <w:bookmarkStart w:id="329" w:name="_Toc139292069"/>
      <w:r w:rsidRPr="00142426">
        <w:rPr>
          <w:rFonts w:cs="Calibri"/>
          <w:b/>
          <w:i/>
        </w:rPr>
        <w:t>В обращении нет облигаций эмитента, в отношении которых зарегистрирован проспект и (или) размещенные путем открытой подписки, в отношении которых предоставлено обеспечение.</w:t>
      </w:r>
    </w:p>
    <w:p w:rsidR="00B930FB" w:rsidRDefault="00B930FB" w:rsidP="00142426">
      <w:pPr>
        <w:pStyle w:val="3"/>
        <w:spacing w:before="0" w:after="120"/>
        <w:jc w:val="both"/>
        <w:rPr>
          <w:rFonts w:ascii="Times New Roman" w:hAnsi="Times New Roman"/>
          <w:sz w:val="22"/>
          <w:szCs w:val="22"/>
        </w:rPr>
      </w:pPr>
      <w:bookmarkStart w:id="330" w:name="_Toc161055640"/>
      <w:bookmarkStart w:id="331" w:name="_Toc193300386"/>
      <w:bookmarkStart w:id="332" w:name="_Toc193301469"/>
      <w:r w:rsidRPr="00B930FB">
        <w:rPr>
          <w:rFonts w:ascii="Times New Roman" w:hAnsi="Times New Roman"/>
          <w:sz w:val="22"/>
          <w:szCs w:val="22"/>
        </w:rPr>
        <w:t>4.3.2. Дополнительные сведения о залоговом обеспечении денежными требованиями по облигациям эмитента с залоговым обеспечением денежными требованиями</w:t>
      </w:r>
      <w:bookmarkEnd w:id="327"/>
      <w:bookmarkEnd w:id="328"/>
      <w:bookmarkEnd w:id="329"/>
      <w:bookmarkEnd w:id="330"/>
      <w:bookmarkEnd w:id="331"/>
      <w:bookmarkEnd w:id="332"/>
    </w:p>
    <w:p w:rsidR="00C664D1" w:rsidRPr="002F209F" w:rsidRDefault="00142426" w:rsidP="0086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</w:rPr>
      </w:pPr>
      <w:r w:rsidRPr="00142426">
        <w:rPr>
          <w:b/>
          <w:bCs/>
          <w:i/>
        </w:rPr>
        <w:t>В обращении нет облигаций эмитента, в отношении которых зарегистрирован проспект и (или) размещенные путем открытой подписки, в отношении которых предоставлено обеспечение.</w:t>
      </w:r>
    </w:p>
    <w:p w:rsidR="00B930FB" w:rsidRDefault="00B930FB" w:rsidP="00860493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bookmarkStart w:id="333" w:name="_Toc113954757"/>
      <w:bookmarkStart w:id="334" w:name="_Toc139292070"/>
      <w:bookmarkStart w:id="335" w:name="_Toc161055641"/>
      <w:bookmarkStart w:id="336" w:name="_Toc193300387"/>
      <w:bookmarkStart w:id="337" w:name="_Toc193301470"/>
      <w:r w:rsidRPr="002314BD">
        <w:rPr>
          <w:b/>
          <w:bCs/>
        </w:rPr>
        <w:t>4.4. Сведения об объявленных и выплаченных дивидендах по акциям эмитента</w:t>
      </w:r>
      <w:bookmarkEnd w:id="333"/>
      <w:bookmarkEnd w:id="334"/>
      <w:bookmarkEnd w:id="335"/>
      <w:bookmarkEnd w:id="336"/>
      <w:bookmarkEnd w:id="337"/>
    </w:p>
    <w:p w:rsidR="00142426" w:rsidRDefault="00142426" w:rsidP="00142426">
      <w:pPr>
        <w:widowControl w:val="0"/>
        <w:autoSpaceDE w:val="0"/>
        <w:autoSpaceDN w:val="0"/>
        <w:adjustRightInd w:val="0"/>
        <w:spacing w:before="20" w:after="40"/>
        <w:jc w:val="both"/>
      </w:pPr>
      <w:bookmarkStart w:id="338" w:name="_Toc113954758"/>
      <w:bookmarkStart w:id="339" w:name="_Toc139292071"/>
      <w:r w:rsidRPr="00664473">
        <w:t>Информация указывается в отношении дивидендов, решение о выплате (объявлении) которых принято в течение трех последних завершенных отчетных лет либо в течение всего срока с</w:t>
      </w:r>
      <w:r w:rsidRPr="00664473">
        <w:rPr>
          <w:b/>
          <w:bCs/>
          <w:i/>
          <w:iCs/>
        </w:rPr>
        <w:t> </w:t>
      </w:r>
      <w:r w:rsidRPr="00664473">
        <w:t>даты государственной регистрации эмитента, если эмитент осуществляет свою деятельность менее трех лет.</w:t>
      </w:r>
    </w:p>
    <w:p w:rsidR="00142426" w:rsidRPr="00664473" w:rsidRDefault="00142426" w:rsidP="00142426">
      <w:pPr>
        <w:widowControl w:val="0"/>
        <w:autoSpaceDE w:val="0"/>
        <w:autoSpaceDN w:val="0"/>
        <w:adjustRightInd w:val="0"/>
        <w:spacing w:before="20" w:after="40"/>
        <w:jc w:val="both"/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10"/>
        <w:gridCol w:w="5257"/>
        <w:gridCol w:w="3532"/>
      </w:tblGrid>
      <w:tr w:rsidR="00142426" w:rsidRPr="00664473" w:rsidTr="00235BDC">
        <w:tc>
          <w:tcPr>
            <w:tcW w:w="374" w:type="pct"/>
            <w:tcBorders>
              <w:top w:val="double" w:sz="4" w:space="0" w:color="auto"/>
            </w:tcBorders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N п/п</w:t>
            </w:r>
          </w:p>
        </w:tc>
        <w:tc>
          <w:tcPr>
            <w:tcW w:w="2767" w:type="pct"/>
            <w:tcBorders>
              <w:top w:val="double" w:sz="4" w:space="0" w:color="auto"/>
            </w:tcBorders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Наименование показателя</w:t>
            </w:r>
          </w:p>
        </w:tc>
        <w:tc>
          <w:tcPr>
            <w:tcW w:w="1859" w:type="pct"/>
            <w:tcBorders>
              <w:top w:val="double" w:sz="4" w:space="0" w:color="auto"/>
            </w:tcBorders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 xml:space="preserve">Отчетный период, за который (по результатам которого) выплачиваются (выплачивались) объявленные дивиденды - </w:t>
            </w:r>
            <w:r w:rsidRPr="00664473">
              <w:rPr>
                <w:b/>
              </w:rPr>
              <w:t>2022г.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center"/>
            </w:pPr>
            <w:r w:rsidRPr="00664473">
              <w:t>1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center"/>
            </w:pPr>
            <w:r w:rsidRPr="00664473">
              <w:t>2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center"/>
            </w:pPr>
            <w:r w:rsidRPr="00664473">
              <w:t>3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</w:t>
            </w:r>
          </w:p>
        </w:tc>
        <w:tc>
          <w:tcPr>
            <w:tcW w:w="4626" w:type="pct"/>
            <w:gridSpan w:val="2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Категория (тип) акций: обыкновенные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2</w:t>
            </w:r>
          </w:p>
        </w:tc>
        <w:tc>
          <w:tcPr>
            <w:tcW w:w="4626" w:type="pct"/>
            <w:gridSpan w:val="2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I. Сведения об объявленных дивидендах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3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Размер объявленных дивидендов в расчете на одну акцию, руб.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4,84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4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Размер объявленных дивидендов в совокупности по всем акциям данной категории (типа), руб.</w:t>
            </w:r>
          </w:p>
        </w:tc>
        <w:tc>
          <w:tcPr>
            <w:tcW w:w="1859" w:type="pct"/>
          </w:tcPr>
          <w:p w:rsidR="00CE5EFE" w:rsidRPr="00664473" w:rsidRDefault="00CE5EFE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>
              <w:t>11 017 783 056,72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5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Доля объявленных дивидендов в чистой прибыли отчетного периода, за который (по результатам которого) выплачиваются (выплачивались) объявленные дивиденды, %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30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6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Источник выплаты объявленных дивидендов (чистая прибыль отчетного периода, нераспределенная чистая прибыль прошлых лет, специальный фонд)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прибыль по результатам 2022 года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7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Орган управления эмитента, принявший решение об объявлении дивидендов, дата принятия такого решения, дата составления и номер протокола собрания (заседания) органа управления эмитента, на котором принято такое решение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Общее собрание акционеров, 02.06.2023, Протокол №66 от 02.06.2023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8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Дата, на которую определяются (определялись) лица, имеющие (имевшие) право на получение дивидендов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16.06.2023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9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Срок (дата) выплаты объявленных дивидендов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не позднее 21.07.2023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10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Иные сведения об объявленных дивидендах, указываемые эмитентом по собственному усмотрению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-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11</w:t>
            </w:r>
          </w:p>
        </w:tc>
        <w:tc>
          <w:tcPr>
            <w:tcW w:w="4626" w:type="pct"/>
            <w:gridSpan w:val="2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II. Сведения о выплаченных дивидендах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lastRenderedPageBreak/>
              <w:t>12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Общий размер выплаченных дивидендов по акциям данной категории (типа), руб.</w:t>
            </w:r>
          </w:p>
        </w:tc>
        <w:tc>
          <w:tcPr>
            <w:tcW w:w="1859" w:type="pct"/>
          </w:tcPr>
          <w:p w:rsidR="00142426" w:rsidRPr="00984267" w:rsidRDefault="002314BD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2314BD">
              <w:t>11 017 781 696,68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13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Доля выплаченных дивидендов в общем размере объявленных дивидендов по акциям данной категории (типа), %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99,99</w:t>
            </w:r>
          </w:p>
        </w:tc>
      </w:tr>
      <w:tr w:rsidR="00142426" w:rsidRPr="00664473" w:rsidTr="00235BDC">
        <w:tc>
          <w:tcPr>
            <w:tcW w:w="374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14</w:t>
            </w:r>
          </w:p>
        </w:tc>
        <w:tc>
          <w:tcPr>
            <w:tcW w:w="2767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Причины невыплаты объявленных дивидендов в случае, если объявленные дивиденды не выплачены или выплачены эмитентом не в полном объеме</w:t>
            </w:r>
          </w:p>
        </w:tc>
        <w:tc>
          <w:tcPr>
            <w:tcW w:w="1859" w:type="pct"/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Причиной выплаты дивидендов не в полном объеме являются отсутствие и/или некорректные платежные реквизиты и адресные данные.</w:t>
            </w:r>
          </w:p>
        </w:tc>
      </w:tr>
      <w:tr w:rsidR="00142426" w:rsidRPr="00664473" w:rsidTr="00235BDC">
        <w:tc>
          <w:tcPr>
            <w:tcW w:w="374" w:type="pct"/>
            <w:tcBorders>
              <w:bottom w:val="double" w:sz="4" w:space="0" w:color="auto"/>
            </w:tcBorders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15</w:t>
            </w:r>
          </w:p>
        </w:tc>
        <w:tc>
          <w:tcPr>
            <w:tcW w:w="2767" w:type="pct"/>
            <w:tcBorders>
              <w:bottom w:val="double" w:sz="4" w:space="0" w:color="auto"/>
            </w:tcBorders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Иные сведения о выплаченных дивидендах, указываемые эмитентом по собственному усмотрению</w:t>
            </w:r>
          </w:p>
        </w:tc>
        <w:tc>
          <w:tcPr>
            <w:tcW w:w="1859" w:type="pct"/>
            <w:tcBorders>
              <w:bottom w:val="double" w:sz="4" w:space="0" w:color="auto"/>
            </w:tcBorders>
          </w:tcPr>
          <w:p w:rsidR="00142426" w:rsidRPr="00664473" w:rsidRDefault="00142426" w:rsidP="00235BDC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-</w:t>
            </w:r>
          </w:p>
        </w:tc>
      </w:tr>
    </w:tbl>
    <w:p w:rsidR="00142426" w:rsidRDefault="00142426" w:rsidP="00142426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647"/>
        <w:gridCol w:w="5339"/>
        <w:gridCol w:w="3585"/>
      </w:tblGrid>
      <w:tr w:rsidR="00011664" w:rsidRPr="00664473" w:rsidTr="00272C91">
        <w:tc>
          <w:tcPr>
            <w:tcW w:w="338" w:type="pct"/>
            <w:tcBorders>
              <w:bottom w:val="single" w:sz="8" w:space="0" w:color="auto"/>
              <w:right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N п/п</w:t>
            </w:r>
          </w:p>
        </w:tc>
        <w:tc>
          <w:tcPr>
            <w:tcW w:w="2789" w:type="pct"/>
            <w:tcBorders>
              <w:left w:val="single" w:sz="8" w:space="0" w:color="auto"/>
              <w:bottom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Наименование показателя</w:t>
            </w:r>
          </w:p>
        </w:tc>
        <w:tc>
          <w:tcPr>
            <w:tcW w:w="1873" w:type="pct"/>
            <w:tcBorders>
              <w:bottom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 xml:space="preserve">Отчетный период, за который (по результатам которого) выплачиваются (выплачивались) объявленные дивиденды - </w:t>
            </w:r>
            <w:r w:rsidRPr="00664473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664473">
              <w:rPr>
                <w:b/>
              </w:rPr>
              <w:t>г.</w:t>
            </w:r>
          </w:p>
        </w:tc>
      </w:tr>
      <w:tr w:rsidR="00011664" w:rsidRPr="00664473" w:rsidTr="00E430F6">
        <w:tc>
          <w:tcPr>
            <w:tcW w:w="33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center"/>
            </w:pPr>
            <w:r w:rsidRPr="00664473">
              <w:t>1</w:t>
            </w:r>
          </w:p>
        </w:tc>
        <w:tc>
          <w:tcPr>
            <w:tcW w:w="2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center"/>
            </w:pPr>
            <w:r w:rsidRPr="00664473">
              <w:t>2</w:t>
            </w:r>
          </w:p>
        </w:tc>
        <w:tc>
          <w:tcPr>
            <w:tcW w:w="1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center"/>
            </w:pPr>
            <w:r w:rsidRPr="00664473">
              <w:t>3</w:t>
            </w:r>
          </w:p>
        </w:tc>
      </w:tr>
      <w:tr w:rsidR="00011664" w:rsidRPr="00664473" w:rsidTr="00E430F6">
        <w:tc>
          <w:tcPr>
            <w:tcW w:w="33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</w:t>
            </w:r>
          </w:p>
        </w:tc>
        <w:tc>
          <w:tcPr>
            <w:tcW w:w="466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Категория (тип) акций: обыкновенные</w:t>
            </w:r>
          </w:p>
        </w:tc>
      </w:tr>
      <w:tr w:rsidR="00011664" w:rsidRPr="00664473" w:rsidTr="00E430F6">
        <w:tc>
          <w:tcPr>
            <w:tcW w:w="33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2</w:t>
            </w:r>
          </w:p>
        </w:tc>
        <w:tc>
          <w:tcPr>
            <w:tcW w:w="466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I. Сведения об объявленных дивидендах</w:t>
            </w:r>
          </w:p>
        </w:tc>
      </w:tr>
      <w:tr w:rsidR="00011664" w:rsidRPr="00664473" w:rsidTr="00E430F6">
        <w:tc>
          <w:tcPr>
            <w:tcW w:w="33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3</w:t>
            </w:r>
          </w:p>
        </w:tc>
        <w:tc>
          <w:tcPr>
            <w:tcW w:w="2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Размер объявленных дивидендов в расчете на одну акцию, руб.</w:t>
            </w:r>
          </w:p>
        </w:tc>
        <w:tc>
          <w:tcPr>
            <w:tcW w:w="1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11664" w:rsidRPr="009C675D" w:rsidRDefault="002C350F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  <w:rPr>
                <w:lang w:val="en-US"/>
              </w:rPr>
            </w:pPr>
            <w:r w:rsidRPr="009C675D">
              <w:rPr>
                <w:lang w:val="en-US"/>
              </w:rPr>
              <w:t>17</w:t>
            </w:r>
            <w:r w:rsidR="00011664" w:rsidRPr="009C675D">
              <w:t>,</w:t>
            </w:r>
            <w:r w:rsidRPr="009C675D">
              <w:rPr>
                <w:lang w:val="en-US"/>
              </w:rPr>
              <w:t>35</w:t>
            </w:r>
          </w:p>
        </w:tc>
      </w:tr>
      <w:tr w:rsidR="00011664" w:rsidRPr="00664473" w:rsidTr="00272C91">
        <w:tc>
          <w:tcPr>
            <w:tcW w:w="33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4</w:t>
            </w:r>
          </w:p>
        </w:tc>
        <w:tc>
          <w:tcPr>
            <w:tcW w:w="2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Размер объявленных дивидендов в совокупности по всем акциям данной категории (типа), руб.</w:t>
            </w:r>
          </w:p>
        </w:tc>
        <w:tc>
          <w:tcPr>
            <w:tcW w:w="1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11664" w:rsidRPr="00664473" w:rsidRDefault="002C350F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64C12">
              <w:rPr>
                <w:szCs w:val="24"/>
              </w:rPr>
              <w:t>39 495 565 296,3</w:t>
            </w:r>
          </w:p>
        </w:tc>
      </w:tr>
      <w:tr w:rsidR="00011664" w:rsidRPr="00664473" w:rsidTr="00272C91">
        <w:trPr>
          <w:trHeight w:val="400"/>
        </w:trPr>
        <w:tc>
          <w:tcPr>
            <w:tcW w:w="33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5</w:t>
            </w:r>
          </w:p>
        </w:tc>
        <w:tc>
          <w:tcPr>
            <w:tcW w:w="2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Доля объявленных дивидендов в чистой прибыли отчетного периода, за который (по результатам которого) выплачиваются (выплачивались) объявленные дивиденды, %</w:t>
            </w:r>
          </w:p>
        </w:tc>
        <w:tc>
          <w:tcPr>
            <w:tcW w:w="1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11664" w:rsidRPr="00664473" w:rsidRDefault="0047253D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>
              <w:t>65</w:t>
            </w:r>
          </w:p>
        </w:tc>
      </w:tr>
      <w:tr w:rsidR="00011664" w:rsidRPr="00664473" w:rsidTr="00272C91">
        <w:tc>
          <w:tcPr>
            <w:tcW w:w="33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6</w:t>
            </w:r>
          </w:p>
        </w:tc>
        <w:tc>
          <w:tcPr>
            <w:tcW w:w="2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Источник выплаты объявленных дивидендов (чистая прибыль отчетного периода, нераспределенная чистая прибыль прошлых лет, специальный фонд)</w:t>
            </w:r>
          </w:p>
        </w:tc>
        <w:tc>
          <w:tcPr>
            <w:tcW w:w="1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82AD5" w:rsidRDefault="00982AD5" w:rsidP="00982AD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>
              <w:t>чистая прибыль по результатам 2023 года,</w:t>
            </w:r>
          </w:p>
          <w:p w:rsidR="00011664" w:rsidRPr="00664473" w:rsidRDefault="00982AD5" w:rsidP="00982AD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>
              <w:t>часть нераспределенной прибыли прошлых лет</w:t>
            </w:r>
          </w:p>
        </w:tc>
      </w:tr>
      <w:tr w:rsidR="00011664" w:rsidRPr="00664473" w:rsidTr="00272C91">
        <w:tc>
          <w:tcPr>
            <w:tcW w:w="33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7</w:t>
            </w:r>
          </w:p>
        </w:tc>
        <w:tc>
          <w:tcPr>
            <w:tcW w:w="2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Орган управления эмитента, принявший решение об объявлении дивидендов, дата принятия такого решения, дата составления и номер протокола собрания (заседания) органа управления эмитента, на котором принято такое решение</w:t>
            </w:r>
          </w:p>
        </w:tc>
        <w:tc>
          <w:tcPr>
            <w:tcW w:w="1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11664" w:rsidRPr="002C350F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 xml:space="preserve">Общее собрание акционеров, </w:t>
            </w:r>
            <w:r w:rsidR="002C350F" w:rsidRPr="00602E63">
              <w:t>31</w:t>
            </w:r>
            <w:r w:rsidRPr="00664473">
              <w:t>.</w:t>
            </w:r>
            <w:r w:rsidR="002C350F" w:rsidRPr="00664473">
              <w:t>0</w:t>
            </w:r>
            <w:r w:rsidR="002C350F" w:rsidRPr="00602E63">
              <w:t>5</w:t>
            </w:r>
            <w:r w:rsidRPr="00664473">
              <w:t>.</w:t>
            </w:r>
            <w:r w:rsidR="002C350F" w:rsidRPr="00664473">
              <w:t>202</w:t>
            </w:r>
            <w:r w:rsidR="002C350F" w:rsidRPr="00602E63">
              <w:t>4</w:t>
            </w:r>
            <w:r w:rsidRPr="00664473">
              <w:t>, Протокол №</w:t>
            </w:r>
            <w:r w:rsidR="002C350F" w:rsidRPr="00602E63">
              <w:t>70</w:t>
            </w:r>
            <w:r w:rsidR="002C350F" w:rsidRPr="00664473">
              <w:t xml:space="preserve"> </w:t>
            </w:r>
            <w:r w:rsidRPr="00664473">
              <w:t>от</w:t>
            </w:r>
            <w:r w:rsidRPr="00664473">
              <w:rPr>
                <w:b/>
                <w:bCs/>
                <w:i/>
                <w:iCs/>
              </w:rPr>
              <w:t> </w:t>
            </w:r>
            <w:r w:rsidR="002C350F" w:rsidRPr="00602E63">
              <w:t>31</w:t>
            </w:r>
            <w:r w:rsidRPr="00664473">
              <w:t>.</w:t>
            </w:r>
            <w:r w:rsidR="002C350F" w:rsidRPr="00664473">
              <w:t>0</w:t>
            </w:r>
            <w:r w:rsidR="002C350F" w:rsidRPr="00602E63">
              <w:t>5</w:t>
            </w:r>
            <w:r w:rsidRPr="00664473">
              <w:t>.</w:t>
            </w:r>
            <w:r w:rsidR="002C350F" w:rsidRPr="00664473">
              <w:t>202</w:t>
            </w:r>
            <w:r w:rsidR="002C350F" w:rsidRPr="00602E63">
              <w:t>4</w:t>
            </w:r>
          </w:p>
        </w:tc>
      </w:tr>
      <w:tr w:rsidR="00011664" w:rsidRPr="00664473" w:rsidTr="00272C91">
        <w:tc>
          <w:tcPr>
            <w:tcW w:w="33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8</w:t>
            </w:r>
          </w:p>
        </w:tc>
        <w:tc>
          <w:tcPr>
            <w:tcW w:w="2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664" w:rsidRPr="0066447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Дата, на которую определяются (определялись) лица, имеющие (имевшие) право на получение дивидендов</w:t>
            </w:r>
          </w:p>
        </w:tc>
        <w:tc>
          <w:tcPr>
            <w:tcW w:w="1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11664" w:rsidRPr="00602E63" w:rsidRDefault="00011664" w:rsidP="00011664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  <w:rPr>
                <w:lang w:val="en-US"/>
              </w:rPr>
            </w:pPr>
            <w:r w:rsidRPr="00664473">
              <w:t>14.</w:t>
            </w:r>
            <w:r w:rsidR="002C350F" w:rsidRPr="00664473">
              <w:t>0</w:t>
            </w:r>
            <w:r w:rsidR="002C350F">
              <w:rPr>
                <w:lang w:val="en-US"/>
              </w:rPr>
              <w:t>6</w:t>
            </w:r>
            <w:r w:rsidRPr="00664473">
              <w:t>.</w:t>
            </w:r>
            <w:r w:rsidR="002C350F" w:rsidRPr="00664473">
              <w:t>202</w:t>
            </w:r>
            <w:r w:rsidR="002C350F">
              <w:rPr>
                <w:lang w:val="en-US"/>
              </w:rPr>
              <w:t>4</w:t>
            </w:r>
          </w:p>
        </w:tc>
      </w:tr>
      <w:tr w:rsidR="00602E63" w:rsidRPr="00664473" w:rsidTr="00272C91">
        <w:tc>
          <w:tcPr>
            <w:tcW w:w="33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E63" w:rsidRPr="00664473" w:rsidRDefault="00602E63" w:rsidP="00602E63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9</w:t>
            </w:r>
          </w:p>
        </w:tc>
        <w:tc>
          <w:tcPr>
            <w:tcW w:w="2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E63" w:rsidRPr="00664473" w:rsidRDefault="00602E63" w:rsidP="00602E63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Срок (дата) выплаты объявленных дивидендов</w:t>
            </w:r>
          </w:p>
        </w:tc>
        <w:tc>
          <w:tcPr>
            <w:tcW w:w="1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02E63" w:rsidRPr="00664473" w:rsidRDefault="00602E63" w:rsidP="00602E63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 xml:space="preserve">не позднее </w:t>
            </w:r>
            <w:r w:rsidR="00B82EE2">
              <w:t>19</w:t>
            </w:r>
            <w:r w:rsidRPr="00664473">
              <w:t>.07.202</w:t>
            </w:r>
            <w:r w:rsidR="00B82EE2">
              <w:t>4</w:t>
            </w:r>
          </w:p>
        </w:tc>
      </w:tr>
      <w:tr w:rsidR="00602E63" w:rsidRPr="00664473" w:rsidTr="00272C91">
        <w:tc>
          <w:tcPr>
            <w:tcW w:w="33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E63" w:rsidRPr="00664473" w:rsidRDefault="00602E63" w:rsidP="00602E63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10</w:t>
            </w:r>
          </w:p>
        </w:tc>
        <w:tc>
          <w:tcPr>
            <w:tcW w:w="2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E63" w:rsidRPr="00664473" w:rsidRDefault="00602E63" w:rsidP="00602E63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Иные сведения об объявленных дивидендах, указываемые эмитентом по собственному усмотрению</w:t>
            </w:r>
          </w:p>
        </w:tc>
        <w:tc>
          <w:tcPr>
            <w:tcW w:w="1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02E63" w:rsidRPr="00664473" w:rsidRDefault="00602E63" w:rsidP="00602E63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-</w:t>
            </w:r>
          </w:p>
        </w:tc>
      </w:tr>
      <w:tr w:rsidR="00602E63" w:rsidRPr="00664473" w:rsidTr="00272C91">
        <w:tc>
          <w:tcPr>
            <w:tcW w:w="33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E63" w:rsidRPr="00664473" w:rsidRDefault="00602E63" w:rsidP="00602E63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11</w:t>
            </w:r>
          </w:p>
        </w:tc>
        <w:tc>
          <w:tcPr>
            <w:tcW w:w="466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02E63" w:rsidRPr="00664473" w:rsidRDefault="00602E63" w:rsidP="00602E63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II. Сведения о выплаченных дивидендах</w:t>
            </w:r>
          </w:p>
        </w:tc>
      </w:tr>
      <w:tr w:rsidR="00602E63" w:rsidRPr="00664473" w:rsidTr="00272C91">
        <w:tc>
          <w:tcPr>
            <w:tcW w:w="33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E63" w:rsidRPr="00664473" w:rsidRDefault="00602E63" w:rsidP="00602E63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12</w:t>
            </w:r>
          </w:p>
        </w:tc>
        <w:tc>
          <w:tcPr>
            <w:tcW w:w="2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E63" w:rsidRPr="00664473" w:rsidRDefault="00602E63" w:rsidP="00602E63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Общий размер выплаченных дивидендов по акциям данной категории (типа), руб.</w:t>
            </w:r>
          </w:p>
        </w:tc>
        <w:tc>
          <w:tcPr>
            <w:tcW w:w="1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02E63" w:rsidRPr="00664473" w:rsidRDefault="00B82EE2" w:rsidP="00602E63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B82EE2">
              <w:t>39 495 163 296,8</w:t>
            </w:r>
          </w:p>
        </w:tc>
      </w:tr>
      <w:tr w:rsidR="00602E63" w:rsidRPr="00664473" w:rsidTr="00272C91">
        <w:tc>
          <w:tcPr>
            <w:tcW w:w="33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E63" w:rsidRPr="00664473" w:rsidRDefault="00602E63" w:rsidP="00602E63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lastRenderedPageBreak/>
              <w:t>13</w:t>
            </w:r>
          </w:p>
        </w:tc>
        <w:tc>
          <w:tcPr>
            <w:tcW w:w="2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E63" w:rsidRPr="00664473" w:rsidRDefault="00602E63" w:rsidP="00602E63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Доля выплаченных дивидендов в общем размере объявленных дивидендов по акциям данной категории (типа), %</w:t>
            </w:r>
          </w:p>
        </w:tc>
        <w:tc>
          <w:tcPr>
            <w:tcW w:w="1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02E63" w:rsidRPr="00664473" w:rsidRDefault="00B82EE2" w:rsidP="00602E63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99,99</w:t>
            </w:r>
          </w:p>
        </w:tc>
      </w:tr>
      <w:tr w:rsidR="00602E63" w:rsidRPr="00664473" w:rsidTr="00272C91">
        <w:tc>
          <w:tcPr>
            <w:tcW w:w="33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E63" w:rsidRPr="00664473" w:rsidRDefault="00602E63" w:rsidP="00602E63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14</w:t>
            </w:r>
          </w:p>
        </w:tc>
        <w:tc>
          <w:tcPr>
            <w:tcW w:w="2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E63" w:rsidRPr="00664473" w:rsidRDefault="00602E63" w:rsidP="00602E63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Причины невыплаты объявленных дивидендов в случае, если объявленные дивиденды не выплачены или выплачены эмитентом не в полном объеме</w:t>
            </w:r>
          </w:p>
        </w:tc>
        <w:tc>
          <w:tcPr>
            <w:tcW w:w="1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02E63" w:rsidRPr="00664473" w:rsidRDefault="00B82EE2" w:rsidP="00602E63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Причиной выплаты дивидендов не в полном объеме являются отсутствие и/или некорректные платежные реквизиты и адресные данные.</w:t>
            </w:r>
          </w:p>
        </w:tc>
      </w:tr>
      <w:tr w:rsidR="00602E63" w:rsidRPr="00664473" w:rsidTr="00272C91">
        <w:trPr>
          <w:trHeight w:val="576"/>
        </w:trPr>
        <w:tc>
          <w:tcPr>
            <w:tcW w:w="338" w:type="pct"/>
            <w:tcBorders>
              <w:top w:val="single" w:sz="8" w:space="0" w:color="auto"/>
              <w:right w:val="single" w:sz="8" w:space="0" w:color="auto"/>
            </w:tcBorders>
          </w:tcPr>
          <w:p w:rsidR="00602E63" w:rsidRPr="00664473" w:rsidRDefault="00602E63" w:rsidP="00602E63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15</w:t>
            </w:r>
          </w:p>
        </w:tc>
        <w:tc>
          <w:tcPr>
            <w:tcW w:w="278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2E63" w:rsidRPr="00664473" w:rsidRDefault="00602E63" w:rsidP="00602E63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Иные сведения о выплаченных дивидендах, указываемые эмитентом по собственному усмотрению</w:t>
            </w:r>
          </w:p>
        </w:tc>
        <w:tc>
          <w:tcPr>
            <w:tcW w:w="1873" w:type="pct"/>
            <w:tcBorders>
              <w:top w:val="single" w:sz="8" w:space="0" w:color="auto"/>
              <w:left w:val="single" w:sz="8" w:space="0" w:color="auto"/>
            </w:tcBorders>
          </w:tcPr>
          <w:p w:rsidR="00602E63" w:rsidRPr="00664473" w:rsidRDefault="00602E63" w:rsidP="00602E63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664473">
              <w:t>-</w:t>
            </w:r>
          </w:p>
        </w:tc>
      </w:tr>
    </w:tbl>
    <w:p w:rsidR="00011664" w:rsidRPr="00664473" w:rsidRDefault="00011664" w:rsidP="00142426"/>
    <w:p w:rsidR="00B930FB" w:rsidRDefault="00B930FB" w:rsidP="001424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b/>
          <w:bCs/>
        </w:rPr>
      </w:pPr>
      <w:bookmarkStart w:id="340" w:name="_Toc161055642"/>
      <w:bookmarkStart w:id="341" w:name="_Toc193300388"/>
      <w:bookmarkStart w:id="342" w:name="_Toc193301471"/>
      <w:r w:rsidRPr="00B930FB">
        <w:rPr>
          <w:b/>
          <w:bCs/>
        </w:rPr>
        <w:t>4.5. Сведения об организациях, осуществляющих учет прав на эмиссионные ценные бумаги эмитента</w:t>
      </w:r>
      <w:bookmarkEnd w:id="338"/>
      <w:bookmarkEnd w:id="339"/>
      <w:bookmarkEnd w:id="340"/>
      <w:bookmarkEnd w:id="341"/>
      <w:bookmarkEnd w:id="342"/>
    </w:p>
    <w:p w:rsidR="00B930FB" w:rsidRDefault="00B930FB" w:rsidP="00860493">
      <w:pPr>
        <w:pStyle w:val="3"/>
        <w:spacing w:before="360" w:after="120"/>
        <w:rPr>
          <w:rFonts w:ascii="Times New Roman" w:hAnsi="Times New Roman"/>
          <w:sz w:val="22"/>
          <w:szCs w:val="22"/>
        </w:rPr>
      </w:pPr>
      <w:bookmarkStart w:id="343" w:name="_Toc139292072"/>
      <w:bookmarkStart w:id="344" w:name="_Toc161055643"/>
      <w:bookmarkStart w:id="345" w:name="_Toc193300389"/>
      <w:bookmarkStart w:id="346" w:name="_Toc193301472"/>
      <w:r w:rsidRPr="00D02D22">
        <w:rPr>
          <w:rFonts w:ascii="Times New Roman" w:hAnsi="Times New Roman"/>
          <w:sz w:val="22"/>
          <w:szCs w:val="22"/>
        </w:rPr>
        <w:t>4.5.1. Сведения о регистраторе, осуществляющем ведение реестра владельцев ценных бумаг эмитента</w:t>
      </w:r>
      <w:bookmarkEnd w:id="343"/>
      <w:bookmarkEnd w:id="344"/>
      <w:bookmarkEnd w:id="345"/>
      <w:bookmarkEnd w:id="346"/>
    </w:p>
    <w:p w:rsidR="00CA56EA" w:rsidRPr="009756C8" w:rsidRDefault="00CA56EA" w:rsidP="00CA56EA">
      <w:pPr>
        <w:widowControl w:val="0"/>
        <w:autoSpaceDE w:val="0"/>
        <w:autoSpaceDN w:val="0"/>
        <w:adjustRightInd w:val="0"/>
        <w:spacing w:before="20" w:after="40"/>
        <w:jc w:val="both"/>
      </w:pPr>
      <w:r w:rsidRPr="009756C8">
        <w:t>Полное фирменное наименование:</w:t>
      </w:r>
      <w:r w:rsidRPr="009756C8">
        <w:rPr>
          <w:b/>
          <w:bCs/>
          <w:i/>
          <w:iCs/>
        </w:rPr>
        <w:t xml:space="preserve"> Акционерное общество Регистраторское общество СТАТУС</w:t>
      </w:r>
      <w:r>
        <w:rPr>
          <w:b/>
          <w:bCs/>
          <w:i/>
          <w:iCs/>
        </w:rPr>
        <w:t>.</w:t>
      </w:r>
      <w:r w:rsidRPr="009756C8">
        <w:rPr>
          <w:b/>
          <w:bCs/>
          <w:i/>
          <w:iCs/>
        </w:rPr>
        <w:t xml:space="preserve"> </w:t>
      </w:r>
    </w:p>
    <w:p w:rsidR="00CA56EA" w:rsidRPr="009756C8" w:rsidRDefault="00CA56EA" w:rsidP="00CA56EA">
      <w:pPr>
        <w:widowControl w:val="0"/>
        <w:autoSpaceDE w:val="0"/>
        <w:autoSpaceDN w:val="0"/>
        <w:adjustRightInd w:val="0"/>
        <w:spacing w:before="20" w:after="40"/>
        <w:jc w:val="both"/>
      </w:pPr>
      <w:r w:rsidRPr="009756C8">
        <w:t>Сокращенное фирменное наименование:</w:t>
      </w:r>
      <w:r w:rsidRPr="009756C8">
        <w:rPr>
          <w:b/>
          <w:bCs/>
          <w:i/>
          <w:iCs/>
        </w:rPr>
        <w:t xml:space="preserve"> АО СТАТУС</w:t>
      </w:r>
      <w:r>
        <w:rPr>
          <w:b/>
          <w:bCs/>
          <w:i/>
          <w:iCs/>
        </w:rPr>
        <w:t>.</w:t>
      </w:r>
    </w:p>
    <w:p w:rsidR="00CA56EA" w:rsidRPr="009756C8" w:rsidRDefault="00CA56EA" w:rsidP="00CA56EA">
      <w:pPr>
        <w:widowControl w:val="0"/>
        <w:autoSpaceDE w:val="0"/>
        <w:autoSpaceDN w:val="0"/>
        <w:adjustRightInd w:val="0"/>
        <w:spacing w:before="20" w:after="40"/>
        <w:jc w:val="both"/>
      </w:pPr>
      <w:r w:rsidRPr="009756C8">
        <w:t>Место нахождения:</w:t>
      </w:r>
      <w:r w:rsidRPr="009756C8">
        <w:rPr>
          <w:color w:val="000000"/>
          <w:shd w:val="clear" w:color="auto" w:fill="FFFFFF"/>
          <w:lang w:eastAsia="en-US"/>
        </w:rPr>
        <w:t xml:space="preserve"> </w:t>
      </w:r>
      <w:r w:rsidRPr="009756C8">
        <w:rPr>
          <w:b/>
          <w:bCs/>
          <w:i/>
          <w:iCs/>
        </w:rPr>
        <w:t>109052, г. Москва, ул. Новохохловская, д. 23, стр. 1, пом. 1</w:t>
      </w:r>
      <w:r>
        <w:rPr>
          <w:b/>
          <w:bCs/>
          <w:i/>
          <w:iCs/>
        </w:rPr>
        <w:t>.</w:t>
      </w:r>
    </w:p>
    <w:p w:rsidR="00CA56EA" w:rsidRPr="009756C8" w:rsidRDefault="00CA56EA" w:rsidP="00CA56EA">
      <w:pPr>
        <w:widowControl w:val="0"/>
        <w:autoSpaceDE w:val="0"/>
        <w:autoSpaceDN w:val="0"/>
        <w:adjustRightInd w:val="0"/>
        <w:spacing w:before="20" w:after="40"/>
        <w:jc w:val="both"/>
      </w:pPr>
      <w:r w:rsidRPr="009756C8">
        <w:t xml:space="preserve">ИНН: </w:t>
      </w:r>
      <w:r w:rsidRPr="009756C8">
        <w:rPr>
          <w:b/>
          <w:bCs/>
          <w:i/>
          <w:iCs/>
        </w:rPr>
        <w:t>7707179242</w:t>
      </w:r>
      <w:r>
        <w:rPr>
          <w:b/>
          <w:bCs/>
          <w:i/>
          <w:iCs/>
        </w:rPr>
        <w:t>.</w:t>
      </w:r>
    </w:p>
    <w:p w:rsidR="00CA56EA" w:rsidRPr="009756C8" w:rsidRDefault="00CA56EA" w:rsidP="00CA56EA">
      <w:pPr>
        <w:widowControl w:val="0"/>
        <w:autoSpaceDE w:val="0"/>
        <w:autoSpaceDN w:val="0"/>
        <w:adjustRightInd w:val="0"/>
        <w:spacing w:before="20" w:after="40"/>
        <w:jc w:val="both"/>
        <w:rPr>
          <w:b/>
          <w:bCs/>
          <w:i/>
          <w:iCs/>
        </w:rPr>
      </w:pPr>
      <w:r w:rsidRPr="009756C8">
        <w:t xml:space="preserve">ОГРН: </w:t>
      </w:r>
      <w:r w:rsidRPr="009756C8">
        <w:rPr>
          <w:b/>
          <w:bCs/>
          <w:i/>
          <w:iCs/>
        </w:rPr>
        <w:t>1027700003924</w:t>
      </w:r>
      <w:r>
        <w:rPr>
          <w:b/>
          <w:bCs/>
          <w:i/>
          <w:iCs/>
        </w:rPr>
        <w:t>.</w:t>
      </w:r>
    </w:p>
    <w:p w:rsidR="00CA56EA" w:rsidRPr="009756C8" w:rsidRDefault="00CA56EA" w:rsidP="00CA56EA">
      <w:pPr>
        <w:widowControl w:val="0"/>
        <w:autoSpaceDE w:val="0"/>
        <w:autoSpaceDN w:val="0"/>
        <w:adjustRightInd w:val="0"/>
        <w:spacing w:before="20" w:after="40"/>
        <w:jc w:val="both"/>
      </w:pPr>
      <w:r w:rsidRPr="009756C8">
        <w:t>Данные о лицензии на осуществление деятельности по ведению реестра владельцев ценных бумаг</w:t>
      </w:r>
    </w:p>
    <w:p w:rsidR="00CA56EA" w:rsidRPr="009756C8" w:rsidRDefault="00CA56EA" w:rsidP="00CA56EA">
      <w:pPr>
        <w:widowControl w:val="0"/>
        <w:autoSpaceDE w:val="0"/>
        <w:autoSpaceDN w:val="0"/>
        <w:adjustRightInd w:val="0"/>
        <w:spacing w:before="20" w:after="40"/>
        <w:jc w:val="both"/>
      </w:pPr>
      <w:r w:rsidRPr="009756C8">
        <w:t>Номер:</w:t>
      </w:r>
      <w:r w:rsidRPr="009756C8">
        <w:rPr>
          <w:color w:val="000000"/>
          <w:shd w:val="clear" w:color="auto" w:fill="FFFFFF"/>
          <w:lang w:eastAsia="en-US"/>
        </w:rPr>
        <w:t xml:space="preserve"> </w:t>
      </w:r>
      <w:r w:rsidRPr="009756C8">
        <w:rPr>
          <w:b/>
          <w:bCs/>
          <w:i/>
          <w:iCs/>
        </w:rPr>
        <w:t>10-000-1-00304</w:t>
      </w:r>
      <w:r>
        <w:rPr>
          <w:b/>
          <w:bCs/>
          <w:i/>
          <w:iCs/>
        </w:rPr>
        <w:t>.</w:t>
      </w:r>
    </w:p>
    <w:p w:rsidR="00CA56EA" w:rsidRPr="009756C8" w:rsidRDefault="00CA56EA" w:rsidP="00CA56EA">
      <w:pPr>
        <w:widowControl w:val="0"/>
        <w:autoSpaceDE w:val="0"/>
        <w:autoSpaceDN w:val="0"/>
        <w:adjustRightInd w:val="0"/>
        <w:spacing w:before="20" w:after="40"/>
        <w:jc w:val="both"/>
      </w:pPr>
      <w:r w:rsidRPr="009756C8">
        <w:t xml:space="preserve">Дата выдачи: </w:t>
      </w:r>
      <w:r w:rsidRPr="009756C8">
        <w:rPr>
          <w:b/>
          <w:bCs/>
          <w:i/>
          <w:iCs/>
        </w:rPr>
        <w:t>12.03.2004</w:t>
      </w:r>
      <w:r>
        <w:t>.</w:t>
      </w:r>
    </w:p>
    <w:p w:rsidR="00CA56EA" w:rsidRPr="009756C8" w:rsidRDefault="00CA56EA" w:rsidP="00CA56EA">
      <w:pPr>
        <w:widowControl w:val="0"/>
        <w:autoSpaceDE w:val="0"/>
        <w:autoSpaceDN w:val="0"/>
        <w:adjustRightInd w:val="0"/>
        <w:spacing w:before="20" w:after="40"/>
        <w:jc w:val="both"/>
      </w:pPr>
      <w:r w:rsidRPr="009756C8">
        <w:t xml:space="preserve">Дата окончания действия: </w:t>
      </w:r>
      <w:r w:rsidRPr="009756C8">
        <w:rPr>
          <w:b/>
          <w:bCs/>
          <w:i/>
          <w:iCs/>
        </w:rPr>
        <w:t>без ограничения срока действия</w:t>
      </w:r>
      <w:r>
        <w:rPr>
          <w:b/>
          <w:bCs/>
          <w:i/>
          <w:iCs/>
        </w:rPr>
        <w:t>.</w:t>
      </w:r>
    </w:p>
    <w:p w:rsidR="00CA56EA" w:rsidRPr="009756C8" w:rsidRDefault="00CA56EA" w:rsidP="00CA56EA">
      <w:pPr>
        <w:widowControl w:val="0"/>
        <w:autoSpaceDE w:val="0"/>
        <w:autoSpaceDN w:val="0"/>
        <w:adjustRightInd w:val="0"/>
        <w:spacing w:before="20" w:after="40"/>
        <w:jc w:val="both"/>
      </w:pPr>
      <w:r w:rsidRPr="009756C8">
        <w:t>Наименование органа, выдавшего лицензию:</w:t>
      </w:r>
      <w:r w:rsidRPr="009756C8">
        <w:rPr>
          <w:b/>
          <w:bCs/>
          <w:i/>
          <w:iCs/>
        </w:rPr>
        <w:t xml:space="preserve"> ФКЦБ России</w:t>
      </w:r>
      <w:r>
        <w:rPr>
          <w:b/>
          <w:bCs/>
          <w:i/>
          <w:iCs/>
        </w:rPr>
        <w:t>.</w:t>
      </w:r>
    </w:p>
    <w:p w:rsidR="00CA56EA" w:rsidRPr="009756C8" w:rsidRDefault="00CA56EA" w:rsidP="00CA56EA">
      <w:pPr>
        <w:widowControl w:val="0"/>
        <w:autoSpaceDE w:val="0"/>
        <w:autoSpaceDN w:val="0"/>
        <w:adjustRightInd w:val="0"/>
        <w:spacing w:before="20" w:after="40"/>
        <w:jc w:val="both"/>
        <w:rPr>
          <w:b/>
          <w:bCs/>
          <w:i/>
          <w:iCs/>
        </w:rPr>
      </w:pPr>
      <w:r w:rsidRPr="009756C8">
        <w:t>Дата, с которой регистратор осуществляет ведение реестра владельцев ценных бумаг эмитента:</w:t>
      </w:r>
      <w:r w:rsidRPr="009756C8">
        <w:rPr>
          <w:color w:val="000000"/>
          <w:shd w:val="clear" w:color="auto" w:fill="FFFFFF"/>
          <w:lang w:eastAsia="en-US"/>
        </w:rPr>
        <w:t xml:space="preserve"> </w:t>
      </w:r>
      <w:r w:rsidRPr="009756C8">
        <w:rPr>
          <w:b/>
          <w:bCs/>
          <w:i/>
          <w:iCs/>
        </w:rPr>
        <w:t>16.12.2011</w:t>
      </w:r>
      <w:r>
        <w:rPr>
          <w:b/>
          <w:bCs/>
          <w:i/>
          <w:iCs/>
        </w:rPr>
        <w:t>.</w:t>
      </w:r>
    </w:p>
    <w:p w:rsidR="00CA56EA" w:rsidRPr="00CA56EA" w:rsidRDefault="00CA56EA" w:rsidP="00CA56EA">
      <w:pPr>
        <w:widowControl w:val="0"/>
        <w:autoSpaceDE w:val="0"/>
        <w:autoSpaceDN w:val="0"/>
        <w:adjustRightInd w:val="0"/>
        <w:spacing w:before="20" w:after="240"/>
        <w:jc w:val="both"/>
      </w:pPr>
      <w:r w:rsidRPr="009756C8">
        <w:t>Иные сведения о ведении реестра владельцев ценных бумаг эмитента, указываемые эмитентом по</w:t>
      </w:r>
      <w:r>
        <w:t> </w:t>
      </w:r>
      <w:r w:rsidRPr="009756C8">
        <w:t xml:space="preserve">собственному усмотрению: </w:t>
      </w:r>
      <w:r w:rsidRPr="009756C8">
        <w:rPr>
          <w:b/>
          <w:i/>
        </w:rPr>
        <w:t>отсутствуют.</w:t>
      </w:r>
    </w:p>
    <w:p w:rsidR="00B930FB" w:rsidRDefault="00B930FB" w:rsidP="00CA56EA">
      <w:pPr>
        <w:pStyle w:val="3"/>
        <w:spacing w:before="0" w:after="120"/>
        <w:rPr>
          <w:rFonts w:ascii="Times New Roman" w:hAnsi="Times New Roman"/>
          <w:sz w:val="22"/>
          <w:szCs w:val="22"/>
        </w:rPr>
      </w:pPr>
      <w:bookmarkStart w:id="347" w:name="_Toc139292073"/>
      <w:bookmarkStart w:id="348" w:name="_Toc161055644"/>
      <w:bookmarkStart w:id="349" w:name="_Toc193300390"/>
      <w:bookmarkStart w:id="350" w:name="_Toc193301473"/>
      <w:r w:rsidRPr="00D02D22">
        <w:rPr>
          <w:rFonts w:ascii="Times New Roman" w:hAnsi="Times New Roman"/>
          <w:sz w:val="22"/>
          <w:szCs w:val="22"/>
        </w:rPr>
        <w:t>4.5.2. Сведения о депозитарии, осуществляющем централизованный учет прав на ценные бумаги эмитента</w:t>
      </w:r>
      <w:bookmarkEnd w:id="347"/>
      <w:bookmarkEnd w:id="348"/>
      <w:bookmarkEnd w:id="349"/>
      <w:bookmarkEnd w:id="350"/>
    </w:p>
    <w:p w:rsidR="00C664D1" w:rsidRPr="00C664D1" w:rsidRDefault="00CA56EA" w:rsidP="0086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</w:rPr>
      </w:pPr>
      <w:r w:rsidRPr="00CA56EA">
        <w:rPr>
          <w:b/>
          <w:bCs/>
          <w:i/>
        </w:rPr>
        <w:t>В обращении нет документарных ценных бумаг эмитента с обязательным централизованным хранением.</w:t>
      </w:r>
    </w:p>
    <w:p w:rsidR="00B930FB" w:rsidRPr="00061088" w:rsidRDefault="00B930FB" w:rsidP="00860493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bookmarkStart w:id="351" w:name="_Toc113954759"/>
      <w:bookmarkStart w:id="352" w:name="_Toc139292074"/>
      <w:bookmarkStart w:id="353" w:name="_Toc161055645"/>
      <w:bookmarkStart w:id="354" w:name="_Toc193300391"/>
      <w:bookmarkStart w:id="355" w:name="_Toc193301474"/>
      <w:r w:rsidRPr="00D02D22">
        <w:rPr>
          <w:b/>
          <w:bCs/>
        </w:rPr>
        <w:t>4.6. Информация об аудиторе эмитента</w:t>
      </w:r>
      <w:bookmarkEnd w:id="351"/>
      <w:bookmarkEnd w:id="352"/>
      <w:bookmarkEnd w:id="353"/>
      <w:bookmarkEnd w:id="354"/>
      <w:bookmarkEnd w:id="355"/>
    </w:p>
    <w:p w:rsidR="00E430F6" w:rsidRPr="00A911B3" w:rsidRDefault="00E430F6" w:rsidP="00E430F6">
      <w:pPr>
        <w:widowControl w:val="0"/>
        <w:autoSpaceDE w:val="0"/>
        <w:autoSpaceDN w:val="0"/>
        <w:adjustRightInd w:val="0"/>
        <w:spacing w:after="120"/>
        <w:jc w:val="both"/>
      </w:pPr>
      <w:r w:rsidRPr="00A911B3">
        <w:t>Указывается информация в отношении аудитора (аудиторской организации, индивидуального аудитора) эмитента, который проводил проверку промежуточной отчетности эмитента, раскрытой эмитентом в отчетном периоде, и (или) который проводил (будет проводить) проверку (обязательный аудит) годовой отчетности эмитента за текущий и последний завершенный отчетный год.</w:t>
      </w:r>
    </w:p>
    <w:p w:rsidR="00E430F6" w:rsidRPr="00A911B3" w:rsidRDefault="00E430F6" w:rsidP="00E430F6">
      <w:pPr>
        <w:widowControl w:val="0"/>
        <w:autoSpaceDE w:val="0"/>
        <w:autoSpaceDN w:val="0"/>
        <w:adjustRightInd w:val="0"/>
        <w:spacing w:after="120"/>
        <w:jc w:val="both"/>
      </w:pPr>
      <w:bookmarkStart w:id="356" w:name="_Hlk131432642"/>
      <w:r w:rsidRPr="00A728CF">
        <w:t>1</w:t>
      </w:r>
      <w:r w:rsidRPr="00A911B3">
        <w:t>. Полное фирменное наименование:</w:t>
      </w:r>
      <w:r w:rsidRPr="00A911B3">
        <w:rPr>
          <w:b/>
          <w:bCs/>
          <w:i/>
          <w:iCs/>
        </w:rPr>
        <w:t xml:space="preserve"> ОБЩЕСТВО С ОГРАНИЧЕННОЙ ОТВЕТСТВЕННОСТЬЮ «ЦЕНТР АУДИТОРСКИХ ТЕХНОЛОГИЙ И РЕШЕНИЙ - АУДИТОРСКИЕ УСЛУГИ».</w:t>
      </w:r>
    </w:p>
    <w:p w:rsidR="00E430F6" w:rsidRPr="00A911B3" w:rsidRDefault="00E430F6" w:rsidP="00E430F6">
      <w:pPr>
        <w:widowControl w:val="0"/>
        <w:autoSpaceDE w:val="0"/>
        <w:autoSpaceDN w:val="0"/>
        <w:adjustRightInd w:val="0"/>
        <w:spacing w:after="120"/>
        <w:jc w:val="both"/>
      </w:pPr>
      <w:r w:rsidRPr="00A911B3">
        <w:lastRenderedPageBreak/>
        <w:t xml:space="preserve">Сокращенное фирменное наименование: </w:t>
      </w:r>
      <w:r w:rsidRPr="00A911B3">
        <w:rPr>
          <w:b/>
          <w:i/>
        </w:rPr>
        <w:t>ООО «ЦАТР – аудиторские услуги».</w:t>
      </w:r>
    </w:p>
    <w:p w:rsidR="00E430F6" w:rsidRPr="00A911B3" w:rsidRDefault="00E430F6" w:rsidP="00E430F6">
      <w:pPr>
        <w:widowControl w:val="0"/>
        <w:autoSpaceDE w:val="0"/>
        <w:autoSpaceDN w:val="0"/>
        <w:adjustRightInd w:val="0"/>
        <w:spacing w:after="120"/>
        <w:jc w:val="both"/>
      </w:pPr>
      <w:r w:rsidRPr="00A911B3">
        <w:t xml:space="preserve">Место нахождения: </w:t>
      </w:r>
      <w:r w:rsidRPr="00A911B3">
        <w:rPr>
          <w:b/>
          <w:i/>
        </w:rPr>
        <w:t>115035, Россия, г. Москва, Садовническая наб., д. 7</w:t>
      </w:r>
      <w:r>
        <w:rPr>
          <w:b/>
          <w:i/>
        </w:rPr>
        <w:t>5</w:t>
      </w:r>
      <w:r w:rsidRPr="00A911B3">
        <w:rPr>
          <w:b/>
          <w:i/>
        </w:rPr>
        <w:t>.</w:t>
      </w:r>
    </w:p>
    <w:p w:rsidR="00E430F6" w:rsidRPr="00A911B3" w:rsidRDefault="00E430F6" w:rsidP="00E430F6">
      <w:pPr>
        <w:widowControl w:val="0"/>
        <w:autoSpaceDE w:val="0"/>
        <w:autoSpaceDN w:val="0"/>
        <w:adjustRightInd w:val="0"/>
        <w:spacing w:after="120"/>
        <w:jc w:val="both"/>
      </w:pPr>
      <w:r w:rsidRPr="00A911B3">
        <w:t xml:space="preserve">ИНН: </w:t>
      </w:r>
      <w:r w:rsidRPr="00A911B3">
        <w:rPr>
          <w:b/>
          <w:i/>
        </w:rPr>
        <w:t>7709383532.</w:t>
      </w:r>
    </w:p>
    <w:p w:rsidR="00E430F6" w:rsidRPr="00A911B3" w:rsidRDefault="00E430F6" w:rsidP="00E430F6">
      <w:pPr>
        <w:widowControl w:val="0"/>
        <w:autoSpaceDE w:val="0"/>
        <w:autoSpaceDN w:val="0"/>
        <w:adjustRightInd w:val="0"/>
        <w:spacing w:after="120"/>
        <w:jc w:val="both"/>
      </w:pPr>
      <w:r w:rsidRPr="00A911B3">
        <w:t xml:space="preserve">ОГРН: </w:t>
      </w:r>
      <w:r w:rsidRPr="00A911B3">
        <w:rPr>
          <w:b/>
          <w:i/>
        </w:rPr>
        <w:t>1027739707203.</w:t>
      </w:r>
    </w:p>
    <w:p w:rsidR="00E430F6" w:rsidRPr="00A911B3" w:rsidRDefault="00E430F6" w:rsidP="00E430F6">
      <w:pPr>
        <w:widowControl w:val="0"/>
        <w:autoSpaceDE w:val="0"/>
        <w:autoSpaceDN w:val="0"/>
        <w:adjustRightInd w:val="0"/>
        <w:spacing w:after="120"/>
        <w:jc w:val="both"/>
      </w:pPr>
      <w:r w:rsidRPr="00A911B3">
        <w:t>Отчетный год и (или) иной отчетный период из числа последних трех завершенных отчетных лет и текущего года, за который аудитором проводилась (будет проводиться) проверка отчетности эмитента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87"/>
        <w:gridCol w:w="4712"/>
      </w:tblGrid>
      <w:tr w:rsidR="00E430F6" w:rsidRPr="00A911B3" w:rsidTr="00936EC7">
        <w:tc>
          <w:tcPr>
            <w:tcW w:w="2520" w:type="pct"/>
            <w:tcBorders>
              <w:left w:val="double" w:sz="4" w:space="0" w:color="auto"/>
            </w:tcBorders>
          </w:tcPr>
          <w:p w:rsidR="00E430F6" w:rsidRPr="00A911B3" w:rsidRDefault="00E430F6" w:rsidP="00936EC7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A911B3">
              <w:t>Отчетный год и (или) иной отчетный период из числа последних трех завершенных отчетных лет и текущего года, за который аудитором проводилась (будет проводиться) проверка отчетности эмитента</w:t>
            </w:r>
          </w:p>
        </w:tc>
        <w:tc>
          <w:tcPr>
            <w:tcW w:w="2480" w:type="pct"/>
            <w:tcBorders>
              <w:right w:val="double" w:sz="4" w:space="0" w:color="auto"/>
            </w:tcBorders>
          </w:tcPr>
          <w:p w:rsidR="00E430F6" w:rsidRPr="00A911B3" w:rsidRDefault="00E430F6" w:rsidP="00936EC7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A911B3">
              <w:t>Вид отчетности эмитента, в отношении которой аудитором проводилась (будет проводиться) проверка (бухгалтерская (финансовая) отчетность; консолидированная финансовая отчетность или финансовая отчетность)</w:t>
            </w:r>
          </w:p>
        </w:tc>
      </w:tr>
      <w:tr w:rsidR="00E430F6" w:rsidRPr="00A911B3" w:rsidTr="00936EC7">
        <w:tc>
          <w:tcPr>
            <w:tcW w:w="2520" w:type="pct"/>
            <w:tcBorders>
              <w:left w:val="double" w:sz="4" w:space="0" w:color="auto"/>
            </w:tcBorders>
          </w:tcPr>
          <w:p w:rsidR="00E430F6" w:rsidRPr="001A68F4" w:rsidRDefault="00E430F6" w:rsidP="00936EC7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A911B3">
              <w:t>2022</w:t>
            </w:r>
            <w:r>
              <w:rPr>
                <w:lang w:val="en-US"/>
              </w:rPr>
              <w:t>, 2023</w:t>
            </w:r>
            <w:r>
              <w:t>, 2024</w:t>
            </w:r>
          </w:p>
        </w:tc>
        <w:tc>
          <w:tcPr>
            <w:tcW w:w="2480" w:type="pct"/>
            <w:tcBorders>
              <w:right w:val="double" w:sz="4" w:space="0" w:color="auto"/>
            </w:tcBorders>
          </w:tcPr>
          <w:p w:rsidR="00E430F6" w:rsidRPr="00A911B3" w:rsidRDefault="00E430F6" w:rsidP="00936EC7">
            <w:pPr>
              <w:widowControl w:val="0"/>
              <w:autoSpaceDE w:val="0"/>
              <w:autoSpaceDN w:val="0"/>
              <w:adjustRightInd w:val="0"/>
              <w:spacing w:before="20" w:after="40"/>
            </w:pPr>
            <w:r w:rsidRPr="00A911B3">
              <w:t>Бухгалтерская (финансовая) отчетность</w:t>
            </w:r>
          </w:p>
        </w:tc>
      </w:tr>
      <w:tr w:rsidR="00E430F6" w:rsidRPr="00A911B3" w:rsidTr="00936EC7">
        <w:tc>
          <w:tcPr>
            <w:tcW w:w="2520" w:type="pct"/>
            <w:tcBorders>
              <w:left w:val="double" w:sz="4" w:space="0" w:color="auto"/>
            </w:tcBorders>
          </w:tcPr>
          <w:p w:rsidR="00E430F6" w:rsidRPr="00A911B3" w:rsidRDefault="00E430F6" w:rsidP="00936EC7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>
              <w:t>2023, 2024</w:t>
            </w:r>
          </w:p>
        </w:tc>
        <w:tc>
          <w:tcPr>
            <w:tcW w:w="2480" w:type="pct"/>
            <w:tcBorders>
              <w:right w:val="double" w:sz="4" w:space="0" w:color="auto"/>
            </w:tcBorders>
          </w:tcPr>
          <w:p w:rsidR="00E430F6" w:rsidRPr="00A911B3" w:rsidRDefault="00E430F6" w:rsidP="00936EC7">
            <w:pPr>
              <w:widowControl w:val="0"/>
              <w:autoSpaceDE w:val="0"/>
              <w:autoSpaceDN w:val="0"/>
              <w:adjustRightInd w:val="0"/>
              <w:spacing w:before="20" w:after="40"/>
            </w:pPr>
            <w:r>
              <w:t>Обобщенная б</w:t>
            </w:r>
            <w:r w:rsidRPr="00A911B3">
              <w:t>ухгалтерская (финансовая) отчетность</w:t>
            </w:r>
          </w:p>
        </w:tc>
      </w:tr>
      <w:tr w:rsidR="00E430F6" w:rsidRPr="00A911B3" w:rsidTr="00936EC7">
        <w:tc>
          <w:tcPr>
            <w:tcW w:w="2520" w:type="pct"/>
            <w:tcBorders>
              <w:left w:val="double" w:sz="4" w:space="0" w:color="auto"/>
            </w:tcBorders>
          </w:tcPr>
          <w:p w:rsidR="00E430F6" w:rsidRPr="001A68F4" w:rsidRDefault="00E430F6" w:rsidP="00936EC7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A911B3">
              <w:t>2022</w:t>
            </w:r>
            <w:r>
              <w:rPr>
                <w:lang w:val="en-US"/>
              </w:rPr>
              <w:t>, 2023</w:t>
            </w:r>
            <w:r>
              <w:t>, 2024</w:t>
            </w:r>
          </w:p>
        </w:tc>
        <w:tc>
          <w:tcPr>
            <w:tcW w:w="2480" w:type="pct"/>
            <w:tcBorders>
              <w:right w:val="double" w:sz="4" w:space="0" w:color="auto"/>
            </w:tcBorders>
          </w:tcPr>
          <w:p w:rsidR="00E430F6" w:rsidRPr="00A911B3" w:rsidRDefault="00E430F6" w:rsidP="00936EC7">
            <w:pPr>
              <w:widowControl w:val="0"/>
              <w:autoSpaceDE w:val="0"/>
              <w:autoSpaceDN w:val="0"/>
              <w:adjustRightInd w:val="0"/>
              <w:spacing w:before="20" w:after="40"/>
            </w:pPr>
            <w:r w:rsidRPr="00A911B3">
              <w:t>Консолидированная финансовая отчетность</w:t>
            </w:r>
          </w:p>
        </w:tc>
      </w:tr>
      <w:tr w:rsidR="00E430F6" w:rsidRPr="00A911B3" w:rsidTr="00936EC7">
        <w:tc>
          <w:tcPr>
            <w:tcW w:w="2520" w:type="pct"/>
            <w:tcBorders>
              <w:left w:val="double" w:sz="4" w:space="0" w:color="auto"/>
            </w:tcBorders>
          </w:tcPr>
          <w:p w:rsidR="00E430F6" w:rsidRPr="001A68F4" w:rsidRDefault="00E430F6" w:rsidP="00936EC7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>
              <w:rPr>
                <w:lang w:val="en-US"/>
              </w:rPr>
              <w:t>2023</w:t>
            </w:r>
            <w:r>
              <w:t>, 2024</w:t>
            </w:r>
          </w:p>
        </w:tc>
        <w:tc>
          <w:tcPr>
            <w:tcW w:w="2480" w:type="pct"/>
            <w:tcBorders>
              <w:right w:val="double" w:sz="4" w:space="0" w:color="auto"/>
            </w:tcBorders>
          </w:tcPr>
          <w:p w:rsidR="00E430F6" w:rsidRPr="00A911B3" w:rsidRDefault="00E430F6" w:rsidP="00936EC7">
            <w:pPr>
              <w:widowControl w:val="0"/>
              <w:autoSpaceDE w:val="0"/>
              <w:autoSpaceDN w:val="0"/>
              <w:adjustRightInd w:val="0"/>
              <w:spacing w:before="20" w:after="40"/>
            </w:pPr>
            <w:r>
              <w:t>Обобщенная к</w:t>
            </w:r>
            <w:r w:rsidRPr="00A911B3">
              <w:t>онсолидированная финансовая отчетность</w:t>
            </w:r>
          </w:p>
        </w:tc>
      </w:tr>
      <w:tr w:rsidR="00E430F6" w:rsidRPr="00A911B3" w:rsidTr="00936EC7">
        <w:tc>
          <w:tcPr>
            <w:tcW w:w="2520" w:type="pct"/>
            <w:tcBorders>
              <w:left w:val="double" w:sz="4" w:space="0" w:color="auto"/>
            </w:tcBorders>
          </w:tcPr>
          <w:p w:rsidR="00E430F6" w:rsidRPr="00A911B3" w:rsidRDefault="00E430F6" w:rsidP="00936EC7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A911B3">
              <w:t>6 месяцев 2022</w:t>
            </w:r>
            <w:r>
              <w:t xml:space="preserve">, </w:t>
            </w:r>
            <w:r w:rsidRPr="00A911B3">
              <w:t>6</w:t>
            </w:r>
            <w:r>
              <w:rPr>
                <w:lang w:val="en-US"/>
              </w:rPr>
              <w:t> </w:t>
            </w:r>
            <w:r w:rsidRPr="00A911B3">
              <w:t>месяцев 202</w:t>
            </w:r>
            <w:r w:rsidRPr="007F0906">
              <w:t>3</w:t>
            </w:r>
            <w:r>
              <w:t xml:space="preserve">, </w:t>
            </w:r>
            <w:r w:rsidRPr="00A911B3">
              <w:t>6</w:t>
            </w:r>
            <w:r>
              <w:rPr>
                <w:lang w:val="en-US"/>
              </w:rPr>
              <w:t> </w:t>
            </w:r>
            <w:r w:rsidRPr="00A911B3">
              <w:t>месяцев 202</w:t>
            </w:r>
            <w:r>
              <w:t>4, 9 месяцев 2024</w:t>
            </w:r>
          </w:p>
        </w:tc>
        <w:tc>
          <w:tcPr>
            <w:tcW w:w="2480" w:type="pct"/>
            <w:tcBorders>
              <w:right w:val="double" w:sz="4" w:space="0" w:color="auto"/>
            </w:tcBorders>
          </w:tcPr>
          <w:p w:rsidR="00E430F6" w:rsidRPr="00A911B3" w:rsidRDefault="00E430F6" w:rsidP="00936EC7">
            <w:pPr>
              <w:widowControl w:val="0"/>
              <w:autoSpaceDE w:val="0"/>
              <w:autoSpaceDN w:val="0"/>
              <w:adjustRightInd w:val="0"/>
              <w:spacing w:before="20" w:after="40"/>
            </w:pPr>
            <w:r>
              <w:t>К</w:t>
            </w:r>
            <w:r w:rsidRPr="00A911B3">
              <w:t>онсолидированная</w:t>
            </w:r>
            <w:r>
              <w:t xml:space="preserve"> п</w:t>
            </w:r>
            <w:r w:rsidRPr="00A911B3">
              <w:t>ромежуточная финансовая отчетность</w:t>
            </w:r>
          </w:p>
        </w:tc>
      </w:tr>
      <w:tr w:rsidR="00E430F6" w:rsidRPr="00A911B3" w:rsidTr="00936EC7">
        <w:tc>
          <w:tcPr>
            <w:tcW w:w="2520" w:type="pct"/>
            <w:tcBorders>
              <w:left w:val="double" w:sz="4" w:space="0" w:color="auto"/>
              <w:bottom w:val="double" w:sz="4" w:space="0" w:color="auto"/>
            </w:tcBorders>
          </w:tcPr>
          <w:p w:rsidR="00E430F6" w:rsidRPr="003B1D4D" w:rsidRDefault="00E430F6" w:rsidP="00936EC7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A911B3">
              <w:t>6</w:t>
            </w:r>
            <w:r>
              <w:rPr>
                <w:lang w:val="en-US"/>
              </w:rPr>
              <w:t> </w:t>
            </w:r>
            <w:r w:rsidRPr="00A911B3">
              <w:t>месяцев 202</w:t>
            </w:r>
            <w:r w:rsidRPr="00A728CF">
              <w:t>3</w:t>
            </w:r>
            <w:r>
              <w:t xml:space="preserve">, </w:t>
            </w:r>
            <w:r w:rsidRPr="00A911B3">
              <w:t>6</w:t>
            </w:r>
            <w:r>
              <w:rPr>
                <w:lang w:val="en-US"/>
              </w:rPr>
              <w:t> </w:t>
            </w:r>
            <w:r w:rsidRPr="00A911B3">
              <w:t>месяцев 202</w:t>
            </w:r>
            <w:r>
              <w:t>4, 9 месяцев 2024</w:t>
            </w:r>
          </w:p>
        </w:tc>
        <w:tc>
          <w:tcPr>
            <w:tcW w:w="2480" w:type="pct"/>
            <w:tcBorders>
              <w:bottom w:val="double" w:sz="4" w:space="0" w:color="auto"/>
              <w:right w:val="double" w:sz="4" w:space="0" w:color="auto"/>
            </w:tcBorders>
          </w:tcPr>
          <w:p w:rsidR="00E430F6" w:rsidRPr="00A911B3" w:rsidRDefault="00E430F6" w:rsidP="00936EC7">
            <w:pPr>
              <w:widowControl w:val="0"/>
              <w:autoSpaceDE w:val="0"/>
              <w:autoSpaceDN w:val="0"/>
              <w:adjustRightInd w:val="0"/>
              <w:spacing w:before="20" w:after="40"/>
            </w:pPr>
            <w:r>
              <w:t xml:space="preserve">Обобщенная </w:t>
            </w:r>
            <w:r w:rsidRPr="00A911B3">
              <w:t xml:space="preserve">консолидированная </w:t>
            </w:r>
            <w:r>
              <w:t>п</w:t>
            </w:r>
            <w:r w:rsidRPr="00A911B3">
              <w:t>ромежуточная финансовая отчетность</w:t>
            </w:r>
          </w:p>
        </w:tc>
      </w:tr>
    </w:tbl>
    <w:p w:rsidR="00E430F6" w:rsidRPr="00A911B3" w:rsidRDefault="00E430F6" w:rsidP="00E430F6">
      <w:pPr>
        <w:widowControl w:val="0"/>
        <w:autoSpaceDE w:val="0"/>
        <w:autoSpaceDN w:val="0"/>
        <w:adjustRightInd w:val="0"/>
        <w:spacing w:before="120" w:after="120"/>
        <w:jc w:val="both"/>
      </w:pPr>
      <w:r w:rsidRPr="00A911B3">
        <w:t xml:space="preserve">Сопутствующие аудиту и прочие связанные с аудиторской деятельностью услуги, которые оказывались (будут оказываться) эмитенту в течение последних трех завершенных отчетных лет и текущего года аудитором: </w:t>
      </w:r>
      <w:r w:rsidRPr="00A911B3">
        <w:rPr>
          <w:b/>
          <w:i/>
        </w:rPr>
        <w:t xml:space="preserve">ООО «ЦАТР – аудиторские услуги» помимо аудиторских услуг оказывало эмитенту дополнительные услуги по согласованным процедурам. </w:t>
      </w:r>
    </w:p>
    <w:p w:rsidR="00E430F6" w:rsidRPr="00A911B3" w:rsidRDefault="00E430F6" w:rsidP="00E430F6">
      <w:pPr>
        <w:widowControl w:val="0"/>
        <w:autoSpaceDE w:val="0"/>
        <w:autoSpaceDN w:val="0"/>
        <w:adjustRightInd w:val="0"/>
        <w:spacing w:after="120"/>
        <w:jc w:val="both"/>
      </w:pPr>
      <w:r w:rsidRPr="00A911B3">
        <w:t>Факторы, которые могут оказать влияние на независимость аудитора, в том числе сведения о</w:t>
      </w:r>
      <w:r>
        <w:t> </w:t>
      </w:r>
      <w:r w:rsidRPr="00A911B3">
        <w:t xml:space="preserve">наличии существенных интересов (взаимоотношений), связывающих с эмитентом (членами органов управления и органов контроля за финансово-хозяйственной деятельностью эмитента) аудитора эмитента, членов органов управления и органов контроля за финансово-хозяйственной деятельностью аудитора, а также участников аудиторской группы: </w:t>
      </w:r>
      <w:r w:rsidRPr="00A911B3">
        <w:rPr>
          <w:b/>
          <w:i/>
        </w:rPr>
        <w:t>отсутствуют.</w:t>
      </w:r>
    </w:p>
    <w:p w:rsidR="00E430F6" w:rsidRPr="00A911B3" w:rsidRDefault="00E430F6" w:rsidP="00E430F6">
      <w:pPr>
        <w:widowControl w:val="0"/>
        <w:autoSpaceDE w:val="0"/>
        <w:autoSpaceDN w:val="0"/>
        <w:adjustRightInd w:val="0"/>
        <w:spacing w:after="120"/>
        <w:jc w:val="both"/>
      </w:pPr>
      <w:r w:rsidRPr="00A911B3">
        <w:t xml:space="preserve">Меры, предпринятые эмитентом и аудитором эмитента для снижения влияния факторов, которые могут оказать влияние на независимость аудитора: </w:t>
      </w:r>
      <w:r w:rsidRPr="00A911B3">
        <w:rPr>
          <w:b/>
          <w:bCs/>
          <w:i/>
          <w:iCs/>
        </w:rPr>
        <w:t>ввиду того, что факторы, которые могут оказать влияние на независимость аудиторской организации от Эмитента, отсутствуют, никаких мер по снижению их влияния Эмитентом и аудиторской организацией не предпринималось.</w:t>
      </w:r>
    </w:p>
    <w:p w:rsidR="00E430F6" w:rsidRPr="00A911B3" w:rsidRDefault="00E430F6" w:rsidP="00E430F6">
      <w:pPr>
        <w:widowControl w:val="0"/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A911B3">
        <w:t>Фактический размер вознаграждения, выплаченного эмитентом аудитору за последний завершенный отчетный год, с отдельным указанием размера вознаграждения, выплаченного за</w:t>
      </w:r>
      <w:r>
        <w:t> </w:t>
      </w:r>
      <w:r w:rsidRPr="00A911B3">
        <w:t xml:space="preserve">аудит (проверку), в том числе обязательный, отчетности эмитента и за оказание сопутствующих аудиту и прочих связанных с аудиторской деятельностью услуг: </w:t>
      </w:r>
      <w:r w:rsidRPr="00A911B3">
        <w:rPr>
          <w:b/>
          <w:i/>
        </w:rPr>
        <w:t>стоимость услуг аудита годовой бухгалтерской (финансовой) отчетности эмитента, консолидированной отчетности Группы за 202</w:t>
      </w:r>
      <w:r>
        <w:rPr>
          <w:b/>
          <w:i/>
        </w:rPr>
        <w:t>4</w:t>
      </w:r>
      <w:r w:rsidRPr="00A911B3">
        <w:rPr>
          <w:b/>
          <w:i/>
        </w:rPr>
        <w:t> год, а также обзорной проверки консолидированной отчетности за шесть месяцев 202</w:t>
      </w:r>
      <w:r>
        <w:rPr>
          <w:b/>
          <w:i/>
        </w:rPr>
        <w:t>4</w:t>
      </w:r>
      <w:r w:rsidRPr="00A911B3">
        <w:rPr>
          <w:b/>
          <w:i/>
        </w:rPr>
        <w:t xml:space="preserve"> года </w:t>
      </w:r>
      <w:r>
        <w:rPr>
          <w:b/>
          <w:i/>
        </w:rPr>
        <w:t xml:space="preserve">и девять месяцев 2024 года </w:t>
      </w:r>
      <w:r w:rsidRPr="00A911B3">
        <w:rPr>
          <w:b/>
          <w:i/>
        </w:rPr>
        <w:t xml:space="preserve">составляет </w:t>
      </w:r>
      <w:r>
        <w:rPr>
          <w:b/>
          <w:i/>
        </w:rPr>
        <w:t>22 841</w:t>
      </w:r>
      <w:r w:rsidRPr="00A911B3">
        <w:rPr>
          <w:b/>
          <w:i/>
        </w:rPr>
        <w:t> тыс. рублей, включая налог на добавленную стоимость</w:t>
      </w:r>
      <w:r>
        <w:rPr>
          <w:b/>
          <w:i/>
        </w:rPr>
        <w:t xml:space="preserve">, а также стоимость прочих связанных с аудиторской деятельностью услуг </w:t>
      </w:r>
      <w:r w:rsidRPr="00A911B3">
        <w:rPr>
          <w:b/>
          <w:i/>
        </w:rPr>
        <w:t xml:space="preserve">составляет </w:t>
      </w:r>
      <w:r w:rsidRPr="001A68F4">
        <w:rPr>
          <w:b/>
          <w:i/>
        </w:rPr>
        <w:t>1 880 тыс</w:t>
      </w:r>
      <w:r w:rsidRPr="00A911B3">
        <w:rPr>
          <w:b/>
          <w:i/>
        </w:rPr>
        <w:t xml:space="preserve">. рублей, включая налог на добавленную стоимость. </w:t>
      </w:r>
    </w:p>
    <w:p w:rsidR="00E430F6" w:rsidRPr="00A911B3" w:rsidRDefault="00E430F6" w:rsidP="00E430F6">
      <w:pPr>
        <w:keepLines/>
        <w:widowControl w:val="0"/>
        <w:autoSpaceDE w:val="0"/>
        <w:autoSpaceDN w:val="0"/>
        <w:adjustRightInd w:val="0"/>
        <w:spacing w:after="120"/>
        <w:jc w:val="both"/>
      </w:pPr>
      <w:r w:rsidRPr="00A911B3">
        <w:lastRenderedPageBreak/>
        <w:t xml:space="preserve">Размер вознаграждения за оказанные аудитором эмитента услуги, выплата которого отложена или просрочена эмитентом, с отдельным указанием отложенного или просроченного вознаграждения за аудит (проверку), в том числе обязательный, отчетности эмитента и за оказание сопутствующих аудиту и прочих связанных с аудиторской деятельностью услуг: </w:t>
      </w:r>
      <w:r w:rsidRPr="00A911B3">
        <w:rPr>
          <w:b/>
          <w:i/>
        </w:rPr>
        <w:t>отложенное вознаграждение отсутствует.</w:t>
      </w:r>
    </w:p>
    <w:p w:rsidR="00E430F6" w:rsidRPr="00A911B3" w:rsidRDefault="00E430F6" w:rsidP="00E430F6">
      <w:pPr>
        <w:widowControl w:val="0"/>
        <w:autoSpaceDE w:val="0"/>
        <w:autoSpaceDN w:val="0"/>
        <w:adjustRightInd w:val="0"/>
        <w:spacing w:before="20" w:after="120"/>
        <w:jc w:val="both"/>
        <w:rPr>
          <w:b/>
          <w:i/>
        </w:rPr>
      </w:pPr>
      <w:r w:rsidRPr="00A911B3">
        <w:t xml:space="preserve">В отношении аудитора эмитента, который проводил проверку консолидированной финансовой отчетности эмитента, дополнительно раскрывается фактический размер вознаграждения, выплаченного эмитентом и подконтрольными эмитенту организациями, имеющими для него существенное значение, указанному аудитору за аудит (проверку), в том числе обязательный, консолидированной финансовой отчетности эмитента за последний завершенный отчетный год и за оказание сопутствующих аудиту и прочих связанных с аудиторской деятельностью услуг: </w:t>
      </w:r>
      <w:r w:rsidRPr="00A911B3">
        <w:rPr>
          <w:b/>
          <w:i/>
        </w:rPr>
        <w:t>фактический размер вознаграждения аудитору, выплаченного за последний завершенный отчетный год эмитентом и подконтрольными эмитенту организациями</w:t>
      </w:r>
      <w:r>
        <w:rPr>
          <w:b/>
          <w:i/>
        </w:rPr>
        <w:t xml:space="preserve"> за аудит</w:t>
      </w:r>
      <w:r w:rsidRPr="00477EDA">
        <w:rPr>
          <w:b/>
          <w:i/>
        </w:rPr>
        <w:t xml:space="preserve"> </w:t>
      </w:r>
      <w:r w:rsidRPr="00A911B3">
        <w:rPr>
          <w:b/>
          <w:i/>
        </w:rPr>
        <w:t>годовой бухгалтерской (финансовой) отчетности, консолидированной отчетности Группы за</w:t>
      </w:r>
      <w:r>
        <w:rPr>
          <w:b/>
          <w:i/>
        </w:rPr>
        <w:t xml:space="preserve"> </w:t>
      </w:r>
      <w:r w:rsidRPr="00A911B3">
        <w:rPr>
          <w:b/>
          <w:i/>
        </w:rPr>
        <w:t>202</w:t>
      </w:r>
      <w:r>
        <w:rPr>
          <w:b/>
          <w:i/>
        </w:rPr>
        <w:t>4</w:t>
      </w:r>
      <w:r w:rsidRPr="00A911B3">
        <w:rPr>
          <w:b/>
          <w:i/>
        </w:rPr>
        <w:t xml:space="preserve"> год, а также </w:t>
      </w:r>
      <w:r>
        <w:rPr>
          <w:b/>
          <w:i/>
        </w:rPr>
        <w:t xml:space="preserve">за </w:t>
      </w:r>
      <w:r w:rsidRPr="00A911B3">
        <w:rPr>
          <w:b/>
          <w:i/>
        </w:rPr>
        <w:t>обзорн</w:t>
      </w:r>
      <w:r>
        <w:rPr>
          <w:b/>
          <w:i/>
        </w:rPr>
        <w:t>ую</w:t>
      </w:r>
      <w:r w:rsidRPr="00A911B3">
        <w:rPr>
          <w:b/>
          <w:i/>
        </w:rPr>
        <w:t xml:space="preserve"> проверк</w:t>
      </w:r>
      <w:r>
        <w:rPr>
          <w:b/>
          <w:i/>
        </w:rPr>
        <w:t>у</w:t>
      </w:r>
      <w:r w:rsidRPr="00A911B3">
        <w:rPr>
          <w:b/>
          <w:i/>
        </w:rPr>
        <w:t xml:space="preserve"> консолидированной отчетности за шесть месяцев 202</w:t>
      </w:r>
      <w:r>
        <w:rPr>
          <w:b/>
          <w:i/>
        </w:rPr>
        <w:t>4</w:t>
      </w:r>
      <w:r w:rsidRPr="00A911B3">
        <w:rPr>
          <w:b/>
          <w:i/>
        </w:rPr>
        <w:t> года</w:t>
      </w:r>
      <w:r>
        <w:rPr>
          <w:b/>
          <w:i/>
        </w:rPr>
        <w:t xml:space="preserve"> и за девять месяцев 2024 года</w:t>
      </w:r>
      <w:r w:rsidRPr="00A911B3">
        <w:rPr>
          <w:b/>
          <w:i/>
        </w:rPr>
        <w:t xml:space="preserve">, составил </w:t>
      </w:r>
      <w:r>
        <w:rPr>
          <w:b/>
          <w:i/>
        </w:rPr>
        <w:t>47 032</w:t>
      </w:r>
      <w:r w:rsidRPr="00A911B3">
        <w:rPr>
          <w:b/>
          <w:i/>
        </w:rPr>
        <w:t xml:space="preserve"> тыс. рублей</w:t>
      </w:r>
      <w:r>
        <w:rPr>
          <w:b/>
          <w:i/>
        </w:rPr>
        <w:t>,</w:t>
      </w:r>
      <w:r w:rsidRPr="00A911B3">
        <w:rPr>
          <w:b/>
          <w:i/>
        </w:rPr>
        <w:t xml:space="preserve"> включая налог на добавленную стоимость</w:t>
      </w:r>
      <w:r>
        <w:rPr>
          <w:b/>
          <w:i/>
        </w:rPr>
        <w:t xml:space="preserve">, а также за прочие связанные с аудиторской деятельностью услуги </w:t>
      </w:r>
      <w:r w:rsidRPr="00A911B3">
        <w:rPr>
          <w:b/>
          <w:i/>
        </w:rPr>
        <w:t>состав</w:t>
      </w:r>
      <w:r>
        <w:rPr>
          <w:b/>
          <w:i/>
        </w:rPr>
        <w:t>и</w:t>
      </w:r>
      <w:r w:rsidRPr="00A911B3">
        <w:rPr>
          <w:b/>
          <w:i/>
        </w:rPr>
        <w:t xml:space="preserve">л </w:t>
      </w:r>
      <w:r w:rsidRPr="001A68F4">
        <w:rPr>
          <w:b/>
          <w:i/>
        </w:rPr>
        <w:t>1 880</w:t>
      </w:r>
      <w:r w:rsidRPr="00A911B3">
        <w:rPr>
          <w:b/>
          <w:i/>
        </w:rPr>
        <w:t> тыс. рублей, включая налог на добавленную стоимость.</w:t>
      </w:r>
    </w:p>
    <w:bookmarkEnd w:id="356"/>
    <w:p w:rsidR="00E430F6" w:rsidRPr="00A911B3" w:rsidRDefault="00E430F6" w:rsidP="00E430F6">
      <w:pPr>
        <w:widowControl w:val="0"/>
        <w:autoSpaceDE w:val="0"/>
        <w:autoSpaceDN w:val="0"/>
        <w:adjustRightInd w:val="0"/>
        <w:spacing w:after="120"/>
        <w:jc w:val="both"/>
      </w:pPr>
      <w:r w:rsidRPr="00A911B3">
        <w:t>Порядок выбора аудитора эмитента:</w:t>
      </w:r>
    </w:p>
    <w:p w:rsidR="00E430F6" w:rsidRPr="00A911B3" w:rsidRDefault="00E430F6" w:rsidP="00E430F6">
      <w:pPr>
        <w:widowControl w:val="0"/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A911B3">
        <w:rPr>
          <w:b/>
          <w:i/>
        </w:rPr>
        <w:t>У Эмитента существует процедура конкурсного выбора аудитора, в соответствии с</w:t>
      </w:r>
      <w:r>
        <w:rPr>
          <w:b/>
          <w:i/>
        </w:rPr>
        <w:t> </w:t>
      </w:r>
      <w:r w:rsidRPr="00A911B3">
        <w:rPr>
          <w:b/>
          <w:i/>
        </w:rPr>
        <w:t>которой, специально созданная Комиссия по выбору аудитора один раз в три года выбирает кандидатуру аудитора из</w:t>
      </w:r>
      <w:r w:rsidRPr="00A911B3">
        <w:rPr>
          <w:bCs/>
          <w:iCs/>
        </w:rPr>
        <w:t> </w:t>
      </w:r>
      <w:r w:rsidRPr="00A911B3">
        <w:rPr>
          <w:b/>
          <w:i/>
        </w:rPr>
        <w:t xml:space="preserve">числа крупнейших международных аудиторских компаний. </w:t>
      </w:r>
    </w:p>
    <w:p w:rsidR="00E430F6" w:rsidRPr="00A911B3" w:rsidRDefault="00E430F6" w:rsidP="00E430F6">
      <w:pPr>
        <w:widowControl w:val="0"/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A911B3">
        <w:rPr>
          <w:b/>
          <w:i/>
        </w:rPr>
        <w:t xml:space="preserve">Выбор лучшей кандидатуры аудитора осуществляется в соответствии с Регламентом по оценке предложений по выбору аудитора и Техническими требованиями на проведение аудита, которые утверждаются Комиссией по аудиту Наблюдательного совета. </w:t>
      </w:r>
    </w:p>
    <w:p w:rsidR="00E430F6" w:rsidRPr="00A911B3" w:rsidRDefault="00E430F6" w:rsidP="00E430F6">
      <w:pPr>
        <w:widowControl w:val="0"/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A911B3">
        <w:rPr>
          <w:b/>
          <w:i/>
        </w:rPr>
        <w:t>Техническими требованиями определяют вопросы, которые предстоит рассматривать аудитору в процессе проведения аудиторской проверки, а также требования Эмитента к аудиторской организации, принимающей участие в конкурсе.</w:t>
      </w:r>
    </w:p>
    <w:p w:rsidR="00E430F6" w:rsidRPr="00A911B3" w:rsidRDefault="00E430F6" w:rsidP="00E430F6">
      <w:pPr>
        <w:widowControl w:val="0"/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A911B3">
        <w:rPr>
          <w:b/>
          <w:i/>
        </w:rPr>
        <w:t>До проведения оценки конкурсных предложений на проведение аудита Эмитента подготавливается заключение по вопросам соответствия участников требованиям законодательства Российской Федерации, в том числе на наличие факторов, которые могут повлиять на независимость аудитора и его объективность. К участию в конкурсе приглашаются только те кандидаты, которые соответствуют требованиям к</w:t>
      </w:r>
      <w:r>
        <w:rPr>
          <w:b/>
          <w:i/>
        </w:rPr>
        <w:t> </w:t>
      </w:r>
      <w:r w:rsidRPr="00A911B3">
        <w:rPr>
          <w:b/>
          <w:i/>
        </w:rPr>
        <w:t>независимости аудиторских организаций, предъявляемых статьей 8 Федерального закона №</w:t>
      </w:r>
      <w:r>
        <w:rPr>
          <w:b/>
          <w:i/>
        </w:rPr>
        <w:t> </w:t>
      </w:r>
      <w:r w:rsidRPr="00A911B3">
        <w:rPr>
          <w:b/>
          <w:i/>
        </w:rPr>
        <w:t>307-ФЗ Об аудиторской деятельности.</w:t>
      </w:r>
    </w:p>
    <w:p w:rsidR="00E430F6" w:rsidRPr="00A911B3" w:rsidRDefault="00E430F6" w:rsidP="00E430F6">
      <w:pPr>
        <w:widowControl w:val="0"/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A911B3">
        <w:rPr>
          <w:b/>
          <w:i/>
        </w:rPr>
        <w:t>Выбор аудиторской организации проводится путем оценки технических и ценовых параметров конкурсных предложений, обеспечивающих лучшие условия проведения аудита финансовой (бухгалтерской) отчетности Эмитента. Комиссия по выбору аудитора осуществляет проведение оценки конкурсных предложений в два этапа: первоначально оцениваются технические параметры конкурсных предложений, далее рассматриваются ценовые параметры конкурсных предложений и определяется победитель.</w:t>
      </w:r>
    </w:p>
    <w:p w:rsidR="00E430F6" w:rsidRPr="00A911B3" w:rsidRDefault="00E430F6" w:rsidP="00E430F6">
      <w:pPr>
        <w:widowControl w:val="0"/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A911B3">
        <w:rPr>
          <w:b/>
          <w:i/>
        </w:rPr>
        <w:t>В ходе оценки технических параметров осуществляется оценка методики проведения аудита, оценка качества отчета аудитора о системе внутреннего контроля органам управления Биржи, оценка компетентности команды (специалистов) участника конкурса, наличие экспертизы внутри компании, а также оценка проекта договора на проведение аудита.</w:t>
      </w:r>
    </w:p>
    <w:p w:rsidR="00E430F6" w:rsidRPr="00A911B3" w:rsidRDefault="00E430F6" w:rsidP="00E430F6">
      <w:pPr>
        <w:widowControl w:val="0"/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A911B3">
        <w:rPr>
          <w:b/>
          <w:i/>
        </w:rPr>
        <w:t>При оценке ценовых параметров конкурсных предложений анализируется общий размер вознаграждения за проведение аудита за текущий отчетный период и за последующие два</w:t>
      </w:r>
      <w:r w:rsidRPr="00A911B3">
        <w:rPr>
          <w:bCs/>
          <w:iCs/>
        </w:rPr>
        <w:t> </w:t>
      </w:r>
      <w:r w:rsidRPr="00A911B3">
        <w:rPr>
          <w:b/>
          <w:i/>
        </w:rPr>
        <w:t xml:space="preserve">отчетных периода, а также оценка графика уплаты вознаграждения за проведение </w:t>
      </w:r>
      <w:r w:rsidRPr="00A911B3">
        <w:rPr>
          <w:b/>
          <w:i/>
        </w:rPr>
        <w:lastRenderedPageBreak/>
        <w:t>аудита.</w:t>
      </w:r>
    </w:p>
    <w:p w:rsidR="00E430F6" w:rsidRPr="00A911B3" w:rsidRDefault="00E430F6" w:rsidP="00E430F6">
      <w:pPr>
        <w:widowControl w:val="0"/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A911B3">
        <w:rPr>
          <w:b/>
          <w:i/>
        </w:rPr>
        <w:t>В результате проведения оценки конкурсных предложений Комиссия по выбору аудитора определяет победителя конкурса и выносит его кандидатуру на рассмотрение Комиссии по</w:t>
      </w:r>
      <w:r w:rsidRPr="00A911B3">
        <w:rPr>
          <w:bCs/>
          <w:iCs/>
        </w:rPr>
        <w:t> </w:t>
      </w:r>
      <w:r w:rsidRPr="00A911B3">
        <w:rPr>
          <w:b/>
          <w:i/>
        </w:rPr>
        <w:t>аудиту Наблюдательного совета, которая рекомендует данную кандидатуру Наблюдательному совету.</w:t>
      </w:r>
    </w:p>
    <w:p w:rsidR="00E430F6" w:rsidRDefault="00E430F6" w:rsidP="00E430F6">
      <w:pPr>
        <w:widowControl w:val="0"/>
        <w:autoSpaceDE w:val="0"/>
        <w:autoSpaceDN w:val="0"/>
        <w:adjustRightInd w:val="0"/>
        <w:spacing w:after="120"/>
        <w:jc w:val="both"/>
      </w:pPr>
      <w:r w:rsidRPr="00A911B3">
        <w:rPr>
          <w:b/>
          <w:i/>
        </w:rPr>
        <w:t>Решение о выборе аудитора принимает Общее собрание акционеров.</w:t>
      </w:r>
    </w:p>
    <w:p w:rsidR="00E430F6" w:rsidRDefault="00E430F6" w:rsidP="00E430F6">
      <w:pPr>
        <w:widowControl w:val="0"/>
        <w:autoSpaceDE w:val="0"/>
        <w:autoSpaceDN w:val="0"/>
        <w:adjustRightInd w:val="0"/>
        <w:spacing w:after="0"/>
        <w:jc w:val="both"/>
        <w:rPr>
          <w:b/>
          <w:i/>
        </w:rPr>
      </w:pPr>
      <w:r w:rsidRPr="00A911B3">
        <w:t>Процедура выдвижения кандидатуры аудитора для утверждения общим собранием акционеров (участников) эмитента, в том числе орган управления эмитента, принимающий решение о</w:t>
      </w:r>
      <w:r w:rsidRPr="00A911B3">
        <w:rPr>
          <w:b/>
          <w:bCs/>
          <w:i/>
          <w:iCs/>
        </w:rPr>
        <w:t> </w:t>
      </w:r>
      <w:r w:rsidRPr="00A911B3">
        <w:t xml:space="preserve">выдвижении кандидатуры аудитора эмитента: </w:t>
      </w:r>
      <w:r w:rsidRPr="00A911B3">
        <w:rPr>
          <w:b/>
          <w:i/>
        </w:rPr>
        <w:t>Кандидатура аудиторской организации, победившей в выборе аудитора, выносится на рассмотрение Наблюдательного совета с</w:t>
      </w:r>
      <w:r>
        <w:rPr>
          <w:b/>
          <w:i/>
        </w:rPr>
        <w:t> </w:t>
      </w:r>
      <w:r w:rsidRPr="00A911B3">
        <w:rPr>
          <w:b/>
          <w:i/>
        </w:rPr>
        <w:t>целью последующего вынесения на утверждение годовым Общим собранием акционеров в</w:t>
      </w:r>
      <w:r>
        <w:rPr>
          <w:b/>
          <w:i/>
        </w:rPr>
        <w:t> </w:t>
      </w:r>
      <w:r w:rsidRPr="00A911B3">
        <w:rPr>
          <w:b/>
          <w:i/>
        </w:rPr>
        <w:t>качестве независимого аудитора для проведения аудита бухгалтерской (финансовой) отчетности и</w:t>
      </w:r>
      <w:r w:rsidRPr="00A911B3">
        <w:rPr>
          <w:bCs/>
          <w:iCs/>
        </w:rPr>
        <w:t> </w:t>
      </w:r>
      <w:r w:rsidRPr="00A911B3">
        <w:rPr>
          <w:b/>
          <w:i/>
        </w:rPr>
        <w:t>может быть рекомендована Эмитентом органам управления компаний Группы Московская Биржа в качестве независимого аудитора</w:t>
      </w:r>
      <w:r>
        <w:rPr>
          <w:b/>
          <w:i/>
        </w:rPr>
        <w:t>.</w:t>
      </w:r>
    </w:p>
    <w:p w:rsidR="000C3125" w:rsidRDefault="000C3125" w:rsidP="000C3125">
      <w:pPr>
        <w:widowControl w:val="0"/>
        <w:autoSpaceDE w:val="0"/>
        <w:autoSpaceDN w:val="0"/>
        <w:adjustRightInd w:val="0"/>
        <w:spacing w:after="0"/>
        <w:jc w:val="both"/>
        <w:rPr>
          <w:b/>
          <w:i/>
        </w:rPr>
      </w:pPr>
    </w:p>
    <w:p w:rsidR="00957668" w:rsidRPr="008A190D" w:rsidRDefault="00957668" w:rsidP="00957668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i/>
          <w:iCs/>
        </w:rPr>
      </w:pPr>
      <w:r w:rsidRPr="004C0E55">
        <w:rPr>
          <w:b/>
          <w:bCs/>
          <w:i/>
        </w:rPr>
        <w:t xml:space="preserve">В период между отчетной датой и датой раскрытия </w:t>
      </w:r>
      <w:r>
        <w:rPr>
          <w:b/>
          <w:bCs/>
          <w:i/>
        </w:rPr>
        <w:t xml:space="preserve">обобщенной </w:t>
      </w:r>
      <w:r w:rsidRPr="004C0E55">
        <w:rPr>
          <w:b/>
          <w:bCs/>
          <w:i/>
        </w:rPr>
        <w:t xml:space="preserve">консолидированной финансовой отчетности в составе </w:t>
      </w:r>
      <w:r>
        <w:rPr>
          <w:b/>
          <w:bCs/>
          <w:i/>
        </w:rPr>
        <w:t xml:space="preserve">пунктов 4.1, 4.3– 4.6 </w:t>
      </w:r>
      <w:r w:rsidRPr="004C0E55">
        <w:rPr>
          <w:b/>
          <w:bCs/>
          <w:i/>
        </w:rPr>
        <w:t>изменения не происходили</w:t>
      </w:r>
      <w:r>
        <w:rPr>
          <w:b/>
          <w:bCs/>
          <w:i/>
        </w:rPr>
        <w:t>.</w:t>
      </w:r>
    </w:p>
    <w:p w:rsidR="00BA0B3A" w:rsidRDefault="00BA0B3A" w:rsidP="00DF565D">
      <w:pPr>
        <w:widowControl w:val="0"/>
        <w:autoSpaceDE w:val="0"/>
        <w:autoSpaceDN w:val="0"/>
        <w:adjustRightInd w:val="0"/>
        <w:spacing w:before="120" w:after="240" w:line="240" w:lineRule="auto"/>
        <w:jc w:val="center"/>
        <w:outlineLvl w:val="0"/>
        <w:rPr>
          <w:b/>
          <w:bCs/>
          <w:sz w:val="28"/>
          <w:szCs w:val="28"/>
        </w:rPr>
      </w:pPr>
      <w:bookmarkStart w:id="357" w:name="_Toc113954760"/>
      <w:bookmarkStart w:id="358" w:name="_Toc139292075"/>
      <w:bookmarkStart w:id="359" w:name="_Toc161055646"/>
      <w:bookmarkStart w:id="360" w:name="_Hlk112923883"/>
    </w:p>
    <w:p w:rsidR="00B930FB" w:rsidRPr="000D25C2" w:rsidRDefault="00B930FB" w:rsidP="00DF565D">
      <w:pPr>
        <w:widowControl w:val="0"/>
        <w:autoSpaceDE w:val="0"/>
        <w:autoSpaceDN w:val="0"/>
        <w:adjustRightInd w:val="0"/>
        <w:spacing w:before="120" w:after="240" w:line="240" w:lineRule="auto"/>
        <w:jc w:val="center"/>
        <w:outlineLvl w:val="0"/>
        <w:rPr>
          <w:b/>
          <w:bCs/>
          <w:sz w:val="28"/>
          <w:szCs w:val="28"/>
        </w:rPr>
      </w:pPr>
      <w:bookmarkStart w:id="361" w:name="_Toc193300392"/>
      <w:bookmarkStart w:id="362" w:name="_Toc193301475"/>
      <w:r w:rsidRPr="000D25C2">
        <w:rPr>
          <w:b/>
          <w:bCs/>
          <w:sz w:val="28"/>
          <w:szCs w:val="28"/>
        </w:rPr>
        <w:t xml:space="preserve">Раздел 5. </w:t>
      </w:r>
      <w:bookmarkStart w:id="363" w:name="_Hlk113954650"/>
      <w:r w:rsidRPr="000D25C2">
        <w:rPr>
          <w:b/>
          <w:bCs/>
          <w:sz w:val="28"/>
          <w:szCs w:val="28"/>
        </w:rPr>
        <w:t>Консолидированная финансовая отчетность (финансовая отчетность), бухгалтерская (финансовая) отчетность эмитента</w:t>
      </w:r>
      <w:bookmarkEnd w:id="357"/>
      <w:bookmarkEnd w:id="358"/>
      <w:bookmarkEnd w:id="359"/>
      <w:bookmarkEnd w:id="361"/>
      <w:bookmarkEnd w:id="362"/>
      <w:bookmarkEnd w:id="363"/>
    </w:p>
    <w:p w:rsidR="00B930FB" w:rsidRPr="000D25C2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outlineLvl w:val="1"/>
        <w:rPr>
          <w:b/>
          <w:bCs/>
        </w:rPr>
      </w:pPr>
      <w:bookmarkStart w:id="364" w:name="_Toc113954761"/>
      <w:bookmarkStart w:id="365" w:name="_Toc139292076"/>
      <w:bookmarkStart w:id="366" w:name="_Toc161055647"/>
      <w:bookmarkStart w:id="367" w:name="_Toc193300393"/>
      <w:bookmarkStart w:id="368" w:name="_Toc193301476"/>
      <w:bookmarkEnd w:id="360"/>
      <w:r w:rsidRPr="000D25C2">
        <w:rPr>
          <w:b/>
          <w:bCs/>
        </w:rPr>
        <w:t>5.1. Консолидированная финансовая отчетность (финансовая отчетность) эмитента</w:t>
      </w:r>
      <w:bookmarkEnd w:id="364"/>
      <w:bookmarkEnd w:id="365"/>
      <w:bookmarkEnd w:id="366"/>
      <w:bookmarkEnd w:id="367"/>
      <w:bookmarkEnd w:id="368"/>
    </w:p>
    <w:p w:rsidR="009F3FE7" w:rsidRPr="000D25C2" w:rsidRDefault="009F3FE7" w:rsidP="009F3FE7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bookmarkStart w:id="369" w:name="_Toc143249554"/>
      <w:bookmarkStart w:id="370" w:name="_Toc143249596"/>
      <w:bookmarkStart w:id="371" w:name="_Toc143249637"/>
      <w:bookmarkStart w:id="372" w:name="_Toc143249678"/>
      <w:bookmarkStart w:id="373" w:name="_Toc143249719"/>
      <w:bookmarkStart w:id="374" w:name="_Toc134094652"/>
      <w:bookmarkStart w:id="375" w:name="_Toc127555882"/>
      <w:bookmarkStart w:id="376" w:name="_Toc127650364"/>
      <w:bookmarkStart w:id="377" w:name="_Toc97032729"/>
      <w:bookmarkStart w:id="378" w:name="_Toc97032730"/>
      <w:bookmarkStart w:id="379" w:name="_Toc97032731"/>
      <w:bookmarkStart w:id="380" w:name="_Toc96629090"/>
      <w:bookmarkStart w:id="381" w:name="_Toc96673585"/>
      <w:bookmarkStart w:id="382" w:name="_Toc96687002"/>
      <w:bookmarkStart w:id="383" w:name="_Toc97032732"/>
      <w:bookmarkStart w:id="384" w:name="_Toc96629091"/>
      <w:bookmarkStart w:id="385" w:name="_Toc96673586"/>
      <w:bookmarkStart w:id="386" w:name="_Toc96687003"/>
      <w:bookmarkStart w:id="387" w:name="_Toc97032733"/>
      <w:bookmarkStart w:id="388" w:name="_Toc39947863"/>
      <w:bookmarkStart w:id="389" w:name="_Toc39948440"/>
      <w:bookmarkStart w:id="390" w:name="_Toc39949012"/>
      <w:bookmarkStart w:id="391" w:name="_Toc96629109"/>
      <w:bookmarkStart w:id="392" w:name="_Toc96673604"/>
      <w:bookmarkStart w:id="393" w:name="_Toc96687021"/>
      <w:bookmarkStart w:id="394" w:name="_Toc97032751"/>
      <w:bookmarkStart w:id="395" w:name="_Toc96629110"/>
      <w:bookmarkStart w:id="396" w:name="_Toc96673605"/>
      <w:bookmarkStart w:id="397" w:name="_Toc96687022"/>
      <w:bookmarkStart w:id="398" w:name="_Toc97032752"/>
      <w:bookmarkStart w:id="399" w:name="_Toc96629128"/>
      <w:bookmarkStart w:id="400" w:name="_Toc96673623"/>
      <w:bookmarkStart w:id="401" w:name="_Toc96687040"/>
      <w:bookmarkStart w:id="402" w:name="_Toc97032770"/>
      <w:bookmarkStart w:id="403" w:name="_Toc318123535"/>
      <w:bookmarkStart w:id="404" w:name="_Toc318123845"/>
      <w:bookmarkStart w:id="405" w:name="_Toc321480425"/>
      <w:bookmarkStart w:id="406" w:name="_Toc318123551"/>
      <w:bookmarkStart w:id="407" w:name="_Toc318123861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r w:rsidRPr="000D25C2">
        <w:t>Ссылка на страницу в сети Интернет, на которой опубликована указанная отчетность:</w:t>
      </w:r>
    </w:p>
    <w:p w:rsidR="009F3FE7" w:rsidRPr="000D25C2" w:rsidRDefault="009F3FE7" w:rsidP="009F3FE7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hyperlink r:id="rId9" w:history="1">
        <w:r w:rsidRPr="000D25C2">
          <w:rPr>
            <w:color w:val="0563C1"/>
            <w:u w:val="single"/>
          </w:rPr>
          <w:t>https://e-disclosure.ru/portal/files.aspx?id=43&amp;type=4</w:t>
        </w:r>
      </w:hyperlink>
    </w:p>
    <w:p w:rsidR="00B81721" w:rsidRPr="000D25C2" w:rsidRDefault="00B81721" w:rsidP="00C56926">
      <w:pPr>
        <w:spacing w:after="0" w:line="240" w:lineRule="auto"/>
        <w:rPr>
          <w:b/>
          <w:bCs/>
        </w:rPr>
      </w:pPr>
    </w:p>
    <w:p w:rsidR="00B930FB" w:rsidRPr="000D25C2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outlineLvl w:val="1"/>
        <w:rPr>
          <w:b/>
          <w:bCs/>
        </w:rPr>
      </w:pPr>
      <w:bookmarkStart w:id="408" w:name="_Toc113954762"/>
      <w:bookmarkStart w:id="409" w:name="_Toc139292077"/>
      <w:bookmarkStart w:id="410" w:name="_Toc161055648"/>
      <w:bookmarkStart w:id="411" w:name="_Toc193300394"/>
      <w:bookmarkStart w:id="412" w:name="_Toc193301477"/>
      <w:bookmarkEnd w:id="403"/>
      <w:bookmarkEnd w:id="404"/>
      <w:bookmarkEnd w:id="405"/>
      <w:bookmarkEnd w:id="406"/>
      <w:bookmarkEnd w:id="407"/>
      <w:r w:rsidRPr="000D25C2">
        <w:rPr>
          <w:b/>
          <w:bCs/>
        </w:rPr>
        <w:t>5.2. Бухгалтерская (финансовая) отчетность</w:t>
      </w:r>
      <w:bookmarkEnd w:id="408"/>
      <w:bookmarkEnd w:id="409"/>
      <w:bookmarkEnd w:id="410"/>
      <w:bookmarkEnd w:id="411"/>
      <w:bookmarkEnd w:id="412"/>
      <w:r w:rsidRPr="000D25C2">
        <w:rPr>
          <w:b/>
          <w:bCs/>
        </w:rPr>
        <w:t xml:space="preserve"> </w:t>
      </w:r>
    </w:p>
    <w:p w:rsidR="009F3FE7" w:rsidRPr="000D25C2" w:rsidRDefault="009F3FE7" w:rsidP="009F3FE7">
      <w:pPr>
        <w:spacing w:after="0"/>
      </w:pPr>
      <w:r w:rsidRPr="000D25C2">
        <w:t>Ссылка на страницу в сети Интернет, на которой опубликована указанная отчетность:</w:t>
      </w:r>
    </w:p>
    <w:p w:rsidR="00D91188" w:rsidRDefault="009F3FE7" w:rsidP="00B23551">
      <w:hyperlink r:id="rId10" w:history="1">
        <w:r w:rsidRPr="000D25C2">
          <w:rPr>
            <w:rStyle w:val="a7"/>
          </w:rPr>
          <w:t>https://www.e-disclosure.ru/portal/files.aspx?id=43&amp;type=3</w:t>
        </w:r>
      </w:hyperlink>
    </w:p>
    <w:sectPr w:rsidR="00D91188" w:rsidSect="00C66609">
      <w:headerReference w:type="default" r:id="rId11"/>
      <w:footerReference w:type="default" r:id="rId12"/>
      <w:pgSz w:w="11906" w:h="16838" w:code="9"/>
      <w:pgMar w:top="1134" w:right="850" w:bottom="1134" w:left="1701" w:header="68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963" w:rsidRDefault="00A60963" w:rsidP="007D2359">
      <w:pPr>
        <w:spacing w:after="0" w:line="240" w:lineRule="auto"/>
      </w:pPr>
      <w:r>
        <w:separator/>
      </w:r>
    </w:p>
  </w:endnote>
  <w:endnote w:type="continuationSeparator" w:id="0">
    <w:p w:rsidR="00A60963" w:rsidRDefault="00A60963" w:rsidP="007D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?Ps??c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Univers 45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EYInterstate Light">
    <w:altName w:val="Franklin Gothic Medium C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??????????????§ЮЎм§Ў?Ўм§А?§Ю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BDC" w:rsidRDefault="00337BDC" w:rsidP="002C5857">
    <w:pPr>
      <w:pStyle w:val="ad"/>
      <w:jc w:val="right"/>
    </w:pPr>
    <w:r w:rsidRPr="00E816A7">
      <w:rPr>
        <w:rFonts w:ascii="Tahoma" w:hAnsi="Tahoma" w:cs="Tahoma"/>
        <w:sz w:val="18"/>
        <w:szCs w:val="18"/>
      </w:rPr>
      <w:fldChar w:fldCharType="begin"/>
    </w:r>
    <w:r w:rsidRPr="00E816A7">
      <w:rPr>
        <w:rFonts w:ascii="Tahoma" w:hAnsi="Tahoma" w:cs="Tahoma"/>
        <w:sz w:val="18"/>
        <w:szCs w:val="18"/>
      </w:rPr>
      <w:instrText xml:space="preserve"> PAGE   \* MERGEFORMAT </w:instrText>
    </w:r>
    <w:r w:rsidRPr="00E816A7">
      <w:rPr>
        <w:rFonts w:ascii="Tahoma" w:hAnsi="Tahoma" w:cs="Tahoma"/>
        <w:sz w:val="18"/>
        <w:szCs w:val="18"/>
      </w:rPr>
      <w:fldChar w:fldCharType="separate"/>
    </w:r>
    <w:r>
      <w:rPr>
        <w:rFonts w:ascii="Tahoma" w:hAnsi="Tahoma" w:cs="Tahoma"/>
        <w:noProof/>
        <w:sz w:val="18"/>
        <w:szCs w:val="18"/>
      </w:rPr>
      <w:t>15</w:t>
    </w:r>
    <w:r w:rsidRPr="00E816A7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963" w:rsidRDefault="00A60963" w:rsidP="007D2359">
      <w:pPr>
        <w:spacing w:after="0" w:line="240" w:lineRule="auto"/>
      </w:pPr>
      <w:r>
        <w:separator/>
      </w:r>
    </w:p>
  </w:footnote>
  <w:footnote w:type="continuationSeparator" w:id="0">
    <w:p w:rsidR="00A60963" w:rsidRDefault="00A60963" w:rsidP="007D2359">
      <w:pPr>
        <w:spacing w:after="0" w:line="240" w:lineRule="auto"/>
      </w:pPr>
      <w:r>
        <w:continuationSeparator/>
      </w:r>
    </w:p>
  </w:footnote>
  <w:footnote w:id="1">
    <w:p w:rsidR="00000000" w:rsidRDefault="00337BDC" w:rsidP="00F02F07">
      <w:pPr>
        <w:pStyle w:val="af"/>
      </w:pPr>
      <w:r w:rsidRPr="00BF1ECD">
        <w:rPr>
          <w:rStyle w:val="af1"/>
          <w:rFonts w:eastAsia="MS Mincho"/>
        </w:rPr>
        <w:footnoteRef/>
      </w:r>
      <w:r w:rsidRPr="00BF1ECD">
        <w:t xml:space="preserve"> </w:t>
      </w:r>
      <w:r>
        <w:t>П</w:t>
      </w:r>
      <w:r w:rsidRPr="00BF1ECD">
        <w:t>еречень иных юридических лиц, присоединенных к Эмитенту, указан в уставе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BDC" w:rsidRPr="00DC6E08" w:rsidRDefault="00337BDC" w:rsidP="00DC6E08">
    <w:pPr>
      <w:jc w:val="center"/>
      <w:rPr>
        <w:rFonts w:ascii="Verdana" w:hAnsi="Verdana"/>
        <w:b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FFFFFF7D"/>
    <w:multiLevelType w:val="multilevel"/>
    <w:tmpl w:val="C23CF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344" w:hanging="49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29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289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289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49" w:hanging="1800"/>
      </w:pPr>
      <w:rPr>
        <w:rFonts w:cs="Times New Roman" w:hint="default"/>
        <w:i w:val="0"/>
      </w:rPr>
    </w:lvl>
  </w:abstractNum>
  <w:abstractNum w:abstractNumId="2" w15:restartNumberingAfterBreak="0">
    <w:nsid w:val="FFFFFF7E"/>
    <w:multiLevelType w:val="singleLevel"/>
    <w:tmpl w:val="1D7EB5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F9AD6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F8C1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94A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2EE4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2C99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EB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46C9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E238E"/>
    <w:multiLevelType w:val="hybridMultilevel"/>
    <w:tmpl w:val="9E36206C"/>
    <w:styleLink w:val="111"/>
    <w:lvl w:ilvl="0" w:tplc="FCF4A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EE1FD8"/>
    <w:multiLevelType w:val="hybridMultilevel"/>
    <w:tmpl w:val="D5001BE2"/>
    <w:lvl w:ilvl="0" w:tplc="6BFABD9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AE0D7A"/>
    <w:multiLevelType w:val="multilevel"/>
    <w:tmpl w:val="04190023"/>
    <w:styleLink w:val="2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3" w15:restartNumberingAfterBreak="0">
    <w:nsid w:val="072A11C4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B4040C"/>
    <w:multiLevelType w:val="hybridMultilevel"/>
    <w:tmpl w:val="D61EBF90"/>
    <w:lvl w:ilvl="0" w:tplc="6BFABD9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71D18"/>
    <w:multiLevelType w:val="hybridMultilevel"/>
    <w:tmpl w:val="8FDC71E0"/>
    <w:lvl w:ilvl="0" w:tplc="6BFABD9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D15EE"/>
    <w:multiLevelType w:val="hybridMultilevel"/>
    <w:tmpl w:val="D61EBF9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9120DF"/>
    <w:multiLevelType w:val="multilevel"/>
    <w:tmpl w:val="64162A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D736A21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494208"/>
    <w:multiLevelType w:val="hybridMultilevel"/>
    <w:tmpl w:val="D61EBF9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E32D3"/>
    <w:multiLevelType w:val="hybridMultilevel"/>
    <w:tmpl w:val="20CCA6D8"/>
    <w:styleLink w:val="11111111"/>
    <w:lvl w:ilvl="0" w:tplc="2E60A1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EF0458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57136"/>
    <w:multiLevelType w:val="multilevel"/>
    <w:tmpl w:val="0419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33A31FA3"/>
    <w:multiLevelType w:val="hybridMultilevel"/>
    <w:tmpl w:val="D61EBF9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F7470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A70A38"/>
    <w:multiLevelType w:val="hybridMultilevel"/>
    <w:tmpl w:val="FFFFFFFF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91E26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8B270B"/>
    <w:multiLevelType w:val="hybridMultilevel"/>
    <w:tmpl w:val="16D0ACCC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6DF4118"/>
    <w:multiLevelType w:val="hybridMultilevel"/>
    <w:tmpl w:val="FFFFFFFF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CA7A0F"/>
    <w:multiLevelType w:val="hybridMultilevel"/>
    <w:tmpl w:val="D61EBF9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5E73BE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D767BC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4F215F"/>
    <w:multiLevelType w:val="hybridMultilevel"/>
    <w:tmpl w:val="5B203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48AB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28406EC"/>
    <w:multiLevelType w:val="hybridMultilevel"/>
    <w:tmpl w:val="C666F080"/>
    <w:styleLink w:val="1ai11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2D11209"/>
    <w:multiLevelType w:val="multilevel"/>
    <w:tmpl w:val="761C8286"/>
    <w:styleLink w:val="1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russianLower"/>
      <w:lvlText w:val="%2"/>
      <w:lvlJc w:val="left"/>
      <w:pPr>
        <w:ind w:left="9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48E2DD3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A041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484C3DF1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356C86"/>
    <w:multiLevelType w:val="hybridMultilevel"/>
    <w:tmpl w:val="D61EBF9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81688C"/>
    <w:multiLevelType w:val="hybridMultilevel"/>
    <w:tmpl w:val="066012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4EE32D0A"/>
    <w:multiLevelType w:val="hybridMultilevel"/>
    <w:tmpl w:val="5B9021F8"/>
    <w:styleLink w:val="1110"/>
    <w:lvl w:ilvl="0" w:tplc="FFFFFFFF">
      <w:start w:val="1"/>
      <w:numFmt w:val="lowerRoman"/>
      <w:lvlText w:val="%1."/>
      <w:lvlJc w:val="left"/>
      <w:pPr>
        <w:ind w:left="1277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43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15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87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9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31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03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757" w:hanging="180"/>
      </w:pPr>
      <w:rPr>
        <w:rFonts w:cs="Times New Roman"/>
      </w:rPr>
    </w:lvl>
  </w:abstractNum>
  <w:abstractNum w:abstractNumId="41" w15:restartNumberingAfterBreak="0">
    <w:nsid w:val="4FD32007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1241F4"/>
    <w:multiLevelType w:val="hybridMultilevel"/>
    <w:tmpl w:val="E3443B52"/>
    <w:lvl w:ilvl="0" w:tplc="FCF4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5A181AAC"/>
    <w:multiLevelType w:val="hybridMultilevel"/>
    <w:tmpl w:val="D61EBF9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F20136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D024EE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9310F7"/>
    <w:multiLevelType w:val="hybridMultilevel"/>
    <w:tmpl w:val="D61EBF9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1558E3"/>
    <w:multiLevelType w:val="hybridMultilevel"/>
    <w:tmpl w:val="D61EBF9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9B6789"/>
    <w:multiLevelType w:val="hybridMultilevel"/>
    <w:tmpl w:val="D61EBF9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2B22E6"/>
    <w:multiLevelType w:val="multilevel"/>
    <w:tmpl w:val="0419001D"/>
    <w:styleLink w:val="1ai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0" w15:restartNumberingAfterBreak="0">
    <w:nsid w:val="6C7469BD"/>
    <w:multiLevelType w:val="hybridMultilevel"/>
    <w:tmpl w:val="7C9ABE22"/>
    <w:lvl w:ilvl="0" w:tplc="FCF4A5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CB100DC"/>
    <w:multiLevelType w:val="hybridMultilevel"/>
    <w:tmpl w:val="D61EBF9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8D6627"/>
    <w:multiLevelType w:val="hybridMultilevel"/>
    <w:tmpl w:val="4676ADAE"/>
    <w:lvl w:ilvl="0" w:tplc="FCF4A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7507728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373A04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F32A90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 w:numId="13">
    <w:abstractNumId w:val="7"/>
  </w:num>
  <w:num w:numId="14">
    <w:abstractNumId w:val="8"/>
  </w:num>
  <w:num w:numId="15">
    <w:abstractNumId w:val="3"/>
  </w:num>
  <w:num w:numId="16">
    <w:abstractNumId w:val="6"/>
  </w:num>
  <w:num w:numId="17">
    <w:abstractNumId w:val="5"/>
  </w:num>
  <w:num w:numId="18">
    <w:abstractNumId w:val="4"/>
  </w:num>
  <w:num w:numId="19">
    <w:abstractNumId w:val="2"/>
  </w:num>
  <w:num w:numId="20">
    <w:abstractNumId w:val="1"/>
  </w:num>
  <w:num w:numId="21">
    <w:abstractNumId w:val="0"/>
  </w:num>
  <w:num w:numId="22">
    <w:abstractNumId w:val="22"/>
  </w:num>
  <w:num w:numId="23">
    <w:abstractNumId w:val="49"/>
  </w:num>
  <w:num w:numId="24">
    <w:abstractNumId w:val="12"/>
  </w:num>
  <w:num w:numId="25">
    <w:abstractNumId w:val="34"/>
  </w:num>
  <w:num w:numId="26">
    <w:abstractNumId w:val="52"/>
  </w:num>
  <w:num w:numId="27">
    <w:abstractNumId w:val="36"/>
  </w:num>
  <w:num w:numId="28">
    <w:abstractNumId w:val="20"/>
  </w:num>
  <w:num w:numId="29">
    <w:abstractNumId w:val="33"/>
  </w:num>
  <w:num w:numId="30">
    <w:abstractNumId w:val="40"/>
  </w:num>
  <w:num w:numId="31">
    <w:abstractNumId w:val="26"/>
  </w:num>
  <w:num w:numId="32">
    <w:abstractNumId w:val="10"/>
  </w:num>
  <w:num w:numId="33">
    <w:abstractNumId w:val="50"/>
  </w:num>
  <w:num w:numId="34">
    <w:abstractNumId w:val="39"/>
  </w:num>
  <w:num w:numId="35">
    <w:abstractNumId w:val="42"/>
  </w:num>
  <w:num w:numId="36">
    <w:abstractNumId w:val="14"/>
  </w:num>
  <w:num w:numId="37">
    <w:abstractNumId w:val="47"/>
  </w:num>
  <w:num w:numId="38">
    <w:abstractNumId w:val="23"/>
  </w:num>
  <w:num w:numId="39">
    <w:abstractNumId w:val="46"/>
  </w:num>
  <w:num w:numId="40">
    <w:abstractNumId w:val="38"/>
  </w:num>
  <w:num w:numId="41">
    <w:abstractNumId w:val="43"/>
  </w:num>
  <w:num w:numId="42">
    <w:abstractNumId w:val="16"/>
  </w:num>
  <w:num w:numId="43">
    <w:abstractNumId w:val="19"/>
  </w:num>
  <w:num w:numId="44">
    <w:abstractNumId w:val="48"/>
  </w:num>
  <w:num w:numId="45">
    <w:abstractNumId w:val="11"/>
  </w:num>
  <w:num w:numId="46">
    <w:abstractNumId w:val="15"/>
  </w:num>
  <w:num w:numId="47">
    <w:abstractNumId w:val="25"/>
  </w:num>
  <w:num w:numId="48">
    <w:abstractNumId w:val="5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28"/>
  </w:num>
  <w:num w:numId="51">
    <w:abstractNumId w:val="44"/>
  </w:num>
  <w:num w:numId="52">
    <w:abstractNumId w:val="17"/>
  </w:num>
  <w:num w:numId="53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5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35"/>
  </w:num>
  <w:num w:numId="56">
    <w:abstractNumId w:val="30"/>
  </w:num>
  <w:num w:numId="57">
    <w:abstractNumId w:val="13"/>
  </w:num>
  <w:num w:numId="58">
    <w:abstractNumId w:val="18"/>
  </w:num>
  <w:num w:numId="59">
    <w:abstractNumId w:val="31"/>
  </w:num>
  <w:num w:numId="60">
    <w:abstractNumId w:val="32"/>
  </w:num>
  <w:num w:numId="61">
    <w:abstractNumId w:val="27"/>
  </w:num>
  <w:num w:numId="62">
    <w:abstractNumId w:val="21"/>
  </w:num>
  <w:num w:numId="63">
    <w:abstractNumId w:val="53"/>
  </w:num>
  <w:num w:numId="64">
    <w:abstractNumId w:val="45"/>
  </w:num>
  <w:num w:numId="65">
    <w:abstractNumId w:val="55"/>
  </w:num>
  <w:num w:numId="66">
    <w:abstractNumId w:val="37"/>
  </w:num>
  <w:num w:numId="67">
    <w:abstractNumId w:val="2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FB"/>
    <w:rsid w:val="00003C26"/>
    <w:rsid w:val="00005312"/>
    <w:rsid w:val="00006786"/>
    <w:rsid w:val="000077EA"/>
    <w:rsid w:val="000079F4"/>
    <w:rsid w:val="000106AD"/>
    <w:rsid w:val="00011664"/>
    <w:rsid w:val="00013FC8"/>
    <w:rsid w:val="0002208B"/>
    <w:rsid w:val="000229BA"/>
    <w:rsid w:val="00031EF1"/>
    <w:rsid w:val="00035E49"/>
    <w:rsid w:val="00043720"/>
    <w:rsid w:val="000438EC"/>
    <w:rsid w:val="000441D1"/>
    <w:rsid w:val="00045C56"/>
    <w:rsid w:val="00052625"/>
    <w:rsid w:val="00056408"/>
    <w:rsid w:val="00060DDB"/>
    <w:rsid w:val="00061088"/>
    <w:rsid w:val="00066158"/>
    <w:rsid w:val="0006665C"/>
    <w:rsid w:val="000738F2"/>
    <w:rsid w:val="00076C32"/>
    <w:rsid w:val="00080490"/>
    <w:rsid w:val="0008083B"/>
    <w:rsid w:val="00082EEC"/>
    <w:rsid w:val="00090921"/>
    <w:rsid w:val="00091A89"/>
    <w:rsid w:val="0009213A"/>
    <w:rsid w:val="00094A00"/>
    <w:rsid w:val="00094A86"/>
    <w:rsid w:val="000966B0"/>
    <w:rsid w:val="000A0C0A"/>
    <w:rsid w:val="000A1F3E"/>
    <w:rsid w:val="000A265F"/>
    <w:rsid w:val="000A4182"/>
    <w:rsid w:val="000A49E6"/>
    <w:rsid w:val="000A63A1"/>
    <w:rsid w:val="000A6B4F"/>
    <w:rsid w:val="000B0361"/>
    <w:rsid w:val="000B1936"/>
    <w:rsid w:val="000B331E"/>
    <w:rsid w:val="000B5C31"/>
    <w:rsid w:val="000C3125"/>
    <w:rsid w:val="000C3FF8"/>
    <w:rsid w:val="000C473E"/>
    <w:rsid w:val="000C617A"/>
    <w:rsid w:val="000D11D5"/>
    <w:rsid w:val="000D25C2"/>
    <w:rsid w:val="000D39FE"/>
    <w:rsid w:val="000D4020"/>
    <w:rsid w:val="000D44CB"/>
    <w:rsid w:val="000D4695"/>
    <w:rsid w:val="000D63EF"/>
    <w:rsid w:val="000E4D98"/>
    <w:rsid w:val="000F5B55"/>
    <w:rsid w:val="00100F1F"/>
    <w:rsid w:val="0010118A"/>
    <w:rsid w:val="00103B39"/>
    <w:rsid w:val="001043EE"/>
    <w:rsid w:val="00105BBB"/>
    <w:rsid w:val="0010605C"/>
    <w:rsid w:val="00107600"/>
    <w:rsid w:val="001104B9"/>
    <w:rsid w:val="001138F5"/>
    <w:rsid w:val="00114540"/>
    <w:rsid w:val="00117BB9"/>
    <w:rsid w:val="00122AC8"/>
    <w:rsid w:val="001400EA"/>
    <w:rsid w:val="00142426"/>
    <w:rsid w:val="00143AE8"/>
    <w:rsid w:val="00150BFA"/>
    <w:rsid w:val="00152AF4"/>
    <w:rsid w:val="00152B12"/>
    <w:rsid w:val="00153D33"/>
    <w:rsid w:val="001542B8"/>
    <w:rsid w:val="001558A9"/>
    <w:rsid w:val="001603D8"/>
    <w:rsid w:val="0016211A"/>
    <w:rsid w:val="001622E6"/>
    <w:rsid w:val="00164789"/>
    <w:rsid w:val="001679C3"/>
    <w:rsid w:val="00167A05"/>
    <w:rsid w:val="00167B6D"/>
    <w:rsid w:val="0017038B"/>
    <w:rsid w:val="0018022C"/>
    <w:rsid w:val="00182DD6"/>
    <w:rsid w:val="00196FB3"/>
    <w:rsid w:val="001A62FF"/>
    <w:rsid w:val="001A68F4"/>
    <w:rsid w:val="001B6F2C"/>
    <w:rsid w:val="001B7E86"/>
    <w:rsid w:val="001C1B46"/>
    <w:rsid w:val="001C3A44"/>
    <w:rsid w:val="001C6871"/>
    <w:rsid w:val="001D4091"/>
    <w:rsid w:val="001D4115"/>
    <w:rsid w:val="001E4CB4"/>
    <w:rsid w:val="001E725A"/>
    <w:rsid w:val="001F47C8"/>
    <w:rsid w:val="001F6942"/>
    <w:rsid w:val="00200144"/>
    <w:rsid w:val="00213B54"/>
    <w:rsid w:val="0021430D"/>
    <w:rsid w:val="00224024"/>
    <w:rsid w:val="00224343"/>
    <w:rsid w:val="00230718"/>
    <w:rsid w:val="00230EB1"/>
    <w:rsid w:val="002314BD"/>
    <w:rsid w:val="0023401F"/>
    <w:rsid w:val="00235BDC"/>
    <w:rsid w:val="002365F3"/>
    <w:rsid w:val="00240E80"/>
    <w:rsid w:val="002414F5"/>
    <w:rsid w:val="00245010"/>
    <w:rsid w:val="0025111F"/>
    <w:rsid w:val="00252393"/>
    <w:rsid w:val="00257621"/>
    <w:rsid w:val="00260F8B"/>
    <w:rsid w:val="00263612"/>
    <w:rsid w:val="00265F3E"/>
    <w:rsid w:val="00272C91"/>
    <w:rsid w:val="00274ACD"/>
    <w:rsid w:val="00276628"/>
    <w:rsid w:val="002800DE"/>
    <w:rsid w:val="00284175"/>
    <w:rsid w:val="00285830"/>
    <w:rsid w:val="00285CB3"/>
    <w:rsid w:val="00286F39"/>
    <w:rsid w:val="00286FCA"/>
    <w:rsid w:val="00287432"/>
    <w:rsid w:val="00290686"/>
    <w:rsid w:val="00290775"/>
    <w:rsid w:val="002918E7"/>
    <w:rsid w:val="0029285B"/>
    <w:rsid w:val="002A0271"/>
    <w:rsid w:val="002A0D29"/>
    <w:rsid w:val="002A1669"/>
    <w:rsid w:val="002A4687"/>
    <w:rsid w:val="002B7902"/>
    <w:rsid w:val="002C350F"/>
    <w:rsid w:val="002C5857"/>
    <w:rsid w:val="002C727C"/>
    <w:rsid w:val="002D5850"/>
    <w:rsid w:val="002D69C7"/>
    <w:rsid w:val="002D78C3"/>
    <w:rsid w:val="002D7DFF"/>
    <w:rsid w:val="002E3894"/>
    <w:rsid w:val="002E76E8"/>
    <w:rsid w:val="002F209F"/>
    <w:rsid w:val="002F6C72"/>
    <w:rsid w:val="00300823"/>
    <w:rsid w:val="003026DF"/>
    <w:rsid w:val="00310E05"/>
    <w:rsid w:val="00314823"/>
    <w:rsid w:val="00315DB3"/>
    <w:rsid w:val="003163CD"/>
    <w:rsid w:val="00326B2F"/>
    <w:rsid w:val="00327002"/>
    <w:rsid w:val="003325DF"/>
    <w:rsid w:val="00333F00"/>
    <w:rsid w:val="00336541"/>
    <w:rsid w:val="00337BDC"/>
    <w:rsid w:val="00346BEE"/>
    <w:rsid w:val="003501A8"/>
    <w:rsid w:val="003510A7"/>
    <w:rsid w:val="00352040"/>
    <w:rsid w:val="00352631"/>
    <w:rsid w:val="00354D9D"/>
    <w:rsid w:val="003570D9"/>
    <w:rsid w:val="00360B00"/>
    <w:rsid w:val="00360D72"/>
    <w:rsid w:val="00360E27"/>
    <w:rsid w:val="00364A51"/>
    <w:rsid w:val="0036742E"/>
    <w:rsid w:val="003728F7"/>
    <w:rsid w:val="003771F4"/>
    <w:rsid w:val="003778EA"/>
    <w:rsid w:val="003809D6"/>
    <w:rsid w:val="00382195"/>
    <w:rsid w:val="003833D0"/>
    <w:rsid w:val="0038484E"/>
    <w:rsid w:val="00385C20"/>
    <w:rsid w:val="00390A46"/>
    <w:rsid w:val="003938F5"/>
    <w:rsid w:val="00393BF6"/>
    <w:rsid w:val="00396278"/>
    <w:rsid w:val="003A2679"/>
    <w:rsid w:val="003A49E8"/>
    <w:rsid w:val="003A53BB"/>
    <w:rsid w:val="003A7072"/>
    <w:rsid w:val="003B0B73"/>
    <w:rsid w:val="003B1D4D"/>
    <w:rsid w:val="003B5477"/>
    <w:rsid w:val="003B741E"/>
    <w:rsid w:val="003C0B40"/>
    <w:rsid w:val="003C0F00"/>
    <w:rsid w:val="003D6B85"/>
    <w:rsid w:val="003D739B"/>
    <w:rsid w:val="003E594D"/>
    <w:rsid w:val="003E7840"/>
    <w:rsid w:val="003E79C2"/>
    <w:rsid w:val="003F4B26"/>
    <w:rsid w:val="003F60F1"/>
    <w:rsid w:val="00400475"/>
    <w:rsid w:val="00402203"/>
    <w:rsid w:val="00403F58"/>
    <w:rsid w:val="00404624"/>
    <w:rsid w:val="00406728"/>
    <w:rsid w:val="004158E7"/>
    <w:rsid w:val="00416D10"/>
    <w:rsid w:val="00421173"/>
    <w:rsid w:val="00421FD8"/>
    <w:rsid w:val="0042454D"/>
    <w:rsid w:val="00427ABE"/>
    <w:rsid w:val="00433653"/>
    <w:rsid w:val="00433790"/>
    <w:rsid w:val="00435210"/>
    <w:rsid w:val="00442A5D"/>
    <w:rsid w:val="00444D4A"/>
    <w:rsid w:val="004535A4"/>
    <w:rsid w:val="00463BB2"/>
    <w:rsid w:val="00470F2C"/>
    <w:rsid w:val="0047253D"/>
    <w:rsid w:val="00473224"/>
    <w:rsid w:val="00474689"/>
    <w:rsid w:val="00477EDA"/>
    <w:rsid w:val="004807D3"/>
    <w:rsid w:val="00490004"/>
    <w:rsid w:val="004953FD"/>
    <w:rsid w:val="004A22B0"/>
    <w:rsid w:val="004A5A6D"/>
    <w:rsid w:val="004A6C89"/>
    <w:rsid w:val="004B0E95"/>
    <w:rsid w:val="004B6C15"/>
    <w:rsid w:val="004B7E92"/>
    <w:rsid w:val="004C0E55"/>
    <w:rsid w:val="004C39B2"/>
    <w:rsid w:val="004C48AB"/>
    <w:rsid w:val="004D3267"/>
    <w:rsid w:val="004E027B"/>
    <w:rsid w:val="004E0292"/>
    <w:rsid w:val="004F2FBE"/>
    <w:rsid w:val="004F785C"/>
    <w:rsid w:val="00505F50"/>
    <w:rsid w:val="00515392"/>
    <w:rsid w:val="00516CC1"/>
    <w:rsid w:val="00516E12"/>
    <w:rsid w:val="005210A7"/>
    <w:rsid w:val="0052316F"/>
    <w:rsid w:val="0052329A"/>
    <w:rsid w:val="005249E5"/>
    <w:rsid w:val="00526FBB"/>
    <w:rsid w:val="00530514"/>
    <w:rsid w:val="005355A4"/>
    <w:rsid w:val="005456BD"/>
    <w:rsid w:val="00552C29"/>
    <w:rsid w:val="00556C9A"/>
    <w:rsid w:val="005612F0"/>
    <w:rsid w:val="00562960"/>
    <w:rsid w:val="00571277"/>
    <w:rsid w:val="00571B25"/>
    <w:rsid w:val="00582740"/>
    <w:rsid w:val="0058590E"/>
    <w:rsid w:val="00585E15"/>
    <w:rsid w:val="005872A4"/>
    <w:rsid w:val="005915AE"/>
    <w:rsid w:val="005A094A"/>
    <w:rsid w:val="005A4862"/>
    <w:rsid w:val="005B5B59"/>
    <w:rsid w:val="005B5F00"/>
    <w:rsid w:val="005C0A32"/>
    <w:rsid w:val="005C2F77"/>
    <w:rsid w:val="005C3ED0"/>
    <w:rsid w:val="005C6A3B"/>
    <w:rsid w:val="005D19AA"/>
    <w:rsid w:val="005D31B3"/>
    <w:rsid w:val="005D5289"/>
    <w:rsid w:val="005D57BE"/>
    <w:rsid w:val="005D6357"/>
    <w:rsid w:val="005D7E3C"/>
    <w:rsid w:val="005E4A98"/>
    <w:rsid w:val="005E60B7"/>
    <w:rsid w:val="005E66FC"/>
    <w:rsid w:val="005F1F0B"/>
    <w:rsid w:val="006013E6"/>
    <w:rsid w:val="00602E63"/>
    <w:rsid w:val="00615FA4"/>
    <w:rsid w:val="00621E7D"/>
    <w:rsid w:val="0062537D"/>
    <w:rsid w:val="00626746"/>
    <w:rsid w:val="006267F7"/>
    <w:rsid w:val="00627600"/>
    <w:rsid w:val="006301B1"/>
    <w:rsid w:val="00631472"/>
    <w:rsid w:val="00632B5D"/>
    <w:rsid w:val="00632FCD"/>
    <w:rsid w:val="00641570"/>
    <w:rsid w:val="00642CCA"/>
    <w:rsid w:val="00644BE1"/>
    <w:rsid w:val="00647331"/>
    <w:rsid w:val="0065323C"/>
    <w:rsid w:val="00653D1D"/>
    <w:rsid w:val="006547F2"/>
    <w:rsid w:val="0065709B"/>
    <w:rsid w:val="00663FB5"/>
    <w:rsid w:val="00664473"/>
    <w:rsid w:val="00667B3E"/>
    <w:rsid w:val="00670524"/>
    <w:rsid w:val="00672AEE"/>
    <w:rsid w:val="00673689"/>
    <w:rsid w:val="00674AB3"/>
    <w:rsid w:val="0067529E"/>
    <w:rsid w:val="006767E5"/>
    <w:rsid w:val="00680C94"/>
    <w:rsid w:val="006813CE"/>
    <w:rsid w:val="00681469"/>
    <w:rsid w:val="00684110"/>
    <w:rsid w:val="00684951"/>
    <w:rsid w:val="00694967"/>
    <w:rsid w:val="006949F0"/>
    <w:rsid w:val="006970D6"/>
    <w:rsid w:val="006A315E"/>
    <w:rsid w:val="006A42F7"/>
    <w:rsid w:val="006A4310"/>
    <w:rsid w:val="006A4622"/>
    <w:rsid w:val="006A489C"/>
    <w:rsid w:val="006A5D9A"/>
    <w:rsid w:val="006B3D25"/>
    <w:rsid w:val="006B403E"/>
    <w:rsid w:val="006B5F35"/>
    <w:rsid w:val="006C16D5"/>
    <w:rsid w:val="006D4C35"/>
    <w:rsid w:val="006D58A6"/>
    <w:rsid w:val="006E46E8"/>
    <w:rsid w:val="006E4A48"/>
    <w:rsid w:val="006E5D9B"/>
    <w:rsid w:val="006E60FF"/>
    <w:rsid w:val="006F26FB"/>
    <w:rsid w:val="007035C4"/>
    <w:rsid w:val="00706071"/>
    <w:rsid w:val="00706A77"/>
    <w:rsid w:val="007118E8"/>
    <w:rsid w:val="007134EA"/>
    <w:rsid w:val="00716410"/>
    <w:rsid w:val="00716A9E"/>
    <w:rsid w:val="00717034"/>
    <w:rsid w:val="00724015"/>
    <w:rsid w:val="00730634"/>
    <w:rsid w:val="007641EA"/>
    <w:rsid w:val="00764D97"/>
    <w:rsid w:val="0077366F"/>
    <w:rsid w:val="00780E77"/>
    <w:rsid w:val="00785A86"/>
    <w:rsid w:val="0078697E"/>
    <w:rsid w:val="00786ED6"/>
    <w:rsid w:val="00790103"/>
    <w:rsid w:val="00792B3F"/>
    <w:rsid w:val="007A1C56"/>
    <w:rsid w:val="007A50CD"/>
    <w:rsid w:val="007A54C3"/>
    <w:rsid w:val="007C2653"/>
    <w:rsid w:val="007C2DD6"/>
    <w:rsid w:val="007C39A0"/>
    <w:rsid w:val="007C4CAE"/>
    <w:rsid w:val="007C4DD2"/>
    <w:rsid w:val="007C5CDD"/>
    <w:rsid w:val="007C69C5"/>
    <w:rsid w:val="007D2359"/>
    <w:rsid w:val="007D413D"/>
    <w:rsid w:val="007F0906"/>
    <w:rsid w:val="00801C87"/>
    <w:rsid w:val="00803BCD"/>
    <w:rsid w:val="00804BFA"/>
    <w:rsid w:val="00811C22"/>
    <w:rsid w:val="00814631"/>
    <w:rsid w:val="008149B6"/>
    <w:rsid w:val="00831498"/>
    <w:rsid w:val="00833888"/>
    <w:rsid w:val="00840163"/>
    <w:rsid w:val="008407F7"/>
    <w:rsid w:val="008414FC"/>
    <w:rsid w:val="00841A7F"/>
    <w:rsid w:val="0084266D"/>
    <w:rsid w:val="0084653D"/>
    <w:rsid w:val="00847142"/>
    <w:rsid w:val="00860493"/>
    <w:rsid w:val="00862648"/>
    <w:rsid w:val="008634C8"/>
    <w:rsid w:val="008635EF"/>
    <w:rsid w:val="00863F57"/>
    <w:rsid w:val="00864C12"/>
    <w:rsid w:val="008666D0"/>
    <w:rsid w:val="008704C8"/>
    <w:rsid w:val="008722D7"/>
    <w:rsid w:val="00874310"/>
    <w:rsid w:val="00876447"/>
    <w:rsid w:val="008805A6"/>
    <w:rsid w:val="008813B3"/>
    <w:rsid w:val="00893C23"/>
    <w:rsid w:val="008A190D"/>
    <w:rsid w:val="008A5396"/>
    <w:rsid w:val="008B1E64"/>
    <w:rsid w:val="008C06E6"/>
    <w:rsid w:val="008C3AAD"/>
    <w:rsid w:val="008C7F9B"/>
    <w:rsid w:val="008D155E"/>
    <w:rsid w:val="008D2381"/>
    <w:rsid w:val="008E73EB"/>
    <w:rsid w:val="009006F7"/>
    <w:rsid w:val="009025E7"/>
    <w:rsid w:val="009030BB"/>
    <w:rsid w:val="0090475F"/>
    <w:rsid w:val="00905528"/>
    <w:rsid w:val="0091539E"/>
    <w:rsid w:val="00917322"/>
    <w:rsid w:val="00917A9A"/>
    <w:rsid w:val="0092126F"/>
    <w:rsid w:val="00921FEB"/>
    <w:rsid w:val="00922D91"/>
    <w:rsid w:val="00923B3D"/>
    <w:rsid w:val="00926A15"/>
    <w:rsid w:val="00931E15"/>
    <w:rsid w:val="00934155"/>
    <w:rsid w:val="00934392"/>
    <w:rsid w:val="00935F6E"/>
    <w:rsid w:val="00936EC7"/>
    <w:rsid w:val="00937E22"/>
    <w:rsid w:val="00941E19"/>
    <w:rsid w:val="00943CD0"/>
    <w:rsid w:val="00944D99"/>
    <w:rsid w:val="00945ED9"/>
    <w:rsid w:val="00950880"/>
    <w:rsid w:val="00952A3B"/>
    <w:rsid w:val="00956B36"/>
    <w:rsid w:val="00957668"/>
    <w:rsid w:val="00964C93"/>
    <w:rsid w:val="00970673"/>
    <w:rsid w:val="009739DB"/>
    <w:rsid w:val="009756C8"/>
    <w:rsid w:val="00976971"/>
    <w:rsid w:val="0098071F"/>
    <w:rsid w:val="009808ED"/>
    <w:rsid w:val="009812ED"/>
    <w:rsid w:val="00982AD5"/>
    <w:rsid w:val="00984267"/>
    <w:rsid w:val="00995A0A"/>
    <w:rsid w:val="009A1658"/>
    <w:rsid w:val="009A212D"/>
    <w:rsid w:val="009A2150"/>
    <w:rsid w:val="009A320A"/>
    <w:rsid w:val="009A562A"/>
    <w:rsid w:val="009A77B6"/>
    <w:rsid w:val="009B2542"/>
    <w:rsid w:val="009B39CD"/>
    <w:rsid w:val="009B3CD8"/>
    <w:rsid w:val="009C675D"/>
    <w:rsid w:val="009D232E"/>
    <w:rsid w:val="009E0CA5"/>
    <w:rsid w:val="009F011C"/>
    <w:rsid w:val="009F0762"/>
    <w:rsid w:val="009F3FE7"/>
    <w:rsid w:val="00A001DA"/>
    <w:rsid w:val="00A01F77"/>
    <w:rsid w:val="00A03D7E"/>
    <w:rsid w:val="00A1061D"/>
    <w:rsid w:val="00A13162"/>
    <w:rsid w:val="00A14027"/>
    <w:rsid w:val="00A15D88"/>
    <w:rsid w:val="00A205A9"/>
    <w:rsid w:val="00A23B9B"/>
    <w:rsid w:val="00A24077"/>
    <w:rsid w:val="00A263F7"/>
    <w:rsid w:val="00A3257C"/>
    <w:rsid w:val="00A33098"/>
    <w:rsid w:val="00A36352"/>
    <w:rsid w:val="00A36FC7"/>
    <w:rsid w:val="00A50B4B"/>
    <w:rsid w:val="00A538BA"/>
    <w:rsid w:val="00A539D6"/>
    <w:rsid w:val="00A55383"/>
    <w:rsid w:val="00A60182"/>
    <w:rsid w:val="00A60963"/>
    <w:rsid w:val="00A67BEB"/>
    <w:rsid w:val="00A70716"/>
    <w:rsid w:val="00A720E9"/>
    <w:rsid w:val="00A727E4"/>
    <w:rsid w:val="00A728CF"/>
    <w:rsid w:val="00A735C7"/>
    <w:rsid w:val="00A76833"/>
    <w:rsid w:val="00A85193"/>
    <w:rsid w:val="00A865EC"/>
    <w:rsid w:val="00A86D68"/>
    <w:rsid w:val="00A87964"/>
    <w:rsid w:val="00A911B3"/>
    <w:rsid w:val="00A92EF6"/>
    <w:rsid w:val="00AC2536"/>
    <w:rsid w:val="00AC51A0"/>
    <w:rsid w:val="00AD0D98"/>
    <w:rsid w:val="00AD5DB4"/>
    <w:rsid w:val="00AE045F"/>
    <w:rsid w:val="00AE3D64"/>
    <w:rsid w:val="00AE4318"/>
    <w:rsid w:val="00AE526A"/>
    <w:rsid w:val="00AE7EAB"/>
    <w:rsid w:val="00AF1094"/>
    <w:rsid w:val="00AF1B25"/>
    <w:rsid w:val="00AF2A0D"/>
    <w:rsid w:val="00AF3CB4"/>
    <w:rsid w:val="00AF4DFE"/>
    <w:rsid w:val="00B0240A"/>
    <w:rsid w:val="00B048E4"/>
    <w:rsid w:val="00B049F7"/>
    <w:rsid w:val="00B0618C"/>
    <w:rsid w:val="00B06ACB"/>
    <w:rsid w:val="00B134DB"/>
    <w:rsid w:val="00B1352D"/>
    <w:rsid w:val="00B16A26"/>
    <w:rsid w:val="00B22E49"/>
    <w:rsid w:val="00B22F14"/>
    <w:rsid w:val="00B23551"/>
    <w:rsid w:val="00B23C68"/>
    <w:rsid w:val="00B2425D"/>
    <w:rsid w:val="00B261EB"/>
    <w:rsid w:val="00B35E81"/>
    <w:rsid w:val="00B365EE"/>
    <w:rsid w:val="00B41E1A"/>
    <w:rsid w:val="00B53949"/>
    <w:rsid w:val="00B54265"/>
    <w:rsid w:val="00B5443C"/>
    <w:rsid w:val="00B56DDE"/>
    <w:rsid w:val="00B56E77"/>
    <w:rsid w:val="00B6589F"/>
    <w:rsid w:val="00B67525"/>
    <w:rsid w:val="00B7244E"/>
    <w:rsid w:val="00B74C5B"/>
    <w:rsid w:val="00B765A9"/>
    <w:rsid w:val="00B77BD4"/>
    <w:rsid w:val="00B81721"/>
    <w:rsid w:val="00B823C6"/>
    <w:rsid w:val="00B82A21"/>
    <w:rsid w:val="00B82EE2"/>
    <w:rsid w:val="00B8367D"/>
    <w:rsid w:val="00B90AA3"/>
    <w:rsid w:val="00B90EA5"/>
    <w:rsid w:val="00B930FB"/>
    <w:rsid w:val="00B937B3"/>
    <w:rsid w:val="00B9459B"/>
    <w:rsid w:val="00B94D91"/>
    <w:rsid w:val="00BA00A2"/>
    <w:rsid w:val="00BA02F8"/>
    <w:rsid w:val="00BA0B3A"/>
    <w:rsid w:val="00BA2321"/>
    <w:rsid w:val="00BA6C88"/>
    <w:rsid w:val="00BA7234"/>
    <w:rsid w:val="00BA7854"/>
    <w:rsid w:val="00BB0D12"/>
    <w:rsid w:val="00BB5B46"/>
    <w:rsid w:val="00BB6F1B"/>
    <w:rsid w:val="00BB7BA4"/>
    <w:rsid w:val="00BC0DC4"/>
    <w:rsid w:val="00BC39C9"/>
    <w:rsid w:val="00BD1F4C"/>
    <w:rsid w:val="00BD3B32"/>
    <w:rsid w:val="00BD4835"/>
    <w:rsid w:val="00BD550E"/>
    <w:rsid w:val="00BE4537"/>
    <w:rsid w:val="00BF1145"/>
    <w:rsid w:val="00BF1ECD"/>
    <w:rsid w:val="00BF4636"/>
    <w:rsid w:val="00BF6FA5"/>
    <w:rsid w:val="00C00BF5"/>
    <w:rsid w:val="00C02E08"/>
    <w:rsid w:val="00C04F9B"/>
    <w:rsid w:val="00C0782C"/>
    <w:rsid w:val="00C11155"/>
    <w:rsid w:val="00C11752"/>
    <w:rsid w:val="00C15116"/>
    <w:rsid w:val="00C16B48"/>
    <w:rsid w:val="00C20B58"/>
    <w:rsid w:val="00C20FA5"/>
    <w:rsid w:val="00C225F3"/>
    <w:rsid w:val="00C23227"/>
    <w:rsid w:val="00C24DDD"/>
    <w:rsid w:val="00C25641"/>
    <w:rsid w:val="00C30A32"/>
    <w:rsid w:val="00C31C7A"/>
    <w:rsid w:val="00C41D7A"/>
    <w:rsid w:val="00C45BF3"/>
    <w:rsid w:val="00C46CF8"/>
    <w:rsid w:val="00C56926"/>
    <w:rsid w:val="00C57F05"/>
    <w:rsid w:val="00C653F0"/>
    <w:rsid w:val="00C6559C"/>
    <w:rsid w:val="00C664D1"/>
    <w:rsid w:val="00C66609"/>
    <w:rsid w:val="00C8043E"/>
    <w:rsid w:val="00C85DBA"/>
    <w:rsid w:val="00C86D46"/>
    <w:rsid w:val="00C876FB"/>
    <w:rsid w:val="00C91124"/>
    <w:rsid w:val="00C92039"/>
    <w:rsid w:val="00C925E9"/>
    <w:rsid w:val="00C93BA9"/>
    <w:rsid w:val="00C95A8B"/>
    <w:rsid w:val="00CA06FC"/>
    <w:rsid w:val="00CA5035"/>
    <w:rsid w:val="00CA522A"/>
    <w:rsid w:val="00CA56EA"/>
    <w:rsid w:val="00CB046D"/>
    <w:rsid w:val="00CB1656"/>
    <w:rsid w:val="00CB1A16"/>
    <w:rsid w:val="00CB27E1"/>
    <w:rsid w:val="00CB5B80"/>
    <w:rsid w:val="00CB7F0E"/>
    <w:rsid w:val="00CC0645"/>
    <w:rsid w:val="00CC30C6"/>
    <w:rsid w:val="00CC30CD"/>
    <w:rsid w:val="00CD0A1A"/>
    <w:rsid w:val="00CD1707"/>
    <w:rsid w:val="00CD3F11"/>
    <w:rsid w:val="00CE0599"/>
    <w:rsid w:val="00CE2453"/>
    <w:rsid w:val="00CE386C"/>
    <w:rsid w:val="00CE4FD1"/>
    <w:rsid w:val="00CE5A87"/>
    <w:rsid w:val="00CE5EFE"/>
    <w:rsid w:val="00CE600E"/>
    <w:rsid w:val="00CE7B92"/>
    <w:rsid w:val="00CF1EC1"/>
    <w:rsid w:val="00CF2CC7"/>
    <w:rsid w:val="00CF4546"/>
    <w:rsid w:val="00D00DA9"/>
    <w:rsid w:val="00D02D22"/>
    <w:rsid w:val="00D03FBF"/>
    <w:rsid w:val="00D14CD2"/>
    <w:rsid w:val="00D15D4D"/>
    <w:rsid w:val="00D258B9"/>
    <w:rsid w:val="00D27020"/>
    <w:rsid w:val="00D27B22"/>
    <w:rsid w:val="00D31521"/>
    <w:rsid w:val="00D321A8"/>
    <w:rsid w:val="00D35C7D"/>
    <w:rsid w:val="00D35D8F"/>
    <w:rsid w:val="00D362BD"/>
    <w:rsid w:val="00D41EED"/>
    <w:rsid w:val="00D42650"/>
    <w:rsid w:val="00D47E6F"/>
    <w:rsid w:val="00D507C3"/>
    <w:rsid w:val="00D50A03"/>
    <w:rsid w:val="00D67B04"/>
    <w:rsid w:val="00D7165C"/>
    <w:rsid w:val="00D724C3"/>
    <w:rsid w:val="00D72971"/>
    <w:rsid w:val="00D91188"/>
    <w:rsid w:val="00D96BE7"/>
    <w:rsid w:val="00DA46E3"/>
    <w:rsid w:val="00DA763C"/>
    <w:rsid w:val="00DB2C83"/>
    <w:rsid w:val="00DB455D"/>
    <w:rsid w:val="00DB4A3B"/>
    <w:rsid w:val="00DC01C3"/>
    <w:rsid w:val="00DC28C2"/>
    <w:rsid w:val="00DC3333"/>
    <w:rsid w:val="00DC3B19"/>
    <w:rsid w:val="00DC6E08"/>
    <w:rsid w:val="00DD0966"/>
    <w:rsid w:val="00DD402E"/>
    <w:rsid w:val="00DE42CE"/>
    <w:rsid w:val="00DE5FA6"/>
    <w:rsid w:val="00DE63A0"/>
    <w:rsid w:val="00DF2F91"/>
    <w:rsid w:val="00DF3FCB"/>
    <w:rsid w:val="00DF565D"/>
    <w:rsid w:val="00DF5FA8"/>
    <w:rsid w:val="00DF6253"/>
    <w:rsid w:val="00E07621"/>
    <w:rsid w:val="00E1022C"/>
    <w:rsid w:val="00E125BE"/>
    <w:rsid w:val="00E12858"/>
    <w:rsid w:val="00E163C7"/>
    <w:rsid w:val="00E2716B"/>
    <w:rsid w:val="00E32CDF"/>
    <w:rsid w:val="00E35306"/>
    <w:rsid w:val="00E35787"/>
    <w:rsid w:val="00E37EFE"/>
    <w:rsid w:val="00E430F6"/>
    <w:rsid w:val="00E43609"/>
    <w:rsid w:val="00E44F5E"/>
    <w:rsid w:val="00E46256"/>
    <w:rsid w:val="00E46B03"/>
    <w:rsid w:val="00E52BCE"/>
    <w:rsid w:val="00E56649"/>
    <w:rsid w:val="00E57CA3"/>
    <w:rsid w:val="00E62487"/>
    <w:rsid w:val="00E62823"/>
    <w:rsid w:val="00E66331"/>
    <w:rsid w:val="00E713DF"/>
    <w:rsid w:val="00E76019"/>
    <w:rsid w:val="00E76190"/>
    <w:rsid w:val="00E7718B"/>
    <w:rsid w:val="00E80270"/>
    <w:rsid w:val="00E816A7"/>
    <w:rsid w:val="00E84618"/>
    <w:rsid w:val="00E8474E"/>
    <w:rsid w:val="00E84E87"/>
    <w:rsid w:val="00E85700"/>
    <w:rsid w:val="00E87E1C"/>
    <w:rsid w:val="00E968A5"/>
    <w:rsid w:val="00EA12FC"/>
    <w:rsid w:val="00EB0585"/>
    <w:rsid w:val="00EB1B58"/>
    <w:rsid w:val="00EB2603"/>
    <w:rsid w:val="00EC40AF"/>
    <w:rsid w:val="00EC411B"/>
    <w:rsid w:val="00EC5EAD"/>
    <w:rsid w:val="00ED2051"/>
    <w:rsid w:val="00ED3BF1"/>
    <w:rsid w:val="00EE1F8A"/>
    <w:rsid w:val="00EE45F0"/>
    <w:rsid w:val="00EE7064"/>
    <w:rsid w:val="00EF2EE1"/>
    <w:rsid w:val="00EF418C"/>
    <w:rsid w:val="00EF79DA"/>
    <w:rsid w:val="00EF7DB4"/>
    <w:rsid w:val="00F02F07"/>
    <w:rsid w:val="00F119C0"/>
    <w:rsid w:val="00F1600B"/>
    <w:rsid w:val="00F2367B"/>
    <w:rsid w:val="00F247F3"/>
    <w:rsid w:val="00F259D9"/>
    <w:rsid w:val="00F33AEE"/>
    <w:rsid w:val="00F4634D"/>
    <w:rsid w:val="00F53286"/>
    <w:rsid w:val="00F53AF6"/>
    <w:rsid w:val="00F5416F"/>
    <w:rsid w:val="00F613D3"/>
    <w:rsid w:val="00F654FD"/>
    <w:rsid w:val="00F65D8F"/>
    <w:rsid w:val="00F66DE3"/>
    <w:rsid w:val="00F7359C"/>
    <w:rsid w:val="00F74333"/>
    <w:rsid w:val="00F8397D"/>
    <w:rsid w:val="00F84224"/>
    <w:rsid w:val="00F87048"/>
    <w:rsid w:val="00F92726"/>
    <w:rsid w:val="00F93977"/>
    <w:rsid w:val="00F96C98"/>
    <w:rsid w:val="00FA3E47"/>
    <w:rsid w:val="00FB2B43"/>
    <w:rsid w:val="00FB4E06"/>
    <w:rsid w:val="00FD340A"/>
    <w:rsid w:val="00FE08EA"/>
    <w:rsid w:val="00FE1404"/>
    <w:rsid w:val="00FE254F"/>
    <w:rsid w:val="00FE4667"/>
    <w:rsid w:val="00FF17E9"/>
    <w:rsid w:val="00FF2CEA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76E7FB-C8D0-4A51-B236-68845180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8A6"/>
    <w:pPr>
      <w:spacing w:after="160" w:line="259" w:lineRule="auto"/>
    </w:pPr>
    <w:rPr>
      <w:rFonts w:ascii="Times New Roman" w:hAnsi="Times New Roman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930FB"/>
    <w:pPr>
      <w:keepNext/>
      <w:numPr>
        <w:numId w:val="1"/>
      </w:numPr>
      <w:tabs>
        <w:tab w:val="clear" w:pos="360"/>
        <w:tab w:val="num" w:pos="1492"/>
      </w:tabs>
      <w:spacing w:before="240" w:after="60"/>
      <w:ind w:left="72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213B54"/>
    <w:pPr>
      <w:keepNext/>
      <w:numPr>
        <w:ilvl w:val="1"/>
        <w:numId w:val="1"/>
      </w:numPr>
      <w:tabs>
        <w:tab w:val="clear" w:pos="360"/>
        <w:tab w:val="num" w:pos="792"/>
        <w:tab w:val="num" w:pos="1492"/>
      </w:tabs>
      <w:spacing w:before="240" w:after="60"/>
      <w:ind w:left="144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13B5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3"/>
    <w:next w:val="22"/>
    <w:link w:val="40"/>
    <w:uiPriority w:val="9"/>
    <w:unhideWhenUsed/>
    <w:qFormat/>
    <w:rsid w:val="00B2425D"/>
    <w:pPr>
      <w:keepNext w:val="0"/>
      <w:numPr>
        <w:ilvl w:val="3"/>
        <w:numId w:val="1"/>
      </w:numPr>
      <w:tabs>
        <w:tab w:val="clear" w:pos="360"/>
        <w:tab w:val="num" w:pos="1440"/>
        <w:tab w:val="num" w:pos="1492"/>
        <w:tab w:val="num" w:pos="1800"/>
        <w:tab w:val="num" w:pos="2880"/>
      </w:tabs>
      <w:spacing w:after="240" w:line="240" w:lineRule="auto"/>
      <w:ind w:left="2880"/>
      <w:jc w:val="both"/>
      <w:outlineLvl w:val="3"/>
    </w:pPr>
    <w:rPr>
      <w:rFonts w:ascii="Tahoma" w:hAnsi="Tahoma" w:cs="Calibri"/>
      <w:b w:val="0"/>
      <w:bCs w:val="0"/>
      <w:iCs/>
      <w:color w:val="99CC33"/>
      <w:sz w:val="18"/>
      <w:szCs w:val="28"/>
      <w:u w:val="single"/>
    </w:rPr>
  </w:style>
  <w:style w:type="paragraph" w:styleId="5">
    <w:name w:val="heading 5"/>
    <w:basedOn w:val="a"/>
    <w:next w:val="22"/>
    <w:link w:val="50"/>
    <w:uiPriority w:val="9"/>
    <w:unhideWhenUsed/>
    <w:qFormat/>
    <w:rsid w:val="00B2425D"/>
    <w:pPr>
      <w:numPr>
        <w:ilvl w:val="4"/>
        <w:numId w:val="1"/>
      </w:numPr>
      <w:tabs>
        <w:tab w:val="clear" w:pos="360"/>
        <w:tab w:val="num" w:pos="1492"/>
        <w:tab w:val="num" w:pos="2520"/>
      </w:tabs>
      <w:spacing w:after="0" w:line="240" w:lineRule="auto"/>
      <w:ind w:left="3600"/>
      <w:outlineLvl w:val="4"/>
    </w:pPr>
    <w:rPr>
      <w:rFonts w:cs="Calibri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2425D"/>
    <w:pPr>
      <w:numPr>
        <w:ilvl w:val="5"/>
        <w:numId w:val="1"/>
      </w:numPr>
      <w:tabs>
        <w:tab w:val="clear" w:pos="360"/>
        <w:tab w:val="num" w:pos="1492"/>
        <w:tab w:val="num" w:pos="2880"/>
      </w:tabs>
      <w:spacing w:before="240" w:after="60" w:line="240" w:lineRule="auto"/>
      <w:ind w:left="4320"/>
      <w:outlineLvl w:val="5"/>
    </w:pPr>
    <w:rPr>
      <w:rFonts w:cs="Calibr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2425D"/>
    <w:pPr>
      <w:numPr>
        <w:ilvl w:val="6"/>
        <w:numId w:val="1"/>
      </w:numPr>
      <w:tabs>
        <w:tab w:val="clear" w:pos="360"/>
        <w:tab w:val="num" w:pos="1492"/>
        <w:tab w:val="num" w:pos="3600"/>
      </w:tabs>
      <w:spacing w:before="240" w:after="60" w:line="240" w:lineRule="auto"/>
      <w:ind w:left="5040"/>
      <w:outlineLvl w:val="6"/>
    </w:pPr>
    <w:rPr>
      <w:rFonts w:eastAsia="MS Mincho" w:cs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B2425D"/>
    <w:pPr>
      <w:numPr>
        <w:ilvl w:val="7"/>
        <w:numId w:val="1"/>
      </w:numPr>
      <w:tabs>
        <w:tab w:val="clear" w:pos="360"/>
        <w:tab w:val="num" w:pos="1492"/>
        <w:tab w:val="num" w:pos="3960"/>
      </w:tabs>
      <w:spacing w:before="240" w:after="60" w:line="240" w:lineRule="auto"/>
      <w:ind w:left="5760"/>
      <w:outlineLvl w:val="7"/>
    </w:pPr>
    <w:rPr>
      <w:rFonts w:eastAsia="MS Mincho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B2425D"/>
    <w:pPr>
      <w:numPr>
        <w:ilvl w:val="8"/>
        <w:numId w:val="7"/>
      </w:numPr>
      <w:tabs>
        <w:tab w:val="num" w:pos="1209"/>
        <w:tab w:val="num" w:pos="4680"/>
      </w:tabs>
      <w:spacing w:before="240" w:after="60" w:line="240" w:lineRule="auto"/>
      <w:ind w:left="6480"/>
      <w:outlineLvl w:val="8"/>
    </w:pPr>
    <w:rPr>
      <w:rFonts w:ascii="Arial" w:eastAsia="MS Mincho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930FB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locked/>
    <w:rsid w:val="00213B54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213B54"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B2425D"/>
    <w:rPr>
      <w:rFonts w:ascii="Tahoma" w:hAnsi="Tahoma" w:cs="Times New Roman"/>
      <w:iCs/>
      <w:color w:val="99CC33"/>
      <w:sz w:val="28"/>
      <w:szCs w:val="28"/>
      <w:u w:val="single"/>
    </w:rPr>
  </w:style>
  <w:style w:type="character" w:customStyle="1" w:styleId="50">
    <w:name w:val="Заголовок 5 Знак"/>
    <w:basedOn w:val="a0"/>
    <w:link w:val="5"/>
    <w:uiPriority w:val="9"/>
    <w:locked/>
    <w:rsid w:val="00B2425D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locked/>
    <w:rsid w:val="00B2425D"/>
    <w:rPr>
      <w:rFonts w:ascii="Times New Roman" w:hAnsi="Times New Roman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locked/>
    <w:rsid w:val="00B2425D"/>
    <w:rPr>
      <w:rFonts w:ascii="Times New Roman" w:eastAsia="MS Mincho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sid w:val="00B2425D"/>
    <w:rPr>
      <w:rFonts w:ascii="Times New Roman" w:eastAsia="MS Mincho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B2425D"/>
    <w:rPr>
      <w:rFonts w:ascii="Arial" w:eastAsia="MS Mincho" w:hAnsi="Arial" w:cs="Arial"/>
      <w:sz w:val="22"/>
      <w:szCs w:val="22"/>
    </w:rPr>
  </w:style>
  <w:style w:type="paragraph" w:styleId="a3">
    <w:name w:val="annotation text"/>
    <w:basedOn w:val="a"/>
    <w:link w:val="a4"/>
    <w:uiPriority w:val="99"/>
    <w:unhideWhenUsed/>
    <w:rsid w:val="00B930FB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locked/>
    <w:rsid w:val="00B930FB"/>
    <w:rPr>
      <w:rFonts w:ascii="Times New Roman" w:hAnsi="Times New Roman" w:cs="Times New Roman"/>
      <w:sz w:val="20"/>
    </w:rPr>
  </w:style>
  <w:style w:type="character" w:styleId="a5">
    <w:name w:val="annotation reference"/>
    <w:basedOn w:val="a0"/>
    <w:uiPriority w:val="99"/>
    <w:unhideWhenUsed/>
    <w:rsid w:val="00B930FB"/>
    <w:rPr>
      <w:rFonts w:cs="Times New Roman"/>
      <w:sz w:val="16"/>
    </w:rPr>
  </w:style>
  <w:style w:type="paragraph" w:styleId="a6">
    <w:name w:val="TOC Heading"/>
    <w:basedOn w:val="1"/>
    <w:next w:val="a"/>
    <w:uiPriority w:val="39"/>
    <w:unhideWhenUsed/>
    <w:qFormat/>
    <w:rsid w:val="00B930FB"/>
    <w:pPr>
      <w:keepLines/>
      <w:numPr>
        <w:numId w:val="0"/>
      </w:numPr>
      <w:tabs>
        <w:tab w:val="num" w:pos="1492"/>
      </w:tabs>
      <w:spacing w:after="0"/>
      <w:ind w:left="720" w:hanging="360"/>
      <w:outlineLvl w:val="9"/>
    </w:pPr>
    <w:rPr>
      <w:b w:val="0"/>
      <w:bCs w:val="0"/>
      <w:color w:val="2F5496"/>
      <w:kern w:val="0"/>
    </w:rPr>
  </w:style>
  <w:style w:type="paragraph" w:styleId="23">
    <w:name w:val="toc 2"/>
    <w:basedOn w:val="a"/>
    <w:next w:val="a"/>
    <w:autoRedefine/>
    <w:uiPriority w:val="39"/>
    <w:unhideWhenUsed/>
    <w:rsid w:val="002918E7"/>
    <w:pPr>
      <w:tabs>
        <w:tab w:val="left" w:pos="426"/>
        <w:tab w:val="right" w:leader="dot" w:pos="9355"/>
      </w:tabs>
      <w:jc w:val="both"/>
    </w:pPr>
    <w:rPr>
      <w:rFonts w:eastAsia="MS Mincho"/>
      <w:bCs/>
      <w:noProof/>
    </w:rPr>
  </w:style>
  <w:style w:type="paragraph" w:styleId="11">
    <w:name w:val="toc 1"/>
    <w:basedOn w:val="a"/>
    <w:next w:val="a"/>
    <w:autoRedefine/>
    <w:uiPriority w:val="39"/>
    <w:unhideWhenUsed/>
    <w:rsid w:val="000D39FE"/>
    <w:pPr>
      <w:jc w:val="both"/>
    </w:pPr>
    <w:rPr>
      <w:b/>
      <w:noProof/>
      <w:color w:val="0D0D0D"/>
    </w:rPr>
  </w:style>
  <w:style w:type="character" w:styleId="a7">
    <w:name w:val="Hyperlink"/>
    <w:basedOn w:val="a0"/>
    <w:uiPriority w:val="99"/>
    <w:unhideWhenUsed/>
    <w:rsid w:val="00B930FB"/>
    <w:rPr>
      <w:rFonts w:cs="Times New Roman"/>
      <w:color w:val="0563C1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D50A03"/>
    <w:pPr>
      <w:tabs>
        <w:tab w:val="left" w:pos="567"/>
        <w:tab w:val="right" w:leader="dot" w:pos="9345"/>
      </w:tabs>
    </w:pPr>
  </w:style>
  <w:style w:type="paragraph" w:styleId="a8">
    <w:name w:val="annotation subject"/>
    <w:basedOn w:val="a3"/>
    <w:next w:val="a3"/>
    <w:link w:val="a9"/>
    <w:uiPriority w:val="99"/>
    <w:semiHidden/>
    <w:unhideWhenUsed/>
    <w:rsid w:val="00667B3E"/>
    <w:rPr>
      <w:b/>
      <w:bCs/>
    </w:rPr>
  </w:style>
  <w:style w:type="character" w:customStyle="1" w:styleId="a9">
    <w:name w:val="Тема примечания Знак"/>
    <w:basedOn w:val="a4"/>
    <w:link w:val="a8"/>
    <w:uiPriority w:val="99"/>
    <w:semiHidden/>
    <w:locked/>
    <w:rsid w:val="00667B3E"/>
    <w:rPr>
      <w:rFonts w:ascii="Times New Roman" w:hAnsi="Times New Roman" w:cs="Times New Roman"/>
      <w:b/>
      <w:sz w:val="20"/>
    </w:rPr>
  </w:style>
  <w:style w:type="paragraph" w:styleId="aa">
    <w:name w:val="List Paragraph"/>
    <w:basedOn w:val="a"/>
    <w:uiPriority w:val="34"/>
    <w:qFormat/>
    <w:rsid w:val="00667B3E"/>
    <w:pPr>
      <w:ind w:left="708"/>
    </w:pPr>
  </w:style>
  <w:style w:type="paragraph" w:styleId="ab">
    <w:name w:val="header"/>
    <w:basedOn w:val="a"/>
    <w:link w:val="ac"/>
    <w:uiPriority w:val="99"/>
    <w:unhideWhenUsed/>
    <w:rsid w:val="007D23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D2359"/>
    <w:rPr>
      <w:rFonts w:ascii="Times New Roman" w:hAnsi="Times New Roman" w:cs="Times New Roman"/>
      <w:sz w:val="22"/>
    </w:rPr>
  </w:style>
  <w:style w:type="paragraph" w:styleId="ad">
    <w:name w:val="footer"/>
    <w:basedOn w:val="a"/>
    <w:link w:val="ae"/>
    <w:uiPriority w:val="99"/>
    <w:unhideWhenUsed/>
    <w:rsid w:val="007D23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7D2359"/>
    <w:rPr>
      <w:rFonts w:ascii="Times New Roman" w:hAnsi="Times New Roman" w:cs="Times New Roman"/>
      <w:sz w:val="22"/>
    </w:rPr>
  </w:style>
  <w:style w:type="paragraph" w:styleId="af">
    <w:name w:val="footnote text"/>
    <w:basedOn w:val="a"/>
    <w:link w:val="af0"/>
    <w:uiPriority w:val="99"/>
    <w:unhideWhenUsed/>
    <w:rsid w:val="00F66DE3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locked/>
    <w:rsid w:val="00F66DE3"/>
    <w:rPr>
      <w:rFonts w:ascii="Times New Roman" w:hAnsi="Times New Roman" w:cs="Times New Roman"/>
    </w:rPr>
  </w:style>
  <w:style w:type="character" w:styleId="af1">
    <w:name w:val="footnote reference"/>
    <w:basedOn w:val="a0"/>
    <w:uiPriority w:val="99"/>
    <w:unhideWhenUsed/>
    <w:rsid w:val="00F66DE3"/>
    <w:rPr>
      <w:rFonts w:cs="Times New Roman"/>
      <w:vertAlign w:val="superscript"/>
    </w:rPr>
  </w:style>
  <w:style w:type="paragraph" w:customStyle="1" w:styleId="SubHeading">
    <w:name w:val="Sub Heading"/>
    <w:uiPriority w:val="99"/>
    <w:rsid w:val="00B2425D"/>
    <w:pPr>
      <w:widowControl w:val="0"/>
      <w:autoSpaceDE w:val="0"/>
      <w:autoSpaceDN w:val="0"/>
      <w:adjustRightInd w:val="0"/>
      <w:spacing w:before="240" w:after="40"/>
    </w:pPr>
    <w:rPr>
      <w:rFonts w:ascii="Times New Roman" w:hAnsi="Times New Roman" w:cs="Times New Roman"/>
    </w:rPr>
  </w:style>
  <w:style w:type="paragraph" w:styleId="af2">
    <w:name w:val="Title"/>
    <w:basedOn w:val="a"/>
    <w:next w:val="a"/>
    <w:link w:val="af3"/>
    <w:uiPriority w:val="10"/>
    <w:qFormat/>
    <w:rsid w:val="00B2425D"/>
    <w:pPr>
      <w:widowControl w:val="0"/>
      <w:autoSpaceDE w:val="0"/>
      <w:autoSpaceDN w:val="0"/>
      <w:adjustRightInd w:val="0"/>
      <w:spacing w:after="240" w:line="240" w:lineRule="auto"/>
      <w:jc w:val="center"/>
    </w:pPr>
    <w:rPr>
      <w:rFonts w:cs="Calibri"/>
      <w:b/>
      <w:bCs/>
      <w:sz w:val="32"/>
      <w:szCs w:val="32"/>
    </w:rPr>
  </w:style>
  <w:style w:type="character" w:customStyle="1" w:styleId="af3">
    <w:name w:val="Заголовок Знак"/>
    <w:basedOn w:val="a0"/>
    <w:link w:val="af2"/>
    <w:uiPriority w:val="10"/>
    <w:locked/>
    <w:rsid w:val="00B2425D"/>
    <w:rPr>
      <w:rFonts w:ascii="Times New Roman" w:hAnsi="Times New Roman" w:cs="Times New Roman"/>
      <w:b/>
      <w:sz w:val="32"/>
    </w:rPr>
  </w:style>
  <w:style w:type="paragraph" w:customStyle="1" w:styleId="SubTitle">
    <w:name w:val="Sub Title"/>
    <w:uiPriority w:val="99"/>
    <w:rsid w:val="00B2425D"/>
    <w:pPr>
      <w:widowControl w:val="0"/>
      <w:autoSpaceDE w:val="0"/>
      <w:autoSpaceDN w:val="0"/>
      <w:adjustRightInd w:val="0"/>
      <w:spacing w:after="24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ubHeading1">
    <w:name w:val="Sub Heading1"/>
    <w:uiPriority w:val="99"/>
    <w:rsid w:val="00B2425D"/>
    <w:pPr>
      <w:widowControl w:val="0"/>
      <w:autoSpaceDE w:val="0"/>
      <w:autoSpaceDN w:val="0"/>
      <w:adjustRightInd w:val="0"/>
      <w:spacing w:before="80" w:after="20"/>
    </w:pPr>
    <w:rPr>
      <w:rFonts w:ascii="Times New Roman" w:hAnsi="Times New Roman" w:cs="Times New Roman"/>
    </w:rPr>
  </w:style>
  <w:style w:type="paragraph" w:customStyle="1" w:styleId="Headingbalance">
    <w:name w:val="Heading_balance"/>
    <w:uiPriority w:val="99"/>
    <w:rsid w:val="00B2425D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hAnsi="Times New Roman" w:cs="Times New Roman"/>
      <w:b/>
      <w:bCs/>
    </w:rPr>
  </w:style>
  <w:style w:type="paragraph" w:customStyle="1" w:styleId="SpacedNormal">
    <w:name w:val="Spaced Normal"/>
    <w:uiPriority w:val="99"/>
    <w:rsid w:val="00B2425D"/>
    <w:pPr>
      <w:widowControl w:val="0"/>
      <w:autoSpaceDE w:val="0"/>
      <w:autoSpaceDN w:val="0"/>
      <w:adjustRightInd w:val="0"/>
      <w:spacing w:before="120" w:after="40"/>
    </w:pPr>
    <w:rPr>
      <w:rFonts w:ascii="Times New Roman" w:hAnsi="Times New Roman" w:cs="Times New Roman"/>
    </w:rPr>
  </w:style>
  <w:style w:type="paragraph" w:customStyle="1" w:styleId="ThinDelim">
    <w:name w:val="Thin Delim"/>
    <w:uiPriority w:val="99"/>
    <w:rsid w:val="00B2425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16"/>
      <w:szCs w:val="16"/>
    </w:rPr>
  </w:style>
  <w:style w:type="character" w:customStyle="1" w:styleId="Subst">
    <w:name w:val="Subst"/>
    <w:uiPriority w:val="99"/>
    <w:rsid w:val="00B2425D"/>
    <w:rPr>
      <w:b/>
      <w:i/>
    </w:rPr>
  </w:style>
  <w:style w:type="paragraph" w:styleId="af4">
    <w:name w:val="Balloon Text"/>
    <w:basedOn w:val="a"/>
    <w:link w:val="af5"/>
    <w:uiPriority w:val="99"/>
    <w:semiHidden/>
    <w:unhideWhenUsed/>
    <w:rsid w:val="00B2425D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B2425D"/>
    <w:rPr>
      <w:rFonts w:ascii="Segoe UI" w:hAnsi="Segoe UI" w:cs="Times New Roman"/>
      <w:sz w:val="18"/>
    </w:rPr>
  </w:style>
  <w:style w:type="paragraph" w:styleId="af6">
    <w:name w:val="No Spacing"/>
    <w:uiPriority w:val="1"/>
    <w:qFormat/>
    <w:rsid w:val="00B2425D"/>
    <w:rPr>
      <w:rFonts w:ascii="Times New Roman" w:hAnsi="Times New Roman" w:cs="Times New Roman"/>
      <w:sz w:val="24"/>
      <w:szCs w:val="24"/>
    </w:rPr>
  </w:style>
  <w:style w:type="paragraph" w:styleId="af7">
    <w:name w:val="Revision"/>
    <w:hidden/>
    <w:uiPriority w:val="99"/>
    <w:semiHidden/>
    <w:rsid w:val="00B2425D"/>
    <w:rPr>
      <w:rFonts w:ascii="Times New Roman" w:hAnsi="Times New Roman" w:cs="Times New Roman"/>
    </w:rPr>
  </w:style>
  <w:style w:type="table" w:styleId="af8">
    <w:name w:val="Table Grid"/>
    <w:basedOn w:val="a1"/>
    <w:uiPriority w:val="39"/>
    <w:rsid w:val="00B2425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B2425D"/>
    <w:rPr>
      <w:rFonts w:cs="Times New Roman"/>
      <w:color w:val="954F72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B2425D"/>
    <w:pPr>
      <w:spacing w:after="0" w:line="240" w:lineRule="auto"/>
    </w:pPr>
    <w:rPr>
      <w:rFonts w:cs="Calibri"/>
      <w:i/>
      <w:iCs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locked/>
    <w:rsid w:val="00B2425D"/>
    <w:rPr>
      <w:rFonts w:ascii="Times New Roman" w:hAnsi="Times New Roman" w:cs="Times New Roman"/>
      <w:i/>
      <w:sz w:val="24"/>
    </w:rPr>
  </w:style>
  <w:style w:type="character" w:styleId="HTML1">
    <w:name w:val="HTML Code"/>
    <w:basedOn w:val="a0"/>
    <w:uiPriority w:val="99"/>
    <w:semiHidden/>
    <w:unhideWhenUsed/>
    <w:rsid w:val="00B2425D"/>
    <w:rPr>
      <w:rFonts w:ascii="Courier New" w:hAnsi="Courier New" w:cs="Times New Roman"/>
      <w:sz w:val="20"/>
    </w:rPr>
  </w:style>
  <w:style w:type="character" w:styleId="afa">
    <w:name w:val="Emphasis"/>
    <w:aliases w:val="Heading 2 Char1"/>
    <w:basedOn w:val="a0"/>
    <w:uiPriority w:val="20"/>
    <w:qFormat/>
    <w:rsid w:val="00B2425D"/>
    <w:rPr>
      <w:rFonts w:cs="Times New Roman"/>
      <w:b/>
    </w:rPr>
  </w:style>
  <w:style w:type="paragraph" w:styleId="afb">
    <w:name w:val="Body Text"/>
    <w:basedOn w:val="a"/>
    <w:link w:val="afc"/>
    <w:uiPriority w:val="99"/>
    <w:unhideWhenUsed/>
    <w:rsid w:val="00B2425D"/>
    <w:pPr>
      <w:spacing w:after="0" w:line="240" w:lineRule="auto"/>
    </w:pPr>
    <w:rPr>
      <w:rFonts w:ascii="Arial" w:hAnsi="Arial" w:cs="Calibri"/>
      <w:sz w:val="20"/>
    </w:rPr>
  </w:style>
  <w:style w:type="character" w:customStyle="1" w:styleId="afc">
    <w:name w:val="Основной текст Знак"/>
    <w:basedOn w:val="a0"/>
    <w:link w:val="afb"/>
    <w:uiPriority w:val="99"/>
    <w:locked/>
    <w:rsid w:val="00B2425D"/>
    <w:rPr>
      <w:rFonts w:ascii="Arial" w:hAnsi="Arial" w:cs="Times New Roman"/>
      <w:sz w:val="22"/>
    </w:rPr>
  </w:style>
  <w:style w:type="paragraph" w:styleId="22">
    <w:name w:val="Body Text 2"/>
    <w:basedOn w:val="afb"/>
    <w:link w:val="24"/>
    <w:uiPriority w:val="99"/>
    <w:unhideWhenUsed/>
    <w:qFormat/>
    <w:rsid w:val="00B2425D"/>
    <w:pPr>
      <w:ind w:left="476"/>
    </w:pPr>
    <w:rPr>
      <w:color w:val="000066"/>
    </w:rPr>
  </w:style>
  <w:style w:type="character" w:customStyle="1" w:styleId="24">
    <w:name w:val="Основной текст 2 Знак"/>
    <w:basedOn w:val="a0"/>
    <w:link w:val="22"/>
    <w:uiPriority w:val="99"/>
    <w:locked/>
    <w:rsid w:val="00B2425D"/>
    <w:rPr>
      <w:rFonts w:ascii="Arial" w:hAnsi="Arial" w:cs="Times New Roman"/>
      <w:color w:val="000066"/>
      <w:sz w:val="22"/>
    </w:rPr>
  </w:style>
  <w:style w:type="character" w:styleId="HTML2">
    <w:name w:val="HTML Keyboard"/>
    <w:basedOn w:val="a0"/>
    <w:uiPriority w:val="99"/>
    <w:semiHidden/>
    <w:unhideWhenUsed/>
    <w:rsid w:val="00B2425D"/>
    <w:rPr>
      <w:rFonts w:ascii="Courier New" w:hAnsi="Courier New" w:cs="Times New Roman"/>
      <w:sz w:val="20"/>
    </w:rPr>
  </w:style>
  <w:style w:type="paragraph" w:styleId="HTML3">
    <w:name w:val="HTML Preformatted"/>
    <w:basedOn w:val="a"/>
    <w:link w:val="HTML4"/>
    <w:uiPriority w:val="99"/>
    <w:semiHidden/>
    <w:unhideWhenUsed/>
    <w:rsid w:val="00B242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sid w:val="00B2425D"/>
    <w:rPr>
      <w:rFonts w:ascii="Courier New" w:eastAsia="MS Mincho" w:hAnsi="Courier New" w:cs="Times New Roman"/>
    </w:rPr>
  </w:style>
  <w:style w:type="character" w:styleId="HTML5">
    <w:name w:val="HTML Sample"/>
    <w:basedOn w:val="a0"/>
    <w:uiPriority w:val="99"/>
    <w:semiHidden/>
    <w:unhideWhenUsed/>
    <w:rsid w:val="00B2425D"/>
    <w:rPr>
      <w:rFonts w:ascii="Courier New" w:hAnsi="Courier New" w:cs="Times New Roman"/>
    </w:rPr>
  </w:style>
  <w:style w:type="character" w:styleId="afd">
    <w:name w:val="Strong"/>
    <w:basedOn w:val="a0"/>
    <w:uiPriority w:val="22"/>
    <w:qFormat/>
    <w:rsid w:val="00B2425D"/>
    <w:rPr>
      <w:rFonts w:ascii="Arial" w:hAnsi="Arial" w:cs="Times New Roman"/>
      <w:b/>
      <w:sz w:val="18"/>
    </w:rPr>
  </w:style>
  <w:style w:type="character" w:styleId="HTML6">
    <w:name w:val="HTML Typewriter"/>
    <w:basedOn w:val="a0"/>
    <w:uiPriority w:val="99"/>
    <w:unhideWhenUsed/>
    <w:rsid w:val="00B2425D"/>
    <w:rPr>
      <w:rFonts w:ascii="Courier New" w:hAnsi="Courier New" w:cs="Times New Roman"/>
      <w:sz w:val="20"/>
    </w:rPr>
  </w:style>
  <w:style w:type="paragraph" w:styleId="afe">
    <w:name w:val="Normal (Web)"/>
    <w:aliases w:val="Char Char Char Char Char Char Char Char Char Char Char Char Char Char Char Char Char Char Char"/>
    <w:basedOn w:val="1"/>
    <w:next w:val="a"/>
    <w:autoRedefine/>
    <w:uiPriority w:val="99"/>
    <w:unhideWhenUsed/>
    <w:qFormat/>
    <w:rsid w:val="00B2425D"/>
    <w:pPr>
      <w:keepNext w:val="0"/>
      <w:keepLines/>
      <w:numPr>
        <w:numId w:val="0"/>
      </w:numPr>
      <w:tabs>
        <w:tab w:val="num" w:pos="1492"/>
      </w:tabs>
      <w:spacing w:before="480" w:after="240" w:line="276" w:lineRule="auto"/>
      <w:ind w:left="720" w:hanging="360"/>
      <w:jc w:val="both"/>
      <w:outlineLvl w:val="9"/>
    </w:pPr>
    <w:rPr>
      <w:rFonts w:ascii="Cambria" w:eastAsia="MS Gothic" w:hAnsi="Cambria" w:cs="Calibri"/>
      <w:color w:val="365F91"/>
      <w:kern w:val="0"/>
      <w:sz w:val="28"/>
      <w:szCs w:val="28"/>
    </w:rPr>
  </w:style>
  <w:style w:type="paragraph" w:styleId="13">
    <w:name w:val="index 1"/>
    <w:basedOn w:val="a"/>
    <w:next w:val="a"/>
    <w:autoRedefine/>
    <w:uiPriority w:val="99"/>
    <w:semiHidden/>
    <w:unhideWhenUsed/>
    <w:rsid w:val="00B2425D"/>
    <w:pPr>
      <w:spacing w:after="0" w:line="240" w:lineRule="auto"/>
      <w:ind w:left="220" w:hanging="220"/>
    </w:pPr>
    <w:rPr>
      <w:rFonts w:eastAsia="MS Mincho" w:cs="Calibri"/>
      <w:szCs w:val="24"/>
    </w:rPr>
  </w:style>
  <w:style w:type="paragraph" w:styleId="aff">
    <w:name w:val="Closing"/>
    <w:basedOn w:val="a"/>
    <w:link w:val="aff0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  <w:ind w:left="4252"/>
    </w:pPr>
    <w:rPr>
      <w:rFonts w:ascii="Calibri" w:hAnsi="Calibri" w:cs="Calibri"/>
      <w:szCs w:val="24"/>
    </w:rPr>
  </w:style>
  <w:style w:type="character" w:customStyle="1" w:styleId="aff0">
    <w:name w:val="Прощание Знак"/>
    <w:basedOn w:val="a0"/>
    <w:link w:val="aff"/>
    <w:uiPriority w:val="99"/>
    <w:semiHidden/>
    <w:locked/>
    <w:rsid w:val="00B2425D"/>
    <w:rPr>
      <w:rFonts w:cs="Times New Roman"/>
      <w:sz w:val="24"/>
    </w:rPr>
  </w:style>
  <w:style w:type="character" w:customStyle="1" w:styleId="25">
    <w:name w:val="Текст макроса Знак2"/>
    <w:link w:val="aff1"/>
    <w:semiHidden/>
    <w:locked/>
    <w:rsid w:val="00B2425D"/>
    <w:rPr>
      <w:rFonts w:ascii="Courier New" w:hAnsi="Courier New"/>
    </w:rPr>
  </w:style>
  <w:style w:type="paragraph" w:styleId="aff2">
    <w:name w:val="List"/>
    <w:basedOn w:val="afb"/>
    <w:uiPriority w:val="99"/>
    <w:unhideWhenUsed/>
    <w:rsid w:val="00B2425D"/>
    <w:pPr>
      <w:numPr>
        <w:numId w:val="3"/>
      </w:numPr>
      <w:tabs>
        <w:tab w:val="clear" w:pos="360"/>
        <w:tab w:val="num" w:pos="643"/>
        <w:tab w:val="num" w:pos="926"/>
      </w:tabs>
      <w:spacing w:after="60"/>
      <w:ind w:left="720"/>
    </w:pPr>
  </w:style>
  <w:style w:type="paragraph" w:styleId="26">
    <w:name w:val="List 2"/>
    <w:basedOn w:val="aff2"/>
    <w:uiPriority w:val="99"/>
    <w:unhideWhenUsed/>
    <w:rsid w:val="00B2425D"/>
    <w:pPr>
      <w:numPr>
        <w:numId w:val="4"/>
      </w:numPr>
      <w:tabs>
        <w:tab w:val="num" w:pos="1209"/>
      </w:tabs>
      <w:ind w:left="1209"/>
    </w:pPr>
  </w:style>
  <w:style w:type="paragraph" w:styleId="aff3">
    <w:name w:val="List Bullet"/>
    <w:basedOn w:val="afb"/>
    <w:uiPriority w:val="99"/>
    <w:unhideWhenUsed/>
    <w:rsid w:val="00B2425D"/>
    <w:pPr>
      <w:numPr>
        <w:numId w:val="9"/>
      </w:numPr>
      <w:tabs>
        <w:tab w:val="num" w:pos="476"/>
        <w:tab w:val="num" w:pos="643"/>
        <w:tab w:val="num" w:pos="926"/>
        <w:tab w:val="num" w:pos="7937"/>
      </w:tabs>
      <w:spacing w:after="60"/>
      <w:ind w:left="476" w:hanging="476"/>
    </w:pPr>
  </w:style>
  <w:style w:type="paragraph" w:styleId="27">
    <w:name w:val="List Bullet 2"/>
    <w:basedOn w:val="aff3"/>
    <w:uiPriority w:val="99"/>
    <w:unhideWhenUsed/>
    <w:rsid w:val="00B2425D"/>
    <w:pPr>
      <w:numPr>
        <w:numId w:val="2"/>
      </w:numPr>
      <w:tabs>
        <w:tab w:val="clear" w:pos="643"/>
        <w:tab w:val="clear" w:pos="7937"/>
        <w:tab w:val="num" w:pos="953"/>
      </w:tabs>
      <w:ind w:left="953" w:hanging="477"/>
    </w:pPr>
  </w:style>
  <w:style w:type="paragraph" w:styleId="aff4">
    <w:name w:val="List Number"/>
    <w:basedOn w:val="afb"/>
    <w:next w:val="22"/>
    <w:uiPriority w:val="99"/>
    <w:unhideWhenUsed/>
    <w:rsid w:val="00B2425D"/>
    <w:pPr>
      <w:tabs>
        <w:tab w:val="num" w:pos="476"/>
      </w:tabs>
      <w:ind w:left="476" w:hanging="476"/>
    </w:pPr>
  </w:style>
  <w:style w:type="paragraph" w:styleId="28">
    <w:name w:val="List Number 2"/>
    <w:basedOn w:val="aff4"/>
    <w:uiPriority w:val="99"/>
    <w:unhideWhenUsed/>
    <w:rsid w:val="00B2425D"/>
    <w:pPr>
      <w:numPr>
        <w:numId w:val="11"/>
      </w:numPr>
      <w:tabs>
        <w:tab w:val="num" w:pos="926"/>
        <w:tab w:val="num" w:pos="952"/>
      </w:tabs>
      <w:ind w:left="952" w:hanging="567"/>
    </w:pPr>
  </w:style>
  <w:style w:type="paragraph" w:styleId="aff5">
    <w:name w:val="Signature"/>
    <w:basedOn w:val="a"/>
    <w:link w:val="aff6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  <w:ind w:left="4252"/>
    </w:pPr>
    <w:rPr>
      <w:rFonts w:ascii="Calibri" w:hAnsi="Calibri" w:cs="Calibri"/>
      <w:szCs w:val="24"/>
    </w:rPr>
  </w:style>
  <w:style w:type="character" w:customStyle="1" w:styleId="aff6">
    <w:name w:val="Подпись Знак"/>
    <w:basedOn w:val="a0"/>
    <w:link w:val="aff5"/>
    <w:uiPriority w:val="99"/>
    <w:semiHidden/>
    <w:locked/>
    <w:rsid w:val="00B2425D"/>
    <w:rPr>
      <w:rFonts w:cs="Times New Roman"/>
      <w:sz w:val="24"/>
    </w:rPr>
  </w:style>
  <w:style w:type="paragraph" w:styleId="aff7">
    <w:name w:val="Message Header"/>
    <w:basedOn w:val="a"/>
    <w:link w:val="aff8"/>
    <w:uiPriority w:val="99"/>
    <w:semiHidden/>
    <w:unhideWhenUsed/>
    <w:rsid w:val="00B2425D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before="20" w:after="40" w:line="240" w:lineRule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f8">
    <w:name w:val="Шапка Знак"/>
    <w:basedOn w:val="a0"/>
    <w:link w:val="aff7"/>
    <w:uiPriority w:val="99"/>
    <w:semiHidden/>
    <w:locked/>
    <w:rsid w:val="00B2425D"/>
    <w:rPr>
      <w:rFonts w:ascii="Arial" w:hAnsi="Arial" w:cs="Times New Roman"/>
      <w:sz w:val="24"/>
      <w:shd w:val="pct20" w:color="auto" w:fill="auto"/>
    </w:rPr>
  </w:style>
  <w:style w:type="character" w:customStyle="1" w:styleId="aff9">
    <w:name w:val="Основной текст с отступом Знак"/>
    <w:link w:val="14"/>
    <w:semiHidden/>
    <w:locked/>
    <w:rsid w:val="00B2425D"/>
    <w:rPr>
      <w:sz w:val="24"/>
    </w:rPr>
  </w:style>
  <w:style w:type="paragraph" w:styleId="affa">
    <w:name w:val="Subtitle"/>
    <w:basedOn w:val="a"/>
    <w:next w:val="a"/>
    <w:link w:val="affb"/>
    <w:uiPriority w:val="11"/>
    <w:qFormat/>
    <w:rsid w:val="00B2425D"/>
    <w:pPr>
      <w:widowControl w:val="0"/>
      <w:autoSpaceDE w:val="0"/>
      <w:autoSpaceDN w:val="0"/>
      <w:adjustRightInd w:val="0"/>
      <w:spacing w:before="20"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b">
    <w:name w:val="Подзаголовок Знак"/>
    <w:basedOn w:val="a0"/>
    <w:link w:val="affa"/>
    <w:uiPriority w:val="11"/>
    <w:locked/>
    <w:rsid w:val="00B2425D"/>
    <w:rPr>
      <w:rFonts w:ascii="Arial" w:hAnsi="Arial" w:cs="Times New Roman"/>
      <w:sz w:val="24"/>
    </w:rPr>
  </w:style>
  <w:style w:type="paragraph" w:styleId="affc">
    <w:name w:val="Salutation"/>
    <w:basedOn w:val="a"/>
    <w:next w:val="a"/>
    <w:link w:val="affd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Calibri" w:hAnsi="Calibri" w:cs="Calibri"/>
      <w:szCs w:val="24"/>
    </w:rPr>
  </w:style>
  <w:style w:type="character" w:customStyle="1" w:styleId="affd">
    <w:name w:val="Приветствие Знак"/>
    <w:basedOn w:val="a0"/>
    <w:link w:val="affc"/>
    <w:uiPriority w:val="99"/>
    <w:semiHidden/>
    <w:locked/>
    <w:rsid w:val="00B2425D"/>
    <w:rPr>
      <w:rFonts w:cs="Times New Roman"/>
      <w:sz w:val="24"/>
    </w:rPr>
  </w:style>
  <w:style w:type="paragraph" w:styleId="affe">
    <w:name w:val="Date"/>
    <w:basedOn w:val="a"/>
    <w:next w:val="a"/>
    <w:link w:val="afff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Calibri" w:hAnsi="Calibri" w:cs="Calibri"/>
      <w:szCs w:val="24"/>
    </w:rPr>
  </w:style>
  <w:style w:type="character" w:customStyle="1" w:styleId="afff">
    <w:name w:val="Дата Знак"/>
    <w:basedOn w:val="a0"/>
    <w:link w:val="affe"/>
    <w:uiPriority w:val="99"/>
    <w:semiHidden/>
    <w:locked/>
    <w:rsid w:val="00B2425D"/>
    <w:rPr>
      <w:rFonts w:cs="Times New Roman"/>
      <w:sz w:val="24"/>
    </w:rPr>
  </w:style>
  <w:style w:type="paragraph" w:styleId="afff0">
    <w:name w:val="Note Heading"/>
    <w:basedOn w:val="a"/>
    <w:next w:val="a"/>
    <w:link w:val="afff1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Calibri" w:hAnsi="Calibri" w:cs="Calibri"/>
      <w:szCs w:val="24"/>
    </w:rPr>
  </w:style>
  <w:style w:type="character" w:customStyle="1" w:styleId="afff1">
    <w:name w:val="Заголовок записки Знак"/>
    <w:basedOn w:val="a0"/>
    <w:link w:val="afff0"/>
    <w:uiPriority w:val="99"/>
    <w:semiHidden/>
    <w:locked/>
    <w:rsid w:val="00B2425D"/>
    <w:rPr>
      <w:rFonts w:cs="Times New Roman"/>
      <w:sz w:val="24"/>
    </w:rPr>
  </w:style>
  <w:style w:type="character" w:customStyle="1" w:styleId="29">
    <w:name w:val="Красная строка Знак2"/>
    <w:link w:val="afff2"/>
    <w:semiHidden/>
    <w:locked/>
    <w:rsid w:val="00B2425D"/>
    <w:rPr>
      <w:rFonts w:ascii="Arial" w:hAnsi="Arial"/>
    </w:rPr>
  </w:style>
  <w:style w:type="paragraph" w:customStyle="1" w:styleId="14">
    <w:name w:val="Основной текст с отступом1"/>
    <w:basedOn w:val="a"/>
    <w:next w:val="afff3"/>
    <w:link w:val="aff9"/>
    <w:semiHidden/>
    <w:unhideWhenUsed/>
    <w:rsid w:val="00B2425D"/>
    <w:pPr>
      <w:spacing w:after="120" w:line="240" w:lineRule="auto"/>
      <w:ind w:left="283"/>
    </w:pPr>
    <w:rPr>
      <w:rFonts w:ascii="Calibri" w:hAnsi="Calibri" w:cs="Calibri"/>
      <w:sz w:val="24"/>
      <w:szCs w:val="20"/>
    </w:rPr>
  </w:style>
  <w:style w:type="character" w:customStyle="1" w:styleId="15">
    <w:name w:val="Основной текст с отступом Знак1"/>
    <w:semiHidden/>
    <w:rsid w:val="00B2425D"/>
    <w:rPr>
      <w:rFonts w:ascii="Times New Roman" w:eastAsia="MS Mincho" w:hAnsi="Times New Roman"/>
      <w:sz w:val="24"/>
    </w:rPr>
  </w:style>
  <w:style w:type="character" w:customStyle="1" w:styleId="220">
    <w:name w:val="Красная строка 2 Знак2"/>
    <w:link w:val="2a"/>
    <w:semiHidden/>
    <w:locked/>
    <w:rsid w:val="00B2425D"/>
  </w:style>
  <w:style w:type="paragraph" w:styleId="2b">
    <w:name w:val="Body Text Indent 2"/>
    <w:basedOn w:val="a"/>
    <w:link w:val="2c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120" w:line="480" w:lineRule="auto"/>
      <w:ind w:left="283"/>
    </w:pPr>
    <w:rPr>
      <w:rFonts w:ascii="Calibri" w:hAnsi="Calibri" w:cs="Calibri"/>
      <w:szCs w:val="24"/>
    </w:rPr>
  </w:style>
  <w:style w:type="character" w:customStyle="1" w:styleId="2c">
    <w:name w:val="Основной текст с отступом 2 Знак"/>
    <w:basedOn w:val="a0"/>
    <w:link w:val="2b"/>
    <w:uiPriority w:val="99"/>
    <w:semiHidden/>
    <w:locked/>
    <w:rsid w:val="00B2425D"/>
    <w:rPr>
      <w:rFonts w:cs="Times New Roman"/>
      <w:sz w:val="24"/>
    </w:rPr>
  </w:style>
  <w:style w:type="character" w:customStyle="1" w:styleId="32">
    <w:name w:val="Основной текст 3 Знак2"/>
    <w:link w:val="33"/>
    <w:uiPriority w:val="99"/>
    <w:locked/>
    <w:rsid w:val="00B2425D"/>
    <w:rPr>
      <w:rFonts w:ascii="Arial" w:hAnsi="Arial"/>
      <w:color w:val="000066"/>
      <w:sz w:val="16"/>
    </w:rPr>
  </w:style>
  <w:style w:type="paragraph" w:styleId="34">
    <w:name w:val="Body Text Indent 3"/>
    <w:basedOn w:val="a"/>
    <w:link w:val="35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locked/>
    <w:rsid w:val="00B2425D"/>
    <w:rPr>
      <w:rFonts w:cs="Times New Roman"/>
      <w:sz w:val="16"/>
    </w:rPr>
  </w:style>
  <w:style w:type="paragraph" w:styleId="afff4">
    <w:name w:val="Document Map"/>
    <w:basedOn w:val="a"/>
    <w:link w:val="afff5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ahoma" w:hAnsi="Tahoma" w:cs="Tahoma"/>
      <w:szCs w:val="24"/>
    </w:rPr>
  </w:style>
  <w:style w:type="character" w:customStyle="1" w:styleId="afff5">
    <w:name w:val="Схема документа Знак"/>
    <w:basedOn w:val="a0"/>
    <w:link w:val="afff4"/>
    <w:uiPriority w:val="99"/>
    <w:semiHidden/>
    <w:locked/>
    <w:rsid w:val="00B2425D"/>
    <w:rPr>
      <w:rFonts w:ascii="Tahoma" w:hAnsi="Tahoma" w:cs="Times New Roman"/>
      <w:sz w:val="24"/>
    </w:rPr>
  </w:style>
  <w:style w:type="paragraph" w:styleId="afff6">
    <w:name w:val="Plain Text"/>
    <w:basedOn w:val="a"/>
    <w:link w:val="afff7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Courier New" w:hAnsi="Courier New" w:cs="Courier New"/>
    </w:rPr>
  </w:style>
  <w:style w:type="character" w:customStyle="1" w:styleId="afff7">
    <w:name w:val="Текст Знак"/>
    <w:basedOn w:val="a0"/>
    <w:link w:val="afff6"/>
    <w:uiPriority w:val="99"/>
    <w:semiHidden/>
    <w:locked/>
    <w:rsid w:val="00B2425D"/>
    <w:rPr>
      <w:rFonts w:ascii="Courier New" w:hAnsi="Courier New" w:cs="Times New Roman"/>
      <w:sz w:val="22"/>
    </w:rPr>
  </w:style>
  <w:style w:type="paragraph" w:styleId="afff8">
    <w:name w:val="E-mail Signature"/>
    <w:basedOn w:val="a"/>
    <w:link w:val="afff9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Calibri" w:hAnsi="Calibri" w:cs="Calibri"/>
      <w:szCs w:val="24"/>
    </w:rPr>
  </w:style>
  <w:style w:type="character" w:customStyle="1" w:styleId="afff9">
    <w:name w:val="Электронная подпись Знак"/>
    <w:basedOn w:val="a0"/>
    <w:link w:val="afff8"/>
    <w:uiPriority w:val="99"/>
    <w:semiHidden/>
    <w:locked/>
    <w:rsid w:val="00B2425D"/>
    <w:rPr>
      <w:rFonts w:cs="Times New Roman"/>
      <w:sz w:val="24"/>
    </w:rPr>
  </w:style>
  <w:style w:type="table" w:styleId="-1">
    <w:name w:val="List Table 1 Light"/>
    <w:basedOn w:val="a1"/>
    <w:uiPriority w:val="46"/>
    <w:rsid w:val="00B2425D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character" w:customStyle="1" w:styleId="16">
    <w:name w:val="Текст примечания Знак1"/>
    <w:uiPriority w:val="99"/>
    <w:semiHidden/>
    <w:rsid w:val="00B2425D"/>
    <w:rPr>
      <w:rFonts w:ascii="Times New Roman" w:eastAsia="MS Mincho" w:hAnsi="Times New Roman"/>
      <w:sz w:val="20"/>
    </w:rPr>
  </w:style>
  <w:style w:type="paragraph" w:customStyle="1" w:styleId="Z03Arial11">
    <w:name w:val="Z0_3Arial11"/>
    <w:basedOn w:val="afb"/>
    <w:rsid w:val="00B2425D"/>
    <w:rPr>
      <w:rFonts w:cs="Arial"/>
    </w:rPr>
  </w:style>
  <w:style w:type="paragraph" w:customStyle="1" w:styleId="Z02Arial16Blank">
    <w:name w:val="Z0_2Arial16_Blank"/>
    <w:basedOn w:val="Z03Arial11"/>
    <w:next w:val="Z03Arial11"/>
    <w:rsid w:val="00B2425D"/>
    <w:rPr>
      <w:sz w:val="32"/>
      <w:szCs w:val="32"/>
    </w:rPr>
  </w:style>
  <w:style w:type="paragraph" w:customStyle="1" w:styleId="Z01Arial22CompanyName">
    <w:name w:val="Z0_1Arial22_CompanyName"/>
    <w:basedOn w:val="Z03Arial11"/>
    <w:next w:val="Z02Arial16Blank"/>
    <w:rsid w:val="00B2425D"/>
    <w:rPr>
      <w:rFonts w:ascii="Times New Roman" w:hAnsi="Times New Roman"/>
      <w:b/>
      <w:spacing w:val="-2"/>
      <w:sz w:val="44"/>
      <w:szCs w:val="44"/>
    </w:rPr>
  </w:style>
  <w:style w:type="paragraph" w:customStyle="1" w:styleId="Z1CompanyName14">
    <w:name w:val="Z1_CompanyName_14"/>
    <w:basedOn w:val="Z03Arial11"/>
    <w:next w:val="Z03Arial11"/>
    <w:rsid w:val="00B2425D"/>
    <w:rPr>
      <w:b/>
      <w:caps/>
      <w:sz w:val="28"/>
      <w:szCs w:val="28"/>
    </w:rPr>
  </w:style>
  <w:style w:type="paragraph" w:customStyle="1" w:styleId="Z1Contents">
    <w:name w:val="Z1_Contents"/>
    <w:basedOn w:val="Z03Arial11"/>
    <w:next w:val="Z03Arial11"/>
    <w:rsid w:val="00B2425D"/>
    <w:pPr>
      <w:pBdr>
        <w:bottom w:val="single" w:sz="6" w:space="2" w:color="auto"/>
      </w:pBdr>
      <w:ind w:right="28"/>
    </w:pPr>
    <w:rPr>
      <w:b/>
      <w:caps/>
    </w:rPr>
  </w:style>
  <w:style w:type="paragraph" w:customStyle="1" w:styleId="Z1Pagewd">
    <w:name w:val="Z1_Page_wd"/>
    <w:basedOn w:val="Z03Arial11"/>
    <w:next w:val="11"/>
    <w:rsid w:val="00B2425D"/>
    <w:pPr>
      <w:jc w:val="right"/>
    </w:pPr>
    <w:rPr>
      <w:b/>
    </w:rPr>
  </w:style>
  <w:style w:type="paragraph" w:customStyle="1" w:styleId="Z2Opinion">
    <w:name w:val="Z2_Opinion"/>
    <w:basedOn w:val="Z03Arial11"/>
    <w:next w:val="afb"/>
    <w:rsid w:val="00B2425D"/>
    <w:rPr>
      <w:b/>
      <w:caps/>
    </w:rPr>
  </w:style>
  <w:style w:type="paragraph" w:customStyle="1" w:styleId="ZX1CompanyName12">
    <w:name w:val="ZX_1CompanyName_12"/>
    <w:basedOn w:val="Z03Arial11"/>
    <w:rsid w:val="00B2425D"/>
    <w:rPr>
      <w:b/>
      <w:caps/>
      <w:sz w:val="24"/>
      <w:szCs w:val="24"/>
    </w:rPr>
  </w:style>
  <w:style w:type="paragraph" w:customStyle="1" w:styleId="ZX2Subhead">
    <w:name w:val="ZX_2Subhead"/>
    <w:basedOn w:val="Z03Arial11"/>
    <w:next w:val="afb"/>
    <w:rsid w:val="00B2425D"/>
    <w:rPr>
      <w:b/>
      <w:caps/>
      <w:szCs w:val="20"/>
    </w:rPr>
  </w:style>
  <w:style w:type="paragraph" w:customStyle="1" w:styleId="ZX3Currency">
    <w:name w:val="ZX_3Currency"/>
    <w:basedOn w:val="Z03Arial11"/>
    <w:next w:val="afb"/>
    <w:rsid w:val="00B2425D"/>
    <w:pPr>
      <w:pBdr>
        <w:bottom w:val="single" w:sz="6" w:space="0" w:color="auto"/>
      </w:pBdr>
      <w:ind w:right="28"/>
    </w:pPr>
    <w:rPr>
      <w:b/>
      <w:i/>
      <w:szCs w:val="20"/>
    </w:rPr>
  </w:style>
  <w:style w:type="paragraph" w:customStyle="1" w:styleId="tblText00">
    <w:name w:val="tbl'Text_00"/>
    <w:basedOn w:val="afb"/>
    <w:rsid w:val="00B2425D"/>
    <w:rPr>
      <w:sz w:val="18"/>
      <w:szCs w:val="20"/>
    </w:rPr>
  </w:style>
  <w:style w:type="paragraph" w:customStyle="1" w:styleId="tblHeaderText">
    <w:name w:val="tbl'HeaderText"/>
    <w:basedOn w:val="tblText00"/>
    <w:rsid w:val="00B2425D"/>
    <w:pPr>
      <w:jc w:val="center"/>
    </w:pPr>
    <w:rPr>
      <w:b/>
      <w:spacing w:val="-2"/>
    </w:rPr>
  </w:style>
  <w:style w:type="paragraph" w:customStyle="1" w:styleId="tblNumber00">
    <w:name w:val="tbl'Number_00"/>
    <w:basedOn w:val="tblText00"/>
    <w:rsid w:val="00B2425D"/>
    <w:pPr>
      <w:jc w:val="right"/>
    </w:pPr>
  </w:style>
  <w:style w:type="character" w:customStyle="1" w:styleId="tblNumber01Char">
    <w:name w:val="tbl'Number_01 Char"/>
    <w:link w:val="tblNumber01"/>
    <w:locked/>
    <w:rsid w:val="00B2425D"/>
    <w:rPr>
      <w:rFonts w:ascii="Arial" w:hAnsi="Arial"/>
      <w:color w:val="000066"/>
      <w:sz w:val="18"/>
    </w:rPr>
  </w:style>
  <w:style w:type="paragraph" w:customStyle="1" w:styleId="tblNumber01">
    <w:name w:val="tbl'Number_01"/>
    <w:basedOn w:val="tblText00"/>
    <w:link w:val="tblNumber01Char"/>
    <w:rsid w:val="00B2425D"/>
    <w:pPr>
      <w:ind w:right="57"/>
      <w:jc w:val="right"/>
    </w:pPr>
    <w:rPr>
      <w:color w:val="000066"/>
    </w:rPr>
  </w:style>
  <w:style w:type="paragraph" w:customStyle="1" w:styleId="tblNumberDash">
    <w:name w:val="tbl'Number_Dash"/>
    <w:basedOn w:val="tblText00"/>
    <w:rsid w:val="00B2425D"/>
    <w:pPr>
      <w:ind w:right="74"/>
      <w:jc w:val="right"/>
    </w:pPr>
  </w:style>
  <w:style w:type="character" w:customStyle="1" w:styleId="tblText02Char">
    <w:name w:val="tbl'Text_02 Char"/>
    <w:link w:val="tblText02"/>
    <w:locked/>
    <w:rsid w:val="00B2425D"/>
    <w:rPr>
      <w:rFonts w:ascii="Arial" w:hAnsi="Arial"/>
      <w:color w:val="000066"/>
      <w:sz w:val="18"/>
    </w:rPr>
  </w:style>
  <w:style w:type="paragraph" w:customStyle="1" w:styleId="tblText02">
    <w:name w:val="tbl'Text_02"/>
    <w:basedOn w:val="tblText00"/>
    <w:link w:val="tblText02Char"/>
    <w:rsid w:val="00B2425D"/>
    <w:pPr>
      <w:ind w:left="113" w:hanging="113"/>
    </w:pPr>
    <w:rPr>
      <w:color w:val="000066"/>
    </w:rPr>
  </w:style>
  <w:style w:type="paragraph" w:customStyle="1" w:styleId="tblText05">
    <w:name w:val="tbl'Text_05"/>
    <w:basedOn w:val="tblText02"/>
    <w:rsid w:val="00B2425D"/>
    <w:pPr>
      <w:ind w:left="397"/>
    </w:pPr>
  </w:style>
  <w:style w:type="paragraph" w:customStyle="1" w:styleId="tblText10">
    <w:name w:val="tbl'Text_10"/>
    <w:basedOn w:val="tblText05"/>
    <w:rsid w:val="00B2425D"/>
    <w:pPr>
      <w:ind w:left="680"/>
    </w:pPr>
  </w:style>
  <w:style w:type="paragraph" w:customStyle="1" w:styleId="tblText15">
    <w:name w:val="tbl'Text_15"/>
    <w:basedOn w:val="tblText10"/>
    <w:rsid w:val="00B2425D"/>
    <w:pPr>
      <w:ind w:left="964"/>
    </w:pPr>
  </w:style>
  <w:style w:type="paragraph" w:customStyle="1" w:styleId="tblTextRegCaps">
    <w:name w:val="tbl'Text_Reg_Caps"/>
    <w:basedOn w:val="tblText02"/>
    <w:rsid w:val="00B2425D"/>
    <w:rPr>
      <w:caps/>
    </w:rPr>
  </w:style>
  <w:style w:type="paragraph" w:customStyle="1" w:styleId="Disclaimer">
    <w:name w:val="Disclaimer"/>
    <w:basedOn w:val="afb"/>
    <w:rsid w:val="00B2425D"/>
    <w:pPr>
      <w:jc w:val="center"/>
    </w:pPr>
    <w:rPr>
      <w:caps/>
      <w:sz w:val="14"/>
      <w:szCs w:val="16"/>
    </w:rPr>
  </w:style>
  <w:style w:type="paragraph" w:customStyle="1" w:styleId="GreyBox">
    <w:name w:val="GreyBox"/>
    <w:basedOn w:val="afb"/>
    <w:rsid w:val="00B2425D"/>
    <w:pPr>
      <w:keepNext/>
      <w:pageBreakBefore/>
      <w:widowControl w:val="0"/>
      <w:pBdr>
        <w:top w:val="double" w:sz="6" w:space="6" w:color="auto"/>
        <w:left w:val="double" w:sz="6" w:space="0" w:color="auto"/>
        <w:bottom w:val="double" w:sz="6" w:space="0" w:color="auto"/>
        <w:right w:val="double" w:sz="6" w:space="0" w:color="auto"/>
      </w:pBdr>
      <w:shd w:val="pct5" w:color="auto" w:fill="auto"/>
      <w:suppressAutoHyphens/>
      <w:spacing w:before="240" w:line="360" w:lineRule="auto"/>
      <w:ind w:left="57" w:right="57"/>
      <w:jc w:val="center"/>
    </w:pPr>
    <w:rPr>
      <w:b/>
      <w:caps/>
    </w:rPr>
  </w:style>
  <w:style w:type="paragraph" w:customStyle="1" w:styleId="MLFooter">
    <w:name w:val="ML Footer"/>
    <w:basedOn w:val="afb"/>
    <w:semiHidden/>
    <w:rsid w:val="00B2425D"/>
    <w:pPr>
      <w:pBdr>
        <w:top w:val="single" w:sz="6" w:space="0" w:color="auto"/>
      </w:pBdr>
      <w:tabs>
        <w:tab w:val="right" w:pos="8789"/>
      </w:tabs>
      <w:spacing w:before="240"/>
      <w:ind w:right="28"/>
      <w:jc w:val="both"/>
    </w:pPr>
    <w:rPr>
      <w:i/>
      <w:sz w:val="24"/>
    </w:rPr>
  </w:style>
  <w:style w:type="paragraph" w:customStyle="1" w:styleId="MLHeader">
    <w:name w:val="ML Header"/>
    <w:basedOn w:val="afb"/>
    <w:semiHidden/>
    <w:rsid w:val="00B2425D"/>
    <w:pPr>
      <w:pBdr>
        <w:bottom w:val="single" w:sz="6" w:space="0" w:color="auto"/>
      </w:pBdr>
      <w:spacing w:after="220"/>
      <w:ind w:right="28"/>
      <w:jc w:val="both"/>
    </w:pPr>
    <w:rPr>
      <w:b/>
      <w:i/>
    </w:rPr>
  </w:style>
  <w:style w:type="paragraph" w:customStyle="1" w:styleId="tblBullet">
    <w:name w:val="tbl'Bullet"/>
    <w:basedOn w:val="tblText00"/>
    <w:rsid w:val="00B2425D"/>
    <w:pPr>
      <w:tabs>
        <w:tab w:val="num" w:pos="926"/>
      </w:tabs>
      <w:ind w:left="720" w:hanging="360"/>
    </w:pPr>
  </w:style>
  <w:style w:type="paragraph" w:customStyle="1" w:styleId="tblBullet2">
    <w:name w:val="tbl'Bullet 2"/>
    <w:basedOn w:val="tblBullet"/>
    <w:rsid w:val="00B2425D"/>
    <w:pPr>
      <w:numPr>
        <w:numId w:val="10"/>
      </w:numPr>
      <w:tabs>
        <w:tab w:val="num" w:pos="612"/>
        <w:tab w:val="num" w:pos="926"/>
        <w:tab w:val="num" w:pos="1209"/>
        <w:tab w:val="num" w:pos="1429"/>
        <w:tab w:val="num" w:pos="7937"/>
      </w:tabs>
      <w:ind w:left="612" w:hanging="249"/>
    </w:pPr>
  </w:style>
  <w:style w:type="paragraph" w:customStyle="1" w:styleId="Bodycopy">
    <w:name w:val="Body copy"/>
    <w:rsid w:val="00B2425D"/>
    <w:pPr>
      <w:spacing w:before="20" w:line="210" w:lineRule="exact"/>
    </w:pPr>
    <w:rPr>
      <w:rFonts w:ascii="Arial" w:eastAsia="PMingLiU" w:hAnsi="Arial" w:cs="Arial"/>
      <w:color w:val="000000"/>
      <w:sz w:val="17"/>
      <w:szCs w:val="17"/>
    </w:rPr>
  </w:style>
  <w:style w:type="paragraph" w:customStyle="1" w:styleId="Tabletext">
    <w:name w:val="Tabletext"/>
    <w:basedOn w:val="a"/>
    <w:rsid w:val="00B2425D"/>
    <w:pPr>
      <w:spacing w:before="40" w:after="40" w:line="240" w:lineRule="auto"/>
    </w:pPr>
    <w:rPr>
      <w:rFonts w:cs="Calibri"/>
      <w:sz w:val="18"/>
      <w:szCs w:val="20"/>
    </w:rPr>
  </w:style>
  <w:style w:type="paragraph" w:customStyle="1" w:styleId="Pa33">
    <w:name w:val="Pa3+3"/>
    <w:basedOn w:val="a"/>
    <w:next w:val="a"/>
    <w:uiPriority w:val="99"/>
    <w:rsid w:val="00B2425D"/>
    <w:pPr>
      <w:autoSpaceDE w:val="0"/>
      <w:autoSpaceDN w:val="0"/>
      <w:adjustRightInd w:val="0"/>
      <w:spacing w:after="0" w:line="201" w:lineRule="atLeast"/>
    </w:pPr>
    <w:rPr>
      <w:rFonts w:ascii="Trebuchet MS" w:hAnsi="Trebuchet MS" w:cs="Calibri"/>
      <w:sz w:val="24"/>
      <w:szCs w:val="24"/>
    </w:rPr>
  </w:style>
  <w:style w:type="paragraph" w:customStyle="1" w:styleId="Pa42">
    <w:name w:val="Pa4+2"/>
    <w:basedOn w:val="a"/>
    <w:next w:val="a"/>
    <w:uiPriority w:val="99"/>
    <w:rsid w:val="00B2425D"/>
    <w:pPr>
      <w:autoSpaceDE w:val="0"/>
      <w:autoSpaceDN w:val="0"/>
      <w:adjustRightInd w:val="0"/>
      <w:spacing w:after="0" w:line="171" w:lineRule="atLeast"/>
    </w:pPr>
    <w:rPr>
      <w:rFonts w:ascii="Trebuchet MS" w:hAnsi="Trebuchet MS" w:cs="Calibri"/>
      <w:sz w:val="24"/>
      <w:szCs w:val="24"/>
    </w:rPr>
  </w:style>
  <w:style w:type="character" w:customStyle="1" w:styleId="StyleABC-paragrahinNotesUnivers45Light1">
    <w:name w:val="Style ABC - paragrah in Notes + Univers 45 Light1 Знак"/>
    <w:link w:val="StyleABC-paragrahinNotesUnivers45Light10"/>
    <w:locked/>
    <w:rsid w:val="00B2425D"/>
    <w:rPr>
      <w:rFonts w:ascii="Univers 45 Light" w:hAnsi="Univers 45 Light"/>
    </w:rPr>
  </w:style>
  <w:style w:type="paragraph" w:customStyle="1" w:styleId="StyleABC-paragrahinNotesUnivers45Light10">
    <w:name w:val="Style ABC - paragrah in Notes + Univers 45 Light1"/>
    <w:basedOn w:val="a"/>
    <w:link w:val="StyleABC-paragrahinNotesUnivers45Light1"/>
    <w:rsid w:val="00B2425D"/>
    <w:pPr>
      <w:spacing w:after="240" w:line="240" w:lineRule="auto"/>
      <w:jc w:val="both"/>
    </w:pPr>
    <w:rPr>
      <w:rFonts w:ascii="Univers 45 Light" w:hAnsi="Univers 45 Light" w:cs="Calibri"/>
      <w:sz w:val="20"/>
      <w:szCs w:val="20"/>
    </w:rPr>
  </w:style>
  <w:style w:type="paragraph" w:customStyle="1" w:styleId="StyleABC-paragrahinNotesBold1">
    <w:name w:val="Style ABC - paragrah in Notes + Bold1"/>
    <w:basedOn w:val="a"/>
    <w:rsid w:val="00B2425D"/>
    <w:pPr>
      <w:spacing w:after="240" w:line="240" w:lineRule="auto"/>
      <w:jc w:val="both"/>
    </w:pPr>
    <w:rPr>
      <w:rFonts w:ascii="Univers 45 Light" w:hAnsi="Univers 45 Light" w:cs="Calibri"/>
      <w:b/>
      <w:bCs/>
      <w:sz w:val="20"/>
      <w:szCs w:val="20"/>
    </w:rPr>
  </w:style>
  <w:style w:type="character" w:customStyle="1" w:styleId="ABC-paragrahinNotes">
    <w:name w:val="ABC - paragrah in Notes Знак"/>
    <w:link w:val="ABC-paragrahinNotes0"/>
    <w:locked/>
    <w:rsid w:val="00B2425D"/>
    <w:rPr>
      <w:rFonts w:ascii="Univers 45 Light" w:hAnsi="Univers 45 Light"/>
    </w:rPr>
  </w:style>
  <w:style w:type="paragraph" w:customStyle="1" w:styleId="ABC-paragrahinNotes0">
    <w:name w:val="ABC - paragrah in Notes"/>
    <w:link w:val="ABC-paragrahinNotes"/>
    <w:rsid w:val="00B2425D"/>
    <w:pPr>
      <w:spacing w:after="240"/>
      <w:jc w:val="both"/>
    </w:pPr>
    <w:rPr>
      <w:rFonts w:ascii="Univers 45 Light" w:hAnsi="Univers 45 Light"/>
    </w:rPr>
  </w:style>
  <w:style w:type="paragraph" w:customStyle="1" w:styleId="Tabletext0">
    <w:name w:val="Table text"/>
    <w:basedOn w:val="a"/>
    <w:rsid w:val="00B2425D"/>
    <w:pPr>
      <w:spacing w:after="0" w:line="240" w:lineRule="auto"/>
      <w:ind w:left="85" w:hanging="85"/>
    </w:pPr>
    <w:rPr>
      <w:rFonts w:ascii="Univers 45 Light" w:hAnsi="Univers 45 Light" w:cs="Calibri"/>
      <w:sz w:val="18"/>
      <w:szCs w:val="20"/>
    </w:rPr>
  </w:style>
  <w:style w:type="paragraph" w:customStyle="1" w:styleId="Tablenumbers1">
    <w:name w:val="Table numbers1"/>
    <w:rsid w:val="00B2425D"/>
    <w:pPr>
      <w:tabs>
        <w:tab w:val="decimal" w:pos="1503"/>
      </w:tabs>
      <w:ind w:right="-56"/>
    </w:pPr>
    <w:rPr>
      <w:rFonts w:ascii="Times New Roman" w:hAnsi="Times New Roman" w:cs="Times New Roman"/>
      <w:sz w:val="18"/>
    </w:rPr>
  </w:style>
  <w:style w:type="paragraph" w:customStyle="1" w:styleId="Normaltext">
    <w:name w:val="Normal text"/>
    <w:basedOn w:val="a"/>
    <w:rsid w:val="00B2425D"/>
    <w:pPr>
      <w:overflowPunct w:val="0"/>
      <w:autoSpaceDE w:val="0"/>
      <w:autoSpaceDN w:val="0"/>
      <w:adjustRightInd w:val="0"/>
      <w:spacing w:after="0" w:line="240" w:lineRule="atLeast"/>
      <w:ind w:right="568"/>
      <w:jc w:val="both"/>
    </w:pPr>
    <w:rPr>
      <w:rFonts w:cs="Calibri"/>
      <w:sz w:val="24"/>
      <w:szCs w:val="24"/>
    </w:rPr>
  </w:style>
  <w:style w:type="paragraph" w:customStyle="1" w:styleId="200Tableleft">
    <w:name w:val="200 Table left"/>
    <w:basedOn w:val="a"/>
    <w:rsid w:val="00B2425D"/>
    <w:pPr>
      <w:overflowPunct w:val="0"/>
      <w:autoSpaceDE w:val="0"/>
      <w:autoSpaceDN w:val="0"/>
      <w:adjustRightInd w:val="0"/>
      <w:spacing w:before="20" w:after="0" w:line="200" w:lineRule="exact"/>
    </w:pPr>
    <w:rPr>
      <w:rFonts w:ascii="Garamond" w:hAnsi="Garamond" w:cs="Calibri"/>
      <w:sz w:val="20"/>
      <w:szCs w:val="20"/>
    </w:rPr>
  </w:style>
  <w:style w:type="character" w:customStyle="1" w:styleId="000NormalChar">
    <w:name w:val="000 Normal Char"/>
    <w:link w:val="000Normal"/>
    <w:locked/>
    <w:rsid w:val="00B2425D"/>
    <w:rPr>
      <w:rFonts w:ascii="Garamond" w:hAnsi="Garamond"/>
    </w:rPr>
  </w:style>
  <w:style w:type="paragraph" w:customStyle="1" w:styleId="000Normal">
    <w:name w:val="000 Normal"/>
    <w:basedOn w:val="a"/>
    <w:link w:val="000NormalChar"/>
    <w:rsid w:val="00B2425D"/>
    <w:pPr>
      <w:overflowPunct w:val="0"/>
      <w:autoSpaceDE w:val="0"/>
      <w:autoSpaceDN w:val="0"/>
      <w:adjustRightInd w:val="0"/>
      <w:spacing w:before="60" w:after="40" w:line="220" w:lineRule="exact"/>
      <w:jc w:val="both"/>
    </w:pPr>
    <w:rPr>
      <w:rFonts w:ascii="Garamond" w:hAnsi="Garamond" w:cs="Calibri"/>
      <w:sz w:val="20"/>
      <w:szCs w:val="20"/>
    </w:rPr>
  </w:style>
  <w:style w:type="character" w:customStyle="1" w:styleId="NotesbulletpointChar">
    <w:name w:val="Notes bullet point Char"/>
    <w:link w:val="Notesbulletpoint"/>
    <w:locked/>
    <w:rsid w:val="00B2425D"/>
    <w:rPr>
      <w:rFonts w:ascii="EYInterstate Light" w:hAnsi="EYInterstate Light"/>
      <w:sz w:val="18"/>
    </w:rPr>
  </w:style>
  <w:style w:type="paragraph" w:customStyle="1" w:styleId="Notesbulletpoint">
    <w:name w:val="Notes bullet point"/>
    <w:link w:val="NotesbulletpointChar"/>
    <w:rsid w:val="00B2425D"/>
    <w:pPr>
      <w:tabs>
        <w:tab w:val="num" w:pos="461"/>
      </w:tabs>
      <w:spacing w:after="120"/>
      <w:ind w:left="459"/>
    </w:pPr>
    <w:rPr>
      <w:rFonts w:ascii="EYInterstate Light" w:hAnsi="EYInterstate Light"/>
      <w:sz w:val="18"/>
    </w:rPr>
  </w:style>
  <w:style w:type="paragraph" w:customStyle="1" w:styleId="SingleParaAlt">
    <w:name w:val="Single Para Alt"/>
    <w:aliases w:val="spa"/>
    <w:basedOn w:val="a"/>
    <w:rsid w:val="00B2425D"/>
    <w:pPr>
      <w:autoSpaceDE w:val="0"/>
      <w:autoSpaceDN w:val="0"/>
      <w:adjustRightInd w:val="0"/>
      <w:spacing w:before="200" w:after="200" w:line="240" w:lineRule="auto"/>
      <w:ind w:firstLine="720"/>
      <w:jc w:val="both"/>
    </w:pPr>
    <w:rPr>
      <w:rFonts w:eastAsia="SimSun" w:cs="Calibri"/>
      <w:sz w:val="20"/>
      <w:szCs w:val="18"/>
    </w:rPr>
  </w:style>
  <w:style w:type="character" w:customStyle="1" w:styleId="NotesbodytextChar">
    <w:name w:val="Notes body text Char"/>
    <w:link w:val="Notesbodytext"/>
    <w:locked/>
    <w:rsid w:val="00B2425D"/>
    <w:rPr>
      <w:rFonts w:ascii="EYInterstate Light" w:hAnsi="EYInterstate Light"/>
      <w:color w:val="000000"/>
      <w:sz w:val="18"/>
      <w:lang w:val="en-GB" w:eastAsia="x-none"/>
    </w:rPr>
  </w:style>
  <w:style w:type="paragraph" w:customStyle="1" w:styleId="Notesbodytext">
    <w:name w:val="Notes body text"/>
    <w:basedOn w:val="afb"/>
    <w:link w:val="NotesbodytextChar"/>
    <w:rsid w:val="00B2425D"/>
    <w:pPr>
      <w:widowControl w:val="0"/>
      <w:overflowPunct w:val="0"/>
      <w:autoSpaceDE w:val="0"/>
      <w:autoSpaceDN w:val="0"/>
      <w:adjustRightInd w:val="0"/>
      <w:spacing w:after="120" w:line="240" w:lineRule="exact"/>
    </w:pPr>
    <w:rPr>
      <w:rFonts w:ascii="EYInterstate Light" w:hAnsi="EYInterstate Light"/>
      <w:color w:val="000000"/>
      <w:sz w:val="18"/>
      <w:szCs w:val="20"/>
      <w:lang w:val="en-GB"/>
    </w:rPr>
  </w:style>
  <w:style w:type="paragraph" w:customStyle="1" w:styleId="Heading1continued">
    <w:name w:val="Heading 1 (continued)"/>
    <w:basedOn w:val="1"/>
    <w:next w:val="22"/>
    <w:qFormat/>
    <w:rsid w:val="00B2425D"/>
    <w:pPr>
      <w:keepNext w:val="0"/>
      <w:numPr>
        <w:numId w:val="0"/>
      </w:numPr>
      <w:tabs>
        <w:tab w:val="left" w:pos="567"/>
        <w:tab w:val="num" w:pos="1492"/>
      </w:tabs>
      <w:spacing w:before="0" w:after="240" w:line="240" w:lineRule="auto"/>
      <w:ind w:left="567" w:hanging="567"/>
      <w:jc w:val="both"/>
    </w:pPr>
    <w:rPr>
      <w:rFonts w:ascii="Tahoma" w:hAnsi="Tahoma" w:cs="Arial"/>
      <w:kern w:val="0"/>
      <w:sz w:val="18"/>
      <w:szCs w:val="22"/>
      <w:lang w:val="en-US"/>
    </w:rPr>
  </w:style>
  <w:style w:type="character" w:customStyle="1" w:styleId="Z3OpinionsubheadChar">
    <w:name w:val="Z3_Opinion subhead Char"/>
    <w:link w:val="Z3Opinionsubhead"/>
    <w:locked/>
    <w:rsid w:val="00B2425D"/>
    <w:rPr>
      <w:rFonts w:ascii="Verdana" w:hAnsi="Verdana"/>
      <w:b/>
      <w:sz w:val="18"/>
      <w:lang w:val="en-US" w:eastAsia="x-none"/>
    </w:rPr>
  </w:style>
  <w:style w:type="paragraph" w:customStyle="1" w:styleId="Z3Opinionsubhead">
    <w:name w:val="Z3_Opinion subhead"/>
    <w:basedOn w:val="afb"/>
    <w:next w:val="afb"/>
    <w:link w:val="Z3OpinionsubheadChar"/>
    <w:qFormat/>
    <w:rsid w:val="00B2425D"/>
    <w:rPr>
      <w:rFonts w:ascii="Verdana" w:hAnsi="Verdana"/>
      <w:b/>
      <w:sz w:val="18"/>
      <w:szCs w:val="20"/>
      <w:lang w:val="en-US"/>
    </w:rPr>
  </w:style>
  <w:style w:type="paragraph" w:customStyle="1" w:styleId="Z4KeyAuditMatters">
    <w:name w:val="Z4_Key Audit Matters"/>
    <w:basedOn w:val="tblHeaderText"/>
    <w:qFormat/>
    <w:rsid w:val="00B2425D"/>
    <w:pPr>
      <w:jc w:val="left"/>
    </w:pPr>
    <w:rPr>
      <w:rFonts w:ascii="Verdana" w:hAnsi="Verdana"/>
      <w:color w:val="86BC25"/>
      <w:spacing w:val="0"/>
      <w:szCs w:val="18"/>
      <w:lang w:val="en-US" w:eastAsia="en-US"/>
    </w:rPr>
  </w:style>
  <w:style w:type="paragraph" w:customStyle="1" w:styleId="Default">
    <w:name w:val="Default"/>
    <w:rsid w:val="00B242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NormalnTimes12AYbodytextTimes12Point10pointFlushleftGeneva1012pointFlushleftTimesFlushleftTimes10FlushleftTimes12JustifiedFlushLeftNormalproposalNormalpropPropmarginNormalmarginNorma">
    <w:name w:val="Normal.n.Times 12.AY body text.Times 12 Point.10 point.Flush left.Geneva 10.12 point.Flush left Times.Flush left Times  10.Flush left Times 12.Justified.Flush Left.Normal proposal.Normal prop.Prop margin.Normal margin.Norma"/>
    <w:rsid w:val="00B2425D"/>
    <w:pPr>
      <w:widowControl w:val="0"/>
      <w:tabs>
        <w:tab w:val="left" w:pos="620"/>
      </w:tabs>
      <w:overflowPunct w:val="0"/>
      <w:autoSpaceDE w:val="0"/>
      <w:autoSpaceDN w:val="0"/>
      <w:adjustRightInd w:val="0"/>
      <w:jc w:val="both"/>
    </w:pPr>
    <w:rPr>
      <w:rFonts w:ascii="Times" w:hAnsi="Times" w:cs="Times New Roman"/>
      <w:sz w:val="24"/>
      <w:lang w:val="en-US" w:eastAsia="en-US"/>
    </w:rPr>
  </w:style>
  <w:style w:type="character" w:customStyle="1" w:styleId="EYBusinessaddressChar">
    <w:name w:val="EY Business address Char"/>
    <w:link w:val="EYBusinessaddress"/>
    <w:locked/>
    <w:rsid w:val="00B2425D"/>
    <w:rPr>
      <w:rFonts w:ascii="Arial" w:hAnsi="Arial"/>
      <w:color w:val="808080"/>
      <w:kern w:val="12"/>
      <w:sz w:val="24"/>
      <w:lang w:val="en-US" w:eastAsia="en-US"/>
    </w:rPr>
  </w:style>
  <w:style w:type="paragraph" w:customStyle="1" w:styleId="EYBusinessaddress">
    <w:name w:val="EY Business address"/>
    <w:basedOn w:val="a"/>
    <w:link w:val="EYBusinessaddressChar"/>
    <w:rsid w:val="00B2425D"/>
    <w:pPr>
      <w:suppressAutoHyphens/>
      <w:spacing w:after="0" w:line="170" w:lineRule="exact"/>
    </w:pPr>
    <w:rPr>
      <w:rFonts w:ascii="Arial" w:hAnsi="Arial" w:cs="Calibri"/>
      <w:color w:val="808080"/>
      <w:kern w:val="12"/>
      <w:sz w:val="24"/>
      <w:szCs w:val="20"/>
      <w:lang w:val="en-US" w:eastAsia="en-US"/>
    </w:rPr>
  </w:style>
  <w:style w:type="paragraph" w:customStyle="1" w:styleId="EYFooterinfo">
    <w:name w:val="EY Footer info"/>
    <w:basedOn w:val="a"/>
    <w:rsid w:val="00B2425D"/>
    <w:pPr>
      <w:suppressAutoHyphens/>
      <w:spacing w:after="0" w:line="130" w:lineRule="exact"/>
    </w:pPr>
    <w:rPr>
      <w:rFonts w:ascii="Arial" w:hAnsi="Arial" w:cs="Calibri"/>
      <w:color w:val="808080"/>
      <w:kern w:val="12"/>
      <w:sz w:val="11"/>
      <w:szCs w:val="24"/>
      <w:lang w:val="en-US" w:eastAsia="en-US"/>
    </w:rPr>
  </w:style>
  <w:style w:type="character" w:customStyle="1" w:styleId="LegalentitynameChar">
    <w:name w:val="Legal entity name Char"/>
    <w:link w:val="Legalentityname"/>
    <w:locked/>
    <w:rsid w:val="00B2425D"/>
    <w:rPr>
      <w:rFonts w:ascii="Arial" w:hAnsi="Arial"/>
      <w:b/>
      <w:color w:val="808080"/>
      <w:kern w:val="12"/>
      <w:sz w:val="24"/>
      <w:lang w:val="en-US" w:eastAsia="en-US"/>
    </w:rPr>
  </w:style>
  <w:style w:type="paragraph" w:customStyle="1" w:styleId="Legalentityname">
    <w:name w:val="Legal entity name"/>
    <w:basedOn w:val="EYBusinessaddress"/>
    <w:link w:val="LegalentitynameChar"/>
    <w:qFormat/>
    <w:rsid w:val="00B2425D"/>
    <w:pPr>
      <w:spacing w:line="170" w:lineRule="atLeast"/>
    </w:pPr>
    <w:rPr>
      <w:b/>
    </w:rPr>
  </w:style>
  <w:style w:type="character" w:customStyle="1" w:styleId="addressChar">
    <w:name w:val="address Char"/>
    <w:link w:val="address"/>
    <w:locked/>
    <w:rsid w:val="00B2425D"/>
  </w:style>
  <w:style w:type="paragraph" w:customStyle="1" w:styleId="address">
    <w:name w:val="address"/>
    <w:basedOn w:val="EYBusinessaddress"/>
    <w:link w:val="addressChar"/>
    <w:qFormat/>
    <w:rsid w:val="00B2425D"/>
    <w:rPr>
      <w:rFonts w:ascii="Calibri" w:hAnsi="Calibri"/>
      <w:color w:val="auto"/>
      <w:kern w:val="0"/>
      <w:sz w:val="20"/>
      <w:lang w:val="ru-RU" w:eastAsia="ru-RU"/>
    </w:rPr>
  </w:style>
  <w:style w:type="character" w:customStyle="1" w:styleId="NotesitalicheadingChar">
    <w:name w:val="Notes italic heading Char"/>
    <w:link w:val="Notesitalicheading"/>
    <w:locked/>
    <w:rsid w:val="00B2425D"/>
    <w:rPr>
      <w:rFonts w:ascii="EYInterstate Light" w:eastAsia="MS Mincho" w:hAnsi="EYInterstate Light"/>
      <w:b/>
      <w:i/>
      <w:color w:val="000000"/>
      <w:sz w:val="18"/>
      <w:lang w:val="en-GB" w:eastAsia="en-US"/>
    </w:rPr>
  </w:style>
  <w:style w:type="paragraph" w:customStyle="1" w:styleId="Notesitalicheading">
    <w:name w:val="Notes italic heading"/>
    <w:basedOn w:val="Notesbodytext"/>
    <w:link w:val="NotesitalicheadingChar"/>
    <w:rsid w:val="00B2425D"/>
    <w:pPr>
      <w:spacing w:after="0"/>
    </w:pPr>
    <w:rPr>
      <w:rFonts w:eastAsia="MS Mincho"/>
      <w:b/>
      <w:i/>
      <w:lang w:eastAsia="en-US"/>
    </w:rPr>
  </w:style>
  <w:style w:type="paragraph" w:customStyle="1" w:styleId="N">
    <w:name w:val="N"/>
    <w:basedOn w:val="a"/>
    <w:qFormat/>
    <w:rsid w:val="00B24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8"/>
      <w:szCs w:val="18"/>
      <w:lang w:val="en-US" w:eastAsia="en-US"/>
    </w:rPr>
  </w:style>
  <w:style w:type="paragraph" w:customStyle="1" w:styleId="Listnormal">
    <w:name w:val="List_normal"/>
    <w:basedOn w:val="a"/>
    <w:qFormat/>
    <w:rsid w:val="00B2425D"/>
    <w:pPr>
      <w:widowControl w:val="0"/>
      <w:tabs>
        <w:tab w:val="num" w:pos="720"/>
      </w:tabs>
      <w:autoSpaceDE w:val="0"/>
      <w:autoSpaceDN w:val="0"/>
      <w:adjustRightInd w:val="0"/>
      <w:spacing w:before="120" w:after="0" w:line="240" w:lineRule="auto"/>
      <w:ind w:left="720" w:hanging="360"/>
    </w:pPr>
    <w:rPr>
      <w:rFonts w:ascii="Arial" w:hAnsi="Arial" w:cs="Arial"/>
      <w:sz w:val="18"/>
      <w:szCs w:val="18"/>
      <w:lang w:val="en-US" w:eastAsia="en-US"/>
    </w:rPr>
  </w:style>
  <w:style w:type="paragraph" w:customStyle="1" w:styleId="BodyBullets">
    <w:name w:val="Body Bullets"/>
    <w:basedOn w:val="a"/>
    <w:qFormat/>
    <w:rsid w:val="00B2425D"/>
    <w:pPr>
      <w:numPr>
        <w:numId w:val="6"/>
      </w:numPr>
      <w:tabs>
        <w:tab w:val="num" w:pos="926"/>
      </w:tabs>
      <w:overflowPunct w:val="0"/>
      <w:autoSpaceDE w:val="0"/>
      <w:autoSpaceDN w:val="0"/>
      <w:adjustRightInd w:val="0"/>
      <w:spacing w:after="120" w:line="240" w:lineRule="exact"/>
      <w:ind w:left="720"/>
    </w:pPr>
    <w:rPr>
      <w:rFonts w:ascii="EYInterstate Light" w:eastAsia="MS Mincho" w:hAnsi="EYInterstate Light" w:cs="Arial"/>
      <w:color w:val="000000"/>
      <w:sz w:val="18"/>
      <w:szCs w:val="20"/>
      <w:lang w:val="en-GB" w:eastAsia="en-US"/>
    </w:rPr>
  </w:style>
  <w:style w:type="character" w:customStyle="1" w:styleId="BodytextChar">
    <w:name w:val="Body text Char"/>
    <w:link w:val="BodyText1"/>
    <w:locked/>
    <w:rsid w:val="00B2425D"/>
    <w:rPr>
      <w:rFonts w:ascii="EYInterstate Light" w:eastAsia="MS Mincho" w:hAnsi="EYInterstate Light"/>
      <w:color w:val="000000"/>
      <w:sz w:val="18"/>
      <w:lang w:val="en-GB" w:eastAsia="en-US"/>
    </w:rPr>
  </w:style>
  <w:style w:type="paragraph" w:customStyle="1" w:styleId="BodyText1">
    <w:name w:val="Body Text1"/>
    <w:basedOn w:val="a"/>
    <w:link w:val="BodytextChar"/>
    <w:rsid w:val="00B2425D"/>
    <w:pPr>
      <w:overflowPunct w:val="0"/>
      <w:autoSpaceDE w:val="0"/>
      <w:autoSpaceDN w:val="0"/>
      <w:adjustRightInd w:val="0"/>
      <w:spacing w:after="120" w:line="240" w:lineRule="exact"/>
    </w:pPr>
    <w:rPr>
      <w:rFonts w:ascii="EYInterstate Light" w:eastAsia="MS Mincho" w:hAnsi="EYInterstate Light" w:cs="Calibri"/>
      <w:color w:val="000000"/>
      <w:sz w:val="18"/>
      <w:szCs w:val="20"/>
      <w:lang w:val="en-GB" w:eastAsia="en-US"/>
    </w:rPr>
  </w:style>
  <w:style w:type="character" w:styleId="afffa">
    <w:name w:val="page number"/>
    <w:basedOn w:val="a0"/>
    <w:uiPriority w:val="99"/>
    <w:unhideWhenUsed/>
    <w:rsid w:val="00B2425D"/>
    <w:rPr>
      <w:rFonts w:cs="Times New Roman"/>
      <w:sz w:val="22"/>
    </w:rPr>
  </w:style>
  <w:style w:type="character" w:styleId="afffb">
    <w:name w:val="endnote reference"/>
    <w:basedOn w:val="a0"/>
    <w:uiPriority w:val="99"/>
    <w:semiHidden/>
    <w:unhideWhenUsed/>
    <w:rsid w:val="00B2425D"/>
    <w:rPr>
      <w:rFonts w:cs="Times New Roman"/>
      <w:vertAlign w:val="superscript"/>
    </w:rPr>
  </w:style>
  <w:style w:type="character" w:customStyle="1" w:styleId="71">
    <w:name w:val="Заголовок 7 Знак1"/>
    <w:semiHidden/>
    <w:rsid w:val="00B2425D"/>
    <w:rPr>
      <w:rFonts w:ascii="Cambria" w:hAnsi="Cambria"/>
      <w:i/>
      <w:color w:val="243F60"/>
      <w:sz w:val="24"/>
    </w:rPr>
  </w:style>
  <w:style w:type="character" w:customStyle="1" w:styleId="81">
    <w:name w:val="Заголовок 8 Знак1"/>
    <w:semiHidden/>
    <w:rsid w:val="00B2425D"/>
    <w:rPr>
      <w:rFonts w:ascii="Cambria" w:hAnsi="Cambria"/>
      <w:color w:val="272727"/>
      <w:sz w:val="21"/>
    </w:rPr>
  </w:style>
  <w:style w:type="character" w:customStyle="1" w:styleId="91">
    <w:name w:val="Заголовок 9 Знак1"/>
    <w:semiHidden/>
    <w:rsid w:val="00B2425D"/>
    <w:rPr>
      <w:rFonts w:ascii="Cambria" w:hAnsi="Cambria"/>
      <w:i/>
      <w:color w:val="272727"/>
      <w:sz w:val="21"/>
    </w:rPr>
  </w:style>
  <w:style w:type="paragraph" w:styleId="33">
    <w:name w:val="Body Text 3"/>
    <w:basedOn w:val="afb"/>
    <w:link w:val="32"/>
    <w:uiPriority w:val="99"/>
    <w:unhideWhenUsed/>
    <w:rsid w:val="00B2425D"/>
    <w:rPr>
      <w:color w:val="000066"/>
      <w:sz w:val="16"/>
      <w:szCs w:val="20"/>
    </w:rPr>
  </w:style>
  <w:style w:type="character" w:customStyle="1" w:styleId="36">
    <w:name w:val="Основной текст 3 Знак"/>
    <w:basedOn w:val="a0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386">
    <w:name w:val="Основной текст 3 Знак86"/>
    <w:basedOn w:val="a0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385">
    <w:name w:val="Основной текст 3 Знак85"/>
    <w:basedOn w:val="a0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384">
    <w:name w:val="Основной текст 3 Знак84"/>
    <w:uiPriority w:val="99"/>
    <w:semiHidden/>
    <w:rPr>
      <w:rFonts w:ascii="Times New Roman" w:hAnsi="Times New Roman"/>
      <w:sz w:val="16"/>
    </w:rPr>
  </w:style>
  <w:style w:type="character" w:customStyle="1" w:styleId="383">
    <w:name w:val="Основной текст 3 Знак83"/>
    <w:uiPriority w:val="99"/>
    <w:semiHidden/>
    <w:rPr>
      <w:rFonts w:ascii="Times New Roman" w:hAnsi="Times New Roman"/>
      <w:sz w:val="16"/>
    </w:rPr>
  </w:style>
  <w:style w:type="character" w:customStyle="1" w:styleId="382">
    <w:name w:val="Основной текст 3 Знак82"/>
    <w:uiPriority w:val="99"/>
    <w:semiHidden/>
    <w:rPr>
      <w:rFonts w:ascii="Times New Roman" w:hAnsi="Times New Roman"/>
      <w:sz w:val="16"/>
    </w:rPr>
  </w:style>
  <w:style w:type="character" w:customStyle="1" w:styleId="381">
    <w:name w:val="Основной текст 3 Знак81"/>
    <w:uiPriority w:val="99"/>
    <w:semiHidden/>
    <w:rPr>
      <w:rFonts w:ascii="Times New Roman" w:hAnsi="Times New Roman"/>
      <w:sz w:val="16"/>
    </w:rPr>
  </w:style>
  <w:style w:type="character" w:customStyle="1" w:styleId="380">
    <w:name w:val="Основной текст 3 Знак80"/>
    <w:uiPriority w:val="99"/>
    <w:semiHidden/>
    <w:rPr>
      <w:rFonts w:ascii="Times New Roman" w:hAnsi="Times New Roman"/>
      <w:sz w:val="16"/>
    </w:rPr>
  </w:style>
  <w:style w:type="character" w:customStyle="1" w:styleId="379">
    <w:name w:val="Основной текст 3 Знак79"/>
    <w:uiPriority w:val="99"/>
    <w:semiHidden/>
    <w:rPr>
      <w:rFonts w:ascii="Times New Roman" w:hAnsi="Times New Roman"/>
      <w:sz w:val="16"/>
    </w:rPr>
  </w:style>
  <w:style w:type="character" w:customStyle="1" w:styleId="378">
    <w:name w:val="Основной текст 3 Знак78"/>
    <w:uiPriority w:val="99"/>
    <w:semiHidden/>
    <w:rPr>
      <w:rFonts w:ascii="Times New Roman" w:hAnsi="Times New Roman"/>
      <w:sz w:val="16"/>
    </w:rPr>
  </w:style>
  <w:style w:type="character" w:customStyle="1" w:styleId="377">
    <w:name w:val="Основной текст 3 Знак77"/>
    <w:uiPriority w:val="99"/>
    <w:semiHidden/>
    <w:rPr>
      <w:rFonts w:ascii="Times New Roman" w:hAnsi="Times New Roman"/>
      <w:sz w:val="16"/>
    </w:rPr>
  </w:style>
  <w:style w:type="character" w:customStyle="1" w:styleId="376">
    <w:name w:val="Основной текст 3 Знак76"/>
    <w:uiPriority w:val="99"/>
    <w:semiHidden/>
    <w:rPr>
      <w:rFonts w:ascii="Times New Roman" w:hAnsi="Times New Roman"/>
      <w:sz w:val="16"/>
    </w:rPr>
  </w:style>
  <w:style w:type="character" w:customStyle="1" w:styleId="375">
    <w:name w:val="Основной текст 3 Знак75"/>
    <w:uiPriority w:val="99"/>
    <w:semiHidden/>
    <w:rPr>
      <w:rFonts w:ascii="Times New Roman" w:hAnsi="Times New Roman"/>
      <w:sz w:val="16"/>
    </w:rPr>
  </w:style>
  <w:style w:type="character" w:customStyle="1" w:styleId="374">
    <w:name w:val="Основной текст 3 Знак74"/>
    <w:uiPriority w:val="99"/>
    <w:semiHidden/>
    <w:rPr>
      <w:rFonts w:ascii="Times New Roman" w:hAnsi="Times New Roman"/>
      <w:sz w:val="16"/>
    </w:rPr>
  </w:style>
  <w:style w:type="character" w:customStyle="1" w:styleId="373">
    <w:name w:val="Основной текст 3 Знак73"/>
    <w:uiPriority w:val="99"/>
    <w:semiHidden/>
    <w:rPr>
      <w:rFonts w:ascii="Times New Roman" w:hAnsi="Times New Roman"/>
      <w:sz w:val="16"/>
    </w:rPr>
  </w:style>
  <w:style w:type="character" w:customStyle="1" w:styleId="372">
    <w:name w:val="Основной текст 3 Знак72"/>
    <w:uiPriority w:val="99"/>
    <w:semiHidden/>
    <w:rPr>
      <w:rFonts w:ascii="Times New Roman" w:hAnsi="Times New Roman"/>
      <w:sz w:val="16"/>
    </w:rPr>
  </w:style>
  <w:style w:type="character" w:customStyle="1" w:styleId="371">
    <w:name w:val="Основной текст 3 Знак71"/>
    <w:uiPriority w:val="99"/>
    <w:semiHidden/>
    <w:rPr>
      <w:rFonts w:ascii="Times New Roman" w:hAnsi="Times New Roman"/>
      <w:sz w:val="16"/>
    </w:rPr>
  </w:style>
  <w:style w:type="character" w:customStyle="1" w:styleId="370">
    <w:name w:val="Основной текст 3 Знак70"/>
    <w:uiPriority w:val="99"/>
    <w:semiHidden/>
    <w:rPr>
      <w:rFonts w:ascii="Times New Roman" w:hAnsi="Times New Roman"/>
      <w:sz w:val="16"/>
    </w:rPr>
  </w:style>
  <w:style w:type="character" w:customStyle="1" w:styleId="369">
    <w:name w:val="Основной текст 3 Знак69"/>
    <w:uiPriority w:val="99"/>
    <w:semiHidden/>
    <w:rPr>
      <w:rFonts w:ascii="Times New Roman" w:hAnsi="Times New Roman"/>
      <w:sz w:val="16"/>
    </w:rPr>
  </w:style>
  <w:style w:type="character" w:customStyle="1" w:styleId="368">
    <w:name w:val="Основной текст 3 Знак68"/>
    <w:uiPriority w:val="99"/>
    <w:semiHidden/>
    <w:rPr>
      <w:rFonts w:ascii="Times New Roman" w:hAnsi="Times New Roman"/>
      <w:sz w:val="16"/>
    </w:rPr>
  </w:style>
  <w:style w:type="character" w:customStyle="1" w:styleId="367">
    <w:name w:val="Основной текст 3 Знак67"/>
    <w:uiPriority w:val="99"/>
    <w:semiHidden/>
    <w:rPr>
      <w:rFonts w:ascii="Times New Roman" w:hAnsi="Times New Roman"/>
      <w:sz w:val="16"/>
    </w:rPr>
  </w:style>
  <w:style w:type="character" w:customStyle="1" w:styleId="366">
    <w:name w:val="Основной текст 3 Знак66"/>
    <w:uiPriority w:val="99"/>
    <w:semiHidden/>
    <w:rPr>
      <w:rFonts w:ascii="Times New Roman" w:hAnsi="Times New Roman"/>
      <w:sz w:val="16"/>
    </w:rPr>
  </w:style>
  <w:style w:type="character" w:customStyle="1" w:styleId="348">
    <w:name w:val="Основной текст 3 Знак48"/>
    <w:uiPriority w:val="99"/>
    <w:semiHidden/>
    <w:rPr>
      <w:rFonts w:ascii="Times New Roman" w:hAnsi="Times New Roman"/>
      <w:sz w:val="16"/>
    </w:rPr>
  </w:style>
  <w:style w:type="character" w:customStyle="1" w:styleId="347">
    <w:name w:val="Основной текст 3 Знак47"/>
    <w:uiPriority w:val="99"/>
    <w:semiHidden/>
    <w:rPr>
      <w:rFonts w:ascii="Times New Roman" w:hAnsi="Times New Roman"/>
      <w:sz w:val="16"/>
    </w:rPr>
  </w:style>
  <w:style w:type="character" w:customStyle="1" w:styleId="346">
    <w:name w:val="Основной текст 3 Знак46"/>
    <w:uiPriority w:val="99"/>
    <w:semiHidden/>
    <w:rPr>
      <w:rFonts w:ascii="Times New Roman" w:hAnsi="Times New Roman"/>
      <w:sz w:val="16"/>
    </w:rPr>
  </w:style>
  <w:style w:type="character" w:customStyle="1" w:styleId="345">
    <w:name w:val="Основной текст 3 Знак45"/>
    <w:uiPriority w:val="99"/>
    <w:semiHidden/>
    <w:rPr>
      <w:rFonts w:ascii="Times New Roman" w:hAnsi="Times New Roman"/>
      <w:sz w:val="16"/>
    </w:rPr>
  </w:style>
  <w:style w:type="character" w:customStyle="1" w:styleId="344">
    <w:name w:val="Основной текст 3 Знак44"/>
    <w:uiPriority w:val="99"/>
    <w:semiHidden/>
    <w:rPr>
      <w:rFonts w:ascii="Times New Roman" w:hAnsi="Times New Roman"/>
      <w:sz w:val="16"/>
    </w:rPr>
  </w:style>
  <w:style w:type="character" w:customStyle="1" w:styleId="343">
    <w:name w:val="Основной текст 3 Знак43"/>
    <w:uiPriority w:val="99"/>
    <w:semiHidden/>
    <w:rPr>
      <w:rFonts w:ascii="Times New Roman" w:hAnsi="Times New Roman"/>
      <w:sz w:val="16"/>
    </w:rPr>
  </w:style>
  <w:style w:type="character" w:customStyle="1" w:styleId="342">
    <w:name w:val="Основной текст 3 Знак42"/>
    <w:uiPriority w:val="99"/>
    <w:semiHidden/>
    <w:rPr>
      <w:rFonts w:ascii="Times New Roman" w:hAnsi="Times New Roman"/>
      <w:sz w:val="16"/>
    </w:rPr>
  </w:style>
  <w:style w:type="character" w:customStyle="1" w:styleId="341">
    <w:name w:val="Основной текст 3 Знак41"/>
    <w:uiPriority w:val="99"/>
    <w:semiHidden/>
    <w:rPr>
      <w:rFonts w:ascii="Times New Roman" w:hAnsi="Times New Roman"/>
      <w:sz w:val="16"/>
    </w:rPr>
  </w:style>
  <w:style w:type="character" w:customStyle="1" w:styleId="340">
    <w:name w:val="Основной текст 3 Знак40"/>
    <w:uiPriority w:val="99"/>
    <w:semiHidden/>
    <w:rPr>
      <w:rFonts w:ascii="Times New Roman" w:hAnsi="Times New Roman"/>
      <w:sz w:val="16"/>
    </w:rPr>
  </w:style>
  <w:style w:type="character" w:customStyle="1" w:styleId="339">
    <w:name w:val="Основной текст 3 Знак39"/>
    <w:uiPriority w:val="99"/>
    <w:semiHidden/>
    <w:rPr>
      <w:rFonts w:ascii="Times New Roman" w:hAnsi="Times New Roman"/>
      <w:sz w:val="16"/>
    </w:rPr>
  </w:style>
  <w:style w:type="character" w:customStyle="1" w:styleId="338">
    <w:name w:val="Основной текст 3 Знак38"/>
    <w:uiPriority w:val="99"/>
    <w:semiHidden/>
    <w:rPr>
      <w:rFonts w:ascii="Times New Roman" w:hAnsi="Times New Roman"/>
      <w:sz w:val="16"/>
    </w:rPr>
  </w:style>
  <w:style w:type="character" w:customStyle="1" w:styleId="337">
    <w:name w:val="Основной текст 3 Знак37"/>
    <w:uiPriority w:val="99"/>
    <w:semiHidden/>
    <w:rPr>
      <w:rFonts w:ascii="Times New Roman" w:hAnsi="Times New Roman"/>
      <w:sz w:val="16"/>
    </w:rPr>
  </w:style>
  <w:style w:type="character" w:customStyle="1" w:styleId="336">
    <w:name w:val="Основной текст 3 Знак36"/>
    <w:uiPriority w:val="99"/>
    <w:semiHidden/>
    <w:rPr>
      <w:rFonts w:ascii="Times New Roman" w:hAnsi="Times New Roman"/>
      <w:sz w:val="16"/>
    </w:rPr>
  </w:style>
  <w:style w:type="character" w:customStyle="1" w:styleId="335">
    <w:name w:val="Основной текст 3 Знак35"/>
    <w:uiPriority w:val="99"/>
    <w:semiHidden/>
    <w:rPr>
      <w:rFonts w:ascii="Times New Roman" w:hAnsi="Times New Roman"/>
      <w:sz w:val="16"/>
    </w:rPr>
  </w:style>
  <w:style w:type="character" w:customStyle="1" w:styleId="334">
    <w:name w:val="Основной текст 3 Знак34"/>
    <w:uiPriority w:val="99"/>
    <w:semiHidden/>
    <w:rPr>
      <w:rFonts w:ascii="Times New Roman" w:hAnsi="Times New Roman"/>
      <w:sz w:val="16"/>
    </w:rPr>
  </w:style>
  <w:style w:type="character" w:customStyle="1" w:styleId="333">
    <w:name w:val="Основной текст 3 Знак33"/>
    <w:uiPriority w:val="99"/>
    <w:semiHidden/>
    <w:rPr>
      <w:rFonts w:ascii="Times New Roman" w:hAnsi="Times New Roman"/>
      <w:sz w:val="16"/>
    </w:rPr>
  </w:style>
  <w:style w:type="character" w:customStyle="1" w:styleId="332">
    <w:name w:val="Основной текст 3 Знак32"/>
    <w:uiPriority w:val="99"/>
    <w:semiHidden/>
    <w:rPr>
      <w:rFonts w:ascii="Times New Roman" w:hAnsi="Times New Roman"/>
      <w:sz w:val="16"/>
    </w:rPr>
  </w:style>
  <w:style w:type="character" w:customStyle="1" w:styleId="331">
    <w:name w:val="Основной текст 3 Знак31"/>
    <w:uiPriority w:val="99"/>
    <w:semiHidden/>
    <w:rPr>
      <w:rFonts w:ascii="Times New Roman" w:hAnsi="Times New Roman"/>
      <w:sz w:val="16"/>
    </w:rPr>
  </w:style>
  <w:style w:type="character" w:customStyle="1" w:styleId="330">
    <w:name w:val="Основной текст 3 Знак30"/>
    <w:uiPriority w:val="99"/>
    <w:semiHidden/>
    <w:rPr>
      <w:rFonts w:ascii="Times New Roman" w:hAnsi="Times New Roman"/>
      <w:sz w:val="16"/>
    </w:rPr>
  </w:style>
  <w:style w:type="character" w:customStyle="1" w:styleId="329">
    <w:name w:val="Основной текст 3 Знак29"/>
    <w:uiPriority w:val="99"/>
    <w:semiHidden/>
    <w:rPr>
      <w:rFonts w:ascii="Times New Roman" w:hAnsi="Times New Roman"/>
      <w:sz w:val="16"/>
    </w:rPr>
  </w:style>
  <w:style w:type="character" w:customStyle="1" w:styleId="328">
    <w:name w:val="Основной текст 3 Знак28"/>
    <w:uiPriority w:val="99"/>
    <w:semiHidden/>
    <w:rPr>
      <w:rFonts w:ascii="Times New Roman" w:hAnsi="Times New Roman"/>
      <w:sz w:val="16"/>
    </w:rPr>
  </w:style>
  <w:style w:type="character" w:customStyle="1" w:styleId="327">
    <w:name w:val="Основной текст 3 Знак27"/>
    <w:uiPriority w:val="99"/>
    <w:semiHidden/>
    <w:rPr>
      <w:rFonts w:ascii="Times New Roman" w:hAnsi="Times New Roman"/>
      <w:sz w:val="16"/>
    </w:rPr>
  </w:style>
  <w:style w:type="character" w:customStyle="1" w:styleId="326">
    <w:name w:val="Основной текст 3 Знак26"/>
    <w:uiPriority w:val="99"/>
    <w:semiHidden/>
    <w:rPr>
      <w:rFonts w:ascii="Times New Roman" w:hAnsi="Times New Roman"/>
      <w:sz w:val="16"/>
    </w:rPr>
  </w:style>
  <w:style w:type="character" w:customStyle="1" w:styleId="325">
    <w:name w:val="Основной текст 3 Знак25"/>
    <w:uiPriority w:val="99"/>
    <w:semiHidden/>
    <w:rPr>
      <w:rFonts w:ascii="Times New Roman" w:hAnsi="Times New Roman"/>
      <w:sz w:val="16"/>
    </w:rPr>
  </w:style>
  <w:style w:type="character" w:customStyle="1" w:styleId="324">
    <w:name w:val="Основной текст 3 Знак24"/>
    <w:uiPriority w:val="99"/>
    <w:semiHidden/>
    <w:rPr>
      <w:rFonts w:ascii="Times New Roman" w:hAnsi="Times New Roman"/>
      <w:sz w:val="16"/>
    </w:rPr>
  </w:style>
  <w:style w:type="character" w:customStyle="1" w:styleId="323">
    <w:name w:val="Основной текст 3 Знак23"/>
    <w:uiPriority w:val="99"/>
    <w:semiHidden/>
    <w:rPr>
      <w:rFonts w:ascii="Times New Roman" w:hAnsi="Times New Roman"/>
      <w:sz w:val="16"/>
    </w:rPr>
  </w:style>
  <w:style w:type="character" w:customStyle="1" w:styleId="322">
    <w:name w:val="Основной текст 3 Знак22"/>
    <w:uiPriority w:val="99"/>
    <w:semiHidden/>
    <w:rPr>
      <w:rFonts w:ascii="Times New Roman" w:hAnsi="Times New Roman"/>
      <w:sz w:val="16"/>
    </w:rPr>
  </w:style>
  <w:style w:type="character" w:customStyle="1" w:styleId="321">
    <w:name w:val="Основной текст 3 Знак21"/>
    <w:uiPriority w:val="99"/>
    <w:semiHidden/>
    <w:rPr>
      <w:rFonts w:ascii="Times New Roman" w:hAnsi="Times New Roman"/>
      <w:sz w:val="16"/>
    </w:rPr>
  </w:style>
  <w:style w:type="character" w:customStyle="1" w:styleId="320">
    <w:name w:val="Основной текст 3 Знак20"/>
    <w:uiPriority w:val="99"/>
    <w:semiHidden/>
    <w:rPr>
      <w:rFonts w:ascii="Times New Roman" w:hAnsi="Times New Roman"/>
      <w:sz w:val="16"/>
    </w:rPr>
  </w:style>
  <w:style w:type="character" w:customStyle="1" w:styleId="310">
    <w:name w:val="Основной текст 3 Знак10"/>
    <w:uiPriority w:val="99"/>
    <w:semiHidden/>
    <w:rPr>
      <w:rFonts w:ascii="Times New Roman" w:hAnsi="Times New Roman"/>
      <w:sz w:val="16"/>
    </w:rPr>
  </w:style>
  <w:style w:type="character" w:customStyle="1" w:styleId="39">
    <w:name w:val="Основной текст 3 Знак9"/>
    <w:uiPriority w:val="99"/>
    <w:semiHidden/>
    <w:rPr>
      <w:rFonts w:ascii="Times New Roman" w:hAnsi="Times New Roman"/>
      <w:sz w:val="16"/>
    </w:rPr>
  </w:style>
  <w:style w:type="character" w:customStyle="1" w:styleId="38">
    <w:name w:val="Основной текст 3 Знак8"/>
    <w:uiPriority w:val="99"/>
    <w:semiHidden/>
    <w:rPr>
      <w:rFonts w:ascii="Times New Roman" w:hAnsi="Times New Roman"/>
      <w:sz w:val="16"/>
    </w:rPr>
  </w:style>
  <w:style w:type="character" w:customStyle="1" w:styleId="37">
    <w:name w:val="Основной текст 3 Знак7"/>
    <w:uiPriority w:val="99"/>
    <w:semiHidden/>
    <w:rPr>
      <w:rFonts w:ascii="Times New Roman" w:hAnsi="Times New Roman"/>
      <w:sz w:val="16"/>
    </w:rPr>
  </w:style>
  <w:style w:type="character" w:customStyle="1" w:styleId="360">
    <w:name w:val="Основной текст 3 Знак6"/>
    <w:uiPriority w:val="99"/>
    <w:semiHidden/>
    <w:rPr>
      <w:rFonts w:ascii="Times New Roman" w:hAnsi="Times New Roman"/>
      <w:sz w:val="16"/>
    </w:rPr>
  </w:style>
  <w:style w:type="character" w:customStyle="1" w:styleId="350">
    <w:name w:val="Основной текст 3 Знак5"/>
    <w:uiPriority w:val="99"/>
    <w:semiHidden/>
    <w:rPr>
      <w:rFonts w:ascii="Times New Roman" w:hAnsi="Times New Roman"/>
      <w:sz w:val="16"/>
    </w:rPr>
  </w:style>
  <w:style w:type="character" w:customStyle="1" w:styleId="349">
    <w:name w:val="Основной текст 3 Знак4"/>
    <w:uiPriority w:val="99"/>
    <w:semiHidden/>
    <w:rPr>
      <w:rFonts w:ascii="Times New Roman" w:hAnsi="Times New Roman"/>
      <w:sz w:val="16"/>
    </w:rPr>
  </w:style>
  <w:style w:type="character" w:customStyle="1" w:styleId="33a">
    <w:name w:val="Основной текст 3 Знак3"/>
    <w:uiPriority w:val="99"/>
    <w:semiHidden/>
    <w:rPr>
      <w:rFonts w:ascii="Times New Roman" w:hAnsi="Times New Roman"/>
      <w:sz w:val="16"/>
    </w:rPr>
  </w:style>
  <w:style w:type="character" w:customStyle="1" w:styleId="BodyText3Char">
    <w:name w:val="Body Text 3 Char"/>
    <w:uiPriority w:val="99"/>
    <w:semiHidden/>
    <w:rPr>
      <w:rFonts w:ascii="Times New Roman" w:hAnsi="Times New Roman"/>
      <w:sz w:val="16"/>
    </w:rPr>
  </w:style>
  <w:style w:type="character" w:customStyle="1" w:styleId="BodyText3Char2">
    <w:name w:val="Body Text 3 Char2"/>
    <w:uiPriority w:val="99"/>
    <w:semiHidden/>
    <w:rPr>
      <w:rFonts w:ascii="Times New Roman" w:hAnsi="Times New Roman"/>
      <w:sz w:val="16"/>
    </w:rPr>
  </w:style>
  <w:style w:type="character" w:customStyle="1" w:styleId="311">
    <w:name w:val="Основной текст 3 Знак1"/>
    <w:uiPriority w:val="99"/>
    <w:semiHidden/>
    <w:rPr>
      <w:rFonts w:ascii="Times New Roman" w:hAnsi="Times New Roman"/>
      <w:sz w:val="16"/>
    </w:rPr>
  </w:style>
  <w:style w:type="character" w:customStyle="1" w:styleId="3189">
    <w:name w:val="Основной текст 3 Знак189"/>
    <w:uiPriority w:val="99"/>
    <w:semiHidden/>
    <w:rPr>
      <w:rFonts w:ascii="Times New Roman" w:hAnsi="Times New Roman"/>
      <w:sz w:val="16"/>
    </w:rPr>
  </w:style>
  <w:style w:type="character" w:customStyle="1" w:styleId="3188">
    <w:name w:val="Основной текст 3 Знак188"/>
    <w:uiPriority w:val="99"/>
    <w:semiHidden/>
    <w:rPr>
      <w:rFonts w:ascii="Times New Roman" w:hAnsi="Times New Roman"/>
      <w:sz w:val="16"/>
    </w:rPr>
  </w:style>
  <w:style w:type="character" w:customStyle="1" w:styleId="3187">
    <w:name w:val="Основной текст 3 Знак187"/>
    <w:uiPriority w:val="99"/>
    <w:semiHidden/>
    <w:rPr>
      <w:rFonts w:ascii="Times New Roman" w:hAnsi="Times New Roman"/>
      <w:sz w:val="16"/>
    </w:rPr>
  </w:style>
  <w:style w:type="character" w:customStyle="1" w:styleId="3186">
    <w:name w:val="Основной текст 3 Знак186"/>
    <w:uiPriority w:val="99"/>
    <w:semiHidden/>
    <w:rPr>
      <w:rFonts w:ascii="Times New Roman" w:hAnsi="Times New Roman"/>
      <w:sz w:val="16"/>
    </w:rPr>
  </w:style>
  <w:style w:type="character" w:customStyle="1" w:styleId="3185">
    <w:name w:val="Основной текст 3 Знак185"/>
    <w:uiPriority w:val="99"/>
    <w:semiHidden/>
    <w:rPr>
      <w:rFonts w:ascii="Times New Roman" w:hAnsi="Times New Roman"/>
      <w:sz w:val="16"/>
    </w:rPr>
  </w:style>
  <w:style w:type="character" w:customStyle="1" w:styleId="3184">
    <w:name w:val="Основной текст 3 Знак184"/>
    <w:uiPriority w:val="99"/>
    <w:semiHidden/>
    <w:rPr>
      <w:rFonts w:ascii="Times New Roman" w:hAnsi="Times New Roman"/>
      <w:sz w:val="16"/>
    </w:rPr>
  </w:style>
  <w:style w:type="character" w:customStyle="1" w:styleId="3183">
    <w:name w:val="Основной текст 3 Знак183"/>
    <w:uiPriority w:val="99"/>
    <w:semiHidden/>
    <w:rPr>
      <w:rFonts w:ascii="Times New Roman" w:hAnsi="Times New Roman"/>
      <w:sz w:val="16"/>
    </w:rPr>
  </w:style>
  <w:style w:type="character" w:customStyle="1" w:styleId="3182">
    <w:name w:val="Основной текст 3 Знак182"/>
    <w:uiPriority w:val="99"/>
    <w:semiHidden/>
    <w:rPr>
      <w:rFonts w:ascii="Times New Roman" w:hAnsi="Times New Roman"/>
      <w:sz w:val="16"/>
    </w:rPr>
  </w:style>
  <w:style w:type="character" w:customStyle="1" w:styleId="3181">
    <w:name w:val="Основной текст 3 Знак181"/>
    <w:uiPriority w:val="99"/>
    <w:semiHidden/>
    <w:rPr>
      <w:rFonts w:ascii="Times New Roman" w:hAnsi="Times New Roman"/>
      <w:sz w:val="16"/>
    </w:rPr>
  </w:style>
  <w:style w:type="character" w:customStyle="1" w:styleId="3180">
    <w:name w:val="Основной текст 3 Знак180"/>
    <w:uiPriority w:val="99"/>
    <w:semiHidden/>
    <w:rPr>
      <w:rFonts w:ascii="Times New Roman" w:hAnsi="Times New Roman"/>
      <w:sz w:val="16"/>
    </w:rPr>
  </w:style>
  <w:style w:type="character" w:customStyle="1" w:styleId="3179">
    <w:name w:val="Основной текст 3 Знак179"/>
    <w:uiPriority w:val="99"/>
    <w:semiHidden/>
    <w:rPr>
      <w:rFonts w:ascii="Times New Roman" w:hAnsi="Times New Roman"/>
      <w:sz w:val="16"/>
    </w:rPr>
  </w:style>
  <w:style w:type="character" w:customStyle="1" w:styleId="3178">
    <w:name w:val="Основной текст 3 Знак178"/>
    <w:uiPriority w:val="99"/>
    <w:semiHidden/>
    <w:rPr>
      <w:rFonts w:ascii="Times New Roman" w:hAnsi="Times New Roman"/>
      <w:sz w:val="16"/>
    </w:rPr>
  </w:style>
  <w:style w:type="character" w:customStyle="1" w:styleId="3177">
    <w:name w:val="Основной текст 3 Знак177"/>
    <w:uiPriority w:val="99"/>
    <w:semiHidden/>
    <w:rPr>
      <w:rFonts w:ascii="Times New Roman" w:hAnsi="Times New Roman"/>
      <w:sz w:val="16"/>
    </w:rPr>
  </w:style>
  <w:style w:type="character" w:customStyle="1" w:styleId="3176">
    <w:name w:val="Основной текст 3 Знак176"/>
    <w:uiPriority w:val="99"/>
    <w:semiHidden/>
    <w:rPr>
      <w:rFonts w:ascii="Times New Roman" w:hAnsi="Times New Roman"/>
      <w:sz w:val="16"/>
    </w:rPr>
  </w:style>
  <w:style w:type="character" w:customStyle="1" w:styleId="3175">
    <w:name w:val="Основной текст 3 Знак175"/>
    <w:uiPriority w:val="99"/>
    <w:semiHidden/>
    <w:rPr>
      <w:rFonts w:ascii="Times New Roman" w:hAnsi="Times New Roman"/>
      <w:sz w:val="16"/>
    </w:rPr>
  </w:style>
  <w:style w:type="character" w:customStyle="1" w:styleId="3174">
    <w:name w:val="Основной текст 3 Знак174"/>
    <w:uiPriority w:val="99"/>
    <w:semiHidden/>
    <w:rPr>
      <w:rFonts w:ascii="Times New Roman" w:hAnsi="Times New Roman"/>
      <w:sz w:val="16"/>
    </w:rPr>
  </w:style>
  <w:style w:type="character" w:customStyle="1" w:styleId="3173">
    <w:name w:val="Основной текст 3 Знак173"/>
    <w:uiPriority w:val="99"/>
    <w:semiHidden/>
    <w:rPr>
      <w:rFonts w:ascii="Times New Roman" w:hAnsi="Times New Roman"/>
      <w:sz w:val="16"/>
    </w:rPr>
  </w:style>
  <w:style w:type="character" w:customStyle="1" w:styleId="3172">
    <w:name w:val="Основной текст 3 Знак172"/>
    <w:uiPriority w:val="99"/>
    <w:semiHidden/>
    <w:rPr>
      <w:rFonts w:ascii="Times New Roman" w:hAnsi="Times New Roman"/>
      <w:sz w:val="16"/>
    </w:rPr>
  </w:style>
  <w:style w:type="character" w:customStyle="1" w:styleId="3171">
    <w:name w:val="Основной текст 3 Знак171"/>
    <w:uiPriority w:val="99"/>
    <w:semiHidden/>
    <w:rPr>
      <w:rFonts w:ascii="Times New Roman" w:hAnsi="Times New Roman"/>
      <w:sz w:val="16"/>
    </w:rPr>
  </w:style>
  <w:style w:type="character" w:customStyle="1" w:styleId="3170">
    <w:name w:val="Основной текст 3 Знак170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69">
    <w:name w:val="Основной текст 3 Знак169"/>
    <w:uiPriority w:val="99"/>
    <w:semiHidden/>
    <w:rsid w:val="00B2425D"/>
    <w:rPr>
      <w:sz w:val="16"/>
    </w:rPr>
  </w:style>
  <w:style w:type="character" w:customStyle="1" w:styleId="3168">
    <w:name w:val="Основной текст 3 Знак168"/>
    <w:uiPriority w:val="99"/>
    <w:semiHidden/>
    <w:rsid w:val="00B2425D"/>
    <w:rPr>
      <w:sz w:val="16"/>
    </w:rPr>
  </w:style>
  <w:style w:type="character" w:customStyle="1" w:styleId="3167">
    <w:name w:val="Основной текст 3 Знак167"/>
    <w:uiPriority w:val="99"/>
    <w:semiHidden/>
    <w:rsid w:val="00B2425D"/>
    <w:rPr>
      <w:sz w:val="16"/>
    </w:rPr>
  </w:style>
  <w:style w:type="character" w:customStyle="1" w:styleId="3166">
    <w:name w:val="Основной текст 3 Знак166"/>
    <w:uiPriority w:val="99"/>
    <w:semiHidden/>
    <w:rsid w:val="00B2425D"/>
    <w:rPr>
      <w:sz w:val="16"/>
    </w:rPr>
  </w:style>
  <w:style w:type="character" w:customStyle="1" w:styleId="3165">
    <w:name w:val="Основной текст 3 Знак165"/>
    <w:uiPriority w:val="99"/>
    <w:semiHidden/>
    <w:rsid w:val="00B2425D"/>
    <w:rPr>
      <w:sz w:val="16"/>
    </w:rPr>
  </w:style>
  <w:style w:type="character" w:customStyle="1" w:styleId="3164">
    <w:name w:val="Основной текст 3 Знак164"/>
    <w:uiPriority w:val="99"/>
    <w:semiHidden/>
    <w:rsid w:val="00B2425D"/>
    <w:rPr>
      <w:sz w:val="16"/>
    </w:rPr>
  </w:style>
  <w:style w:type="character" w:customStyle="1" w:styleId="3163">
    <w:name w:val="Основной текст 3 Знак163"/>
    <w:uiPriority w:val="99"/>
    <w:semiHidden/>
    <w:rsid w:val="00B2425D"/>
    <w:rPr>
      <w:sz w:val="16"/>
    </w:rPr>
  </w:style>
  <w:style w:type="character" w:customStyle="1" w:styleId="3162">
    <w:name w:val="Основной текст 3 Знак162"/>
    <w:uiPriority w:val="99"/>
    <w:semiHidden/>
    <w:rsid w:val="00B2425D"/>
    <w:rPr>
      <w:sz w:val="16"/>
    </w:rPr>
  </w:style>
  <w:style w:type="character" w:customStyle="1" w:styleId="3161">
    <w:name w:val="Основной текст 3 Знак161"/>
    <w:uiPriority w:val="99"/>
    <w:semiHidden/>
    <w:rsid w:val="00B2425D"/>
    <w:rPr>
      <w:sz w:val="16"/>
    </w:rPr>
  </w:style>
  <w:style w:type="character" w:customStyle="1" w:styleId="3160">
    <w:name w:val="Основной текст 3 Знак160"/>
    <w:uiPriority w:val="99"/>
    <w:semiHidden/>
    <w:rsid w:val="00B2425D"/>
    <w:rPr>
      <w:sz w:val="16"/>
    </w:rPr>
  </w:style>
  <w:style w:type="character" w:customStyle="1" w:styleId="3159">
    <w:name w:val="Основной текст 3 Знак159"/>
    <w:uiPriority w:val="99"/>
    <w:semiHidden/>
    <w:rsid w:val="00B2425D"/>
    <w:rPr>
      <w:sz w:val="16"/>
    </w:rPr>
  </w:style>
  <w:style w:type="character" w:customStyle="1" w:styleId="3158">
    <w:name w:val="Основной текст 3 Знак158"/>
    <w:uiPriority w:val="99"/>
    <w:semiHidden/>
    <w:rsid w:val="00B2425D"/>
    <w:rPr>
      <w:sz w:val="16"/>
    </w:rPr>
  </w:style>
  <w:style w:type="character" w:customStyle="1" w:styleId="3157">
    <w:name w:val="Основной текст 3 Знак157"/>
    <w:uiPriority w:val="99"/>
    <w:semiHidden/>
    <w:rsid w:val="00B2425D"/>
    <w:rPr>
      <w:sz w:val="16"/>
    </w:rPr>
  </w:style>
  <w:style w:type="character" w:customStyle="1" w:styleId="3156">
    <w:name w:val="Основной текст 3 Знак156"/>
    <w:uiPriority w:val="99"/>
    <w:semiHidden/>
    <w:rsid w:val="00B2425D"/>
    <w:rPr>
      <w:sz w:val="16"/>
    </w:rPr>
  </w:style>
  <w:style w:type="character" w:customStyle="1" w:styleId="3155">
    <w:name w:val="Основной текст 3 Знак155"/>
    <w:uiPriority w:val="99"/>
    <w:semiHidden/>
    <w:rsid w:val="00B2425D"/>
    <w:rPr>
      <w:sz w:val="16"/>
    </w:rPr>
  </w:style>
  <w:style w:type="character" w:customStyle="1" w:styleId="3154">
    <w:name w:val="Основной текст 3 Знак154"/>
    <w:uiPriority w:val="99"/>
    <w:semiHidden/>
    <w:rsid w:val="00B2425D"/>
    <w:rPr>
      <w:rFonts w:ascii="Calibri" w:hAnsi="Calibri"/>
      <w:sz w:val="16"/>
    </w:rPr>
  </w:style>
  <w:style w:type="character" w:customStyle="1" w:styleId="3153">
    <w:name w:val="Основной текст 3 Знак153"/>
    <w:uiPriority w:val="99"/>
    <w:semiHidden/>
    <w:rsid w:val="00B2425D"/>
    <w:rPr>
      <w:rFonts w:ascii="Calibri" w:hAnsi="Calibri"/>
      <w:sz w:val="16"/>
    </w:rPr>
  </w:style>
  <w:style w:type="character" w:customStyle="1" w:styleId="3152">
    <w:name w:val="Основной текст 3 Знак152"/>
    <w:uiPriority w:val="99"/>
    <w:semiHidden/>
    <w:rsid w:val="00B2425D"/>
    <w:rPr>
      <w:rFonts w:ascii="Calibri" w:hAnsi="Calibri"/>
      <w:sz w:val="16"/>
    </w:rPr>
  </w:style>
  <w:style w:type="character" w:customStyle="1" w:styleId="3151">
    <w:name w:val="Основной текст 3 Знак151"/>
    <w:uiPriority w:val="99"/>
    <w:semiHidden/>
    <w:rsid w:val="00B2425D"/>
    <w:rPr>
      <w:rFonts w:ascii="Calibri" w:hAnsi="Calibri"/>
      <w:sz w:val="16"/>
    </w:rPr>
  </w:style>
  <w:style w:type="character" w:customStyle="1" w:styleId="3150">
    <w:name w:val="Основной текст 3 Знак150"/>
    <w:uiPriority w:val="99"/>
    <w:semiHidden/>
    <w:rsid w:val="00B2425D"/>
    <w:rPr>
      <w:rFonts w:ascii="Calibri" w:hAnsi="Calibri"/>
      <w:sz w:val="16"/>
    </w:rPr>
  </w:style>
  <w:style w:type="character" w:customStyle="1" w:styleId="3149">
    <w:name w:val="Основной текст 3 Знак149"/>
    <w:uiPriority w:val="99"/>
    <w:semiHidden/>
    <w:rsid w:val="00B2425D"/>
    <w:rPr>
      <w:rFonts w:ascii="Calibri" w:hAnsi="Calibri"/>
      <w:sz w:val="16"/>
    </w:rPr>
  </w:style>
  <w:style w:type="character" w:customStyle="1" w:styleId="3148">
    <w:name w:val="Основной текст 3 Знак148"/>
    <w:uiPriority w:val="99"/>
    <w:semiHidden/>
    <w:rsid w:val="00B2425D"/>
    <w:rPr>
      <w:rFonts w:ascii="Calibri" w:hAnsi="Calibri"/>
      <w:sz w:val="16"/>
    </w:rPr>
  </w:style>
  <w:style w:type="character" w:customStyle="1" w:styleId="3147">
    <w:name w:val="Основной текст 3 Знак147"/>
    <w:uiPriority w:val="99"/>
    <w:semiHidden/>
    <w:rsid w:val="00B2425D"/>
    <w:rPr>
      <w:rFonts w:ascii="Calibri" w:hAnsi="Calibri"/>
      <w:sz w:val="16"/>
    </w:rPr>
  </w:style>
  <w:style w:type="character" w:customStyle="1" w:styleId="3146">
    <w:name w:val="Основной текст 3 Знак146"/>
    <w:uiPriority w:val="99"/>
    <w:semiHidden/>
    <w:rsid w:val="00B2425D"/>
    <w:rPr>
      <w:rFonts w:ascii="Calibri" w:hAnsi="Calibri"/>
      <w:sz w:val="16"/>
    </w:rPr>
  </w:style>
  <w:style w:type="character" w:customStyle="1" w:styleId="3145">
    <w:name w:val="Основной текст 3 Знак145"/>
    <w:uiPriority w:val="99"/>
    <w:semiHidden/>
    <w:rsid w:val="00B2425D"/>
    <w:rPr>
      <w:rFonts w:ascii="Calibri" w:hAnsi="Calibri"/>
      <w:sz w:val="16"/>
    </w:rPr>
  </w:style>
  <w:style w:type="character" w:customStyle="1" w:styleId="3144">
    <w:name w:val="Основной текст 3 Знак144"/>
    <w:uiPriority w:val="99"/>
    <w:semiHidden/>
    <w:rsid w:val="00B2425D"/>
    <w:rPr>
      <w:rFonts w:ascii="Calibri" w:hAnsi="Calibri"/>
      <w:sz w:val="16"/>
    </w:rPr>
  </w:style>
  <w:style w:type="character" w:customStyle="1" w:styleId="3143">
    <w:name w:val="Основной текст 3 Знак143"/>
    <w:uiPriority w:val="99"/>
    <w:semiHidden/>
    <w:rsid w:val="00B2425D"/>
    <w:rPr>
      <w:rFonts w:ascii="Calibri" w:hAnsi="Calibri"/>
      <w:sz w:val="16"/>
    </w:rPr>
  </w:style>
  <w:style w:type="character" w:customStyle="1" w:styleId="3142">
    <w:name w:val="Основной текст 3 Знак142"/>
    <w:uiPriority w:val="99"/>
    <w:semiHidden/>
    <w:rsid w:val="00B2425D"/>
    <w:rPr>
      <w:rFonts w:ascii="Calibri" w:hAnsi="Calibri"/>
      <w:sz w:val="16"/>
    </w:rPr>
  </w:style>
  <w:style w:type="character" w:customStyle="1" w:styleId="3141">
    <w:name w:val="Основной текст 3 Знак141"/>
    <w:uiPriority w:val="99"/>
    <w:semiHidden/>
    <w:rsid w:val="00B2425D"/>
    <w:rPr>
      <w:rFonts w:ascii="Calibri" w:hAnsi="Calibri"/>
      <w:sz w:val="16"/>
    </w:rPr>
  </w:style>
  <w:style w:type="character" w:customStyle="1" w:styleId="3140">
    <w:name w:val="Основной текст 3 Знак140"/>
    <w:uiPriority w:val="99"/>
    <w:semiHidden/>
    <w:rsid w:val="00B2425D"/>
    <w:rPr>
      <w:rFonts w:ascii="Calibri" w:hAnsi="Calibri"/>
      <w:sz w:val="16"/>
    </w:rPr>
  </w:style>
  <w:style w:type="character" w:customStyle="1" w:styleId="3139">
    <w:name w:val="Основной текст 3 Знак139"/>
    <w:uiPriority w:val="99"/>
    <w:semiHidden/>
    <w:rsid w:val="00B2425D"/>
    <w:rPr>
      <w:rFonts w:ascii="Calibri" w:hAnsi="Calibri"/>
      <w:sz w:val="16"/>
    </w:rPr>
  </w:style>
  <w:style w:type="character" w:customStyle="1" w:styleId="3138">
    <w:name w:val="Основной текст 3 Знак138"/>
    <w:uiPriority w:val="99"/>
    <w:semiHidden/>
    <w:rsid w:val="00B2425D"/>
    <w:rPr>
      <w:rFonts w:ascii="Calibri" w:hAnsi="Calibri"/>
      <w:sz w:val="16"/>
    </w:rPr>
  </w:style>
  <w:style w:type="character" w:customStyle="1" w:styleId="3137">
    <w:name w:val="Основной текст 3 Знак137"/>
    <w:uiPriority w:val="99"/>
    <w:semiHidden/>
    <w:rsid w:val="00B2425D"/>
    <w:rPr>
      <w:rFonts w:ascii="Calibri" w:hAnsi="Calibri"/>
      <w:sz w:val="16"/>
    </w:rPr>
  </w:style>
  <w:style w:type="character" w:customStyle="1" w:styleId="3136">
    <w:name w:val="Основной текст 3 Знак136"/>
    <w:uiPriority w:val="99"/>
    <w:semiHidden/>
    <w:rsid w:val="00B2425D"/>
    <w:rPr>
      <w:rFonts w:ascii="Calibri" w:hAnsi="Calibri"/>
      <w:sz w:val="16"/>
    </w:rPr>
  </w:style>
  <w:style w:type="character" w:customStyle="1" w:styleId="3135">
    <w:name w:val="Основной текст 3 Знак135"/>
    <w:uiPriority w:val="99"/>
    <w:semiHidden/>
    <w:rsid w:val="00B2425D"/>
    <w:rPr>
      <w:rFonts w:ascii="Calibri" w:hAnsi="Calibri"/>
      <w:sz w:val="16"/>
    </w:rPr>
  </w:style>
  <w:style w:type="character" w:customStyle="1" w:styleId="3134">
    <w:name w:val="Основной текст 3 Знак134"/>
    <w:uiPriority w:val="99"/>
    <w:semiHidden/>
    <w:rsid w:val="00B2425D"/>
    <w:rPr>
      <w:rFonts w:ascii="Calibri" w:hAnsi="Calibri"/>
      <w:sz w:val="16"/>
    </w:rPr>
  </w:style>
  <w:style w:type="character" w:customStyle="1" w:styleId="3133">
    <w:name w:val="Основной текст 3 Знак133"/>
    <w:uiPriority w:val="99"/>
    <w:semiHidden/>
    <w:rsid w:val="00B2425D"/>
    <w:rPr>
      <w:rFonts w:ascii="Calibri" w:hAnsi="Calibri"/>
      <w:sz w:val="16"/>
    </w:rPr>
  </w:style>
  <w:style w:type="character" w:customStyle="1" w:styleId="3132">
    <w:name w:val="Основной текст 3 Знак132"/>
    <w:uiPriority w:val="99"/>
    <w:semiHidden/>
    <w:rsid w:val="00B2425D"/>
    <w:rPr>
      <w:rFonts w:ascii="Calibri" w:hAnsi="Calibri"/>
      <w:sz w:val="16"/>
    </w:rPr>
  </w:style>
  <w:style w:type="character" w:customStyle="1" w:styleId="3131">
    <w:name w:val="Основной текст 3 Знак131"/>
    <w:uiPriority w:val="99"/>
    <w:semiHidden/>
    <w:rsid w:val="00B2425D"/>
    <w:rPr>
      <w:rFonts w:ascii="Calibri" w:hAnsi="Calibri"/>
      <w:sz w:val="16"/>
    </w:rPr>
  </w:style>
  <w:style w:type="character" w:customStyle="1" w:styleId="3130">
    <w:name w:val="Основной текст 3 Знак130"/>
    <w:uiPriority w:val="99"/>
    <w:semiHidden/>
    <w:rsid w:val="00B2425D"/>
    <w:rPr>
      <w:rFonts w:ascii="Calibri" w:hAnsi="Calibri"/>
      <w:sz w:val="16"/>
    </w:rPr>
  </w:style>
  <w:style w:type="character" w:customStyle="1" w:styleId="3129">
    <w:name w:val="Основной текст 3 Знак129"/>
    <w:uiPriority w:val="99"/>
    <w:semiHidden/>
    <w:rsid w:val="00B2425D"/>
    <w:rPr>
      <w:rFonts w:ascii="Calibri" w:hAnsi="Calibri"/>
      <w:sz w:val="16"/>
    </w:rPr>
  </w:style>
  <w:style w:type="character" w:customStyle="1" w:styleId="3128">
    <w:name w:val="Основной текст 3 Знак128"/>
    <w:uiPriority w:val="99"/>
    <w:semiHidden/>
    <w:rsid w:val="00B2425D"/>
    <w:rPr>
      <w:rFonts w:ascii="Calibri" w:hAnsi="Calibri"/>
      <w:sz w:val="16"/>
    </w:rPr>
  </w:style>
  <w:style w:type="character" w:customStyle="1" w:styleId="3127">
    <w:name w:val="Основной текст 3 Знак127"/>
    <w:uiPriority w:val="99"/>
    <w:semiHidden/>
    <w:rsid w:val="00B2425D"/>
    <w:rPr>
      <w:sz w:val="16"/>
    </w:rPr>
  </w:style>
  <w:style w:type="character" w:customStyle="1" w:styleId="3126">
    <w:name w:val="Основной текст 3 Знак126"/>
    <w:uiPriority w:val="99"/>
    <w:semiHidden/>
    <w:rsid w:val="00B2425D"/>
    <w:rPr>
      <w:sz w:val="16"/>
    </w:rPr>
  </w:style>
  <w:style w:type="character" w:customStyle="1" w:styleId="3125">
    <w:name w:val="Основной текст 3 Знак125"/>
    <w:uiPriority w:val="99"/>
    <w:semiHidden/>
    <w:rsid w:val="00B2425D"/>
    <w:rPr>
      <w:sz w:val="16"/>
    </w:rPr>
  </w:style>
  <w:style w:type="character" w:customStyle="1" w:styleId="3124">
    <w:name w:val="Основной текст 3 Знак124"/>
    <w:uiPriority w:val="99"/>
    <w:semiHidden/>
    <w:rsid w:val="00B2425D"/>
    <w:rPr>
      <w:sz w:val="16"/>
    </w:rPr>
  </w:style>
  <w:style w:type="character" w:customStyle="1" w:styleId="3123">
    <w:name w:val="Основной текст 3 Знак123"/>
    <w:uiPriority w:val="99"/>
    <w:semiHidden/>
    <w:rsid w:val="00B2425D"/>
    <w:rPr>
      <w:sz w:val="16"/>
    </w:rPr>
  </w:style>
  <w:style w:type="character" w:customStyle="1" w:styleId="3122">
    <w:name w:val="Основной текст 3 Знак122"/>
    <w:uiPriority w:val="99"/>
    <w:semiHidden/>
    <w:rsid w:val="00B2425D"/>
    <w:rPr>
      <w:sz w:val="16"/>
    </w:rPr>
  </w:style>
  <w:style w:type="character" w:customStyle="1" w:styleId="3121">
    <w:name w:val="Основной текст 3 Знак121"/>
    <w:uiPriority w:val="99"/>
    <w:semiHidden/>
    <w:rsid w:val="00B2425D"/>
    <w:rPr>
      <w:sz w:val="16"/>
    </w:rPr>
  </w:style>
  <w:style w:type="character" w:customStyle="1" w:styleId="3120">
    <w:name w:val="Основной текст 3 Знак120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9">
    <w:name w:val="Основной текст 3 Знак119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8">
    <w:name w:val="Основной текст 3 Знак118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7">
    <w:name w:val="Основной текст 3 Знак117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6">
    <w:name w:val="Основной текст 3 Знак116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5">
    <w:name w:val="Основной текст 3 Знак115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4">
    <w:name w:val="Основной текст 3 Знак114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3">
    <w:name w:val="Основной текст 3 Знак113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2">
    <w:name w:val="Основной текст 3 Знак112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1">
    <w:name w:val="Основной текст 3 Знак111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0">
    <w:name w:val="Основной текст 3 Знак110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9">
    <w:name w:val="Основной текст 3 Знак19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8">
    <w:name w:val="Основной текст 3 Знак18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7">
    <w:name w:val="Основной текст 3 Знак17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6">
    <w:name w:val="Основной текст 3 Знак16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5">
    <w:name w:val="Основной текст 3 Знак15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4">
    <w:name w:val="Основной текст 3 Знак14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3">
    <w:name w:val="Основной текст 3 Знак13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2">
    <w:name w:val="Основной текст 3 Знак12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a">
    <w:name w:val="Основной текст 3 Знак11"/>
    <w:semiHidden/>
    <w:rsid w:val="00B2425D"/>
    <w:rPr>
      <w:rFonts w:ascii="Times New Roman" w:hAnsi="Times New Roman"/>
      <w:sz w:val="16"/>
    </w:rPr>
  </w:style>
  <w:style w:type="character" w:customStyle="1" w:styleId="17">
    <w:name w:val="Нижний колонтитул Знак1"/>
    <w:uiPriority w:val="99"/>
    <w:semiHidden/>
    <w:rsid w:val="00B2425D"/>
    <w:rPr>
      <w:sz w:val="22"/>
    </w:rPr>
  </w:style>
  <w:style w:type="character" w:customStyle="1" w:styleId="169">
    <w:name w:val="Нижний колонтитул Знак169"/>
    <w:uiPriority w:val="99"/>
    <w:semiHidden/>
    <w:rsid w:val="00B2425D"/>
    <w:rPr>
      <w:sz w:val="22"/>
    </w:rPr>
  </w:style>
  <w:style w:type="character" w:customStyle="1" w:styleId="168">
    <w:name w:val="Нижний колонтитул Знак168"/>
    <w:uiPriority w:val="99"/>
    <w:semiHidden/>
    <w:rsid w:val="00B2425D"/>
    <w:rPr>
      <w:sz w:val="22"/>
    </w:rPr>
  </w:style>
  <w:style w:type="character" w:customStyle="1" w:styleId="167">
    <w:name w:val="Нижний колонтитул Знак167"/>
    <w:uiPriority w:val="99"/>
    <w:semiHidden/>
    <w:rsid w:val="00B2425D"/>
    <w:rPr>
      <w:sz w:val="22"/>
    </w:rPr>
  </w:style>
  <w:style w:type="character" w:customStyle="1" w:styleId="166">
    <w:name w:val="Нижний колонтитул Знак166"/>
    <w:uiPriority w:val="99"/>
    <w:semiHidden/>
    <w:rsid w:val="00B2425D"/>
    <w:rPr>
      <w:sz w:val="22"/>
    </w:rPr>
  </w:style>
  <w:style w:type="character" w:customStyle="1" w:styleId="165">
    <w:name w:val="Нижний колонтитул Знак165"/>
    <w:uiPriority w:val="99"/>
    <w:semiHidden/>
    <w:rsid w:val="00B2425D"/>
    <w:rPr>
      <w:sz w:val="22"/>
    </w:rPr>
  </w:style>
  <w:style w:type="character" w:customStyle="1" w:styleId="164">
    <w:name w:val="Нижний колонтитул Знак164"/>
    <w:uiPriority w:val="99"/>
    <w:semiHidden/>
    <w:rsid w:val="00B2425D"/>
    <w:rPr>
      <w:sz w:val="22"/>
    </w:rPr>
  </w:style>
  <w:style w:type="character" w:customStyle="1" w:styleId="163">
    <w:name w:val="Нижний колонтитул Знак163"/>
    <w:uiPriority w:val="99"/>
    <w:semiHidden/>
    <w:rsid w:val="00B2425D"/>
    <w:rPr>
      <w:sz w:val="22"/>
    </w:rPr>
  </w:style>
  <w:style w:type="character" w:customStyle="1" w:styleId="162">
    <w:name w:val="Нижний колонтитул Знак162"/>
    <w:uiPriority w:val="99"/>
    <w:semiHidden/>
    <w:rsid w:val="00B2425D"/>
    <w:rPr>
      <w:sz w:val="22"/>
    </w:rPr>
  </w:style>
  <w:style w:type="character" w:customStyle="1" w:styleId="161">
    <w:name w:val="Нижний колонтитул Знак161"/>
    <w:uiPriority w:val="99"/>
    <w:semiHidden/>
    <w:rsid w:val="00B2425D"/>
    <w:rPr>
      <w:sz w:val="22"/>
    </w:rPr>
  </w:style>
  <w:style w:type="character" w:customStyle="1" w:styleId="160">
    <w:name w:val="Нижний колонтитул Знак160"/>
    <w:uiPriority w:val="99"/>
    <w:semiHidden/>
    <w:rsid w:val="00B2425D"/>
    <w:rPr>
      <w:sz w:val="22"/>
    </w:rPr>
  </w:style>
  <w:style w:type="character" w:customStyle="1" w:styleId="159">
    <w:name w:val="Нижний колонтитул Знак159"/>
    <w:uiPriority w:val="99"/>
    <w:semiHidden/>
    <w:rsid w:val="00B2425D"/>
    <w:rPr>
      <w:sz w:val="22"/>
    </w:rPr>
  </w:style>
  <w:style w:type="character" w:customStyle="1" w:styleId="158">
    <w:name w:val="Нижний колонтитул Знак158"/>
    <w:uiPriority w:val="99"/>
    <w:semiHidden/>
    <w:rsid w:val="00B2425D"/>
    <w:rPr>
      <w:sz w:val="22"/>
    </w:rPr>
  </w:style>
  <w:style w:type="character" w:customStyle="1" w:styleId="157">
    <w:name w:val="Нижний колонтитул Знак157"/>
    <w:uiPriority w:val="99"/>
    <w:semiHidden/>
    <w:rsid w:val="00B2425D"/>
    <w:rPr>
      <w:sz w:val="22"/>
    </w:rPr>
  </w:style>
  <w:style w:type="character" w:customStyle="1" w:styleId="156">
    <w:name w:val="Нижний колонтитул Знак156"/>
    <w:uiPriority w:val="99"/>
    <w:semiHidden/>
    <w:rsid w:val="00B2425D"/>
    <w:rPr>
      <w:sz w:val="22"/>
    </w:rPr>
  </w:style>
  <w:style w:type="character" w:customStyle="1" w:styleId="155">
    <w:name w:val="Нижний колонтитул Знак155"/>
    <w:uiPriority w:val="99"/>
    <w:semiHidden/>
    <w:rsid w:val="00B2425D"/>
    <w:rPr>
      <w:sz w:val="22"/>
    </w:rPr>
  </w:style>
  <w:style w:type="character" w:customStyle="1" w:styleId="154">
    <w:name w:val="Нижний колонтитул Знак154"/>
    <w:uiPriority w:val="99"/>
    <w:semiHidden/>
    <w:rsid w:val="00B2425D"/>
    <w:rPr>
      <w:rFonts w:ascii="Calibri" w:hAnsi="Calibri"/>
    </w:rPr>
  </w:style>
  <w:style w:type="character" w:customStyle="1" w:styleId="153">
    <w:name w:val="Нижний колонтитул Знак153"/>
    <w:uiPriority w:val="99"/>
    <w:semiHidden/>
    <w:rsid w:val="00B2425D"/>
    <w:rPr>
      <w:rFonts w:ascii="Calibri" w:hAnsi="Calibri"/>
    </w:rPr>
  </w:style>
  <w:style w:type="character" w:customStyle="1" w:styleId="152">
    <w:name w:val="Нижний колонтитул Знак152"/>
    <w:uiPriority w:val="99"/>
    <w:semiHidden/>
    <w:rsid w:val="00B2425D"/>
    <w:rPr>
      <w:rFonts w:ascii="Calibri" w:hAnsi="Calibri"/>
    </w:rPr>
  </w:style>
  <w:style w:type="character" w:customStyle="1" w:styleId="151">
    <w:name w:val="Нижний колонтитул Знак151"/>
    <w:uiPriority w:val="99"/>
    <w:semiHidden/>
    <w:rsid w:val="00B2425D"/>
    <w:rPr>
      <w:rFonts w:ascii="Calibri" w:hAnsi="Calibri"/>
    </w:rPr>
  </w:style>
  <w:style w:type="character" w:customStyle="1" w:styleId="150">
    <w:name w:val="Нижний колонтитул Знак150"/>
    <w:uiPriority w:val="99"/>
    <w:semiHidden/>
    <w:rsid w:val="00B2425D"/>
    <w:rPr>
      <w:rFonts w:ascii="Calibri" w:hAnsi="Calibri"/>
    </w:rPr>
  </w:style>
  <w:style w:type="character" w:customStyle="1" w:styleId="149">
    <w:name w:val="Нижний колонтитул Знак149"/>
    <w:uiPriority w:val="99"/>
    <w:semiHidden/>
    <w:rsid w:val="00B2425D"/>
    <w:rPr>
      <w:rFonts w:ascii="Calibri" w:hAnsi="Calibri"/>
    </w:rPr>
  </w:style>
  <w:style w:type="character" w:customStyle="1" w:styleId="148">
    <w:name w:val="Нижний колонтитул Знак148"/>
    <w:uiPriority w:val="99"/>
    <w:semiHidden/>
    <w:rsid w:val="00B2425D"/>
    <w:rPr>
      <w:rFonts w:ascii="Calibri" w:hAnsi="Calibri"/>
    </w:rPr>
  </w:style>
  <w:style w:type="character" w:customStyle="1" w:styleId="147">
    <w:name w:val="Нижний колонтитул Знак147"/>
    <w:uiPriority w:val="99"/>
    <w:semiHidden/>
    <w:rsid w:val="00B2425D"/>
    <w:rPr>
      <w:rFonts w:ascii="Calibri" w:hAnsi="Calibri"/>
    </w:rPr>
  </w:style>
  <w:style w:type="character" w:customStyle="1" w:styleId="146">
    <w:name w:val="Нижний колонтитул Знак146"/>
    <w:uiPriority w:val="99"/>
    <w:semiHidden/>
    <w:rsid w:val="00B2425D"/>
    <w:rPr>
      <w:rFonts w:ascii="Calibri" w:hAnsi="Calibri"/>
    </w:rPr>
  </w:style>
  <w:style w:type="character" w:customStyle="1" w:styleId="145">
    <w:name w:val="Нижний колонтитул Знак145"/>
    <w:uiPriority w:val="99"/>
    <w:semiHidden/>
    <w:rsid w:val="00B2425D"/>
    <w:rPr>
      <w:rFonts w:ascii="Calibri" w:hAnsi="Calibri"/>
    </w:rPr>
  </w:style>
  <w:style w:type="character" w:customStyle="1" w:styleId="144">
    <w:name w:val="Нижний колонтитул Знак144"/>
    <w:uiPriority w:val="99"/>
    <w:semiHidden/>
    <w:rsid w:val="00B2425D"/>
    <w:rPr>
      <w:rFonts w:ascii="Calibri" w:hAnsi="Calibri"/>
    </w:rPr>
  </w:style>
  <w:style w:type="character" w:customStyle="1" w:styleId="143">
    <w:name w:val="Нижний колонтитул Знак143"/>
    <w:uiPriority w:val="99"/>
    <w:semiHidden/>
    <w:rsid w:val="00B2425D"/>
    <w:rPr>
      <w:rFonts w:ascii="Calibri" w:hAnsi="Calibri"/>
    </w:rPr>
  </w:style>
  <w:style w:type="character" w:customStyle="1" w:styleId="142">
    <w:name w:val="Нижний колонтитул Знак142"/>
    <w:uiPriority w:val="99"/>
    <w:semiHidden/>
    <w:rsid w:val="00B2425D"/>
    <w:rPr>
      <w:rFonts w:ascii="Calibri" w:hAnsi="Calibri"/>
    </w:rPr>
  </w:style>
  <w:style w:type="character" w:customStyle="1" w:styleId="141">
    <w:name w:val="Нижний колонтитул Знак141"/>
    <w:uiPriority w:val="99"/>
    <w:semiHidden/>
    <w:rsid w:val="00B2425D"/>
    <w:rPr>
      <w:rFonts w:ascii="Calibri" w:hAnsi="Calibri"/>
    </w:rPr>
  </w:style>
  <w:style w:type="character" w:customStyle="1" w:styleId="140">
    <w:name w:val="Нижний колонтитул Знак140"/>
    <w:uiPriority w:val="99"/>
    <w:semiHidden/>
    <w:rsid w:val="00B2425D"/>
    <w:rPr>
      <w:rFonts w:ascii="Calibri" w:hAnsi="Calibri"/>
    </w:rPr>
  </w:style>
  <w:style w:type="character" w:customStyle="1" w:styleId="139">
    <w:name w:val="Нижний колонтитул Знак139"/>
    <w:uiPriority w:val="99"/>
    <w:semiHidden/>
    <w:rsid w:val="00B2425D"/>
    <w:rPr>
      <w:rFonts w:ascii="Calibri" w:hAnsi="Calibri"/>
    </w:rPr>
  </w:style>
  <w:style w:type="character" w:customStyle="1" w:styleId="138">
    <w:name w:val="Нижний колонтитул Знак138"/>
    <w:uiPriority w:val="99"/>
    <w:semiHidden/>
    <w:rsid w:val="00B2425D"/>
    <w:rPr>
      <w:rFonts w:ascii="Calibri" w:hAnsi="Calibri"/>
    </w:rPr>
  </w:style>
  <w:style w:type="character" w:customStyle="1" w:styleId="137">
    <w:name w:val="Нижний колонтитул Знак137"/>
    <w:uiPriority w:val="99"/>
    <w:semiHidden/>
    <w:rsid w:val="00B2425D"/>
    <w:rPr>
      <w:rFonts w:ascii="Calibri" w:hAnsi="Calibri"/>
    </w:rPr>
  </w:style>
  <w:style w:type="character" w:customStyle="1" w:styleId="136">
    <w:name w:val="Нижний колонтитул Знак136"/>
    <w:uiPriority w:val="99"/>
    <w:semiHidden/>
    <w:rsid w:val="00B2425D"/>
    <w:rPr>
      <w:rFonts w:ascii="Calibri" w:hAnsi="Calibri"/>
    </w:rPr>
  </w:style>
  <w:style w:type="character" w:customStyle="1" w:styleId="135">
    <w:name w:val="Нижний колонтитул Знак135"/>
    <w:uiPriority w:val="99"/>
    <w:semiHidden/>
    <w:rsid w:val="00B2425D"/>
    <w:rPr>
      <w:rFonts w:ascii="Calibri" w:hAnsi="Calibri"/>
    </w:rPr>
  </w:style>
  <w:style w:type="character" w:customStyle="1" w:styleId="134">
    <w:name w:val="Нижний колонтитул Знак134"/>
    <w:uiPriority w:val="99"/>
    <w:semiHidden/>
    <w:rsid w:val="00B2425D"/>
    <w:rPr>
      <w:rFonts w:ascii="Calibri" w:hAnsi="Calibri"/>
    </w:rPr>
  </w:style>
  <w:style w:type="character" w:customStyle="1" w:styleId="133">
    <w:name w:val="Нижний колонтитул Знак133"/>
    <w:uiPriority w:val="99"/>
    <w:semiHidden/>
    <w:rsid w:val="00B2425D"/>
    <w:rPr>
      <w:rFonts w:ascii="Calibri" w:hAnsi="Calibri"/>
    </w:rPr>
  </w:style>
  <w:style w:type="character" w:customStyle="1" w:styleId="132">
    <w:name w:val="Нижний колонтитул Знак132"/>
    <w:uiPriority w:val="99"/>
    <w:semiHidden/>
    <w:rsid w:val="00B2425D"/>
    <w:rPr>
      <w:rFonts w:ascii="Calibri" w:hAnsi="Calibri"/>
    </w:rPr>
  </w:style>
  <w:style w:type="character" w:customStyle="1" w:styleId="131">
    <w:name w:val="Нижний колонтитул Знак131"/>
    <w:uiPriority w:val="99"/>
    <w:semiHidden/>
    <w:rsid w:val="00B2425D"/>
    <w:rPr>
      <w:rFonts w:ascii="Calibri" w:hAnsi="Calibri"/>
    </w:rPr>
  </w:style>
  <w:style w:type="character" w:customStyle="1" w:styleId="130">
    <w:name w:val="Нижний колонтитул Знак130"/>
    <w:uiPriority w:val="99"/>
    <w:semiHidden/>
    <w:rsid w:val="00B2425D"/>
    <w:rPr>
      <w:rFonts w:ascii="Calibri" w:hAnsi="Calibri"/>
    </w:rPr>
  </w:style>
  <w:style w:type="character" w:customStyle="1" w:styleId="129">
    <w:name w:val="Нижний колонтитул Знак129"/>
    <w:uiPriority w:val="99"/>
    <w:semiHidden/>
    <w:rsid w:val="00B2425D"/>
    <w:rPr>
      <w:rFonts w:ascii="Calibri" w:hAnsi="Calibri"/>
    </w:rPr>
  </w:style>
  <w:style w:type="character" w:customStyle="1" w:styleId="128">
    <w:name w:val="Нижний колонтитул Знак128"/>
    <w:uiPriority w:val="99"/>
    <w:semiHidden/>
    <w:rsid w:val="00B2425D"/>
    <w:rPr>
      <w:rFonts w:ascii="Calibri" w:hAnsi="Calibri"/>
    </w:rPr>
  </w:style>
  <w:style w:type="character" w:customStyle="1" w:styleId="127">
    <w:name w:val="Нижний колонтитул Знак127"/>
    <w:uiPriority w:val="99"/>
    <w:semiHidden/>
    <w:rsid w:val="00B2425D"/>
  </w:style>
  <w:style w:type="character" w:customStyle="1" w:styleId="126">
    <w:name w:val="Нижний колонтитул Знак126"/>
    <w:uiPriority w:val="99"/>
    <w:semiHidden/>
    <w:rsid w:val="00B2425D"/>
  </w:style>
  <w:style w:type="character" w:customStyle="1" w:styleId="125">
    <w:name w:val="Нижний колонтитул Знак125"/>
    <w:uiPriority w:val="99"/>
    <w:semiHidden/>
    <w:rsid w:val="00B2425D"/>
  </w:style>
  <w:style w:type="character" w:customStyle="1" w:styleId="124">
    <w:name w:val="Нижний колонтитул Знак124"/>
    <w:uiPriority w:val="99"/>
    <w:semiHidden/>
    <w:rsid w:val="00B2425D"/>
  </w:style>
  <w:style w:type="character" w:customStyle="1" w:styleId="123">
    <w:name w:val="Нижний колонтитул Знак123"/>
    <w:uiPriority w:val="99"/>
    <w:semiHidden/>
    <w:rsid w:val="00B2425D"/>
  </w:style>
  <w:style w:type="character" w:customStyle="1" w:styleId="122">
    <w:name w:val="Нижний колонтитул Знак122"/>
    <w:uiPriority w:val="99"/>
    <w:semiHidden/>
    <w:rsid w:val="00B2425D"/>
  </w:style>
  <w:style w:type="character" w:customStyle="1" w:styleId="121">
    <w:name w:val="Нижний колонтитул Знак121"/>
    <w:uiPriority w:val="99"/>
    <w:semiHidden/>
    <w:rsid w:val="00B2425D"/>
  </w:style>
  <w:style w:type="character" w:customStyle="1" w:styleId="120">
    <w:name w:val="Нижний колонтитул Знак120"/>
    <w:uiPriority w:val="99"/>
    <w:semiHidden/>
    <w:rsid w:val="00B2425D"/>
    <w:rPr>
      <w:rFonts w:ascii="Times New Roman" w:hAnsi="Times New Roman"/>
    </w:rPr>
  </w:style>
  <w:style w:type="character" w:customStyle="1" w:styleId="119">
    <w:name w:val="Нижний колонтитул Знак119"/>
    <w:uiPriority w:val="99"/>
    <w:semiHidden/>
    <w:rsid w:val="00B2425D"/>
    <w:rPr>
      <w:rFonts w:ascii="Times New Roman" w:hAnsi="Times New Roman"/>
    </w:rPr>
  </w:style>
  <w:style w:type="character" w:customStyle="1" w:styleId="118">
    <w:name w:val="Нижний колонтитул Знак118"/>
    <w:uiPriority w:val="99"/>
    <w:semiHidden/>
    <w:rsid w:val="00B2425D"/>
    <w:rPr>
      <w:rFonts w:ascii="Times New Roman" w:hAnsi="Times New Roman"/>
    </w:rPr>
  </w:style>
  <w:style w:type="character" w:customStyle="1" w:styleId="117">
    <w:name w:val="Нижний колонтитул Знак1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6">
    <w:name w:val="Нижний колонтитул Знак1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5">
    <w:name w:val="Нижний колонтитул Знак1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4">
    <w:name w:val="Нижний колонтитул Знак1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3">
    <w:name w:val="Нижний колонтитул Знак1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2">
    <w:name w:val="Нижний колонтитул Знак1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11">
    <w:name w:val="Нижний колонтитул Знак111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0">
    <w:name w:val="Нижний колонтитул Знак110"/>
    <w:uiPriority w:val="99"/>
    <w:semiHidden/>
    <w:rsid w:val="00B2425D"/>
    <w:rPr>
      <w:rFonts w:ascii="Times New Roman" w:hAnsi="Times New Roman"/>
      <w:sz w:val="20"/>
    </w:rPr>
  </w:style>
  <w:style w:type="character" w:customStyle="1" w:styleId="19">
    <w:name w:val="Нижний колонтитул Знак19"/>
    <w:uiPriority w:val="99"/>
    <w:semiHidden/>
    <w:rsid w:val="00B2425D"/>
    <w:rPr>
      <w:rFonts w:ascii="Times New Roman" w:hAnsi="Times New Roman"/>
      <w:sz w:val="20"/>
    </w:rPr>
  </w:style>
  <w:style w:type="character" w:customStyle="1" w:styleId="18">
    <w:name w:val="Нижний колонтитул Знак18"/>
    <w:uiPriority w:val="99"/>
    <w:semiHidden/>
    <w:rsid w:val="00B2425D"/>
    <w:rPr>
      <w:rFonts w:ascii="Times New Roman" w:hAnsi="Times New Roman"/>
      <w:sz w:val="20"/>
    </w:rPr>
  </w:style>
  <w:style w:type="character" w:customStyle="1" w:styleId="170">
    <w:name w:val="Нижний колонтитул Знак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6a">
    <w:name w:val="Нижний колонтитул Знак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5a">
    <w:name w:val="Нижний колонтитул Знак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4a">
    <w:name w:val="Нижний колонтитул Знак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3a">
    <w:name w:val="Нижний колонтитул Знак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2a">
    <w:name w:val="Нижний колонтитул Знак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a">
    <w:name w:val="Нижний колонтитул Знак11"/>
    <w:uiPriority w:val="99"/>
    <w:semiHidden/>
    <w:rsid w:val="00B2425D"/>
    <w:rPr>
      <w:rFonts w:ascii="Times New Roman" w:hAnsi="Times New Roman"/>
      <w:sz w:val="20"/>
    </w:rPr>
  </w:style>
  <w:style w:type="character" w:customStyle="1" w:styleId="1a">
    <w:name w:val="Текст сноски Знак1"/>
    <w:uiPriority w:val="99"/>
    <w:semiHidden/>
    <w:rsid w:val="00B2425D"/>
  </w:style>
  <w:style w:type="character" w:customStyle="1" w:styleId="1690">
    <w:name w:val="Текст сноски Знак169"/>
    <w:uiPriority w:val="99"/>
    <w:semiHidden/>
    <w:rsid w:val="00B2425D"/>
  </w:style>
  <w:style w:type="character" w:customStyle="1" w:styleId="1680">
    <w:name w:val="Текст сноски Знак168"/>
    <w:uiPriority w:val="99"/>
    <w:semiHidden/>
    <w:rsid w:val="00B2425D"/>
  </w:style>
  <w:style w:type="character" w:customStyle="1" w:styleId="1670">
    <w:name w:val="Текст сноски Знак167"/>
    <w:uiPriority w:val="99"/>
    <w:semiHidden/>
    <w:rsid w:val="00B2425D"/>
  </w:style>
  <w:style w:type="character" w:customStyle="1" w:styleId="1660">
    <w:name w:val="Текст сноски Знак166"/>
    <w:uiPriority w:val="99"/>
    <w:semiHidden/>
    <w:rsid w:val="00B2425D"/>
  </w:style>
  <w:style w:type="character" w:customStyle="1" w:styleId="1650">
    <w:name w:val="Текст сноски Знак165"/>
    <w:uiPriority w:val="99"/>
    <w:semiHidden/>
    <w:rsid w:val="00B2425D"/>
  </w:style>
  <w:style w:type="character" w:customStyle="1" w:styleId="1640">
    <w:name w:val="Текст сноски Знак164"/>
    <w:uiPriority w:val="99"/>
    <w:semiHidden/>
    <w:rsid w:val="00B2425D"/>
  </w:style>
  <w:style w:type="character" w:customStyle="1" w:styleId="1630">
    <w:name w:val="Текст сноски Знак163"/>
    <w:uiPriority w:val="99"/>
    <w:semiHidden/>
    <w:rsid w:val="00B2425D"/>
  </w:style>
  <w:style w:type="character" w:customStyle="1" w:styleId="1620">
    <w:name w:val="Текст сноски Знак162"/>
    <w:uiPriority w:val="99"/>
    <w:semiHidden/>
    <w:rsid w:val="00B2425D"/>
  </w:style>
  <w:style w:type="character" w:customStyle="1" w:styleId="1610">
    <w:name w:val="Текст сноски Знак161"/>
    <w:uiPriority w:val="99"/>
    <w:semiHidden/>
    <w:rsid w:val="00B2425D"/>
  </w:style>
  <w:style w:type="character" w:customStyle="1" w:styleId="1600">
    <w:name w:val="Текст сноски Знак160"/>
    <w:uiPriority w:val="99"/>
    <w:semiHidden/>
    <w:rsid w:val="00B2425D"/>
  </w:style>
  <w:style w:type="character" w:customStyle="1" w:styleId="1590">
    <w:name w:val="Текст сноски Знак159"/>
    <w:uiPriority w:val="99"/>
    <w:semiHidden/>
    <w:rsid w:val="00B2425D"/>
  </w:style>
  <w:style w:type="character" w:customStyle="1" w:styleId="1580">
    <w:name w:val="Текст сноски Знак158"/>
    <w:uiPriority w:val="99"/>
    <w:semiHidden/>
    <w:rsid w:val="00B2425D"/>
  </w:style>
  <w:style w:type="character" w:customStyle="1" w:styleId="1570">
    <w:name w:val="Текст сноски Знак157"/>
    <w:uiPriority w:val="99"/>
    <w:semiHidden/>
    <w:rsid w:val="00B2425D"/>
  </w:style>
  <w:style w:type="character" w:customStyle="1" w:styleId="1560">
    <w:name w:val="Текст сноски Знак156"/>
    <w:uiPriority w:val="99"/>
    <w:semiHidden/>
    <w:rsid w:val="00B2425D"/>
  </w:style>
  <w:style w:type="character" w:customStyle="1" w:styleId="1550">
    <w:name w:val="Текст сноски Знак155"/>
    <w:uiPriority w:val="99"/>
    <w:semiHidden/>
    <w:rsid w:val="00B2425D"/>
  </w:style>
  <w:style w:type="character" w:customStyle="1" w:styleId="1540">
    <w:name w:val="Текст сноски Знак154"/>
    <w:uiPriority w:val="99"/>
    <w:semiHidden/>
    <w:rsid w:val="00B2425D"/>
    <w:rPr>
      <w:rFonts w:ascii="Calibri" w:hAnsi="Calibri"/>
      <w:sz w:val="20"/>
    </w:rPr>
  </w:style>
  <w:style w:type="character" w:customStyle="1" w:styleId="1530">
    <w:name w:val="Текст сноски Знак153"/>
    <w:uiPriority w:val="99"/>
    <w:semiHidden/>
    <w:rsid w:val="00B2425D"/>
    <w:rPr>
      <w:rFonts w:ascii="Calibri" w:hAnsi="Calibri"/>
      <w:sz w:val="20"/>
    </w:rPr>
  </w:style>
  <w:style w:type="character" w:customStyle="1" w:styleId="1520">
    <w:name w:val="Текст сноски Знак152"/>
    <w:uiPriority w:val="99"/>
    <w:semiHidden/>
    <w:rsid w:val="00B2425D"/>
    <w:rPr>
      <w:rFonts w:ascii="Calibri" w:hAnsi="Calibri"/>
      <w:sz w:val="20"/>
    </w:rPr>
  </w:style>
  <w:style w:type="character" w:customStyle="1" w:styleId="1510">
    <w:name w:val="Текст сноски Знак151"/>
    <w:uiPriority w:val="99"/>
    <w:semiHidden/>
    <w:rsid w:val="00B2425D"/>
    <w:rPr>
      <w:rFonts w:ascii="Calibri" w:hAnsi="Calibri"/>
      <w:sz w:val="20"/>
    </w:rPr>
  </w:style>
  <w:style w:type="character" w:customStyle="1" w:styleId="1500">
    <w:name w:val="Текст сноски Знак150"/>
    <w:uiPriority w:val="99"/>
    <w:semiHidden/>
    <w:rsid w:val="00B2425D"/>
    <w:rPr>
      <w:rFonts w:ascii="Calibri" w:hAnsi="Calibri"/>
      <w:sz w:val="20"/>
    </w:rPr>
  </w:style>
  <w:style w:type="character" w:customStyle="1" w:styleId="1490">
    <w:name w:val="Текст сноски Знак149"/>
    <w:uiPriority w:val="99"/>
    <w:semiHidden/>
    <w:rsid w:val="00B2425D"/>
    <w:rPr>
      <w:rFonts w:ascii="Calibri" w:hAnsi="Calibri"/>
      <w:sz w:val="20"/>
    </w:rPr>
  </w:style>
  <w:style w:type="character" w:customStyle="1" w:styleId="1480">
    <w:name w:val="Текст сноски Знак148"/>
    <w:uiPriority w:val="99"/>
    <w:semiHidden/>
    <w:rsid w:val="00B2425D"/>
    <w:rPr>
      <w:rFonts w:ascii="Calibri" w:hAnsi="Calibri"/>
      <w:sz w:val="20"/>
    </w:rPr>
  </w:style>
  <w:style w:type="character" w:customStyle="1" w:styleId="1470">
    <w:name w:val="Текст сноски Знак147"/>
    <w:uiPriority w:val="99"/>
    <w:semiHidden/>
    <w:rsid w:val="00B2425D"/>
    <w:rPr>
      <w:rFonts w:ascii="Calibri" w:hAnsi="Calibri"/>
      <w:sz w:val="20"/>
    </w:rPr>
  </w:style>
  <w:style w:type="character" w:customStyle="1" w:styleId="1460">
    <w:name w:val="Текст сноски Знак146"/>
    <w:uiPriority w:val="99"/>
    <w:semiHidden/>
    <w:rsid w:val="00B2425D"/>
    <w:rPr>
      <w:rFonts w:ascii="Calibri" w:hAnsi="Calibri"/>
      <w:sz w:val="20"/>
    </w:rPr>
  </w:style>
  <w:style w:type="character" w:customStyle="1" w:styleId="1450">
    <w:name w:val="Текст сноски Знак145"/>
    <w:uiPriority w:val="99"/>
    <w:semiHidden/>
    <w:rsid w:val="00B2425D"/>
    <w:rPr>
      <w:rFonts w:ascii="Calibri" w:hAnsi="Calibri"/>
      <w:sz w:val="20"/>
    </w:rPr>
  </w:style>
  <w:style w:type="character" w:customStyle="1" w:styleId="1440">
    <w:name w:val="Текст сноски Знак144"/>
    <w:uiPriority w:val="99"/>
    <w:semiHidden/>
    <w:rsid w:val="00B2425D"/>
    <w:rPr>
      <w:rFonts w:ascii="Calibri" w:hAnsi="Calibri"/>
      <w:sz w:val="20"/>
    </w:rPr>
  </w:style>
  <w:style w:type="character" w:customStyle="1" w:styleId="1430">
    <w:name w:val="Текст сноски Знак143"/>
    <w:uiPriority w:val="99"/>
    <w:semiHidden/>
    <w:rsid w:val="00B2425D"/>
    <w:rPr>
      <w:rFonts w:ascii="Calibri" w:hAnsi="Calibri"/>
      <w:sz w:val="20"/>
    </w:rPr>
  </w:style>
  <w:style w:type="character" w:customStyle="1" w:styleId="1420">
    <w:name w:val="Текст сноски Знак142"/>
    <w:uiPriority w:val="99"/>
    <w:semiHidden/>
    <w:rsid w:val="00B2425D"/>
    <w:rPr>
      <w:rFonts w:ascii="Calibri" w:hAnsi="Calibri"/>
      <w:sz w:val="20"/>
    </w:rPr>
  </w:style>
  <w:style w:type="character" w:customStyle="1" w:styleId="1410">
    <w:name w:val="Текст сноски Знак141"/>
    <w:uiPriority w:val="99"/>
    <w:semiHidden/>
    <w:rsid w:val="00B2425D"/>
    <w:rPr>
      <w:rFonts w:ascii="Calibri" w:hAnsi="Calibri"/>
      <w:sz w:val="20"/>
    </w:rPr>
  </w:style>
  <w:style w:type="character" w:customStyle="1" w:styleId="1400">
    <w:name w:val="Текст сноски Знак140"/>
    <w:uiPriority w:val="99"/>
    <w:semiHidden/>
    <w:rsid w:val="00B2425D"/>
    <w:rPr>
      <w:rFonts w:ascii="Calibri" w:hAnsi="Calibri"/>
      <w:sz w:val="20"/>
    </w:rPr>
  </w:style>
  <w:style w:type="character" w:customStyle="1" w:styleId="1390">
    <w:name w:val="Текст сноски Знак139"/>
    <w:uiPriority w:val="99"/>
    <w:semiHidden/>
    <w:rsid w:val="00B2425D"/>
    <w:rPr>
      <w:rFonts w:ascii="Calibri" w:hAnsi="Calibri"/>
      <w:sz w:val="20"/>
    </w:rPr>
  </w:style>
  <w:style w:type="character" w:customStyle="1" w:styleId="1380">
    <w:name w:val="Текст сноски Знак138"/>
    <w:uiPriority w:val="99"/>
    <w:semiHidden/>
    <w:rsid w:val="00B2425D"/>
    <w:rPr>
      <w:rFonts w:ascii="Calibri" w:hAnsi="Calibri"/>
      <w:sz w:val="20"/>
    </w:rPr>
  </w:style>
  <w:style w:type="character" w:customStyle="1" w:styleId="1370">
    <w:name w:val="Текст сноски Знак137"/>
    <w:uiPriority w:val="99"/>
    <w:semiHidden/>
    <w:rsid w:val="00B2425D"/>
    <w:rPr>
      <w:rFonts w:ascii="Calibri" w:hAnsi="Calibri"/>
      <w:sz w:val="20"/>
    </w:rPr>
  </w:style>
  <w:style w:type="character" w:customStyle="1" w:styleId="1360">
    <w:name w:val="Текст сноски Знак136"/>
    <w:uiPriority w:val="99"/>
    <w:semiHidden/>
    <w:rsid w:val="00B2425D"/>
    <w:rPr>
      <w:rFonts w:ascii="Calibri" w:hAnsi="Calibri"/>
      <w:sz w:val="20"/>
    </w:rPr>
  </w:style>
  <w:style w:type="character" w:customStyle="1" w:styleId="1350">
    <w:name w:val="Текст сноски Знак135"/>
    <w:uiPriority w:val="99"/>
    <w:semiHidden/>
    <w:rsid w:val="00B2425D"/>
    <w:rPr>
      <w:rFonts w:ascii="Calibri" w:hAnsi="Calibri"/>
      <w:sz w:val="20"/>
    </w:rPr>
  </w:style>
  <w:style w:type="character" w:customStyle="1" w:styleId="1340">
    <w:name w:val="Текст сноски Знак134"/>
    <w:uiPriority w:val="99"/>
    <w:semiHidden/>
    <w:rsid w:val="00B2425D"/>
    <w:rPr>
      <w:rFonts w:ascii="Calibri" w:hAnsi="Calibri"/>
      <w:sz w:val="20"/>
    </w:rPr>
  </w:style>
  <w:style w:type="character" w:customStyle="1" w:styleId="1330">
    <w:name w:val="Текст сноски Знак133"/>
    <w:uiPriority w:val="99"/>
    <w:semiHidden/>
    <w:rsid w:val="00B2425D"/>
    <w:rPr>
      <w:rFonts w:ascii="Calibri" w:hAnsi="Calibri"/>
      <w:sz w:val="20"/>
    </w:rPr>
  </w:style>
  <w:style w:type="character" w:customStyle="1" w:styleId="1320">
    <w:name w:val="Текст сноски Знак132"/>
    <w:uiPriority w:val="99"/>
    <w:semiHidden/>
    <w:rsid w:val="00B2425D"/>
    <w:rPr>
      <w:rFonts w:ascii="Calibri" w:hAnsi="Calibri"/>
      <w:sz w:val="20"/>
    </w:rPr>
  </w:style>
  <w:style w:type="character" w:customStyle="1" w:styleId="1310">
    <w:name w:val="Текст сноски Знак131"/>
    <w:uiPriority w:val="99"/>
    <w:semiHidden/>
    <w:rsid w:val="00B2425D"/>
    <w:rPr>
      <w:rFonts w:ascii="Calibri" w:hAnsi="Calibri"/>
      <w:sz w:val="20"/>
    </w:rPr>
  </w:style>
  <w:style w:type="character" w:customStyle="1" w:styleId="1300">
    <w:name w:val="Текст сноски Знак130"/>
    <w:uiPriority w:val="99"/>
    <w:semiHidden/>
    <w:rsid w:val="00B2425D"/>
    <w:rPr>
      <w:rFonts w:ascii="Calibri" w:hAnsi="Calibri"/>
      <w:sz w:val="20"/>
    </w:rPr>
  </w:style>
  <w:style w:type="character" w:customStyle="1" w:styleId="1290">
    <w:name w:val="Текст сноски Знак129"/>
    <w:uiPriority w:val="99"/>
    <w:semiHidden/>
    <w:rsid w:val="00B2425D"/>
    <w:rPr>
      <w:rFonts w:ascii="Calibri" w:hAnsi="Calibri"/>
      <w:sz w:val="20"/>
    </w:rPr>
  </w:style>
  <w:style w:type="character" w:customStyle="1" w:styleId="1280">
    <w:name w:val="Текст сноски Знак128"/>
    <w:uiPriority w:val="99"/>
    <w:semiHidden/>
    <w:rsid w:val="00B2425D"/>
    <w:rPr>
      <w:rFonts w:ascii="Calibri" w:hAnsi="Calibri"/>
      <w:sz w:val="20"/>
    </w:rPr>
  </w:style>
  <w:style w:type="character" w:customStyle="1" w:styleId="1270">
    <w:name w:val="Текст сноски Знак127"/>
    <w:uiPriority w:val="99"/>
    <w:semiHidden/>
    <w:rsid w:val="00B2425D"/>
    <w:rPr>
      <w:sz w:val="20"/>
    </w:rPr>
  </w:style>
  <w:style w:type="character" w:customStyle="1" w:styleId="1260">
    <w:name w:val="Текст сноски Знак126"/>
    <w:uiPriority w:val="99"/>
    <w:semiHidden/>
    <w:rsid w:val="00B2425D"/>
    <w:rPr>
      <w:sz w:val="20"/>
    </w:rPr>
  </w:style>
  <w:style w:type="character" w:customStyle="1" w:styleId="1250">
    <w:name w:val="Текст сноски Знак125"/>
    <w:uiPriority w:val="99"/>
    <w:semiHidden/>
    <w:rsid w:val="00B2425D"/>
    <w:rPr>
      <w:sz w:val="20"/>
    </w:rPr>
  </w:style>
  <w:style w:type="character" w:customStyle="1" w:styleId="1240">
    <w:name w:val="Текст сноски Знак124"/>
    <w:uiPriority w:val="99"/>
    <w:semiHidden/>
    <w:rsid w:val="00B2425D"/>
    <w:rPr>
      <w:sz w:val="20"/>
    </w:rPr>
  </w:style>
  <w:style w:type="character" w:customStyle="1" w:styleId="1230">
    <w:name w:val="Текст сноски Знак123"/>
    <w:uiPriority w:val="99"/>
    <w:semiHidden/>
    <w:rsid w:val="00B2425D"/>
    <w:rPr>
      <w:sz w:val="20"/>
    </w:rPr>
  </w:style>
  <w:style w:type="character" w:customStyle="1" w:styleId="1220">
    <w:name w:val="Текст сноски Знак122"/>
    <w:uiPriority w:val="99"/>
    <w:semiHidden/>
    <w:rsid w:val="00B2425D"/>
    <w:rPr>
      <w:sz w:val="20"/>
    </w:rPr>
  </w:style>
  <w:style w:type="character" w:customStyle="1" w:styleId="1210">
    <w:name w:val="Текст сноски Знак121"/>
    <w:uiPriority w:val="99"/>
    <w:semiHidden/>
    <w:rsid w:val="00B2425D"/>
    <w:rPr>
      <w:sz w:val="20"/>
    </w:rPr>
  </w:style>
  <w:style w:type="character" w:customStyle="1" w:styleId="1200">
    <w:name w:val="Текст сноски Знак120"/>
    <w:uiPriority w:val="99"/>
    <w:semiHidden/>
    <w:rsid w:val="00B2425D"/>
    <w:rPr>
      <w:rFonts w:ascii="Times New Roman" w:hAnsi="Times New Roman"/>
    </w:rPr>
  </w:style>
  <w:style w:type="character" w:customStyle="1" w:styleId="1190">
    <w:name w:val="Текст сноски Знак119"/>
    <w:uiPriority w:val="99"/>
    <w:semiHidden/>
    <w:rsid w:val="00B2425D"/>
    <w:rPr>
      <w:rFonts w:ascii="Times New Roman" w:hAnsi="Times New Roman"/>
    </w:rPr>
  </w:style>
  <w:style w:type="character" w:customStyle="1" w:styleId="1180">
    <w:name w:val="Текст сноски Знак118"/>
    <w:uiPriority w:val="99"/>
    <w:semiHidden/>
    <w:rsid w:val="00B2425D"/>
    <w:rPr>
      <w:rFonts w:ascii="Times New Roman" w:hAnsi="Times New Roman"/>
    </w:rPr>
  </w:style>
  <w:style w:type="character" w:customStyle="1" w:styleId="1170">
    <w:name w:val="Текст сноски Знак1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60">
    <w:name w:val="Текст сноски Знак1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50">
    <w:name w:val="Текст сноски Знак1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40">
    <w:name w:val="Текст сноски Знак1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30">
    <w:name w:val="Текст сноски Знак1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20">
    <w:name w:val="Текст сноски Знак1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12">
    <w:name w:val="Текст сноски Знак111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00">
    <w:name w:val="Текст сноски Знак110"/>
    <w:uiPriority w:val="99"/>
    <w:semiHidden/>
    <w:rsid w:val="00B2425D"/>
    <w:rPr>
      <w:rFonts w:ascii="Times New Roman" w:hAnsi="Times New Roman"/>
      <w:sz w:val="20"/>
    </w:rPr>
  </w:style>
  <w:style w:type="character" w:customStyle="1" w:styleId="190">
    <w:name w:val="Текст сноски Знак19"/>
    <w:uiPriority w:val="99"/>
    <w:semiHidden/>
    <w:rsid w:val="00B2425D"/>
    <w:rPr>
      <w:rFonts w:ascii="Times New Roman" w:hAnsi="Times New Roman"/>
      <w:sz w:val="20"/>
    </w:rPr>
  </w:style>
  <w:style w:type="character" w:customStyle="1" w:styleId="180">
    <w:name w:val="Текст сноски Знак18"/>
    <w:uiPriority w:val="99"/>
    <w:semiHidden/>
    <w:rsid w:val="00B2425D"/>
    <w:rPr>
      <w:rFonts w:ascii="Times New Roman" w:hAnsi="Times New Roman"/>
      <w:sz w:val="20"/>
    </w:rPr>
  </w:style>
  <w:style w:type="character" w:customStyle="1" w:styleId="171">
    <w:name w:val="Текст сноски Знак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6b">
    <w:name w:val="Текст сноски Знак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5b">
    <w:name w:val="Текст сноски Знак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4b">
    <w:name w:val="Текст сноски Знак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3b">
    <w:name w:val="Текст сноски Знак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2b">
    <w:name w:val="Текст сноски Знак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b">
    <w:name w:val="Текст сноски Знак11"/>
    <w:semiHidden/>
    <w:rsid w:val="00B2425D"/>
    <w:rPr>
      <w:rFonts w:ascii="Times New Roman" w:hAnsi="Times New Roman"/>
      <w:sz w:val="20"/>
    </w:rPr>
  </w:style>
  <w:style w:type="character" w:customStyle="1" w:styleId="1b">
    <w:name w:val="Верхний колонтитул Знак1"/>
    <w:uiPriority w:val="99"/>
    <w:semiHidden/>
    <w:rsid w:val="00B2425D"/>
    <w:rPr>
      <w:sz w:val="22"/>
    </w:rPr>
  </w:style>
  <w:style w:type="character" w:customStyle="1" w:styleId="1691">
    <w:name w:val="Верхний колонтитул Знак169"/>
    <w:uiPriority w:val="99"/>
    <w:semiHidden/>
    <w:rsid w:val="00B2425D"/>
    <w:rPr>
      <w:sz w:val="22"/>
    </w:rPr>
  </w:style>
  <w:style w:type="character" w:customStyle="1" w:styleId="1681">
    <w:name w:val="Верхний колонтитул Знак168"/>
    <w:uiPriority w:val="99"/>
    <w:semiHidden/>
    <w:rsid w:val="00B2425D"/>
    <w:rPr>
      <w:sz w:val="22"/>
    </w:rPr>
  </w:style>
  <w:style w:type="character" w:customStyle="1" w:styleId="1671">
    <w:name w:val="Верхний колонтитул Знак167"/>
    <w:uiPriority w:val="99"/>
    <w:semiHidden/>
    <w:rsid w:val="00B2425D"/>
    <w:rPr>
      <w:sz w:val="22"/>
    </w:rPr>
  </w:style>
  <w:style w:type="character" w:customStyle="1" w:styleId="1661">
    <w:name w:val="Верхний колонтитул Знак166"/>
    <w:uiPriority w:val="99"/>
    <w:semiHidden/>
    <w:rsid w:val="00B2425D"/>
    <w:rPr>
      <w:sz w:val="22"/>
    </w:rPr>
  </w:style>
  <w:style w:type="character" w:customStyle="1" w:styleId="1651">
    <w:name w:val="Верхний колонтитул Знак165"/>
    <w:uiPriority w:val="99"/>
    <w:semiHidden/>
    <w:rsid w:val="00B2425D"/>
    <w:rPr>
      <w:sz w:val="22"/>
    </w:rPr>
  </w:style>
  <w:style w:type="character" w:customStyle="1" w:styleId="1641">
    <w:name w:val="Верхний колонтитул Знак164"/>
    <w:uiPriority w:val="99"/>
    <w:semiHidden/>
    <w:rsid w:val="00B2425D"/>
    <w:rPr>
      <w:sz w:val="22"/>
    </w:rPr>
  </w:style>
  <w:style w:type="character" w:customStyle="1" w:styleId="1631">
    <w:name w:val="Верхний колонтитул Знак163"/>
    <w:uiPriority w:val="99"/>
    <w:semiHidden/>
    <w:rsid w:val="00B2425D"/>
    <w:rPr>
      <w:sz w:val="22"/>
    </w:rPr>
  </w:style>
  <w:style w:type="character" w:customStyle="1" w:styleId="1621">
    <w:name w:val="Верхний колонтитул Знак162"/>
    <w:uiPriority w:val="99"/>
    <w:semiHidden/>
    <w:rsid w:val="00B2425D"/>
    <w:rPr>
      <w:sz w:val="22"/>
    </w:rPr>
  </w:style>
  <w:style w:type="character" w:customStyle="1" w:styleId="1611">
    <w:name w:val="Верхний колонтитул Знак161"/>
    <w:uiPriority w:val="99"/>
    <w:semiHidden/>
    <w:rsid w:val="00B2425D"/>
    <w:rPr>
      <w:sz w:val="22"/>
    </w:rPr>
  </w:style>
  <w:style w:type="character" w:customStyle="1" w:styleId="1601">
    <w:name w:val="Верхний колонтитул Знак160"/>
    <w:uiPriority w:val="99"/>
    <w:semiHidden/>
    <w:rsid w:val="00B2425D"/>
    <w:rPr>
      <w:sz w:val="22"/>
    </w:rPr>
  </w:style>
  <w:style w:type="character" w:customStyle="1" w:styleId="1591">
    <w:name w:val="Верхний колонтитул Знак159"/>
    <w:uiPriority w:val="99"/>
    <w:semiHidden/>
    <w:rsid w:val="00B2425D"/>
    <w:rPr>
      <w:sz w:val="22"/>
    </w:rPr>
  </w:style>
  <w:style w:type="character" w:customStyle="1" w:styleId="1581">
    <w:name w:val="Верхний колонтитул Знак158"/>
    <w:uiPriority w:val="99"/>
    <w:semiHidden/>
    <w:rsid w:val="00B2425D"/>
    <w:rPr>
      <w:sz w:val="22"/>
    </w:rPr>
  </w:style>
  <w:style w:type="character" w:customStyle="1" w:styleId="1571">
    <w:name w:val="Верхний колонтитул Знак157"/>
    <w:uiPriority w:val="99"/>
    <w:semiHidden/>
    <w:rsid w:val="00B2425D"/>
    <w:rPr>
      <w:sz w:val="22"/>
    </w:rPr>
  </w:style>
  <w:style w:type="character" w:customStyle="1" w:styleId="1561">
    <w:name w:val="Верхний колонтитул Знак156"/>
    <w:uiPriority w:val="99"/>
    <w:semiHidden/>
    <w:rsid w:val="00B2425D"/>
    <w:rPr>
      <w:sz w:val="22"/>
    </w:rPr>
  </w:style>
  <w:style w:type="character" w:customStyle="1" w:styleId="1551">
    <w:name w:val="Верхний колонтитул Знак155"/>
    <w:uiPriority w:val="99"/>
    <w:semiHidden/>
    <w:rsid w:val="00B2425D"/>
    <w:rPr>
      <w:sz w:val="22"/>
    </w:rPr>
  </w:style>
  <w:style w:type="character" w:customStyle="1" w:styleId="1541">
    <w:name w:val="Верхний колонтитул Знак154"/>
    <w:uiPriority w:val="99"/>
    <w:semiHidden/>
    <w:rsid w:val="00B2425D"/>
    <w:rPr>
      <w:rFonts w:ascii="Calibri" w:hAnsi="Calibri"/>
    </w:rPr>
  </w:style>
  <w:style w:type="character" w:customStyle="1" w:styleId="1531">
    <w:name w:val="Верхний колонтитул Знак153"/>
    <w:uiPriority w:val="99"/>
    <w:semiHidden/>
    <w:rsid w:val="00B2425D"/>
    <w:rPr>
      <w:rFonts w:ascii="Calibri" w:hAnsi="Calibri"/>
    </w:rPr>
  </w:style>
  <w:style w:type="character" w:customStyle="1" w:styleId="1521">
    <w:name w:val="Верхний колонтитул Знак152"/>
    <w:uiPriority w:val="99"/>
    <w:semiHidden/>
    <w:rsid w:val="00B2425D"/>
    <w:rPr>
      <w:rFonts w:ascii="Calibri" w:hAnsi="Calibri"/>
    </w:rPr>
  </w:style>
  <w:style w:type="character" w:customStyle="1" w:styleId="1511">
    <w:name w:val="Верхний колонтитул Знак151"/>
    <w:uiPriority w:val="99"/>
    <w:semiHidden/>
    <w:rsid w:val="00B2425D"/>
    <w:rPr>
      <w:rFonts w:ascii="Calibri" w:hAnsi="Calibri"/>
    </w:rPr>
  </w:style>
  <w:style w:type="character" w:customStyle="1" w:styleId="1501">
    <w:name w:val="Верхний колонтитул Знак150"/>
    <w:uiPriority w:val="99"/>
    <w:semiHidden/>
    <w:rsid w:val="00B2425D"/>
    <w:rPr>
      <w:rFonts w:ascii="Calibri" w:hAnsi="Calibri"/>
    </w:rPr>
  </w:style>
  <w:style w:type="character" w:customStyle="1" w:styleId="1491">
    <w:name w:val="Верхний колонтитул Знак149"/>
    <w:uiPriority w:val="99"/>
    <w:semiHidden/>
    <w:rsid w:val="00B2425D"/>
    <w:rPr>
      <w:rFonts w:ascii="Calibri" w:hAnsi="Calibri"/>
    </w:rPr>
  </w:style>
  <w:style w:type="character" w:customStyle="1" w:styleId="1481">
    <w:name w:val="Верхний колонтитул Знак148"/>
    <w:uiPriority w:val="99"/>
    <w:semiHidden/>
    <w:rsid w:val="00B2425D"/>
    <w:rPr>
      <w:rFonts w:ascii="Calibri" w:hAnsi="Calibri"/>
    </w:rPr>
  </w:style>
  <w:style w:type="character" w:customStyle="1" w:styleId="1471">
    <w:name w:val="Верхний колонтитул Знак147"/>
    <w:uiPriority w:val="99"/>
    <w:semiHidden/>
    <w:rsid w:val="00B2425D"/>
    <w:rPr>
      <w:rFonts w:ascii="Calibri" w:hAnsi="Calibri"/>
    </w:rPr>
  </w:style>
  <w:style w:type="character" w:customStyle="1" w:styleId="1461">
    <w:name w:val="Верхний колонтитул Знак146"/>
    <w:uiPriority w:val="99"/>
    <w:semiHidden/>
    <w:rsid w:val="00B2425D"/>
    <w:rPr>
      <w:rFonts w:ascii="Calibri" w:hAnsi="Calibri"/>
    </w:rPr>
  </w:style>
  <w:style w:type="character" w:customStyle="1" w:styleId="1451">
    <w:name w:val="Верхний колонтитул Знак145"/>
    <w:uiPriority w:val="99"/>
    <w:semiHidden/>
    <w:rsid w:val="00B2425D"/>
    <w:rPr>
      <w:rFonts w:ascii="Calibri" w:hAnsi="Calibri"/>
    </w:rPr>
  </w:style>
  <w:style w:type="character" w:customStyle="1" w:styleId="1441">
    <w:name w:val="Верхний колонтитул Знак144"/>
    <w:uiPriority w:val="99"/>
    <w:semiHidden/>
    <w:rsid w:val="00B2425D"/>
    <w:rPr>
      <w:rFonts w:ascii="Calibri" w:hAnsi="Calibri"/>
    </w:rPr>
  </w:style>
  <w:style w:type="character" w:customStyle="1" w:styleId="1431">
    <w:name w:val="Верхний колонтитул Знак143"/>
    <w:uiPriority w:val="99"/>
    <w:semiHidden/>
    <w:rsid w:val="00B2425D"/>
    <w:rPr>
      <w:rFonts w:ascii="Calibri" w:hAnsi="Calibri"/>
    </w:rPr>
  </w:style>
  <w:style w:type="character" w:customStyle="1" w:styleId="1421">
    <w:name w:val="Верхний колонтитул Знак142"/>
    <w:uiPriority w:val="99"/>
    <w:semiHidden/>
    <w:rsid w:val="00B2425D"/>
    <w:rPr>
      <w:rFonts w:ascii="Calibri" w:hAnsi="Calibri"/>
    </w:rPr>
  </w:style>
  <w:style w:type="character" w:customStyle="1" w:styleId="1411">
    <w:name w:val="Верхний колонтитул Знак141"/>
    <w:uiPriority w:val="99"/>
    <w:semiHidden/>
    <w:rsid w:val="00B2425D"/>
    <w:rPr>
      <w:rFonts w:ascii="Calibri" w:hAnsi="Calibri"/>
    </w:rPr>
  </w:style>
  <w:style w:type="character" w:customStyle="1" w:styleId="1401">
    <w:name w:val="Верхний колонтитул Знак140"/>
    <w:uiPriority w:val="99"/>
    <w:semiHidden/>
    <w:rsid w:val="00B2425D"/>
    <w:rPr>
      <w:rFonts w:ascii="Calibri" w:hAnsi="Calibri"/>
    </w:rPr>
  </w:style>
  <w:style w:type="character" w:customStyle="1" w:styleId="1391">
    <w:name w:val="Верхний колонтитул Знак139"/>
    <w:uiPriority w:val="99"/>
    <w:semiHidden/>
    <w:rsid w:val="00B2425D"/>
    <w:rPr>
      <w:rFonts w:ascii="Calibri" w:hAnsi="Calibri"/>
    </w:rPr>
  </w:style>
  <w:style w:type="character" w:customStyle="1" w:styleId="1381">
    <w:name w:val="Верхний колонтитул Знак138"/>
    <w:uiPriority w:val="99"/>
    <w:semiHidden/>
    <w:rsid w:val="00B2425D"/>
    <w:rPr>
      <w:rFonts w:ascii="Calibri" w:hAnsi="Calibri"/>
    </w:rPr>
  </w:style>
  <w:style w:type="character" w:customStyle="1" w:styleId="1371">
    <w:name w:val="Верхний колонтитул Знак137"/>
    <w:uiPriority w:val="99"/>
    <w:semiHidden/>
    <w:rsid w:val="00B2425D"/>
    <w:rPr>
      <w:rFonts w:ascii="Calibri" w:hAnsi="Calibri"/>
    </w:rPr>
  </w:style>
  <w:style w:type="character" w:customStyle="1" w:styleId="1361">
    <w:name w:val="Верхний колонтитул Знак136"/>
    <w:uiPriority w:val="99"/>
    <w:semiHidden/>
    <w:rsid w:val="00B2425D"/>
    <w:rPr>
      <w:rFonts w:ascii="Calibri" w:hAnsi="Calibri"/>
    </w:rPr>
  </w:style>
  <w:style w:type="character" w:customStyle="1" w:styleId="1351">
    <w:name w:val="Верхний колонтитул Знак135"/>
    <w:uiPriority w:val="99"/>
    <w:semiHidden/>
    <w:rsid w:val="00B2425D"/>
    <w:rPr>
      <w:rFonts w:ascii="Calibri" w:hAnsi="Calibri"/>
    </w:rPr>
  </w:style>
  <w:style w:type="character" w:customStyle="1" w:styleId="1341">
    <w:name w:val="Верхний колонтитул Знак134"/>
    <w:uiPriority w:val="99"/>
    <w:semiHidden/>
    <w:rsid w:val="00B2425D"/>
    <w:rPr>
      <w:rFonts w:ascii="Calibri" w:hAnsi="Calibri"/>
    </w:rPr>
  </w:style>
  <w:style w:type="character" w:customStyle="1" w:styleId="1331">
    <w:name w:val="Верхний колонтитул Знак133"/>
    <w:uiPriority w:val="99"/>
    <w:semiHidden/>
    <w:rsid w:val="00B2425D"/>
    <w:rPr>
      <w:rFonts w:ascii="Calibri" w:hAnsi="Calibri"/>
    </w:rPr>
  </w:style>
  <w:style w:type="character" w:customStyle="1" w:styleId="1321">
    <w:name w:val="Верхний колонтитул Знак132"/>
    <w:uiPriority w:val="99"/>
    <w:semiHidden/>
    <w:rsid w:val="00B2425D"/>
    <w:rPr>
      <w:rFonts w:ascii="Calibri" w:hAnsi="Calibri"/>
    </w:rPr>
  </w:style>
  <w:style w:type="character" w:customStyle="1" w:styleId="1311">
    <w:name w:val="Верхний колонтитул Знак131"/>
    <w:uiPriority w:val="99"/>
    <w:semiHidden/>
    <w:rsid w:val="00B2425D"/>
    <w:rPr>
      <w:rFonts w:ascii="Calibri" w:hAnsi="Calibri"/>
    </w:rPr>
  </w:style>
  <w:style w:type="character" w:customStyle="1" w:styleId="1301">
    <w:name w:val="Верхний колонтитул Знак130"/>
    <w:uiPriority w:val="99"/>
    <w:semiHidden/>
    <w:rsid w:val="00B2425D"/>
    <w:rPr>
      <w:rFonts w:ascii="Calibri" w:hAnsi="Calibri"/>
    </w:rPr>
  </w:style>
  <w:style w:type="character" w:customStyle="1" w:styleId="1291">
    <w:name w:val="Верхний колонтитул Знак129"/>
    <w:uiPriority w:val="99"/>
    <w:semiHidden/>
    <w:rsid w:val="00B2425D"/>
    <w:rPr>
      <w:rFonts w:ascii="Calibri" w:hAnsi="Calibri"/>
    </w:rPr>
  </w:style>
  <w:style w:type="character" w:customStyle="1" w:styleId="1281">
    <w:name w:val="Верхний колонтитул Знак128"/>
    <w:uiPriority w:val="99"/>
    <w:semiHidden/>
    <w:rsid w:val="00B2425D"/>
    <w:rPr>
      <w:rFonts w:ascii="Calibri" w:hAnsi="Calibri"/>
    </w:rPr>
  </w:style>
  <w:style w:type="character" w:customStyle="1" w:styleId="1271">
    <w:name w:val="Верхний колонтитул Знак127"/>
    <w:uiPriority w:val="99"/>
    <w:semiHidden/>
    <w:rsid w:val="00B2425D"/>
  </w:style>
  <w:style w:type="character" w:customStyle="1" w:styleId="1261">
    <w:name w:val="Верхний колонтитул Знак126"/>
    <w:uiPriority w:val="99"/>
    <w:semiHidden/>
    <w:rsid w:val="00B2425D"/>
  </w:style>
  <w:style w:type="character" w:customStyle="1" w:styleId="1251">
    <w:name w:val="Верхний колонтитул Знак125"/>
    <w:uiPriority w:val="99"/>
    <w:semiHidden/>
    <w:rsid w:val="00B2425D"/>
  </w:style>
  <w:style w:type="character" w:customStyle="1" w:styleId="1241">
    <w:name w:val="Верхний колонтитул Знак124"/>
    <w:uiPriority w:val="99"/>
    <w:semiHidden/>
    <w:rsid w:val="00B2425D"/>
  </w:style>
  <w:style w:type="character" w:customStyle="1" w:styleId="1231">
    <w:name w:val="Верхний колонтитул Знак123"/>
    <w:uiPriority w:val="99"/>
    <w:semiHidden/>
    <w:rsid w:val="00B2425D"/>
  </w:style>
  <w:style w:type="character" w:customStyle="1" w:styleId="1221">
    <w:name w:val="Верхний колонтитул Знак122"/>
    <w:uiPriority w:val="99"/>
    <w:semiHidden/>
    <w:rsid w:val="00B2425D"/>
  </w:style>
  <w:style w:type="character" w:customStyle="1" w:styleId="1211">
    <w:name w:val="Верхний колонтитул Знак121"/>
    <w:uiPriority w:val="99"/>
    <w:semiHidden/>
    <w:rsid w:val="00B2425D"/>
  </w:style>
  <w:style w:type="character" w:customStyle="1" w:styleId="1201">
    <w:name w:val="Верхний колонтитул Знак120"/>
    <w:uiPriority w:val="99"/>
    <w:semiHidden/>
    <w:rsid w:val="00B2425D"/>
    <w:rPr>
      <w:rFonts w:ascii="Times New Roman" w:hAnsi="Times New Roman"/>
    </w:rPr>
  </w:style>
  <w:style w:type="character" w:customStyle="1" w:styleId="1191">
    <w:name w:val="Верхний колонтитул Знак119"/>
    <w:uiPriority w:val="99"/>
    <w:semiHidden/>
    <w:rsid w:val="00B2425D"/>
    <w:rPr>
      <w:rFonts w:ascii="Times New Roman" w:hAnsi="Times New Roman"/>
    </w:rPr>
  </w:style>
  <w:style w:type="character" w:customStyle="1" w:styleId="1181">
    <w:name w:val="Верхний колонтитул Знак118"/>
    <w:uiPriority w:val="99"/>
    <w:semiHidden/>
    <w:rsid w:val="00B2425D"/>
    <w:rPr>
      <w:rFonts w:ascii="Times New Roman" w:hAnsi="Times New Roman"/>
    </w:rPr>
  </w:style>
  <w:style w:type="character" w:customStyle="1" w:styleId="1171">
    <w:name w:val="Верхний колонтитул Знак1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61">
    <w:name w:val="Верхний колонтитул Знак1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51">
    <w:name w:val="Верхний колонтитул Знак1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41">
    <w:name w:val="Верхний колонтитул Знак1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31">
    <w:name w:val="Верхний колонтитул Знак1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21">
    <w:name w:val="Верхний колонтитул Знак1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13">
    <w:name w:val="Верхний колонтитул Знак111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01">
    <w:name w:val="Верхний колонтитул Знак110"/>
    <w:uiPriority w:val="99"/>
    <w:semiHidden/>
    <w:rsid w:val="00B2425D"/>
    <w:rPr>
      <w:rFonts w:ascii="Times New Roman" w:hAnsi="Times New Roman"/>
      <w:sz w:val="20"/>
    </w:rPr>
  </w:style>
  <w:style w:type="character" w:customStyle="1" w:styleId="191">
    <w:name w:val="Верхний колонтитул Знак19"/>
    <w:uiPriority w:val="99"/>
    <w:semiHidden/>
    <w:rsid w:val="00B2425D"/>
    <w:rPr>
      <w:rFonts w:ascii="Times New Roman" w:hAnsi="Times New Roman"/>
      <w:sz w:val="20"/>
    </w:rPr>
  </w:style>
  <w:style w:type="character" w:customStyle="1" w:styleId="181">
    <w:name w:val="Верхний колонтитул Знак18"/>
    <w:uiPriority w:val="99"/>
    <w:semiHidden/>
    <w:rsid w:val="00B2425D"/>
    <w:rPr>
      <w:rFonts w:ascii="Times New Roman" w:hAnsi="Times New Roman"/>
      <w:sz w:val="20"/>
    </w:rPr>
  </w:style>
  <w:style w:type="character" w:customStyle="1" w:styleId="172">
    <w:name w:val="Верхний колонтитул Знак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6c">
    <w:name w:val="Верхний колонтитул Знак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5c">
    <w:name w:val="Верхний колонтитул Знак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4c">
    <w:name w:val="Верхний колонтитул Знак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3c">
    <w:name w:val="Верхний колонтитул Знак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2c">
    <w:name w:val="Верхний колонтитул Знак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c">
    <w:name w:val="Верхний колонтитул Знак11"/>
    <w:semiHidden/>
    <w:rsid w:val="00B2425D"/>
    <w:rPr>
      <w:rFonts w:ascii="Times New Roman" w:hAnsi="Times New Roman"/>
      <w:sz w:val="20"/>
    </w:rPr>
  </w:style>
  <w:style w:type="paragraph" w:styleId="afff2">
    <w:name w:val="Body Text First Indent"/>
    <w:basedOn w:val="afb"/>
    <w:link w:val="29"/>
    <w:uiPriority w:val="99"/>
    <w:semiHidden/>
    <w:unhideWhenUsed/>
    <w:rsid w:val="00B2425D"/>
    <w:pPr>
      <w:spacing w:after="120"/>
      <w:ind w:firstLine="210"/>
    </w:pPr>
    <w:rPr>
      <w:szCs w:val="20"/>
    </w:rPr>
  </w:style>
  <w:style w:type="character" w:customStyle="1" w:styleId="afffc">
    <w:name w:val="Красная строка Знак"/>
    <w:basedOn w:val="afc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86">
    <w:name w:val="Красная строка Знак86"/>
    <w:basedOn w:val="afc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85">
    <w:name w:val="Красная строка Знак85"/>
    <w:basedOn w:val="afc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84">
    <w:name w:val="Красная строка Знак84"/>
    <w:uiPriority w:val="99"/>
    <w:semiHidden/>
    <w:rPr>
      <w:rFonts w:ascii="Times New Roman" w:hAnsi="Times New Roman"/>
      <w:sz w:val="22"/>
    </w:rPr>
  </w:style>
  <w:style w:type="character" w:customStyle="1" w:styleId="83">
    <w:name w:val="Красная строка Знак83"/>
    <w:uiPriority w:val="99"/>
    <w:semiHidden/>
    <w:rPr>
      <w:rFonts w:ascii="Times New Roman" w:hAnsi="Times New Roman"/>
      <w:sz w:val="22"/>
    </w:rPr>
  </w:style>
  <w:style w:type="character" w:customStyle="1" w:styleId="82">
    <w:name w:val="Красная строка Знак82"/>
    <w:uiPriority w:val="99"/>
    <w:semiHidden/>
    <w:rPr>
      <w:rFonts w:ascii="Times New Roman" w:hAnsi="Times New Roman"/>
      <w:sz w:val="22"/>
    </w:rPr>
  </w:style>
  <w:style w:type="character" w:customStyle="1" w:styleId="810">
    <w:name w:val="Красная строка Знак81"/>
    <w:uiPriority w:val="99"/>
    <w:semiHidden/>
    <w:rPr>
      <w:rFonts w:ascii="Times New Roman" w:hAnsi="Times New Roman"/>
      <w:sz w:val="22"/>
    </w:rPr>
  </w:style>
  <w:style w:type="character" w:customStyle="1" w:styleId="800">
    <w:name w:val="Красная строка Знак80"/>
    <w:uiPriority w:val="99"/>
    <w:semiHidden/>
    <w:rPr>
      <w:rFonts w:ascii="Times New Roman" w:hAnsi="Times New Roman"/>
      <w:sz w:val="22"/>
    </w:rPr>
  </w:style>
  <w:style w:type="character" w:customStyle="1" w:styleId="79">
    <w:name w:val="Красная строка Знак79"/>
    <w:uiPriority w:val="99"/>
    <w:semiHidden/>
    <w:rPr>
      <w:rFonts w:ascii="Times New Roman" w:hAnsi="Times New Roman"/>
      <w:sz w:val="22"/>
    </w:rPr>
  </w:style>
  <w:style w:type="character" w:customStyle="1" w:styleId="78">
    <w:name w:val="Красная строка Знак78"/>
    <w:uiPriority w:val="99"/>
    <w:semiHidden/>
    <w:rPr>
      <w:rFonts w:ascii="Times New Roman" w:hAnsi="Times New Roman"/>
      <w:sz w:val="22"/>
    </w:rPr>
  </w:style>
  <w:style w:type="character" w:customStyle="1" w:styleId="77">
    <w:name w:val="Красная строка Знак77"/>
    <w:uiPriority w:val="99"/>
    <w:semiHidden/>
    <w:rPr>
      <w:rFonts w:ascii="Times New Roman" w:hAnsi="Times New Roman"/>
      <w:sz w:val="22"/>
    </w:rPr>
  </w:style>
  <w:style w:type="character" w:customStyle="1" w:styleId="76">
    <w:name w:val="Красная строка Знак76"/>
    <w:uiPriority w:val="99"/>
    <w:semiHidden/>
    <w:rPr>
      <w:rFonts w:ascii="Times New Roman" w:hAnsi="Times New Roman"/>
      <w:sz w:val="22"/>
    </w:rPr>
  </w:style>
  <w:style w:type="character" w:customStyle="1" w:styleId="75">
    <w:name w:val="Красная строка Знак75"/>
    <w:uiPriority w:val="99"/>
    <w:semiHidden/>
    <w:rPr>
      <w:rFonts w:ascii="Times New Roman" w:hAnsi="Times New Roman"/>
      <w:sz w:val="22"/>
    </w:rPr>
  </w:style>
  <w:style w:type="character" w:customStyle="1" w:styleId="74">
    <w:name w:val="Красная строка Знак74"/>
    <w:uiPriority w:val="99"/>
    <w:semiHidden/>
    <w:rPr>
      <w:rFonts w:ascii="Times New Roman" w:hAnsi="Times New Roman"/>
      <w:sz w:val="22"/>
    </w:rPr>
  </w:style>
  <w:style w:type="character" w:customStyle="1" w:styleId="73">
    <w:name w:val="Красная строка Знак73"/>
    <w:uiPriority w:val="99"/>
    <w:semiHidden/>
    <w:rPr>
      <w:rFonts w:ascii="Times New Roman" w:hAnsi="Times New Roman"/>
      <w:sz w:val="22"/>
    </w:rPr>
  </w:style>
  <w:style w:type="character" w:customStyle="1" w:styleId="72">
    <w:name w:val="Красная строка Знак72"/>
    <w:uiPriority w:val="99"/>
    <w:semiHidden/>
    <w:rPr>
      <w:rFonts w:ascii="Times New Roman" w:hAnsi="Times New Roman"/>
      <w:sz w:val="22"/>
    </w:rPr>
  </w:style>
  <w:style w:type="character" w:customStyle="1" w:styleId="710">
    <w:name w:val="Красная строка Знак71"/>
    <w:uiPriority w:val="99"/>
    <w:semiHidden/>
    <w:rPr>
      <w:rFonts w:ascii="Times New Roman" w:hAnsi="Times New Roman"/>
      <w:sz w:val="22"/>
    </w:rPr>
  </w:style>
  <w:style w:type="character" w:customStyle="1" w:styleId="700">
    <w:name w:val="Красная строка Знак70"/>
    <w:uiPriority w:val="99"/>
    <w:semiHidden/>
    <w:rPr>
      <w:rFonts w:ascii="Times New Roman" w:hAnsi="Times New Roman"/>
      <w:sz w:val="22"/>
    </w:rPr>
  </w:style>
  <w:style w:type="character" w:customStyle="1" w:styleId="69">
    <w:name w:val="Красная строка Знак69"/>
    <w:uiPriority w:val="99"/>
    <w:semiHidden/>
    <w:rPr>
      <w:rFonts w:ascii="Times New Roman" w:hAnsi="Times New Roman"/>
      <w:sz w:val="22"/>
    </w:rPr>
  </w:style>
  <w:style w:type="character" w:customStyle="1" w:styleId="68">
    <w:name w:val="Красная строка Знак68"/>
    <w:uiPriority w:val="99"/>
    <w:semiHidden/>
    <w:rPr>
      <w:rFonts w:ascii="Times New Roman" w:hAnsi="Times New Roman"/>
      <w:sz w:val="22"/>
    </w:rPr>
  </w:style>
  <w:style w:type="character" w:customStyle="1" w:styleId="67">
    <w:name w:val="Красная строка Знак67"/>
    <w:uiPriority w:val="99"/>
    <w:semiHidden/>
    <w:rPr>
      <w:rFonts w:ascii="Times New Roman" w:hAnsi="Times New Roman"/>
      <w:sz w:val="22"/>
    </w:rPr>
  </w:style>
  <w:style w:type="character" w:customStyle="1" w:styleId="66">
    <w:name w:val="Красная строка Знак66"/>
    <w:uiPriority w:val="99"/>
    <w:semiHidden/>
    <w:rPr>
      <w:rFonts w:ascii="Times New Roman" w:hAnsi="Times New Roman"/>
      <w:sz w:val="22"/>
    </w:rPr>
  </w:style>
  <w:style w:type="character" w:customStyle="1" w:styleId="48">
    <w:name w:val="Красная строка Знак48"/>
    <w:uiPriority w:val="99"/>
    <w:semiHidden/>
    <w:rPr>
      <w:rFonts w:ascii="Times New Roman" w:hAnsi="Times New Roman"/>
      <w:sz w:val="22"/>
    </w:rPr>
  </w:style>
  <w:style w:type="character" w:customStyle="1" w:styleId="47">
    <w:name w:val="Красная строка Знак47"/>
    <w:uiPriority w:val="99"/>
    <w:semiHidden/>
    <w:rPr>
      <w:rFonts w:ascii="Times New Roman" w:hAnsi="Times New Roman"/>
      <w:sz w:val="22"/>
    </w:rPr>
  </w:style>
  <w:style w:type="character" w:customStyle="1" w:styleId="46">
    <w:name w:val="Красная строка Знак46"/>
    <w:uiPriority w:val="99"/>
    <w:semiHidden/>
    <w:rPr>
      <w:rFonts w:ascii="Times New Roman" w:hAnsi="Times New Roman"/>
      <w:sz w:val="22"/>
    </w:rPr>
  </w:style>
  <w:style w:type="character" w:customStyle="1" w:styleId="45">
    <w:name w:val="Красная строка Знак45"/>
    <w:uiPriority w:val="99"/>
    <w:semiHidden/>
    <w:rPr>
      <w:rFonts w:ascii="Times New Roman" w:hAnsi="Times New Roman"/>
      <w:sz w:val="22"/>
    </w:rPr>
  </w:style>
  <w:style w:type="character" w:customStyle="1" w:styleId="44">
    <w:name w:val="Красная строка Знак44"/>
    <w:uiPriority w:val="99"/>
    <w:semiHidden/>
    <w:rPr>
      <w:rFonts w:ascii="Times New Roman" w:hAnsi="Times New Roman"/>
      <w:sz w:val="22"/>
    </w:rPr>
  </w:style>
  <w:style w:type="character" w:customStyle="1" w:styleId="43">
    <w:name w:val="Красная строка Знак43"/>
    <w:uiPriority w:val="99"/>
    <w:semiHidden/>
    <w:rPr>
      <w:rFonts w:ascii="Times New Roman" w:hAnsi="Times New Roman"/>
      <w:sz w:val="22"/>
    </w:rPr>
  </w:style>
  <w:style w:type="character" w:customStyle="1" w:styleId="42">
    <w:name w:val="Красная строка Знак42"/>
    <w:uiPriority w:val="99"/>
    <w:semiHidden/>
    <w:rPr>
      <w:rFonts w:ascii="Times New Roman" w:hAnsi="Times New Roman"/>
      <w:sz w:val="22"/>
    </w:rPr>
  </w:style>
  <w:style w:type="character" w:customStyle="1" w:styleId="41">
    <w:name w:val="Красная строка Знак41"/>
    <w:uiPriority w:val="99"/>
    <w:semiHidden/>
    <w:rPr>
      <w:rFonts w:ascii="Times New Roman" w:hAnsi="Times New Roman"/>
      <w:sz w:val="22"/>
    </w:rPr>
  </w:style>
  <w:style w:type="character" w:customStyle="1" w:styleId="400">
    <w:name w:val="Красная строка Знак40"/>
    <w:uiPriority w:val="99"/>
    <w:semiHidden/>
    <w:rPr>
      <w:rFonts w:ascii="Times New Roman" w:hAnsi="Times New Roman"/>
      <w:sz w:val="22"/>
    </w:rPr>
  </w:style>
  <w:style w:type="character" w:customStyle="1" w:styleId="390">
    <w:name w:val="Красная строка Знак39"/>
    <w:uiPriority w:val="99"/>
    <w:semiHidden/>
    <w:rPr>
      <w:rFonts w:ascii="Times New Roman" w:hAnsi="Times New Roman"/>
      <w:sz w:val="22"/>
    </w:rPr>
  </w:style>
  <w:style w:type="character" w:customStyle="1" w:styleId="387">
    <w:name w:val="Красная строка Знак38"/>
    <w:uiPriority w:val="99"/>
    <w:semiHidden/>
    <w:rPr>
      <w:rFonts w:ascii="Times New Roman" w:hAnsi="Times New Roman"/>
      <w:sz w:val="22"/>
    </w:rPr>
  </w:style>
  <w:style w:type="character" w:customStyle="1" w:styleId="37a">
    <w:name w:val="Красная строка Знак37"/>
    <w:uiPriority w:val="99"/>
    <w:semiHidden/>
    <w:rPr>
      <w:rFonts w:ascii="Times New Roman" w:hAnsi="Times New Roman"/>
      <w:sz w:val="22"/>
    </w:rPr>
  </w:style>
  <w:style w:type="character" w:customStyle="1" w:styleId="361">
    <w:name w:val="Красная строка Знак36"/>
    <w:uiPriority w:val="99"/>
    <w:semiHidden/>
    <w:rPr>
      <w:rFonts w:ascii="Times New Roman" w:hAnsi="Times New Roman"/>
      <w:sz w:val="22"/>
    </w:rPr>
  </w:style>
  <w:style w:type="character" w:customStyle="1" w:styleId="351">
    <w:name w:val="Красная строка Знак35"/>
    <w:uiPriority w:val="99"/>
    <w:semiHidden/>
    <w:rPr>
      <w:rFonts w:ascii="Times New Roman" w:hAnsi="Times New Roman"/>
      <w:sz w:val="22"/>
    </w:rPr>
  </w:style>
  <w:style w:type="character" w:customStyle="1" w:styleId="34a">
    <w:name w:val="Красная строка Знак34"/>
    <w:uiPriority w:val="99"/>
    <w:semiHidden/>
    <w:rPr>
      <w:rFonts w:ascii="Times New Roman" w:hAnsi="Times New Roman"/>
      <w:sz w:val="22"/>
    </w:rPr>
  </w:style>
  <w:style w:type="character" w:customStyle="1" w:styleId="33b">
    <w:name w:val="Красная строка Знак33"/>
    <w:uiPriority w:val="99"/>
    <w:semiHidden/>
    <w:rPr>
      <w:rFonts w:ascii="Times New Roman" w:hAnsi="Times New Roman"/>
      <w:sz w:val="22"/>
    </w:rPr>
  </w:style>
  <w:style w:type="character" w:customStyle="1" w:styleId="32a">
    <w:name w:val="Красная строка Знак32"/>
    <w:uiPriority w:val="99"/>
    <w:semiHidden/>
    <w:rPr>
      <w:rFonts w:ascii="Times New Roman" w:hAnsi="Times New Roman"/>
      <w:sz w:val="22"/>
    </w:rPr>
  </w:style>
  <w:style w:type="character" w:customStyle="1" w:styleId="31a">
    <w:name w:val="Красная строка Знак31"/>
    <w:uiPriority w:val="99"/>
    <w:semiHidden/>
    <w:rPr>
      <w:rFonts w:ascii="Times New Roman" w:hAnsi="Times New Roman"/>
      <w:sz w:val="22"/>
    </w:rPr>
  </w:style>
  <w:style w:type="character" w:customStyle="1" w:styleId="300">
    <w:name w:val="Красная строка Знак30"/>
    <w:uiPriority w:val="99"/>
    <w:semiHidden/>
    <w:rPr>
      <w:rFonts w:ascii="Times New Roman" w:hAnsi="Times New Roman"/>
      <w:sz w:val="22"/>
    </w:rPr>
  </w:style>
  <w:style w:type="character" w:customStyle="1" w:styleId="290">
    <w:name w:val="Красная строка Знак29"/>
    <w:uiPriority w:val="99"/>
    <w:semiHidden/>
    <w:rPr>
      <w:rFonts w:ascii="Times New Roman" w:hAnsi="Times New Roman"/>
      <w:sz w:val="22"/>
    </w:rPr>
  </w:style>
  <w:style w:type="character" w:customStyle="1" w:styleId="280">
    <w:name w:val="Красная строка Знак28"/>
    <w:uiPriority w:val="99"/>
    <w:semiHidden/>
    <w:rPr>
      <w:rFonts w:ascii="Times New Roman" w:hAnsi="Times New Roman"/>
      <w:sz w:val="22"/>
    </w:rPr>
  </w:style>
  <w:style w:type="character" w:customStyle="1" w:styleId="270">
    <w:name w:val="Красная строка Знак27"/>
    <w:uiPriority w:val="99"/>
    <w:semiHidden/>
    <w:rPr>
      <w:rFonts w:ascii="Times New Roman" w:hAnsi="Times New Roman"/>
      <w:sz w:val="22"/>
    </w:rPr>
  </w:style>
  <w:style w:type="character" w:customStyle="1" w:styleId="260">
    <w:name w:val="Красная строка Знак26"/>
    <w:uiPriority w:val="99"/>
    <w:semiHidden/>
    <w:rPr>
      <w:rFonts w:ascii="Times New Roman" w:hAnsi="Times New Roman"/>
      <w:sz w:val="22"/>
    </w:rPr>
  </w:style>
  <w:style w:type="character" w:customStyle="1" w:styleId="250">
    <w:name w:val="Красная строка Знак25"/>
    <w:uiPriority w:val="99"/>
    <w:semiHidden/>
    <w:rPr>
      <w:rFonts w:ascii="Times New Roman" w:hAnsi="Times New Roman"/>
      <w:sz w:val="22"/>
    </w:rPr>
  </w:style>
  <w:style w:type="character" w:customStyle="1" w:styleId="240">
    <w:name w:val="Красная строка Знак24"/>
    <w:uiPriority w:val="99"/>
    <w:semiHidden/>
    <w:rPr>
      <w:rFonts w:ascii="Times New Roman" w:hAnsi="Times New Roman"/>
      <w:sz w:val="22"/>
    </w:rPr>
  </w:style>
  <w:style w:type="character" w:customStyle="1" w:styleId="230">
    <w:name w:val="Красная строка Знак23"/>
    <w:uiPriority w:val="99"/>
    <w:semiHidden/>
    <w:rPr>
      <w:rFonts w:ascii="Times New Roman" w:hAnsi="Times New Roman"/>
      <w:sz w:val="22"/>
    </w:rPr>
  </w:style>
  <w:style w:type="character" w:customStyle="1" w:styleId="221">
    <w:name w:val="Красная строка Знак22"/>
    <w:uiPriority w:val="99"/>
    <w:semiHidden/>
    <w:rPr>
      <w:rFonts w:ascii="Times New Roman" w:hAnsi="Times New Roman"/>
      <w:sz w:val="22"/>
    </w:rPr>
  </w:style>
  <w:style w:type="character" w:customStyle="1" w:styleId="210">
    <w:name w:val="Красная строка Знак21"/>
    <w:uiPriority w:val="99"/>
    <w:semiHidden/>
    <w:rPr>
      <w:rFonts w:ascii="Times New Roman" w:hAnsi="Times New Roman"/>
      <w:sz w:val="22"/>
    </w:rPr>
  </w:style>
  <w:style w:type="character" w:customStyle="1" w:styleId="200">
    <w:name w:val="Красная строка Знак20"/>
    <w:uiPriority w:val="99"/>
    <w:semiHidden/>
    <w:rPr>
      <w:rFonts w:ascii="Times New Roman" w:hAnsi="Times New Roman"/>
      <w:sz w:val="22"/>
    </w:rPr>
  </w:style>
  <w:style w:type="character" w:customStyle="1" w:styleId="100">
    <w:name w:val="Красная строка Знак10"/>
    <w:uiPriority w:val="99"/>
    <w:semiHidden/>
    <w:rPr>
      <w:rFonts w:ascii="Times New Roman" w:hAnsi="Times New Roman"/>
      <w:sz w:val="22"/>
    </w:rPr>
  </w:style>
  <w:style w:type="character" w:customStyle="1" w:styleId="92">
    <w:name w:val="Красная строка Знак9"/>
    <w:uiPriority w:val="99"/>
    <w:semiHidden/>
    <w:rPr>
      <w:rFonts w:ascii="Times New Roman" w:hAnsi="Times New Roman"/>
      <w:sz w:val="22"/>
    </w:rPr>
  </w:style>
  <w:style w:type="character" w:customStyle="1" w:styleId="87">
    <w:name w:val="Красная строка Знак8"/>
    <w:uiPriority w:val="99"/>
    <w:semiHidden/>
    <w:rPr>
      <w:rFonts w:ascii="Times New Roman" w:hAnsi="Times New Roman"/>
      <w:sz w:val="22"/>
    </w:rPr>
  </w:style>
  <w:style w:type="character" w:customStyle="1" w:styleId="7a">
    <w:name w:val="Красная строка Знак7"/>
    <w:uiPriority w:val="99"/>
    <w:semiHidden/>
    <w:rPr>
      <w:rFonts w:ascii="Times New Roman" w:hAnsi="Times New Roman"/>
      <w:sz w:val="22"/>
    </w:rPr>
  </w:style>
  <w:style w:type="character" w:customStyle="1" w:styleId="61">
    <w:name w:val="Красная строка Знак6"/>
    <w:uiPriority w:val="99"/>
    <w:semiHidden/>
    <w:rPr>
      <w:rFonts w:ascii="Times New Roman" w:hAnsi="Times New Roman"/>
      <w:sz w:val="22"/>
    </w:rPr>
  </w:style>
  <w:style w:type="character" w:customStyle="1" w:styleId="51">
    <w:name w:val="Красная строка Знак5"/>
    <w:uiPriority w:val="99"/>
    <w:semiHidden/>
    <w:rPr>
      <w:rFonts w:ascii="Times New Roman" w:hAnsi="Times New Roman"/>
      <w:sz w:val="22"/>
    </w:rPr>
  </w:style>
  <w:style w:type="character" w:customStyle="1" w:styleId="49">
    <w:name w:val="Красная строка Знак4"/>
    <w:uiPriority w:val="99"/>
    <w:semiHidden/>
    <w:rPr>
      <w:rFonts w:ascii="Times New Roman" w:hAnsi="Times New Roman"/>
      <w:sz w:val="22"/>
    </w:rPr>
  </w:style>
  <w:style w:type="character" w:customStyle="1" w:styleId="3a">
    <w:name w:val="Красная строка Знак3"/>
    <w:uiPriority w:val="99"/>
    <w:semiHidden/>
    <w:rPr>
      <w:rFonts w:ascii="Times New Roman" w:hAnsi="Times New Roman"/>
      <w:sz w:val="22"/>
    </w:rPr>
  </w:style>
  <w:style w:type="character" w:customStyle="1" w:styleId="BodyTextFirstIndentChar">
    <w:name w:val="Body Text First Indent Char"/>
    <w:uiPriority w:val="99"/>
    <w:semiHidden/>
    <w:rPr>
      <w:rFonts w:ascii="Times New Roman" w:hAnsi="Times New Roman"/>
      <w:sz w:val="22"/>
    </w:rPr>
  </w:style>
  <w:style w:type="character" w:customStyle="1" w:styleId="BodyTextFirstIndentChar2">
    <w:name w:val="Body Text First Indent Char2"/>
    <w:uiPriority w:val="99"/>
    <w:semiHidden/>
    <w:rPr>
      <w:rFonts w:ascii="Times New Roman" w:hAnsi="Times New Roman"/>
      <w:sz w:val="22"/>
    </w:rPr>
  </w:style>
  <w:style w:type="character" w:customStyle="1" w:styleId="1c">
    <w:name w:val="Красная строка Знак1"/>
    <w:uiPriority w:val="99"/>
    <w:semiHidden/>
    <w:rPr>
      <w:rFonts w:ascii="Times New Roman" w:hAnsi="Times New Roman"/>
      <w:sz w:val="22"/>
    </w:rPr>
  </w:style>
  <w:style w:type="character" w:customStyle="1" w:styleId="189">
    <w:name w:val="Красная строка Знак189"/>
    <w:uiPriority w:val="99"/>
    <w:semiHidden/>
    <w:rPr>
      <w:rFonts w:ascii="Times New Roman" w:hAnsi="Times New Roman"/>
      <w:sz w:val="22"/>
    </w:rPr>
  </w:style>
  <w:style w:type="character" w:customStyle="1" w:styleId="188">
    <w:name w:val="Красная строка Знак188"/>
    <w:uiPriority w:val="99"/>
    <w:semiHidden/>
    <w:rPr>
      <w:rFonts w:ascii="Times New Roman" w:hAnsi="Times New Roman"/>
      <w:sz w:val="22"/>
    </w:rPr>
  </w:style>
  <w:style w:type="character" w:customStyle="1" w:styleId="187">
    <w:name w:val="Красная строка Знак187"/>
    <w:uiPriority w:val="99"/>
    <w:semiHidden/>
    <w:rPr>
      <w:rFonts w:ascii="Times New Roman" w:hAnsi="Times New Roman"/>
      <w:sz w:val="22"/>
    </w:rPr>
  </w:style>
  <w:style w:type="character" w:customStyle="1" w:styleId="186">
    <w:name w:val="Красная строка Знак186"/>
    <w:uiPriority w:val="99"/>
    <w:semiHidden/>
    <w:rPr>
      <w:rFonts w:ascii="Times New Roman" w:hAnsi="Times New Roman"/>
      <w:sz w:val="22"/>
    </w:rPr>
  </w:style>
  <w:style w:type="character" w:customStyle="1" w:styleId="185">
    <w:name w:val="Красная строка Знак185"/>
    <w:uiPriority w:val="99"/>
    <w:semiHidden/>
    <w:rPr>
      <w:rFonts w:ascii="Times New Roman" w:hAnsi="Times New Roman"/>
      <w:sz w:val="22"/>
    </w:rPr>
  </w:style>
  <w:style w:type="character" w:customStyle="1" w:styleId="184">
    <w:name w:val="Красная строка Знак184"/>
    <w:uiPriority w:val="99"/>
    <w:semiHidden/>
    <w:rPr>
      <w:rFonts w:ascii="Times New Roman" w:hAnsi="Times New Roman"/>
      <w:sz w:val="22"/>
    </w:rPr>
  </w:style>
  <w:style w:type="character" w:customStyle="1" w:styleId="183">
    <w:name w:val="Красная строка Знак183"/>
    <w:uiPriority w:val="99"/>
    <w:semiHidden/>
    <w:rPr>
      <w:rFonts w:ascii="Times New Roman" w:hAnsi="Times New Roman"/>
      <w:sz w:val="22"/>
    </w:rPr>
  </w:style>
  <w:style w:type="character" w:customStyle="1" w:styleId="182">
    <w:name w:val="Красная строка Знак182"/>
    <w:uiPriority w:val="99"/>
    <w:semiHidden/>
    <w:rPr>
      <w:rFonts w:ascii="Times New Roman" w:hAnsi="Times New Roman"/>
      <w:sz w:val="22"/>
    </w:rPr>
  </w:style>
  <w:style w:type="character" w:customStyle="1" w:styleId="1810">
    <w:name w:val="Красная строка Знак181"/>
    <w:uiPriority w:val="99"/>
    <w:semiHidden/>
    <w:rPr>
      <w:rFonts w:ascii="Times New Roman" w:hAnsi="Times New Roman"/>
      <w:sz w:val="22"/>
    </w:rPr>
  </w:style>
  <w:style w:type="character" w:customStyle="1" w:styleId="1800">
    <w:name w:val="Красная строка Знак180"/>
    <w:uiPriority w:val="99"/>
    <w:semiHidden/>
    <w:rPr>
      <w:rFonts w:ascii="Times New Roman" w:hAnsi="Times New Roman"/>
      <w:sz w:val="22"/>
    </w:rPr>
  </w:style>
  <w:style w:type="character" w:customStyle="1" w:styleId="179">
    <w:name w:val="Красная строка Знак179"/>
    <w:uiPriority w:val="99"/>
    <w:semiHidden/>
    <w:rPr>
      <w:rFonts w:ascii="Times New Roman" w:hAnsi="Times New Roman"/>
      <w:sz w:val="22"/>
    </w:rPr>
  </w:style>
  <w:style w:type="character" w:customStyle="1" w:styleId="178">
    <w:name w:val="Красная строка Знак178"/>
    <w:uiPriority w:val="99"/>
    <w:semiHidden/>
    <w:rPr>
      <w:rFonts w:ascii="Times New Roman" w:hAnsi="Times New Roman"/>
      <w:sz w:val="22"/>
    </w:rPr>
  </w:style>
  <w:style w:type="character" w:customStyle="1" w:styleId="177">
    <w:name w:val="Красная строка Знак177"/>
    <w:uiPriority w:val="99"/>
    <w:semiHidden/>
    <w:rPr>
      <w:rFonts w:ascii="Times New Roman" w:hAnsi="Times New Roman"/>
      <w:sz w:val="22"/>
    </w:rPr>
  </w:style>
  <w:style w:type="character" w:customStyle="1" w:styleId="176">
    <w:name w:val="Красная строка Знак176"/>
    <w:uiPriority w:val="99"/>
    <w:semiHidden/>
    <w:rPr>
      <w:rFonts w:ascii="Times New Roman" w:hAnsi="Times New Roman"/>
      <w:sz w:val="22"/>
    </w:rPr>
  </w:style>
  <w:style w:type="character" w:customStyle="1" w:styleId="175">
    <w:name w:val="Красная строка Знак175"/>
    <w:uiPriority w:val="99"/>
    <w:semiHidden/>
    <w:rPr>
      <w:rFonts w:ascii="Times New Roman" w:hAnsi="Times New Roman"/>
      <w:sz w:val="22"/>
    </w:rPr>
  </w:style>
  <w:style w:type="character" w:customStyle="1" w:styleId="174">
    <w:name w:val="Красная строка Знак174"/>
    <w:uiPriority w:val="99"/>
    <w:semiHidden/>
    <w:rPr>
      <w:rFonts w:ascii="Times New Roman" w:hAnsi="Times New Roman"/>
      <w:sz w:val="22"/>
    </w:rPr>
  </w:style>
  <w:style w:type="character" w:customStyle="1" w:styleId="173">
    <w:name w:val="Красная строка Знак173"/>
    <w:uiPriority w:val="99"/>
    <w:semiHidden/>
    <w:rPr>
      <w:rFonts w:ascii="Times New Roman" w:hAnsi="Times New Roman"/>
      <w:sz w:val="22"/>
    </w:rPr>
  </w:style>
  <w:style w:type="character" w:customStyle="1" w:styleId="1720">
    <w:name w:val="Красная строка Знак172"/>
    <w:uiPriority w:val="99"/>
    <w:semiHidden/>
    <w:rPr>
      <w:rFonts w:ascii="Times New Roman" w:hAnsi="Times New Roman"/>
      <w:sz w:val="22"/>
    </w:rPr>
  </w:style>
  <w:style w:type="character" w:customStyle="1" w:styleId="1710">
    <w:name w:val="Красная строка Знак171"/>
    <w:uiPriority w:val="99"/>
    <w:semiHidden/>
    <w:rPr>
      <w:rFonts w:ascii="Times New Roman" w:hAnsi="Times New Roman"/>
      <w:sz w:val="22"/>
    </w:rPr>
  </w:style>
  <w:style w:type="character" w:customStyle="1" w:styleId="1700">
    <w:name w:val="Красная строка Знак170"/>
    <w:uiPriority w:val="99"/>
    <w:semiHidden/>
    <w:rsid w:val="00B2425D"/>
  </w:style>
  <w:style w:type="character" w:customStyle="1" w:styleId="1692">
    <w:name w:val="Красная строка Знак169"/>
    <w:uiPriority w:val="99"/>
    <w:semiHidden/>
    <w:rsid w:val="00B2425D"/>
  </w:style>
  <w:style w:type="character" w:customStyle="1" w:styleId="1682">
    <w:name w:val="Красная строка Знак168"/>
    <w:uiPriority w:val="99"/>
    <w:semiHidden/>
    <w:rsid w:val="00B2425D"/>
  </w:style>
  <w:style w:type="character" w:customStyle="1" w:styleId="1672">
    <w:name w:val="Красная строка Знак167"/>
    <w:uiPriority w:val="99"/>
    <w:semiHidden/>
    <w:rsid w:val="00B2425D"/>
  </w:style>
  <w:style w:type="character" w:customStyle="1" w:styleId="1662">
    <w:name w:val="Красная строка Знак166"/>
    <w:uiPriority w:val="99"/>
    <w:semiHidden/>
    <w:rsid w:val="00B2425D"/>
  </w:style>
  <w:style w:type="character" w:customStyle="1" w:styleId="1652">
    <w:name w:val="Красная строка Знак165"/>
    <w:uiPriority w:val="99"/>
    <w:semiHidden/>
    <w:rsid w:val="00B2425D"/>
  </w:style>
  <w:style w:type="character" w:customStyle="1" w:styleId="1642">
    <w:name w:val="Красная строка Знак164"/>
    <w:uiPriority w:val="99"/>
    <w:semiHidden/>
    <w:rsid w:val="00B2425D"/>
  </w:style>
  <w:style w:type="character" w:customStyle="1" w:styleId="1632">
    <w:name w:val="Красная строка Знак163"/>
    <w:uiPriority w:val="99"/>
    <w:semiHidden/>
    <w:rsid w:val="00B2425D"/>
  </w:style>
  <w:style w:type="character" w:customStyle="1" w:styleId="1622">
    <w:name w:val="Красная строка Знак162"/>
    <w:uiPriority w:val="99"/>
    <w:semiHidden/>
    <w:rsid w:val="00B2425D"/>
  </w:style>
  <w:style w:type="character" w:customStyle="1" w:styleId="1612">
    <w:name w:val="Красная строка Знак161"/>
    <w:uiPriority w:val="99"/>
    <w:semiHidden/>
    <w:rsid w:val="00B2425D"/>
  </w:style>
  <w:style w:type="character" w:customStyle="1" w:styleId="1602">
    <w:name w:val="Красная строка Знак160"/>
    <w:uiPriority w:val="99"/>
    <w:semiHidden/>
    <w:rsid w:val="00B2425D"/>
  </w:style>
  <w:style w:type="character" w:customStyle="1" w:styleId="1592">
    <w:name w:val="Красная строка Знак159"/>
    <w:uiPriority w:val="99"/>
    <w:semiHidden/>
    <w:rsid w:val="00B2425D"/>
  </w:style>
  <w:style w:type="character" w:customStyle="1" w:styleId="1582">
    <w:name w:val="Красная строка Знак158"/>
    <w:uiPriority w:val="99"/>
    <w:semiHidden/>
    <w:rsid w:val="00B2425D"/>
  </w:style>
  <w:style w:type="character" w:customStyle="1" w:styleId="1572">
    <w:name w:val="Красная строка Знак157"/>
    <w:uiPriority w:val="99"/>
    <w:semiHidden/>
    <w:rsid w:val="00B2425D"/>
    <w:rPr>
      <w:rFonts w:ascii="Arial" w:hAnsi="Arial"/>
      <w:sz w:val="22"/>
    </w:rPr>
  </w:style>
  <w:style w:type="character" w:customStyle="1" w:styleId="1562">
    <w:name w:val="Красная строка Знак156"/>
    <w:uiPriority w:val="99"/>
    <w:semiHidden/>
    <w:rsid w:val="00B2425D"/>
    <w:rPr>
      <w:rFonts w:ascii="Arial" w:hAnsi="Arial"/>
      <w:sz w:val="22"/>
    </w:rPr>
  </w:style>
  <w:style w:type="character" w:customStyle="1" w:styleId="1552">
    <w:name w:val="Красная строка Знак155"/>
    <w:uiPriority w:val="99"/>
    <w:semiHidden/>
    <w:rsid w:val="00B2425D"/>
    <w:rPr>
      <w:rFonts w:ascii="Arial" w:hAnsi="Arial"/>
      <w:sz w:val="22"/>
    </w:rPr>
  </w:style>
  <w:style w:type="character" w:customStyle="1" w:styleId="1542">
    <w:name w:val="Красная строка Знак154"/>
    <w:uiPriority w:val="99"/>
    <w:semiHidden/>
    <w:rsid w:val="00B2425D"/>
    <w:rPr>
      <w:rFonts w:ascii="Calibri" w:hAnsi="Calibri"/>
      <w:sz w:val="20"/>
    </w:rPr>
  </w:style>
  <w:style w:type="character" w:customStyle="1" w:styleId="1532">
    <w:name w:val="Красная строка Знак153"/>
    <w:uiPriority w:val="99"/>
    <w:semiHidden/>
    <w:rsid w:val="00B2425D"/>
    <w:rPr>
      <w:rFonts w:ascii="Calibri" w:hAnsi="Calibri"/>
      <w:sz w:val="20"/>
    </w:rPr>
  </w:style>
  <w:style w:type="character" w:customStyle="1" w:styleId="1522">
    <w:name w:val="Красная строка Знак152"/>
    <w:uiPriority w:val="99"/>
    <w:semiHidden/>
    <w:rsid w:val="00B2425D"/>
    <w:rPr>
      <w:rFonts w:ascii="Calibri" w:hAnsi="Calibri"/>
      <w:sz w:val="20"/>
    </w:rPr>
  </w:style>
  <w:style w:type="character" w:customStyle="1" w:styleId="1512">
    <w:name w:val="Красная строка Знак151"/>
    <w:uiPriority w:val="99"/>
    <w:semiHidden/>
    <w:rsid w:val="00B2425D"/>
    <w:rPr>
      <w:rFonts w:ascii="Calibri" w:hAnsi="Calibri"/>
      <w:sz w:val="20"/>
    </w:rPr>
  </w:style>
  <w:style w:type="character" w:customStyle="1" w:styleId="1502">
    <w:name w:val="Красная строка Знак150"/>
    <w:uiPriority w:val="99"/>
    <w:semiHidden/>
    <w:rsid w:val="00B2425D"/>
    <w:rPr>
      <w:rFonts w:ascii="Calibri" w:hAnsi="Calibri"/>
      <w:sz w:val="20"/>
    </w:rPr>
  </w:style>
  <w:style w:type="character" w:customStyle="1" w:styleId="1492">
    <w:name w:val="Красная строка Знак149"/>
    <w:uiPriority w:val="99"/>
    <w:semiHidden/>
    <w:rsid w:val="00B2425D"/>
    <w:rPr>
      <w:rFonts w:ascii="Calibri" w:hAnsi="Calibri"/>
      <w:sz w:val="20"/>
    </w:rPr>
  </w:style>
  <w:style w:type="character" w:customStyle="1" w:styleId="1482">
    <w:name w:val="Красная строка Знак148"/>
    <w:uiPriority w:val="99"/>
    <w:semiHidden/>
    <w:rsid w:val="00B2425D"/>
    <w:rPr>
      <w:rFonts w:ascii="Calibri" w:hAnsi="Calibri"/>
      <w:sz w:val="20"/>
    </w:rPr>
  </w:style>
  <w:style w:type="character" w:customStyle="1" w:styleId="1472">
    <w:name w:val="Красная строка Знак147"/>
    <w:uiPriority w:val="99"/>
    <w:semiHidden/>
    <w:rsid w:val="00B2425D"/>
    <w:rPr>
      <w:rFonts w:ascii="Calibri" w:hAnsi="Calibri"/>
      <w:sz w:val="20"/>
    </w:rPr>
  </w:style>
  <w:style w:type="character" w:customStyle="1" w:styleId="1462">
    <w:name w:val="Красная строка Знак146"/>
    <w:uiPriority w:val="99"/>
    <w:semiHidden/>
    <w:rsid w:val="00B2425D"/>
    <w:rPr>
      <w:rFonts w:ascii="Calibri" w:hAnsi="Calibri"/>
      <w:sz w:val="20"/>
    </w:rPr>
  </w:style>
  <w:style w:type="character" w:customStyle="1" w:styleId="1452">
    <w:name w:val="Красная строка Знак145"/>
    <w:uiPriority w:val="99"/>
    <w:semiHidden/>
    <w:rsid w:val="00B2425D"/>
    <w:rPr>
      <w:rFonts w:ascii="Calibri" w:hAnsi="Calibri"/>
      <w:sz w:val="20"/>
    </w:rPr>
  </w:style>
  <w:style w:type="character" w:customStyle="1" w:styleId="1442">
    <w:name w:val="Красная строка Знак144"/>
    <w:uiPriority w:val="99"/>
    <w:semiHidden/>
    <w:rsid w:val="00B2425D"/>
    <w:rPr>
      <w:rFonts w:ascii="Calibri" w:hAnsi="Calibri"/>
      <w:sz w:val="20"/>
    </w:rPr>
  </w:style>
  <w:style w:type="character" w:customStyle="1" w:styleId="1432">
    <w:name w:val="Красная строка Знак143"/>
    <w:uiPriority w:val="99"/>
    <w:semiHidden/>
    <w:rsid w:val="00B2425D"/>
    <w:rPr>
      <w:rFonts w:ascii="Calibri" w:hAnsi="Calibri"/>
      <w:sz w:val="20"/>
    </w:rPr>
  </w:style>
  <w:style w:type="character" w:customStyle="1" w:styleId="1422">
    <w:name w:val="Красная строка Знак142"/>
    <w:uiPriority w:val="99"/>
    <w:semiHidden/>
    <w:rsid w:val="00B2425D"/>
    <w:rPr>
      <w:rFonts w:ascii="Calibri" w:hAnsi="Calibri"/>
      <w:sz w:val="20"/>
    </w:rPr>
  </w:style>
  <w:style w:type="character" w:customStyle="1" w:styleId="1412">
    <w:name w:val="Красная строка Знак141"/>
    <w:uiPriority w:val="99"/>
    <w:semiHidden/>
    <w:rsid w:val="00B2425D"/>
    <w:rPr>
      <w:rFonts w:ascii="Calibri" w:hAnsi="Calibri"/>
      <w:sz w:val="20"/>
    </w:rPr>
  </w:style>
  <w:style w:type="character" w:customStyle="1" w:styleId="1402">
    <w:name w:val="Красная строка Знак140"/>
    <w:uiPriority w:val="99"/>
    <w:semiHidden/>
    <w:rsid w:val="00B2425D"/>
    <w:rPr>
      <w:rFonts w:ascii="Calibri" w:hAnsi="Calibri"/>
      <w:sz w:val="20"/>
    </w:rPr>
  </w:style>
  <w:style w:type="character" w:customStyle="1" w:styleId="1392">
    <w:name w:val="Красная строка Знак139"/>
    <w:uiPriority w:val="99"/>
    <w:semiHidden/>
    <w:rsid w:val="00B2425D"/>
    <w:rPr>
      <w:rFonts w:ascii="Calibri" w:hAnsi="Calibri"/>
      <w:sz w:val="20"/>
    </w:rPr>
  </w:style>
  <w:style w:type="character" w:customStyle="1" w:styleId="1382">
    <w:name w:val="Красная строка Знак138"/>
    <w:uiPriority w:val="99"/>
    <w:semiHidden/>
    <w:rsid w:val="00B2425D"/>
    <w:rPr>
      <w:rFonts w:ascii="Calibri" w:hAnsi="Calibri"/>
      <w:sz w:val="20"/>
    </w:rPr>
  </w:style>
  <w:style w:type="character" w:customStyle="1" w:styleId="1372">
    <w:name w:val="Красная строка Знак137"/>
    <w:uiPriority w:val="99"/>
    <w:semiHidden/>
    <w:rsid w:val="00B2425D"/>
    <w:rPr>
      <w:rFonts w:ascii="Calibri" w:hAnsi="Calibri"/>
      <w:sz w:val="20"/>
    </w:rPr>
  </w:style>
  <w:style w:type="character" w:customStyle="1" w:styleId="1362">
    <w:name w:val="Красная строка Знак136"/>
    <w:uiPriority w:val="99"/>
    <w:semiHidden/>
    <w:rsid w:val="00B2425D"/>
    <w:rPr>
      <w:rFonts w:ascii="Calibri" w:hAnsi="Calibri"/>
      <w:sz w:val="20"/>
    </w:rPr>
  </w:style>
  <w:style w:type="character" w:customStyle="1" w:styleId="1352">
    <w:name w:val="Красная строка Знак135"/>
    <w:uiPriority w:val="99"/>
    <w:semiHidden/>
    <w:rsid w:val="00B2425D"/>
    <w:rPr>
      <w:rFonts w:ascii="Calibri" w:hAnsi="Calibri"/>
      <w:sz w:val="20"/>
    </w:rPr>
  </w:style>
  <w:style w:type="character" w:customStyle="1" w:styleId="1342">
    <w:name w:val="Красная строка Знак134"/>
    <w:uiPriority w:val="99"/>
    <w:semiHidden/>
    <w:rsid w:val="00B2425D"/>
    <w:rPr>
      <w:rFonts w:ascii="Calibri" w:hAnsi="Calibri"/>
      <w:sz w:val="20"/>
    </w:rPr>
  </w:style>
  <w:style w:type="character" w:customStyle="1" w:styleId="1332">
    <w:name w:val="Красная строка Знак133"/>
    <w:uiPriority w:val="99"/>
    <w:semiHidden/>
    <w:rsid w:val="00B2425D"/>
    <w:rPr>
      <w:rFonts w:ascii="Calibri" w:hAnsi="Calibri"/>
      <w:sz w:val="20"/>
    </w:rPr>
  </w:style>
  <w:style w:type="character" w:customStyle="1" w:styleId="1322">
    <w:name w:val="Красная строка Знак132"/>
    <w:uiPriority w:val="99"/>
    <w:semiHidden/>
    <w:rsid w:val="00B2425D"/>
    <w:rPr>
      <w:rFonts w:ascii="Calibri" w:hAnsi="Calibri"/>
      <w:sz w:val="20"/>
    </w:rPr>
  </w:style>
  <w:style w:type="character" w:customStyle="1" w:styleId="1312">
    <w:name w:val="Красная строка Знак131"/>
    <w:uiPriority w:val="99"/>
    <w:semiHidden/>
    <w:rsid w:val="00B2425D"/>
    <w:rPr>
      <w:rFonts w:ascii="Calibri" w:hAnsi="Calibri"/>
      <w:sz w:val="20"/>
    </w:rPr>
  </w:style>
  <w:style w:type="character" w:customStyle="1" w:styleId="1302">
    <w:name w:val="Красная строка Знак130"/>
    <w:uiPriority w:val="99"/>
    <w:semiHidden/>
    <w:rsid w:val="00B2425D"/>
    <w:rPr>
      <w:rFonts w:ascii="Calibri" w:hAnsi="Calibri"/>
      <w:sz w:val="20"/>
    </w:rPr>
  </w:style>
  <w:style w:type="character" w:customStyle="1" w:styleId="1292">
    <w:name w:val="Красная строка Знак129"/>
    <w:uiPriority w:val="99"/>
    <w:semiHidden/>
    <w:rsid w:val="00B2425D"/>
    <w:rPr>
      <w:rFonts w:ascii="Calibri" w:hAnsi="Calibri"/>
      <w:sz w:val="20"/>
    </w:rPr>
  </w:style>
  <w:style w:type="character" w:customStyle="1" w:styleId="1282">
    <w:name w:val="Красная строка Знак128"/>
    <w:uiPriority w:val="99"/>
    <w:semiHidden/>
    <w:rsid w:val="00B2425D"/>
    <w:rPr>
      <w:rFonts w:ascii="Calibri" w:hAnsi="Calibri"/>
      <w:sz w:val="20"/>
    </w:rPr>
  </w:style>
  <w:style w:type="character" w:customStyle="1" w:styleId="1272">
    <w:name w:val="Красная строка Знак127"/>
    <w:uiPriority w:val="99"/>
    <w:semiHidden/>
    <w:rsid w:val="00B2425D"/>
  </w:style>
  <w:style w:type="character" w:customStyle="1" w:styleId="1262">
    <w:name w:val="Красная строка Знак126"/>
    <w:uiPriority w:val="99"/>
    <w:semiHidden/>
    <w:rsid w:val="00B2425D"/>
  </w:style>
  <w:style w:type="character" w:customStyle="1" w:styleId="1252">
    <w:name w:val="Красная строка Знак125"/>
    <w:uiPriority w:val="99"/>
    <w:semiHidden/>
    <w:rsid w:val="00B2425D"/>
  </w:style>
  <w:style w:type="character" w:customStyle="1" w:styleId="1242">
    <w:name w:val="Красная строка Знак124"/>
    <w:uiPriority w:val="99"/>
    <w:semiHidden/>
    <w:rsid w:val="00B2425D"/>
  </w:style>
  <w:style w:type="character" w:customStyle="1" w:styleId="1232">
    <w:name w:val="Красная строка Знак123"/>
    <w:uiPriority w:val="99"/>
    <w:semiHidden/>
    <w:rsid w:val="00B2425D"/>
  </w:style>
  <w:style w:type="character" w:customStyle="1" w:styleId="1222">
    <w:name w:val="Красная строка Знак122"/>
    <w:uiPriority w:val="99"/>
    <w:semiHidden/>
    <w:rsid w:val="00B2425D"/>
  </w:style>
  <w:style w:type="character" w:customStyle="1" w:styleId="1212">
    <w:name w:val="Красная строка Знак121"/>
    <w:uiPriority w:val="99"/>
    <w:semiHidden/>
    <w:rsid w:val="00B2425D"/>
  </w:style>
  <w:style w:type="character" w:customStyle="1" w:styleId="1202">
    <w:name w:val="Красная строка Знак120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92">
    <w:name w:val="Красная строка Знак119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82">
    <w:name w:val="Красная строка Знак118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72">
    <w:name w:val="Красная строка Знак1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62">
    <w:name w:val="Красная строка Знак1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52">
    <w:name w:val="Красная строка Знак1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42">
    <w:name w:val="Красная строка Знак1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32">
    <w:name w:val="Красная строка Знак1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22">
    <w:name w:val="Красная строка Знак1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14">
    <w:name w:val="Красная строка Знак111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02">
    <w:name w:val="Красная строка Знак110"/>
    <w:uiPriority w:val="99"/>
    <w:semiHidden/>
    <w:rsid w:val="00B2425D"/>
    <w:rPr>
      <w:rFonts w:ascii="Times New Roman" w:hAnsi="Times New Roman"/>
      <w:sz w:val="20"/>
    </w:rPr>
  </w:style>
  <w:style w:type="character" w:customStyle="1" w:styleId="192">
    <w:name w:val="Красная строка Знак19"/>
    <w:uiPriority w:val="99"/>
    <w:semiHidden/>
    <w:rsid w:val="00B2425D"/>
    <w:rPr>
      <w:rFonts w:ascii="Times New Roman" w:hAnsi="Times New Roman"/>
      <w:sz w:val="20"/>
    </w:rPr>
  </w:style>
  <w:style w:type="character" w:customStyle="1" w:styleId="18a">
    <w:name w:val="Красная строка Знак18"/>
    <w:uiPriority w:val="99"/>
    <w:semiHidden/>
    <w:rsid w:val="00B2425D"/>
    <w:rPr>
      <w:rFonts w:ascii="Times New Roman" w:hAnsi="Times New Roman"/>
      <w:sz w:val="20"/>
    </w:rPr>
  </w:style>
  <w:style w:type="character" w:customStyle="1" w:styleId="17a">
    <w:name w:val="Красная строка Знак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6d">
    <w:name w:val="Красная строка Знак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5d">
    <w:name w:val="Красная строка Знак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4d">
    <w:name w:val="Красная строка Знак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3d">
    <w:name w:val="Красная строка Знак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2d">
    <w:name w:val="Красная строка Знак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d">
    <w:name w:val="Красная строка Знак11"/>
    <w:semiHidden/>
    <w:rsid w:val="00B2425D"/>
  </w:style>
  <w:style w:type="paragraph" w:styleId="afff3">
    <w:name w:val="Body Text Indent"/>
    <w:basedOn w:val="a"/>
    <w:link w:val="2d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cs="Calibri"/>
      <w:sz w:val="20"/>
      <w:szCs w:val="20"/>
    </w:rPr>
  </w:style>
  <w:style w:type="character" w:customStyle="1" w:styleId="2d">
    <w:name w:val="Основной текст с отступом Знак2"/>
    <w:basedOn w:val="a0"/>
    <w:link w:val="afff3"/>
    <w:uiPriority w:val="99"/>
    <w:semiHidden/>
    <w:locked/>
    <w:rsid w:val="00B2425D"/>
    <w:rPr>
      <w:rFonts w:ascii="Times New Roman" w:hAnsi="Times New Roman" w:cs="Times New Roman"/>
    </w:rPr>
  </w:style>
  <w:style w:type="paragraph" w:styleId="2a">
    <w:name w:val="Body Text First Indent 2"/>
    <w:basedOn w:val="afff3"/>
    <w:link w:val="220"/>
    <w:uiPriority w:val="99"/>
    <w:semiHidden/>
    <w:unhideWhenUsed/>
    <w:rsid w:val="00B2425D"/>
    <w:pPr>
      <w:widowControl/>
      <w:autoSpaceDE/>
      <w:autoSpaceDN/>
      <w:adjustRightInd/>
      <w:spacing w:before="0"/>
      <w:ind w:firstLine="210"/>
    </w:pPr>
    <w:rPr>
      <w:rFonts w:ascii="Calibri" w:hAnsi="Calibri"/>
    </w:rPr>
  </w:style>
  <w:style w:type="character" w:customStyle="1" w:styleId="2e">
    <w:name w:val="Красная строка 2 Знак"/>
    <w:basedOn w:val="2d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286">
    <w:name w:val="Красная строка 2 Знак86"/>
    <w:basedOn w:val="2d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285">
    <w:name w:val="Красная строка 2 Знак85"/>
    <w:basedOn w:val="2d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284">
    <w:name w:val="Красная строка 2 Знак84"/>
    <w:uiPriority w:val="99"/>
    <w:semiHidden/>
    <w:rPr>
      <w:rFonts w:ascii="Times New Roman" w:hAnsi="Times New Roman"/>
      <w:sz w:val="22"/>
    </w:rPr>
  </w:style>
  <w:style w:type="character" w:customStyle="1" w:styleId="283">
    <w:name w:val="Красная строка 2 Знак83"/>
    <w:uiPriority w:val="99"/>
    <w:semiHidden/>
    <w:rPr>
      <w:rFonts w:ascii="Times New Roman" w:hAnsi="Times New Roman"/>
      <w:sz w:val="22"/>
    </w:rPr>
  </w:style>
  <w:style w:type="character" w:customStyle="1" w:styleId="282">
    <w:name w:val="Красная строка 2 Знак82"/>
    <w:uiPriority w:val="99"/>
    <w:semiHidden/>
    <w:rPr>
      <w:rFonts w:ascii="Times New Roman" w:hAnsi="Times New Roman"/>
      <w:sz w:val="22"/>
    </w:rPr>
  </w:style>
  <w:style w:type="character" w:customStyle="1" w:styleId="281">
    <w:name w:val="Красная строка 2 Знак81"/>
    <w:uiPriority w:val="99"/>
    <w:semiHidden/>
    <w:rPr>
      <w:rFonts w:ascii="Times New Roman" w:hAnsi="Times New Roman"/>
      <w:sz w:val="22"/>
    </w:rPr>
  </w:style>
  <w:style w:type="character" w:customStyle="1" w:styleId="2800">
    <w:name w:val="Красная строка 2 Знак80"/>
    <w:uiPriority w:val="99"/>
    <w:semiHidden/>
    <w:rPr>
      <w:rFonts w:ascii="Times New Roman" w:hAnsi="Times New Roman"/>
      <w:sz w:val="22"/>
    </w:rPr>
  </w:style>
  <w:style w:type="character" w:customStyle="1" w:styleId="279">
    <w:name w:val="Красная строка 2 Знак79"/>
    <w:uiPriority w:val="99"/>
    <w:semiHidden/>
    <w:rPr>
      <w:rFonts w:ascii="Times New Roman" w:hAnsi="Times New Roman"/>
      <w:sz w:val="22"/>
    </w:rPr>
  </w:style>
  <w:style w:type="character" w:customStyle="1" w:styleId="278">
    <w:name w:val="Красная строка 2 Знак78"/>
    <w:uiPriority w:val="99"/>
    <w:semiHidden/>
    <w:rPr>
      <w:rFonts w:ascii="Times New Roman" w:hAnsi="Times New Roman"/>
      <w:sz w:val="22"/>
    </w:rPr>
  </w:style>
  <w:style w:type="character" w:customStyle="1" w:styleId="277">
    <w:name w:val="Красная строка 2 Знак77"/>
    <w:uiPriority w:val="99"/>
    <w:semiHidden/>
    <w:rPr>
      <w:rFonts w:ascii="Times New Roman" w:hAnsi="Times New Roman"/>
      <w:sz w:val="22"/>
    </w:rPr>
  </w:style>
  <w:style w:type="character" w:customStyle="1" w:styleId="276">
    <w:name w:val="Красная строка 2 Знак76"/>
    <w:uiPriority w:val="99"/>
    <w:semiHidden/>
    <w:rPr>
      <w:rFonts w:ascii="Times New Roman" w:hAnsi="Times New Roman"/>
      <w:sz w:val="22"/>
    </w:rPr>
  </w:style>
  <w:style w:type="character" w:customStyle="1" w:styleId="275">
    <w:name w:val="Красная строка 2 Знак75"/>
    <w:uiPriority w:val="99"/>
    <w:semiHidden/>
    <w:rPr>
      <w:rFonts w:ascii="Times New Roman" w:hAnsi="Times New Roman"/>
      <w:sz w:val="22"/>
    </w:rPr>
  </w:style>
  <w:style w:type="character" w:customStyle="1" w:styleId="274">
    <w:name w:val="Красная строка 2 Знак74"/>
    <w:uiPriority w:val="99"/>
    <w:semiHidden/>
    <w:rPr>
      <w:rFonts w:ascii="Times New Roman" w:hAnsi="Times New Roman"/>
      <w:sz w:val="22"/>
    </w:rPr>
  </w:style>
  <w:style w:type="character" w:customStyle="1" w:styleId="273">
    <w:name w:val="Красная строка 2 Знак73"/>
    <w:uiPriority w:val="99"/>
    <w:semiHidden/>
    <w:rPr>
      <w:rFonts w:ascii="Times New Roman" w:hAnsi="Times New Roman"/>
      <w:sz w:val="22"/>
    </w:rPr>
  </w:style>
  <w:style w:type="character" w:customStyle="1" w:styleId="272">
    <w:name w:val="Красная строка 2 Знак72"/>
    <w:uiPriority w:val="99"/>
    <w:semiHidden/>
    <w:rPr>
      <w:rFonts w:ascii="Times New Roman" w:hAnsi="Times New Roman"/>
      <w:sz w:val="22"/>
    </w:rPr>
  </w:style>
  <w:style w:type="character" w:customStyle="1" w:styleId="271">
    <w:name w:val="Красная строка 2 Знак71"/>
    <w:uiPriority w:val="99"/>
    <w:semiHidden/>
    <w:rPr>
      <w:rFonts w:ascii="Times New Roman" w:hAnsi="Times New Roman"/>
      <w:sz w:val="22"/>
    </w:rPr>
  </w:style>
  <w:style w:type="character" w:customStyle="1" w:styleId="2700">
    <w:name w:val="Красная строка 2 Знак70"/>
    <w:uiPriority w:val="99"/>
    <w:semiHidden/>
    <w:rPr>
      <w:rFonts w:ascii="Times New Roman" w:hAnsi="Times New Roman"/>
      <w:sz w:val="22"/>
    </w:rPr>
  </w:style>
  <w:style w:type="character" w:customStyle="1" w:styleId="269">
    <w:name w:val="Красная строка 2 Знак69"/>
    <w:uiPriority w:val="99"/>
    <w:semiHidden/>
    <w:rPr>
      <w:rFonts w:ascii="Times New Roman" w:hAnsi="Times New Roman"/>
      <w:sz w:val="22"/>
    </w:rPr>
  </w:style>
  <w:style w:type="character" w:customStyle="1" w:styleId="268">
    <w:name w:val="Красная строка 2 Знак68"/>
    <w:uiPriority w:val="99"/>
    <w:semiHidden/>
    <w:rPr>
      <w:rFonts w:ascii="Times New Roman" w:hAnsi="Times New Roman"/>
      <w:sz w:val="22"/>
    </w:rPr>
  </w:style>
  <w:style w:type="character" w:customStyle="1" w:styleId="267">
    <w:name w:val="Красная строка 2 Знак67"/>
    <w:uiPriority w:val="99"/>
    <w:semiHidden/>
    <w:rPr>
      <w:rFonts w:ascii="Times New Roman" w:hAnsi="Times New Roman"/>
      <w:sz w:val="22"/>
    </w:rPr>
  </w:style>
  <w:style w:type="character" w:customStyle="1" w:styleId="266">
    <w:name w:val="Красная строка 2 Знак66"/>
    <w:uiPriority w:val="99"/>
    <w:semiHidden/>
    <w:rPr>
      <w:rFonts w:ascii="Times New Roman" w:hAnsi="Times New Roman"/>
      <w:sz w:val="22"/>
    </w:rPr>
  </w:style>
  <w:style w:type="character" w:customStyle="1" w:styleId="248">
    <w:name w:val="Красная строка 2 Знак48"/>
    <w:uiPriority w:val="99"/>
    <w:semiHidden/>
    <w:rPr>
      <w:rFonts w:ascii="Times New Roman" w:hAnsi="Times New Roman"/>
      <w:sz w:val="22"/>
    </w:rPr>
  </w:style>
  <w:style w:type="character" w:customStyle="1" w:styleId="247">
    <w:name w:val="Красная строка 2 Знак47"/>
    <w:uiPriority w:val="99"/>
    <w:semiHidden/>
    <w:rPr>
      <w:rFonts w:ascii="Times New Roman" w:hAnsi="Times New Roman"/>
      <w:sz w:val="22"/>
    </w:rPr>
  </w:style>
  <w:style w:type="character" w:customStyle="1" w:styleId="246">
    <w:name w:val="Красная строка 2 Знак46"/>
    <w:uiPriority w:val="99"/>
    <w:semiHidden/>
    <w:rPr>
      <w:rFonts w:ascii="Times New Roman" w:hAnsi="Times New Roman"/>
      <w:sz w:val="22"/>
    </w:rPr>
  </w:style>
  <w:style w:type="character" w:customStyle="1" w:styleId="245">
    <w:name w:val="Красная строка 2 Знак45"/>
    <w:uiPriority w:val="99"/>
    <w:semiHidden/>
    <w:rPr>
      <w:rFonts w:ascii="Times New Roman" w:hAnsi="Times New Roman"/>
      <w:sz w:val="22"/>
    </w:rPr>
  </w:style>
  <w:style w:type="character" w:customStyle="1" w:styleId="244">
    <w:name w:val="Красная строка 2 Знак44"/>
    <w:uiPriority w:val="99"/>
    <w:semiHidden/>
    <w:rPr>
      <w:rFonts w:ascii="Times New Roman" w:hAnsi="Times New Roman"/>
      <w:sz w:val="22"/>
    </w:rPr>
  </w:style>
  <w:style w:type="character" w:customStyle="1" w:styleId="243">
    <w:name w:val="Красная строка 2 Знак43"/>
    <w:uiPriority w:val="99"/>
    <w:semiHidden/>
    <w:rPr>
      <w:rFonts w:ascii="Times New Roman" w:hAnsi="Times New Roman"/>
      <w:sz w:val="22"/>
    </w:rPr>
  </w:style>
  <w:style w:type="character" w:customStyle="1" w:styleId="242">
    <w:name w:val="Красная строка 2 Знак42"/>
    <w:uiPriority w:val="99"/>
    <w:semiHidden/>
    <w:rPr>
      <w:rFonts w:ascii="Times New Roman" w:hAnsi="Times New Roman"/>
      <w:sz w:val="22"/>
    </w:rPr>
  </w:style>
  <w:style w:type="character" w:customStyle="1" w:styleId="241">
    <w:name w:val="Красная строка 2 Знак41"/>
    <w:uiPriority w:val="99"/>
    <w:semiHidden/>
    <w:rPr>
      <w:rFonts w:ascii="Times New Roman" w:hAnsi="Times New Roman"/>
      <w:sz w:val="22"/>
    </w:rPr>
  </w:style>
  <w:style w:type="character" w:customStyle="1" w:styleId="2400">
    <w:name w:val="Красная строка 2 Знак40"/>
    <w:uiPriority w:val="99"/>
    <w:semiHidden/>
    <w:rPr>
      <w:rFonts w:ascii="Times New Roman" w:hAnsi="Times New Roman"/>
      <w:sz w:val="22"/>
    </w:rPr>
  </w:style>
  <w:style w:type="character" w:customStyle="1" w:styleId="239">
    <w:name w:val="Красная строка 2 Знак39"/>
    <w:uiPriority w:val="99"/>
    <w:semiHidden/>
    <w:rPr>
      <w:rFonts w:ascii="Times New Roman" w:hAnsi="Times New Roman"/>
      <w:sz w:val="22"/>
    </w:rPr>
  </w:style>
  <w:style w:type="character" w:customStyle="1" w:styleId="238">
    <w:name w:val="Красная строка 2 Знак38"/>
    <w:uiPriority w:val="99"/>
    <w:semiHidden/>
    <w:rPr>
      <w:rFonts w:ascii="Times New Roman" w:hAnsi="Times New Roman"/>
      <w:sz w:val="22"/>
    </w:rPr>
  </w:style>
  <w:style w:type="character" w:customStyle="1" w:styleId="237">
    <w:name w:val="Красная строка 2 Знак37"/>
    <w:uiPriority w:val="99"/>
    <w:semiHidden/>
    <w:rPr>
      <w:rFonts w:ascii="Times New Roman" w:hAnsi="Times New Roman"/>
      <w:sz w:val="22"/>
    </w:rPr>
  </w:style>
  <w:style w:type="character" w:customStyle="1" w:styleId="236">
    <w:name w:val="Красная строка 2 Знак36"/>
    <w:uiPriority w:val="99"/>
    <w:semiHidden/>
    <w:rPr>
      <w:rFonts w:ascii="Times New Roman" w:hAnsi="Times New Roman"/>
      <w:sz w:val="22"/>
    </w:rPr>
  </w:style>
  <w:style w:type="character" w:customStyle="1" w:styleId="235">
    <w:name w:val="Красная строка 2 Знак35"/>
    <w:uiPriority w:val="99"/>
    <w:semiHidden/>
    <w:rPr>
      <w:rFonts w:ascii="Times New Roman" w:hAnsi="Times New Roman"/>
      <w:sz w:val="22"/>
    </w:rPr>
  </w:style>
  <w:style w:type="character" w:customStyle="1" w:styleId="234">
    <w:name w:val="Красная строка 2 Знак34"/>
    <w:uiPriority w:val="99"/>
    <w:semiHidden/>
    <w:rPr>
      <w:rFonts w:ascii="Times New Roman" w:hAnsi="Times New Roman"/>
      <w:sz w:val="22"/>
    </w:rPr>
  </w:style>
  <w:style w:type="character" w:customStyle="1" w:styleId="233">
    <w:name w:val="Красная строка 2 Знак33"/>
    <w:uiPriority w:val="99"/>
    <w:semiHidden/>
    <w:rPr>
      <w:rFonts w:ascii="Times New Roman" w:hAnsi="Times New Roman"/>
      <w:sz w:val="22"/>
    </w:rPr>
  </w:style>
  <w:style w:type="character" w:customStyle="1" w:styleId="232">
    <w:name w:val="Красная строка 2 Знак32"/>
    <w:uiPriority w:val="99"/>
    <w:semiHidden/>
    <w:rPr>
      <w:rFonts w:ascii="Times New Roman" w:hAnsi="Times New Roman"/>
      <w:sz w:val="22"/>
    </w:rPr>
  </w:style>
  <w:style w:type="character" w:customStyle="1" w:styleId="231">
    <w:name w:val="Красная строка 2 Знак31"/>
    <w:uiPriority w:val="99"/>
    <w:semiHidden/>
    <w:rPr>
      <w:rFonts w:ascii="Times New Roman" w:hAnsi="Times New Roman"/>
      <w:sz w:val="22"/>
    </w:rPr>
  </w:style>
  <w:style w:type="character" w:customStyle="1" w:styleId="2300">
    <w:name w:val="Красная строка 2 Знак30"/>
    <w:uiPriority w:val="99"/>
    <w:semiHidden/>
    <w:rPr>
      <w:rFonts w:ascii="Times New Roman" w:hAnsi="Times New Roman"/>
      <w:sz w:val="22"/>
    </w:rPr>
  </w:style>
  <w:style w:type="character" w:customStyle="1" w:styleId="229">
    <w:name w:val="Красная строка 2 Знак29"/>
    <w:uiPriority w:val="99"/>
    <w:semiHidden/>
    <w:rPr>
      <w:rFonts w:ascii="Times New Roman" w:hAnsi="Times New Roman"/>
      <w:sz w:val="22"/>
    </w:rPr>
  </w:style>
  <w:style w:type="character" w:customStyle="1" w:styleId="228">
    <w:name w:val="Красная строка 2 Знак28"/>
    <w:uiPriority w:val="99"/>
    <w:semiHidden/>
    <w:rPr>
      <w:rFonts w:ascii="Times New Roman" w:hAnsi="Times New Roman"/>
      <w:sz w:val="22"/>
    </w:rPr>
  </w:style>
  <w:style w:type="character" w:customStyle="1" w:styleId="227">
    <w:name w:val="Красная строка 2 Знак27"/>
    <w:uiPriority w:val="99"/>
    <w:semiHidden/>
    <w:rPr>
      <w:rFonts w:ascii="Times New Roman" w:hAnsi="Times New Roman"/>
      <w:sz w:val="22"/>
    </w:rPr>
  </w:style>
  <w:style w:type="character" w:customStyle="1" w:styleId="226">
    <w:name w:val="Красная строка 2 Знак26"/>
    <w:uiPriority w:val="99"/>
    <w:semiHidden/>
    <w:rPr>
      <w:rFonts w:ascii="Times New Roman" w:hAnsi="Times New Roman"/>
      <w:sz w:val="22"/>
    </w:rPr>
  </w:style>
  <w:style w:type="character" w:customStyle="1" w:styleId="225">
    <w:name w:val="Красная строка 2 Знак25"/>
    <w:uiPriority w:val="99"/>
    <w:semiHidden/>
    <w:rPr>
      <w:rFonts w:ascii="Times New Roman" w:hAnsi="Times New Roman"/>
      <w:sz w:val="22"/>
    </w:rPr>
  </w:style>
  <w:style w:type="character" w:customStyle="1" w:styleId="224">
    <w:name w:val="Красная строка 2 Знак24"/>
    <w:uiPriority w:val="99"/>
    <w:semiHidden/>
    <w:rPr>
      <w:rFonts w:ascii="Times New Roman" w:hAnsi="Times New Roman"/>
      <w:sz w:val="22"/>
    </w:rPr>
  </w:style>
  <w:style w:type="character" w:customStyle="1" w:styleId="223">
    <w:name w:val="Красная строка 2 Знак23"/>
    <w:uiPriority w:val="99"/>
    <w:semiHidden/>
    <w:rPr>
      <w:rFonts w:ascii="Times New Roman" w:hAnsi="Times New Roman"/>
      <w:sz w:val="22"/>
    </w:rPr>
  </w:style>
  <w:style w:type="character" w:customStyle="1" w:styleId="222">
    <w:name w:val="Красная строка 2 Знак22"/>
    <w:uiPriority w:val="99"/>
    <w:semiHidden/>
    <w:rPr>
      <w:rFonts w:ascii="Times New Roman" w:hAnsi="Times New Roman"/>
      <w:sz w:val="22"/>
    </w:rPr>
  </w:style>
  <w:style w:type="character" w:customStyle="1" w:styleId="2210">
    <w:name w:val="Красная строка 2 Знак21"/>
    <w:uiPriority w:val="99"/>
    <w:semiHidden/>
    <w:rPr>
      <w:rFonts w:ascii="Times New Roman" w:hAnsi="Times New Roman"/>
      <w:sz w:val="22"/>
    </w:rPr>
  </w:style>
  <w:style w:type="character" w:customStyle="1" w:styleId="2200">
    <w:name w:val="Красная строка 2 Знак20"/>
    <w:uiPriority w:val="99"/>
    <w:semiHidden/>
    <w:rPr>
      <w:rFonts w:ascii="Times New Roman" w:hAnsi="Times New Roman"/>
      <w:sz w:val="22"/>
    </w:rPr>
  </w:style>
  <w:style w:type="character" w:customStyle="1" w:styleId="2100">
    <w:name w:val="Красная строка 2 Знак10"/>
    <w:uiPriority w:val="99"/>
    <w:semiHidden/>
    <w:rPr>
      <w:rFonts w:ascii="Times New Roman" w:hAnsi="Times New Roman"/>
      <w:sz w:val="22"/>
    </w:rPr>
  </w:style>
  <w:style w:type="character" w:customStyle="1" w:styleId="291">
    <w:name w:val="Красная строка 2 Знак9"/>
    <w:uiPriority w:val="99"/>
    <w:semiHidden/>
    <w:rPr>
      <w:rFonts w:ascii="Times New Roman" w:hAnsi="Times New Roman"/>
      <w:sz w:val="22"/>
    </w:rPr>
  </w:style>
  <w:style w:type="character" w:customStyle="1" w:styleId="287">
    <w:name w:val="Красная строка 2 Знак8"/>
    <w:uiPriority w:val="99"/>
    <w:semiHidden/>
    <w:rPr>
      <w:rFonts w:ascii="Times New Roman" w:hAnsi="Times New Roman"/>
      <w:sz w:val="22"/>
    </w:rPr>
  </w:style>
  <w:style w:type="character" w:customStyle="1" w:styleId="27a">
    <w:name w:val="Красная строка 2 Знак7"/>
    <w:uiPriority w:val="99"/>
    <w:semiHidden/>
    <w:rPr>
      <w:rFonts w:ascii="Times New Roman" w:hAnsi="Times New Roman"/>
      <w:sz w:val="22"/>
    </w:rPr>
  </w:style>
  <w:style w:type="character" w:customStyle="1" w:styleId="261">
    <w:name w:val="Красная строка 2 Знак6"/>
    <w:uiPriority w:val="99"/>
    <w:semiHidden/>
    <w:rPr>
      <w:rFonts w:ascii="Times New Roman" w:hAnsi="Times New Roman"/>
      <w:sz w:val="22"/>
    </w:rPr>
  </w:style>
  <w:style w:type="character" w:customStyle="1" w:styleId="251">
    <w:name w:val="Красная строка 2 Знак5"/>
    <w:uiPriority w:val="99"/>
    <w:semiHidden/>
    <w:rPr>
      <w:rFonts w:ascii="Times New Roman" w:hAnsi="Times New Roman"/>
      <w:sz w:val="22"/>
    </w:rPr>
  </w:style>
  <w:style w:type="character" w:customStyle="1" w:styleId="249">
    <w:name w:val="Красная строка 2 Знак4"/>
    <w:uiPriority w:val="99"/>
    <w:semiHidden/>
    <w:rPr>
      <w:rFonts w:ascii="Times New Roman" w:hAnsi="Times New Roman"/>
      <w:sz w:val="22"/>
    </w:rPr>
  </w:style>
  <w:style w:type="character" w:customStyle="1" w:styleId="23a">
    <w:name w:val="Красная строка 2 Знак3"/>
    <w:uiPriority w:val="99"/>
    <w:semiHidden/>
    <w:rPr>
      <w:rFonts w:ascii="Times New Roman" w:hAnsi="Times New Roman"/>
      <w:sz w:val="22"/>
    </w:rPr>
  </w:style>
  <w:style w:type="character" w:customStyle="1" w:styleId="BodyTextFirstIndent2Char">
    <w:name w:val="Body Text First Indent 2 Char"/>
    <w:uiPriority w:val="99"/>
    <w:semiHidden/>
    <w:rPr>
      <w:rFonts w:ascii="Times New Roman" w:hAnsi="Times New Roman"/>
      <w:sz w:val="22"/>
    </w:rPr>
  </w:style>
  <w:style w:type="character" w:customStyle="1" w:styleId="BodyTextFirstIndent2Char2">
    <w:name w:val="Body Text First Indent 2 Char2"/>
    <w:uiPriority w:val="99"/>
    <w:semiHidden/>
    <w:rPr>
      <w:rFonts w:ascii="Times New Roman" w:hAnsi="Times New Roman"/>
      <w:sz w:val="22"/>
    </w:rPr>
  </w:style>
  <w:style w:type="character" w:customStyle="1" w:styleId="211">
    <w:name w:val="Красная строка 2 Знак1"/>
    <w:uiPriority w:val="99"/>
    <w:semiHidden/>
    <w:rPr>
      <w:rFonts w:ascii="Times New Roman" w:hAnsi="Times New Roman"/>
      <w:sz w:val="22"/>
    </w:rPr>
  </w:style>
  <w:style w:type="character" w:customStyle="1" w:styleId="2189">
    <w:name w:val="Красная строка 2 Знак189"/>
    <w:uiPriority w:val="99"/>
    <w:semiHidden/>
    <w:rPr>
      <w:rFonts w:ascii="Times New Roman" w:hAnsi="Times New Roman"/>
      <w:sz w:val="22"/>
    </w:rPr>
  </w:style>
  <w:style w:type="character" w:customStyle="1" w:styleId="2188">
    <w:name w:val="Красная строка 2 Знак188"/>
    <w:uiPriority w:val="99"/>
    <w:semiHidden/>
    <w:rPr>
      <w:rFonts w:ascii="Times New Roman" w:hAnsi="Times New Roman"/>
      <w:sz w:val="22"/>
    </w:rPr>
  </w:style>
  <w:style w:type="character" w:customStyle="1" w:styleId="2187">
    <w:name w:val="Красная строка 2 Знак187"/>
    <w:uiPriority w:val="99"/>
    <w:semiHidden/>
    <w:rPr>
      <w:rFonts w:ascii="Times New Roman" w:hAnsi="Times New Roman"/>
      <w:sz w:val="22"/>
    </w:rPr>
  </w:style>
  <w:style w:type="character" w:customStyle="1" w:styleId="2186">
    <w:name w:val="Красная строка 2 Знак186"/>
    <w:uiPriority w:val="99"/>
    <w:semiHidden/>
    <w:rPr>
      <w:rFonts w:ascii="Times New Roman" w:hAnsi="Times New Roman"/>
      <w:sz w:val="22"/>
    </w:rPr>
  </w:style>
  <w:style w:type="character" w:customStyle="1" w:styleId="2185">
    <w:name w:val="Красная строка 2 Знак185"/>
    <w:uiPriority w:val="99"/>
    <w:semiHidden/>
    <w:rPr>
      <w:rFonts w:ascii="Times New Roman" w:hAnsi="Times New Roman"/>
      <w:sz w:val="22"/>
    </w:rPr>
  </w:style>
  <w:style w:type="character" w:customStyle="1" w:styleId="2184">
    <w:name w:val="Красная строка 2 Знак184"/>
    <w:uiPriority w:val="99"/>
    <w:semiHidden/>
    <w:rPr>
      <w:rFonts w:ascii="Times New Roman" w:hAnsi="Times New Roman"/>
      <w:sz w:val="22"/>
    </w:rPr>
  </w:style>
  <w:style w:type="character" w:customStyle="1" w:styleId="2183">
    <w:name w:val="Красная строка 2 Знак183"/>
    <w:uiPriority w:val="99"/>
    <w:semiHidden/>
    <w:rPr>
      <w:rFonts w:ascii="Times New Roman" w:hAnsi="Times New Roman"/>
      <w:sz w:val="22"/>
    </w:rPr>
  </w:style>
  <w:style w:type="character" w:customStyle="1" w:styleId="2182">
    <w:name w:val="Красная строка 2 Знак182"/>
    <w:uiPriority w:val="99"/>
    <w:semiHidden/>
    <w:rPr>
      <w:rFonts w:ascii="Times New Roman" w:hAnsi="Times New Roman"/>
      <w:sz w:val="22"/>
    </w:rPr>
  </w:style>
  <w:style w:type="character" w:customStyle="1" w:styleId="2181">
    <w:name w:val="Красная строка 2 Знак181"/>
    <w:uiPriority w:val="99"/>
    <w:semiHidden/>
    <w:rPr>
      <w:rFonts w:ascii="Times New Roman" w:hAnsi="Times New Roman"/>
      <w:sz w:val="22"/>
    </w:rPr>
  </w:style>
  <w:style w:type="character" w:customStyle="1" w:styleId="2180">
    <w:name w:val="Красная строка 2 Знак180"/>
    <w:uiPriority w:val="99"/>
    <w:semiHidden/>
    <w:rPr>
      <w:rFonts w:ascii="Times New Roman" w:hAnsi="Times New Roman"/>
      <w:sz w:val="22"/>
    </w:rPr>
  </w:style>
  <w:style w:type="character" w:customStyle="1" w:styleId="2179">
    <w:name w:val="Красная строка 2 Знак179"/>
    <w:uiPriority w:val="99"/>
    <w:semiHidden/>
    <w:rPr>
      <w:rFonts w:ascii="Times New Roman" w:hAnsi="Times New Roman"/>
      <w:sz w:val="22"/>
    </w:rPr>
  </w:style>
  <w:style w:type="character" w:customStyle="1" w:styleId="2178">
    <w:name w:val="Красная строка 2 Знак178"/>
    <w:uiPriority w:val="99"/>
    <w:semiHidden/>
    <w:rPr>
      <w:rFonts w:ascii="Times New Roman" w:hAnsi="Times New Roman"/>
      <w:sz w:val="22"/>
    </w:rPr>
  </w:style>
  <w:style w:type="character" w:customStyle="1" w:styleId="2177">
    <w:name w:val="Красная строка 2 Знак177"/>
    <w:uiPriority w:val="99"/>
    <w:semiHidden/>
    <w:rPr>
      <w:rFonts w:ascii="Times New Roman" w:hAnsi="Times New Roman"/>
      <w:sz w:val="22"/>
    </w:rPr>
  </w:style>
  <w:style w:type="character" w:customStyle="1" w:styleId="2176">
    <w:name w:val="Красная строка 2 Знак176"/>
    <w:uiPriority w:val="99"/>
    <w:semiHidden/>
    <w:rPr>
      <w:rFonts w:ascii="Times New Roman" w:hAnsi="Times New Roman"/>
      <w:sz w:val="22"/>
    </w:rPr>
  </w:style>
  <w:style w:type="character" w:customStyle="1" w:styleId="2175">
    <w:name w:val="Красная строка 2 Знак175"/>
    <w:uiPriority w:val="99"/>
    <w:semiHidden/>
    <w:rPr>
      <w:rFonts w:ascii="Times New Roman" w:hAnsi="Times New Roman"/>
      <w:sz w:val="22"/>
    </w:rPr>
  </w:style>
  <w:style w:type="character" w:customStyle="1" w:styleId="2174">
    <w:name w:val="Красная строка 2 Знак174"/>
    <w:uiPriority w:val="99"/>
    <w:semiHidden/>
    <w:rPr>
      <w:rFonts w:ascii="Times New Roman" w:hAnsi="Times New Roman"/>
      <w:sz w:val="22"/>
    </w:rPr>
  </w:style>
  <w:style w:type="character" w:customStyle="1" w:styleId="2173">
    <w:name w:val="Красная строка 2 Знак173"/>
    <w:uiPriority w:val="99"/>
    <w:semiHidden/>
    <w:rPr>
      <w:rFonts w:ascii="Times New Roman" w:hAnsi="Times New Roman"/>
      <w:sz w:val="22"/>
    </w:rPr>
  </w:style>
  <w:style w:type="character" w:customStyle="1" w:styleId="2172">
    <w:name w:val="Красная строка 2 Знак172"/>
    <w:uiPriority w:val="99"/>
    <w:semiHidden/>
    <w:rPr>
      <w:rFonts w:ascii="Times New Roman" w:hAnsi="Times New Roman"/>
      <w:sz w:val="22"/>
    </w:rPr>
  </w:style>
  <w:style w:type="character" w:customStyle="1" w:styleId="2171">
    <w:name w:val="Красная строка 2 Знак171"/>
    <w:uiPriority w:val="99"/>
    <w:semiHidden/>
    <w:rPr>
      <w:rFonts w:ascii="Times New Roman" w:hAnsi="Times New Roman"/>
      <w:sz w:val="22"/>
    </w:rPr>
  </w:style>
  <w:style w:type="character" w:customStyle="1" w:styleId="2170">
    <w:name w:val="Красная строка 2 Знак170"/>
    <w:uiPriority w:val="99"/>
    <w:semiHidden/>
    <w:rsid w:val="00B2425D"/>
  </w:style>
  <w:style w:type="character" w:customStyle="1" w:styleId="2169">
    <w:name w:val="Красная строка 2 Знак169"/>
    <w:uiPriority w:val="99"/>
    <w:semiHidden/>
    <w:rsid w:val="00B2425D"/>
  </w:style>
  <w:style w:type="character" w:customStyle="1" w:styleId="2168">
    <w:name w:val="Красная строка 2 Знак168"/>
    <w:uiPriority w:val="99"/>
    <w:semiHidden/>
    <w:rsid w:val="00B2425D"/>
  </w:style>
  <w:style w:type="character" w:customStyle="1" w:styleId="2167">
    <w:name w:val="Красная строка 2 Знак167"/>
    <w:uiPriority w:val="99"/>
    <w:semiHidden/>
    <w:rsid w:val="00B2425D"/>
  </w:style>
  <w:style w:type="character" w:customStyle="1" w:styleId="2166">
    <w:name w:val="Красная строка 2 Знак166"/>
    <w:uiPriority w:val="99"/>
    <w:semiHidden/>
    <w:rsid w:val="00B2425D"/>
  </w:style>
  <w:style w:type="character" w:customStyle="1" w:styleId="2165">
    <w:name w:val="Красная строка 2 Знак165"/>
    <w:uiPriority w:val="99"/>
    <w:semiHidden/>
    <w:rsid w:val="00B2425D"/>
  </w:style>
  <w:style w:type="character" w:customStyle="1" w:styleId="2164">
    <w:name w:val="Красная строка 2 Знак164"/>
    <w:uiPriority w:val="99"/>
    <w:semiHidden/>
    <w:rsid w:val="00B2425D"/>
  </w:style>
  <w:style w:type="character" w:customStyle="1" w:styleId="2163">
    <w:name w:val="Красная строка 2 Знак163"/>
    <w:uiPriority w:val="99"/>
    <w:semiHidden/>
    <w:rsid w:val="00B2425D"/>
  </w:style>
  <w:style w:type="character" w:customStyle="1" w:styleId="2162">
    <w:name w:val="Красная строка 2 Знак162"/>
    <w:uiPriority w:val="99"/>
    <w:semiHidden/>
    <w:rsid w:val="00B2425D"/>
  </w:style>
  <w:style w:type="character" w:customStyle="1" w:styleId="2161">
    <w:name w:val="Красная строка 2 Знак161"/>
    <w:uiPriority w:val="99"/>
    <w:semiHidden/>
    <w:rsid w:val="00B2425D"/>
  </w:style>
  <w:style w:type="character" w:customStyle="1" w:styleId="2160">
    <w:name w:val="Красная строка 2 Знак160"/>
    <w:uiPriority w:val="99"/>
    <w:semiHidden/>
    <w:rsid w:val="00B2425D"/>
  </w:style>
  <w:style w:type="character" w:customStyle="1" w:styleId="2159">
    <w:name w:val="Красная строка 2 Знак159"/>
    <w:uiPriority w:val="99"/>
    <w:semiHidden/>
    <w:rsid w:val="00B2425D"/>
  </w:style>
  <w:style w:type="character" w:customStyle="1" w:styleId="2158">
    <w:name w:val="Красная строка 2 Знак158"/>
    <w:uiPriority w:val="99"/>
    <w:semiHidden/>
    <w:rsid w:val="00B2425D"/>
  </w:style>
  <w:style w:type="character" w:customStyle="1" w:styleId="2157">
    <w:name w:val="Красная строка 2 Знак157"/>
    <w:uiPriority w:val="99"/>
    <w:semiHidden/>
    <w:rsid w:val="00B2425D"/>
    <w:rPr>
      <w:rFonts w:ascii="Times New Roman" w:hAnsi="Times New Roman"/>
      <w:sz w:val="22"/>
    </w:rPr>
  </w:style>
  <w:style w:type="character" w:customStyle="1" w:styleId="2156">
    <w:name w:val="Красная строка 2 Знак156"/>
    <w:uiPriority w:val="99"/>
    <w:semiHidden/>
    <w:rsid w:val="00B2425D"/>
    <w:rPr>
      <w:rFonts w:ascii="Times New Roman" w:hAnsi="Times New Roman"/>
      <w:sz w:val="22"/>
    </w:rPr>
  </w:style>
  <w:style w:type="character" w:customStyle="1" w:styleId="2155">
    <w:name w:val="Красная строка 2 Знак155"/>
    <w:uiPriority w:val="99"/>
    <w:semiHidden/>
    <w:rsid w:val="00B2425D"/>
    <w:rPr>
      <w:rFonts w:ascii="Times New Roman" w:hAnsi="Times New Roman"/>
      <w:sz w:val="22"/>
    </w:rPr>
  </w:style>
  <w:style w:type="character" w:customStyle="1" w:styleId="2154">
    <w:name w:val="Красная строка 2 Знак154"/>
    <w:uiPriority w:val="99"/>
    <w:semiHidden/>
    <w:rsid w:val="00B2425D"/>
    <w:rPr>
      <w:rFonts w:ascii="Calibri" w:hAnsi="Calibri"/>
      <w:sz w:val="20"/>
    </w:rPr>
  </w:style>
  <w:style w:type="character" w:customStyle="1" w:styleId="2153">
    <w:name w:val="Красная строка 2 Знак153"/>
    <w:uiPriority w:val="99"/>
    <w:semiHidden/>
    <w:rsid w:val="00B2425D"/>
    <w:rPr>
      <w:rFonts w:ascii="Calibri" w:hAnsi="Calibri"/>
      <w:sz w:val="20"/>
    </w:rPr>
  </w:style>
  <w:style w:type="character" w:customStyle="1" w:styleId="2152">
    <w:name w:val="Красная строка 2 Знак152"/>
    <w:uiPriority w:val="99"/>
    <w:semiHidden/>
    <w:rsid w:val="00B2425D"/>
    <w:rPr>
      <w:rFonts w:ascii="Calibri" w:hAnsi="Calibri"/>
      <w:sz w:val="20"/>
    </w:rPr>
  </w:style>
  <w:style w:type="character" w:customStyle="1" w:styleId="2151">
    <w:name w:val="Красная строка 2 Знак151"/>
    <w:uiPriority w:val="99"/>
    <w:semiHidden/>
    <w:rsid w:val="00B2425D"/>
    <w:rPr>
      <w:rFonts w:ascii="Calibri" w:hAnsi="Calibri"/>
      <w:sz w:val="20"/>
    </w:rPr>
  </w:style>
  <w:style w:type="character" w:customStyle="1" w:styleId="2150">
    <w:name w:val="Красная строка 2 Знак150"/>
    <w:uiPriority w:val="99"/>
    <w:semiHidden/>
    <w:rsid w:val="00B2425D"/>
    <w:rPr>
      <w:rFonts w:ascii="Calibri" w:hAnsi="Calibri"/>
      <w:sz w:val="20"/>
    </w:rPr>
  </w:style>
  <w:style w:type="character" w:customStyle="1" w:styleId="2149">
    <w:name w:val="Красная строка 2 Знак149"/>
    <w:uiPriority w:val="99"/>
    <w:semiHidden/>
    <w:rsid w:val="00B2425D"/>
    <w:rPr>
      <w:rFonts w:ascii="Calibri" w:hAnsi="Calibri"/>
      <w:sz w:val="20"/>
    </w:rPr>
  </w:style>
  <w:style w:type="character" w:customStyle="1" w:styleId="2148">
    <w:name w:val="Красная строка 2 Знак148"/>
    <w:uiPriority w:val="99"/>
    <w:semiHidden/>
    <w:rsid w:val="00B2425D"/>
    <w:rPr>
      <w:rFonts w:ascii="Calibri" w:hAnsi="Calibri"/>
      <w:sz w:val="20"/>
    </w:rPr>
  </w:style>
  <w:style w:type="character" w:customStyle="1" w:styleId="2147">
    <w:name w:val="Красная строка 2 Знак147"/>
    <w:uiPriority w:val="99"/>
    <w:semiHidden/>
    <w:rsid w:val="00B2425D"/>
    <w:rPr>
      <w:rFonts w:ascii="Calibri" w:hAnsi="Calibri"/>
      <w:sz w:val="20"/>
    </w:rPr>
  </w:style>
  <w:style w:type="character" w:customStyle="1" w:styleId="2146">
    <w:name w:val="Красная строка 2 Знак146"/>
    <w:uiPriority w:val="99"/>
    <w:semiHidden/>
    <w:rsid w:val="00B2425D"/>
    <w:rPr>
      <w:rFonts w:ascii="Calibri" w:hAnsi="Calibri"/>
      <w:sz w:val="20"/>
    </w:rPr>
  </w:style>
  <w:style w:type="character" w:customStyle="1" w:styleId="2145">
    <w:name w:val="Красная строка 2 Знак145"/>
    <w:uiPriority w:val="99"/>
    <w:semiHidden/>
    <w:rsid w:val="00B2425D"/>
    <w:rPr>
      <w:rFonts w:ascii="Calibri" w:hAnsi="Calibri"/>
      <w:sz w:val="20"/>
    </w:rPr>
  </w:style>
  <w:style w:type="character" w:customStyle="1" w:styleId="2144">
    <w:name w:val="Красная строка 2 Знак144"/>
    <w:uiPriority w:val="99"/>
    <w:semiHidden/>
    <w:rsid w:val="00B2425D"/>
    <w:rPr>
      <w:rFonts w:ascii="Calibri" w:hAnsi="Calibri"/>
      <w:sz w:val="20"/>
    </w:rPr>
  </w:style>
  <w:style w:type="character" w:customStyle="1" w:styleId="2143">
    <w:name w:val="Красная строка 2 Знак143"/>
    <w:uiPriority w:val="99"/>
    <w:semiHidden/>
    <w:rsid w:val="00B2425D"/>
    <w:rPr>
      <w:rFonts w:ascii="Calibri" w:hAnsi="Calibri"/>
      <w:sz w:val="20"/>
    </w:rPr>
  </w:style>
  <w:style w:type="character" w:customStyle="1" w:styleId="2142">
    <w:name w:val="Красная строка 2 Знак142"/>
    <w:uiPriority w:val="99"/>
    <w:semiHidden/>
    <w:rsid w:val="00B2425D"/>
    <w:rPr>
      <w:rFonts w:ascii="Calibri" w:hAnsi="Calibri"/>
      <w:sz w:val="20"/>
    </w:rPr>
  </w:style>
  <w:style w:type="character" w:customStyle="1" w:styleId="2141">
    <w:name w:val="Красная строка 2 Знак141"/>
    <w:uiPriority w:val="99"/>
    <w:semiHidden/>
    <w:rsid w:val="00B2425D"/>
    <w:rPr>
      <w:rFonts w:ascii="Calibri" w:hAnsi="Calibri"/>
      <w:sz w:val="20"/>
    </w:rPr>
  </w:style>
  <w:style w:type="character" w:customStyle="1" w:styleId="2140">
    <w:name w:val="Красная строка 2 Знак140"/>
    <w:uiPriority w:val="99"/>
    <w:semiHidden/>
    <w:rsid w:val="00B2425D"/>
    <w:rPr>
      <w:rFonts w:ascii="Calibri" w:hAnsi="Calibri"/>
      <w:sz w:val="20"/>
    </w:rPr>
  </w:style>
  <w:style w:type="character" w:customStyle="1" w:styleId="2139">
    <w:name w:val="Красная строка 2 Знак139"/>
    <w:uiPriority w:val="99"/>
    <w:semiHidden/>
    <w:rsid w:val="00B2425D"/>
    <w:rPr>
      <w:rFonts w:ascii="Calibri" w:hAnsi="Calibri"/>
      <w:sz w:val="20"/>
    </w:rPr>
  </w:style>
  <w:style w:type="character" w:customStyle="1" w:styleId="2138">
    <w:name w:val="Красная строка 2 Знак138"/>
    <w:uiPriority w:val="99"/>
    <w:semiHidden/>
    <w:rsid w:val="00B2425D"/>
    <w:rPr>
      <w:rFonts w:ascii="Calibri" w:hAnsi="Calibri"/>
      <w:sz w:val="20"/>
    </w:rPr>
  </w:style>
  <w:style w:type="character" w:customStyle="1" w:styleId="2137">
    <w:name w:val="Красная строка 2 Знак137"/>
    <w:uiPriority w:val="99"/>
    <w:semiHidden/>
    <w:rsid w:val="00B2425D"/>
    <w:rPr>
      <w:rFonts w:ascii="Calibri" w:hAnsi="Calibri"/>
      <w:sz w:val="20"/>
    </w:rPr>
  </w:style>
  <w:style w:type="character" w:customStyle="1" w:styleId="2136">
    <w:name w:val="Красная строка 2 Знак136"/>
    <w:uiPriority w:val="99"/>
    <w:semiHidden/>
    <w:rsid w:val="00B2425D"/>
    <w:rPr>
      <w:rFonts w:ascii="Calibri" w:hAnsi="Calibri"/>
      <w:sz w:val="20"/>
    </w:rPr>
  </w:style>
  <w:style w:type="character" w:customStyle="1" w:styleId="2135">
    <w:name w:val="Красная строка 2 Знак135"/>
    <w:uiPriority w:val="99"/>
    <w:semiHidden/>
    <w:rsid w:val="00B2425D"/>
    <w:rPr>
      <w:rFonts w:ascii="Calibri" w:hAnsi="Calibri"/>
      <w:sz w:val="20"/>
    </w:rPr>
  </w:style>
  <w:style w:type="character" w:customStyle="1" w:styleId="2134">
    <w:name w:val="Красная строка 2 Знак134"/>
    <w:uiPriority w:val="99"/>
    <w:semiHidden/>
    <w:rsid w:val="00B2425D"/>
    <w:rPr>
      <w:rFonts w:ascii="Calibri" w:hAnsi="Calibri"/>
      <w:sz w:val="20"/>
    </w:rPr>
  </w:style>
  <w:style w:type="character" w:customStyle="1" w:styleId="2133">
    <w:name w:val="Красная строка 2 Знак133"/>
    <w:uiPriority w:val="99"/>
    <w:semiHidden/>
    <w:rsid w:val="00B2425D"/>
    <w:rPr>
      <w:rFonts w:ascii="Calibri" w:hAnsi="Calibri"/>
      <w:sz w:val="20"/>
    </w:rPr>
  </w:style>
  <w:style w:type="character" w:customStyle="1" w:styleId="2132">
    <w:name w:val="Красная строка 2 Знак132"/>
    <w:uiPriority w:val="99"/>
    <w:semiHidden/>
    <w:rsid w:val="00B2425D"/>
    <w:rPr>
      <w:rFonts w:ascii="Calibri" w:hAnsi="Calibri"/>
      <w:sz w:val="20"/>
    </w:rPr>
  </w:style>
  <w:style w:type="character" w:customStyle="1" w:styleId="2131">
    <w:name w:val="Красная строка 2 Знак131"/>
    <w:uiPriority w:val="99"/>
    <w:semiHidden/>
    <w:rsid w:val="00B2425D"/>
    <w:rPr>
      <w:rFonts w:ascii="Calibri" w:hAnsi="Calibri"/>
      <w:sz w:val="20"/>
    </w:rPr>
  </w:style>
  <w:style w:type="character" w:customStyle="1" w:styleId="2130">
    <w:name w:val="Красная строка 2 Знак130"/>
    <w:uiPriority w:val="99"/>
    <w:semiHidden/>
    <w:rsid w:val="00B2425D"/>
    <w:rPr>
      <w:rFonts w:ascii="Calibri" w:hAnsi="Calibri"/>
      <w:sz w:val="20"/>
    </w:rPr>
  </w:style>
  <w:style w:type="character" w:customStyle="1" w:styleId="2129">
    <w:name w:val="Красная строка 2 Знак129"/>
    <w:uiPriority w:val="99"/>
    <w:semiHidden/>
    <w:rsid w:val="00B2425D"/>
    <w:rPr>
      <w:rFonts w:ascii="Calibri" w:hAnsi="Calibri"/>
      <w:sz w:val="20"/>
    </w:rPr>
  </w:style>
  <w:style w:type="character" w:customStyle="1" w:styleId="2128">
    <w:name w:val="Красная строка 2 Знак128"/>
    <w:uiPriority w:val="99"/>
    <w:semiHidden/>
    <w:rsid w:val="00B2425D"/>
    <w:rPr>
      <w:rFonts w:ascii="Calibri" w:hAnsi="Calibri"/>
      <w:sz w:val="20"/>
    </w:rPr>
  </w:style>
  <w:style w:type="character" w:customStyle="1" w:styleId="2127">
    <w:name w:val="Красная строка 2 Знак127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26">
    <w:name w:val="Красная строка 2 Знак126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25">
    <w:name w:val="Красная строка 2 Знак125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24">
    <w:name w:val="Красная строка 2 Знак124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23">
    <w:name w:val="Красная строка 2 Знак123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22">
    <w:name w:val="Красная строка 2 Знак122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21">
    <w:name w:val="Красная строка 2 Знак121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20">
    <w:name w:val="Красная строка 2 Знак120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19">
    <w:name w:val="Красная строка 2 Знак119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18">
    <w:name w:val="Красная строка 2 Знак118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17">
    <w:name w:val="Красная строка 2 Знак117"/>
    <w:uiPriority w:val="99"/>
    <w:semiHidden/>
    <w:rsid w:val="00B2425D"/>
  </w:style>
  <w:style w:type="character" w:customStyle="1" w:styleId="2116">
    <w:name w:val="Красная строка 2 Знак116"/>
    <w:uiPriority w:val="99"/>
    <w:semiHidden/>
    <w:rsid w:val="00B2425D"/>
  </w:style>
  <w:style w:type="character" w:customStyle="1" w:styleId="2115">
    <w:name w:val="Красная строка 2 Знак115"/>
    <w:uiPriority w:val="99"/>
    <w:semiHidden/>
    <w:rsid w:val="00B2425D"/>
  </w:style>
  <w:style w:type="character" w:customStyle="1" w:styleId="2114">
    <w:name w:val="Красная строка 2 Знак114"/>
    <w:uiPriority w:val="99"/>
    <w:semiHidden/>
    <w:rsid w:val="00B2425D"/>
  </w:style>
  <w:style w:type="character" w:customStyle="1" w:styleId="2113">
    <w:name w:val="Красная строка 2 Знак113"/>
    <w:uiPriority w:val="99"/>
    <w:semiHidden/>
    <w:rsid w:val="00B2425D"/>
  </w:style>
  <w:style w:type="character" w:customStyle="1" w:styleId="2112">
    <w:name w:val="Красная строка 2 Знак112"/>
    <w:uiPriority w:val="99"/>
    <w:semiHidden/>
    <w:rsid w:val="00B2425D"/>
  </w:style>
  <w:style w:type="character" w:customStyle="1" w:styleId="2111">
    <w:name w:val="Красная строка 2 Знак111"/>
    <w:uiPriority w:val="99"/>
    <w:semiHidden/>
    <w:rsid w:val="00B2425D"/>
  </w:style>
  <w:style w:type="character" w:customStyle="1" w:styleId="2110">
    <w:name w:val="Красная строка 2 Знак110"/>
    <w:uiPriority w:val="99"/>
    <w:semiHidden/>
    <w:rsid w:val="00B2425D"/>
  </w:style>
  <w:style w:type="character" w:customStyle="1" w:styleId="219">
    <w:name w:val="Красная строка 2 Знак19"/>
    <w:uiPriority w:val="99"/>
    <w:semiHidden/>
    <w:rsid w:val="00B2425D"/>
  </w:style>
  <w:style w:type="character" w:customStyle="1" w:styleId="218">
    <w:name w:val="Красная строка 2 Знак18"/>
    <w:uiPriority w:val="99"/>
    <w:semiHidden/>
    <w:rsid w:val="00B2425D"/>
  </w:style>
  <w:style w:type="character" w:customStyle="1" w:styleId="217">
    <w:name w:val="Красная строка 2 Знак17"/>
    <w:uiPriority w:val="99"/>
    <w:semiHidden/>
    <w:rsid w:val="00B2425D"/>
  </w:style>
  <w:style w:type="character" w:customStyle="1" w:styleId="216">
    <w:name w:val="Красная строка 2 Знак16"/>
    <w:uiPriority w:val="99"/>
    <w:semiHidden/>
    <w:rsid w:val="00B2425D"/>
  </w:style>
  <w:style w:type="character" w:customStyle="1" w:styleId="215">
    <w:name w:val="Красная строка 2 Знак15"/>
    <w:uiPriority w:val="99"/>
    <w:semiHidden/>
    <w:rsid w:val="00B2425D"/>
  </w:style>
  <w:style w:type="character" w:customStyle="1" w:styleId="214">
    <w:name w:val="Красная строка 2 Знак14"/>
    <w:uiPriority w:val="99"/>
    <w:semiHidden/>
    <w:rsid w:val="00B2425D"/>
  </w:style>
  <w:style w:type="character" w:customStyle="1" w:styleId="213">
    <w:name w:val="Красная строка 2 Знак13"/>
    <w:uiPriority w:val="99"/>
    <w:semiHidden/>
    <w:rsid w:val="00B2425D"/>
  </w:style>
  <w:style w:type="character" w:customStyle="1" w:styleId="212">
    <w:name w:val="Красная строка 2 Знак12"/>
    <w:uiPriority w:val="99"/>
    <w:semiHidden/>
    <w:rsid w:val="00B2425D"/>
  </w:style>
  <w:style w:type="character" w:customStyle="1" w:styleId="211a">
    <w:name w:val="Красная строка 2 Знак11"/>
    <w:semiHidden/>
    <w:rsid w:val="00B2425D"/>
  </w:style>
  <w:style w:type="paragraph" w:customStyle="1" w:styleId="21a">
    <w:name w:val="Основной текст с отступом 21"/>
    <w:basedOn w:val="a"/>
    <w:next w:val="2b"/>
    <w:semiHidden/>
    <w:unhideWhenUsed/>
    <w:rsid w:val="00B2425D"/>
    <w:pPr>
      <w:spacing w:after="120" w:line="480" w:lineRule="auto"/>
      <w:ind w:left="283"/>
    </w:pPr>
    <w:rPr>
      <w:rFonts w:ascii="Calibri" w:hAnsi="Calibri" w:cs="Calibri"/>
      <w:szCs w:val="24"/>
    </w:rPr>
  </w:style>
  <w:style w:type="character" w:customStyle="1" w:styleId="21b">
    <w:name w:val="Основной текст с отступом 2 Знак1"/>
    <w:semiHidden/>
    <w:rsid w:val="00B2425D"/>
    <w:rPr>
      <w:rFonts w:ascii="Times New Roman" w:eastAsia="MS Mincho" w:hAnsi="Times New Roman"/>
      <w:sz w:val="24"/>
    </w:rPr>
  </w:style>
  <w:style w:type="paragraph" w:customStyle="1" w:styleId="31b">
    <w:name w:val="Основной текст с отступом 31"/>
    <w:basedOn w:val="a"/>
    <w:next w:val="34"/>
    <w:semiHidden/>
    <w:unhideWhenUsed/>
    <w:rsid w:val="00B2425D"/>
    <w:pPr>
      <w:spacing w:after="120" w:line="240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31c">
    <w:name w:val="Основной текст с отступом 3 Знак1"/>
    <w:semiHidden/>
    <w:rsid w:val="00B2425D"/>
    <w:rPr>
      <w:rFonts w:ascii="Times New Roman" w:eastAsia="MS Mincho" w:hAnsi="Times New Roman"/>
      <w:sz w:val="16"/>
    </w:rPr>
  </w:style>
  <w:style w:type="paragraph" w:customStyle="1" w:styleId="1d">
    <w:name w:val="Прощание1"/>
    <w:basedOn w:val="a"/>
    <w:next w:val="aff"/>
    <w:semiHidden/>
    <w:unhideWhenUsed/>
    <w:rsid w:val="00B2425D"/>
    <w:pPr>
      <w:spacing w:after="0" w:line="240" w:lineRule="auto"/>
      <w:ind w:left="4252"/>
    </w:pPr>
    <w:rPr>
      <w:rFonts w:ascii="Calibri" w:hAnsi="Calibri" w:cs="Calibri"/>
      <w:szCs w:val="24"/>
    </w:rPr>
  </w:style>
  <w:style w:type="character" w:customStyle="1" w:styleId="1e">
    <w:name w:val="Прощание Знак1"/>
    <w:semiHidden/>
    <w:rsid w:val="00B2425D"/>
    <w:rPr>
      <w:rFonts w:ascii="Times New Roman" w:eastAsia="MS Mincho" w:hAnsi="Times New Roman"/>
      <w:sz w:val="24"/>
    </w:rPr>
  </w:style>
  <w:style w:type="paragraph" w:customStyle="1" w:styleId="1f">
    <w:name w:val="Дата1"/>
    <w:basedOn w:val="a"/>
    <w:next w:val="a"/>
    <w:semiHidden/>
    <w:unhideWhenUsed/>
    <w:rsid w:val="00B2425D"/>
    <w:pPr>
      <w:spacing w:after="0" w:line="240" w:lineRule="auto"/>
    </w:pPr>
    <w:rPr>
      <w:rFonts w:ascii="Calibri" w:hAnsi="Calibri" w:cs="Calibri"/>
      <w:szCs w:val="24"/>
    </w:rPr>
  </w:style>
  <w:style w:type="character" w:customStyle="1" w:styleId="1f0">
    <w:name w:val="Дата Знак1"/>
    <w:semiHidden/>
    <w:rsid w:val="00B2425D"/>
    <w:rPr>
      <w:rFonts w:ascii="Times New Roman" w:eastAsia="MS Mincho" w:hAnsi="Times New Roman"/>
      <w:sz w:val="24"/>
    </w:rPr>
  </w:style>
  <w:style w:type="paragraph" w:customStyle="1" w:styleId="1f1">
    <w:name w:val="Электронная подпись1"/>
    <w:basedOn w:val="a"/>
    <w:next w:val="afff8"/>
    <w:semiHidden/>
    <w:unhideWhenUsed/>
    <w:rsid w:val="00B2425D"/>
    <w:pPr>
      <w:spacing w:after="0" w:line="240" w:lineRule="auto"/>
    </w:pPr>
    <w:rPr>
      <w:rFonts w:ascii="Calibri" w:hAnsi="Calibri" w:cs="Calibri"/>
      <w:szCs w:val="24"/>
    </w:rPr>
  </w:style>
  <w:style w:type="character" w:customStyle="1" w:styleId="1f2">
    <w:name w:val="Электронная подпись Знак1"/>
    <w:semiHidden/>
    <w:rsid w:val="00B2425D"/>
    <w:rPr>
      <w:rFonts w:ascii="Times New Roman" w:eastAsia="MS Mincho" w:hAnsi="Times New Roman"/>
      <w:sz w:val="24"/>
    </w:rPr>
  </w:style>
  <w:style w:type="paragraph" w:customStyle="1" w:styleId="1f3">
    <w:name w:val="Шапка1"/>
    <w:basedOn w:val="a"/>
    <w:next w:val="aff7"/>
    <w:semiHidden/>
    <w:unhideWhenUsed/>
    <w:rsid w:val="00B242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1f4">
    <w:name w:val="Шапка Знак1"/>
    <w:semiHidden/>
    <w:rsid w:val="00B2425D"/>
    <w:rPr>
      <w:rFonts w:ascii="Cambria" w:hAnsi="Cambria"/>
      <w:sz w:val="24"/>
      <w:shd w:val="pct20" w:color="auto" w:fill="auto"/>
    </w:rPr>
  </w:style>
  <w:style w:type="paragraph" w:customStyle="1" w:styleId="1f5">
    <w:name w:val="Заголовок записки1"/>
    <w:basedOn w:val="a"/>
    <w:next w:val="a"/>
    <w:semiHidden/>
    <w:unhideWhenUsed/>
    <w:rsid w:val="00B2425D"/>
    <w:pPr>
      <w:spacing w:after="0" w:line="240" w:lineRule="auto"/>
    </w:pPr>
    <w:rPr>
      <w:rFonts w:ascii="Calibri" w:hAnsi="Calibri" w:cs="Calibri"/>
      <w:szCs w:val="24"/>
    </w:rPr>
  </w:style>
  <w:style w:type="character" w:customStyle="1" w:styleId="1f6">
    <w:name w:val="Заголовок записки Знак1"/>
    <w:semiHidden/>
    <w:rsid w:val="00B2425D"/>
    <w:rPr>
      <w:rFonts w:ascii="Times New Roman" w:eastAsia="MS Mincho" w:hAnsi="Times New Roman"/>
      <w:sz w:val="24"/>
    </w:rPr>
  </w:style>
  <w:style w:type="paragraph" w:customStyle="1" w:styleId="1f7">
    <w:name w:val="Текст1"/>
    <w:basedOn w:val="a"/>
    <w:next w:val="afff6"/>
    <w:unhideWhenUsed/>
    <w:qFormat/>
    <w:rsid w:val="00B2425D"/>
    <w:pPr>
      <w:spacing w:after="0" w:line="240" w:lineRule="auto"/>
    </w:pPr>
    <w:rPr>
      <w:rFonts w:ascii="Courier New" w:hAnsi="Courier New" w:cs="Courier New"/>
    </w:rPr>
  </w:style>
  <w:style w:type="character" w:customStyle="1" w:styleId="1f8">
    <w:name w:val="Текст Знак1"/>
    <w:semiHidden/>
    <w:rsid w:val="00B2425D"/>
    <w:rPr>
      <w:rFonts w:ascii="Consolas" w:eastAsia="MS Mincho" w:hAnsi="Consolas"/>
      <w:sz w:val="21"/>
    </w:rPr>
  </w:style>
  <w:style w:type="paragraph" w:customStyle="1" w:styleId="1f9">
    <w:name w:val="Приветствие1"/>
    <w:basedOn w:val="a"/>
    <w:next w:val="a"/>
    <w:semiHidden/>
    <w:unhideWhenUsed/>
    <w:rsid w:val="00B2425D"/>
    <w:pPr>
      <w:spacing w:after="0" w:line="240" w:lineRule="auto"/>
    </w:pPr>
    <w:rPr>
      <w:rFonts w:ascii="Calibri" w:hAnsi="Calibri" w:cs="Calibri"/>
      <w:szCs w:val="24"/>
    </w:rPr>
  </w:style>
  <w:style w:type="character" w:customStyle="1" w:styleId="1fa">
    <w:name w:val="Приветствие Знак1"/>
    <w:semiHidden/>
    <w:rsid w:val="00B2425D"/>
    <w:rPr>
      <w:rFonts w:ascii="Times New Roman" w:eastAsia="MS Mincho" w:hAnsi="Times New Roman"/>
      <w:sz w:val="24"/>
    </w:rPr>
  </w:style>
  <w:style w:type="paragraph" w:customStyle="1" w:styleId="1fb">
    <w:name w:val="Подпись1"/>
    <w:basedOn w:val="a"/>
    <w:next w:val="aff5"/>
    <w:semiHidden/>
    <w:unhideWhenUsed/>
    <w:rsid w:val="00B2425D"/>
    <w:pPr>
      <w:spacing w:after="0" w:line="240" w:lineRule="auto"/>
      <w:ind w:left="4252"/>
    </w:pPr>
    <w:rPr>
      <w:rFonts w:ascii="Calibri" w:hAnsi="Calibri" w:cs="Calibri"/>
      <w:szCs w:val="24"/>
    </w:rPr>
  </w:style>
  <w:style w:type="character" w:customStyle="1" w:styleId="1fc">
    <w:name w:val="Подпись Знак1"/>
    <w:semiHidden/>
    <w:rsid w:val="00B2425D"/>
    <w:rPr>
      <w:rFonts w:ascii="Times New Roman" w:eastAsia="MS Mincho" w:hAnsi="Times New Roman"/>
      <w:sz w:val="24"/>
    </w:rPr>
  </w:style>
  <w:style w:type="character" w:customStyle="1" w:styleId="1fd">
    <w:name w:val="Текст выноски Знак1"/>
    <w:semiHidden/>
    <w:rsid w:val="00B2425D"/>
    <w:rPr>
      <w:rFonts w:ascii="Segoe UI" w:eastAsia="MS Mincho" w:hAnsi="Segoe UI"/>
      <w:sz w:val="18"/>
    </w:rPr>
  </w:style>
  <w:style w:type="character" w:customStyle="1" w:styleId="1fe">
    <w:name w:val="Тема примечания Знак1"/>
    <w:semiHidden/>
    <w:rsid w:val="00B2425D"/>
    <w:rPr>
      <w:rFonts w:ascii="Times New Roman" w:eastAsia="MS Mincho" w:hAnsi="Times New Roman"/>
      <w:b/>
      <w:sz w:val="20"/>
    </w:rPr>
  </w:style>
  <w:style w:type="paragraph" w:customStyle="1" w:styleId="1ff">
    <w:name w:val="Схема документа1"/>
    <w:basedOn w:val="a"/>
    <w:next w:val="afff4"/>
    <w:semiHidden/>
    <w:unhideWhenUsed/>
    <w:rsid w:val="00B2425D"/>
    <w:pPr>
      <w:shd w:val="clear" w:color="auto" w:fill="000080"/>
      <w:spacing w:after="0" w:line="240" w:lineRule="auto"/>
    </w:pPr>
    <w:rPr>
      <w:rFonts w:ascii="Tahoma" w:hAnsi="Tahoma" w:cs="Tahoma"/>
      <w:szCs w:val="24"/>
    </w:rPr>
  </w:style>
  <w:style w:type="character" w:customStyle="1" w:styleId="1ff0">
    <w:name w:val="Схема документа Знак1"/>
    <w:semiHidden/>
    <w:rsid w:val="00B2425D"/>
    <w:rPr>
      <w:rFonts w:ascii="Segoe UI" w:eastAsia="MS Mincho" w:hAnsi="Segoe UI"/>
      <w:sz w:val="16"/>
    </w:rPr>
  </w:style>
  <w:style w:type="paragraph" w:customStyle="1" w:styleId="1ff1">
    <w:name w:val="Текст концевой сноски1"/>
    <w:basedOn w:val="a"/>
    <w:next w:val="afffd"/>
    <w:semiHidden/>
    <w:unhideWhenUsed/>
    <w:rsid w:val="00B2425D"/>
    <w:pPr>
      <w:spacing w:after="0" w:line="240" w:lineRule="auto"/>
    </w:pPr>
    <w:rPr>
      <w:rFonts w:ascii="Calibri" w:hAnsi="Calibri" w:cs="Calibri"/>
    </w:rPr>
  </w:style>
  <w:style w:type="character" w:customStyle="1" w:styleId="1ff2">
    <w:name w:val="Текст концевой сноски Знак1"/>
    <w:semiHidden/>
    <w:rsid w:val="00B2425D"/>
    <w:rPr>
      <w:rFonts w:ascii="Times New Roman" w:eastAsia="MS Mincho" w:hAnsi="Times New Roman"/>
      <w:sz w:val="20"/>
    </w:rPr>
  </w:style>
  <w:style w:type="paragraph" w:styleId="aff1">
    <w:name w:val="macro"/>
    <w:link w:val="25"/>
    <w:uiPriority w:val="99"/>
    <w:semiHidden/>
    <w:unhideWhenUsed/>
    <w:rsid w:val="00B242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afffe">
    <w:name w:val="Текст макроса Знак"/>
    <w:basedOn w:val="a0"/>
    <w:uiPriority w:val="99"/>
    <w:semiHidden/>
    <w:rPr>
      <w:rFonts w:ascii="Courier New" w:hAnsi="Courier New" w:cs="Courier New"/>
    </w:rPr>
  </w:style>
  <w:style w:type="character" w:customStyle="1" w:styleId="860">
    <w:name w:val="Текст макроса Знак86"/>
    <w:basedOn w:val="a0"/>
    <w:uiPriority w:val="99"/>
    <w:semiHidden/>
    <w:rPr>
      <w:rFonts w:ascii="Courier New" w:hAnsi="Courier New" w:cs="Courier New"/>
    </w:rPr>
  </w:style>
  <w:style w:type="character" w:customStyle="1" w:styleId="850">
    <w:name w:val="Текст макроса Знак85"/>
    <w:basedOn w:val="a0"/>
    <w:uiPriority w:val="99"/>
    <w:semiHidden/>
    <w:rPr>
      <w:rFonts w:ascii="Courier New" w:hAnsi="Courier New" w:cs="Courier New"/>
    </w:rPr>
  </w:style>
  <w:style w:type="character" w:customStyle="1" w:styleId="840">
    <w:name w:val="Текст макроса Знак84"/>
    <w:uiPriority w:val="99"/>
    <w:semiHidden/>
    <w:rPr>
      <w:rFonts w:ascii="Courier New" w:hAnsi="Courier New"/>
    </w:rPr>
  </w:style>
  <w:style w:type="character" w:customStyle="1" w:styleId="830">
    <w:name w:val="Текст макроса Знак83"/>
    <w:uiPriority w:val="99"/>
    <w:semiHidden/>
    <w:rPr>
      <w:rFonts w:ascii="Courier New" w:hAnsi="Courier New"/>
    </w:rPr>
  </w:style>
  <w:style w:type="character" w:customStyle="1" w:styleId="820">
    <w:name w:val="Текст макроса Знак82"/>
    <w:uiPriority w:val="99"/>
    <w:semiHidden/>
    <w:rPr>
      <w:rFonts w:ascii="Courier New" w:hAnsi="Courier New"/>
    </w:rPr>
  </w:style>
  <w:style w:type="character" w:customStyle="1" w:styleId="811">
    <w:name w:val="Текст макроса Знак81"/>
    <w:uiPriority w:val="99"/>
    <w:semiHidden/>
    <w:rPr>
      <w:rFonts w:ascii="Courier New" w:hAnsi="Courier New"/>
    </w:rPr>
  </w:style>
  <w:style w:type="character" w:customStyle="1" w:styleId="801">
    <w:name w:val="Текст макроса Знак80"/>
    <w:uiPriority w:val="99"/>
    <w:semiHidden/>
    <w:rPr>
      <w:rFonts w:ascii="Courier New" w:hAnsi="Courier New"/>
    </w:rPr>
  </w:style>
  <w:style w:type="character" w:customStyle="1" w:styleId="790">
    <w:name w:val="Текст макроса Знак79"/>
    <w:uiPriority w:val="99"/>
    <w:semiHidden/>
    <w:rPr>
      <w:rFonts w:ascii="Courier New" w:hAnsi="Courier New"/>
    </w:rPr>
  </w:style>
  <w:style w:type="character" w:customStyle="1" w:styleId="780">
    <w:name w:val="Текст макроса Знак78"/>
    <w:uiPriority w:val="99"/>
    <w:semiHidden/>
    <w:rPr>
      <w:rFonts w:ascii="Courier New" w:hAnsi="Courier New"/>
    </w:rPr>
  </w:style>
  <w:style w:type="character" w:customStyle="1" w:styleId="770">
    <w:name w:val="Текст макроса Знак77"/>
    <w:uiPriority w:val="99"/>
    <w:semiHidden/>
    <w:rPr>
      <w:rFonts w:ascii="Courier New" w:hAnsi="Courier New"/>
    </w:rPr>
  </w:style>
  <w:style w:type="character" w:customStyle="1" w:styleId="760">
    <w:name w:val="Текст макроса Знак76"/>
    <w:uiPriority w:val="99"/>
    <w:semiHidden/>
    <w:rPr>
      <w:rFonts w:ascii="Courier New" w:hAnsi="Courier New"/>
    </w:rPr>
  </w:style>
  <w:style w:type="character" w:customStyle="1" w:styleId="750">
    <w:name w:val="Текст макроса Знак75"/>
    <w:uiPriority w:val="99"/>
    <w:semiHidden/>
    <w:rPr>
      <w:rFonts w:ascii="Courier New" w:hAnsi="Courier New"/>
    </w:rPr>
  </w:style>
  <w:style w:type="character" w:customStyle="1" w:styleId="740">
    <w:name w:val="Текст макроса Знак74"/>
    <w:uiPriority w:val="99"/>
    <w:semiHidden/>
    <w:rPr>
      <w:rFonts w:ascii="Courier New" w:hAnsi="Courier New"/>
    </w:rPr>
  </w:style>
  <w:style w:type="character" w:customStyle="1" w:styleId="730">
    <w:name w:val="Текст макроса Знак73"/>
    <w:uiPriority w:val="99"/>
    <w:semiHidden/>
    <w:rPr>
      <w:rFonts w:ascii="Courier New" w:hAnsi="Courier New"/>
    </w:rPr>
  </w:style>
  <w:style w:type="character" w:customStyle="1" w:styleId="720">
    <w:name w:val="Текст макроса Знак72"/>
    <w:uiPriority w:val="99"/>
    <w:semiHidden/>
    <w:rPr>
      <w:rFonts w:ascii="Courier New" w:hAnsi="Courier New"/>
    </w:rPr>
  </w:style>
  <w:style w:type="character" w:customStyle="1" w:styleId="711">
    <w:name w:val="Текст макроса Знак71"/>
    <w:uiPriority w:val="99"/>
    <w:semiHidden/>
    <w:rPr>
      <w:rFonts w:ascii="Courier New" w:hAnsi="Courier New"/>
    </w:rPr>
  </w:style>
  <w:style w:type="character" w:customStyle="1" w:styleId="701">
    <w:name w:val="Текст макроса Знак70"/>
    <w:uiPriority w:val="99"/>
    <w:semiHidden/>
    <w:rPr>
      <w:rFonts w:ascii="Courier New" w:hAnsi="Courier New"/>
    </w:rPr>
  </w:style>
  <w:style w:type="character" w:customStyle="1" w:styleId="690">
    <w:name w:val="Текст макроса Знак69"/>
    <w:uiPriority w:val="99"/>
    <w:semiHidden/>
    <w:rPr>
      <w:rFonts w:ascii="Courier New" w:hAnsi="Courier New"/>
    </w:rPr>
  </w:style>
  <w:style w:type="character" w:customStyle="1" w:styleId="680">
    <w:name w:val="Текст макроса Знак68"/>
    <w:uiPriority w:val="99"/>
    <w:semiHidden/>
    <w:rPr>
      <w:rFonts w:ascii="Courier New" w:hAnsi="Courier New"/>
    </w:rPr>
  </w:style>
  <w:style w:type="character" w:customStyle="1" w:styleId="670">
    <w:name w:val="Текст макроса Знак67"/>
    <w:uiPriority w:val="99"/>
    <w:semiHidden/>
    <w:rPr>
      <w:rFonts w:ascii="Courier New" w:hAnsi="Courier New"/>
    </w:rPr>
  </w:style>
  <w:style w:type="character" w:customStyle="1" w:styleId="660">
    <w:name w:val="Текст макроса Знак66"/>
    <w:uiPriority w:val="99"/>
    <w:semiHidden/>
    <w:rPr>
      <w:rFonts w:ascii="Courier New" w:hAnsi="Courier New"/>
    </w:rPr>
  </w:style>
  <w:style w:type="character" w:customStyle="1" w:styleId="480">
    <w:name w:val="Текст макроса Знак48"/>
    <w:uiPriority w:val="99"/>
    <w:semiHidden/>
    <w:rPr>
      <w:rFonts w:ascii="Courier New" w:hAnsi="Courier New"/>
    </w:rPr>
  </w:style>
  <w:style w:type="character" w:customStyle="1" w:styleId="470">
    <w:name w:val="Текст макроса Знак47"/>
    <w:uiPriority w:val="99"/>
    <w:semiHidden/>
    <w:rPr>
      <w:rFonts w:ascii="Courier New" w:hAnsi="Courier New"/>
    </w:rPr>
  </w:style>
  <w:style w:type="character" w:customStyle="1" w:styleId="460">
    <w:name w:val="Текст макроса Знак46"/>
    <w:uiPriority w:val="99"/>
    <w:semiHidden/>
    <w:rPr>
      <w:rFonts w:ascii="Courier New" w:hAnsi="Courier New"/>
    </w:rPr>
  </w:style>
  <w:style w:type="character" w:customStyle="1" w:styleId="450">
    <w:name w:val="Текст макроса Знак45"/>
    <w:uiPriority w:val="99"/>
    <w:semiHidden/>
    <w:rPr>
      <w:rFonts w:ascii="Courier New" w:hAnsi="Courier New"/>
    </w:rPr>
  </w:style>
  <w:style w:type="character" w:customStyle="1" w:styleId="440">
    <w:name w:val="Текст макроса Знак44"/>
    <w:uiPriority w:val="99"/>
    <w:semiHidden/>
    <w:rPr>
      <w:rFonts w:ascii="Courier New" w:hAnsi="Courier New"/>
    </w:rPr>
  </w:style>
  <w:style w:type="character" w:customStyle="1" w:styleId="430">
    <w:name w:val="Текст макроса Знак43"/>
    <w:uiPriority w:val="99"/>
    <w:semiHidden/>
    <w:rPr>
      <w:rFonts w:ascii="Courier New" w:hAnsi="Courier New"/>
    </w:rPr>
  </w:style>
  <w:style w:type="character" w:customStyle="1" w:styleId="420">
    <w:name w:val="Текст макроса Знак42"/>
    <w:uiPriority w:val="99"/>
    <w:semiHidden/>
    <w:rPr>
      <w:rFonts w:ascii="Courier New" w:hAnsi="Courier New"/>
    </w:rPr>
  </w:style>
  <w:style w:type="character" w:customStyle="1" w:styleId="410">
    <w:name w:val="Текст макроса Знак41"/>
    <w:uiPriority w:val="99"/>
    <w:semiHidden/>
    <w:rPr>
      <w:rFonts w:ascii="Courier New" w:hAnsi="Courier New"/>
    </w:rPr>
  </w:style>
  <w:style w:type="character" w:customStyle="1" w:styleId="401">
    <w:name w:val="Текст макроса Знак40"/>
    <w:uiPriority w:val="99"/>
    <w:semiHidden/>
    <w:rPr>
      <w:rFonts w:ascii="Courier New" w:hAnsi="Courier New"/>
    </w:rPr>
  </w:style>
  <w:style w:type="character" w:customStyle="1" w:styleId="391">
    <w:name w:val="Текст макроса Знак39"/>
    <w:uiPriority w:val="99"/>
    <w:semiHidden/>
    <w:rPr>
      <w:rFonts w:ascii="Courier New" w:hAnsi="Courier New"/>
    </w:rPr>
  </w:style>
  <w:style w:type="character" w:customStyle="1" w:styleId="388">
    <w:name w:val="Текст макроса Знак38"/>
    <w:uiPriority w:val="99"/>
    <w:semiHidden/>
    <w:rPr>
      <w:rFonts w:ascii="Courier New" w:hAnsi="Courier New"/>
    </w:rPr>
  </w:style>
  <w:style w:type="character" w:customStyle="1" w:styleId="37b">
    <w:name w:val="Текст макроса Знак37"/>
    <w:uiPriority w:val="99"/>
    <w:semiHidden/>
    <w:rPr>
      <w:rFonts w:ascii="Courier New" w:hAnsi="Courier New"/>
    </w:rPr>
  </w:style>
  <w:style w:type="character" w:customStyle="1" w:styleId="362">
    <w:name w:val="Текст макроса Знак36"/>
    <w:uiPriority w:val="99"/>
    <w:semiHidden/>
    <w:rPr>
      <w:rFonts w:ascii="Courier New" w:hAnsi="Courier New"/>
    </w:rPr>
  </w:style>
  <w:style w:type="character" w:customStyle="1" w:styleId="352">
    <w:name w:val="Текст макроса Знак35"/>
    <w:uiPriority w:val="99"/>
    <w:semiHidden/>
    <w:rPr>
      <w:rFonts w:ascii="Courier New" w:hAnsi="Courier New"/>
    </w:rPr>
  </w:style>
  <w:style w:type="character" w:customStyle="1" w:styleId="34b">
    <w:name w:val="Текст макроса Знак34"/>
    <w:uiPriority w:val="99"/>
    <w:semiHidden/>
    <w:rPr>
      <w:rFonts w:ascii="Courier New" w:hAnsi="Courier New"/>
    </w:rPr>
  </w:style>
  <w:style w:type="character" w:customStyle="1" w:styleId="33c">
    <w:name w:val="Текст макроса Знак33"/>
    <w:uiPriority w:val="99"/>
    <w:semiHidden/>
    <w:rPr>
      <w:rFonts w:ascii="Courier New" w:hAnsi="Courier New"/>
    </w:rPr>
  </w:style>
  <w:style w:type="character" w:customStyle="1" w:styleId="32b">
    <w:name w:val="Текст макроса Знак32"/>
    <w:uiPriority w:val="99"/>
    <w:semiHidden/>
    <w:rPr>
      <w:rFonts w:ascii="Courier New" w:hAnsi="Courier New"/>
    </w:rPr>
  </w:style>
  <w:style w:type="character" w:customStyle="1" w:styleId="31d">
    <w:name w:val="Текст макроса Знак31"/>
    <w:uiPriority w:val="99"/>
    <w:semiHidden/>
    <w:rPr>
      <w:rFonts w:ascii="Courier New" w:hAnsi="Courier New"/>
    </w:rPr>
  </w:style>
  <w:style w:type="character" w:customStyle="1" w:styleId="301">
    <w:name w:val="Текст макроса Знак30"/>
    <w:uiPriority w:val="99"/>
    <w:semiHidden/>
    <w:rPr>
      <w:rFonts w:ascii="Courier New" w:hAnsi="Courier New"/>
    </w:rPr>
  </w:style>
  <w:style w:type="character" w:customStyle="1" w:styleId="292">
    <w:name w:val="Текст макроса Знак29"/>
    <w:uiPriority w:val="99"/>
    <w:semiHidden/>
    <w:rPr>
      <w:rFonts w:ascii="Courier New" w:hAnsi="Courier New"/>
    </w:rPr>
  </w:style>
  <w:style w:type="character" w:customStyle="1" w:styleId="288">
    <w:name w:val="Текст макроса Знак28"/>
    <w:uiPriority w:val="99"/>
    <w:semiHidden/>
    <w:rPr>
      <w:rFonts w:ascii="Courier New" w:hAnsi="Courier New"/>
    </w:rPr>
  </w:style>
  <w:style w:type="character" w:customStyle="1" w:styleId="27b">
    <w:name w:val="Текст макроса Знак27"/>
    <w:uiPriority w:val="99"/>
    <w:semiHidden/>
    <w:rPr>
      <w:rFonts w:ascii="Courier New" w:hAnsi="Courier New"/>
    </w:rPr>
  </w:style>
  <w:style w:type="character" w:customStyle="1" w:styleId="262">
    <w:name w:val="Текст макроса Знак26"/>
    <w:uiPriority w:val="99"/>
    <w:semiHidden/>
    <w:rPr>
      <w:rFonts w:ascii="Courier New" w:hAnsi="Courier New"/>
    </w:rPr>
  </w:style>
  <w:style w:type="character" w:customStyle="1" w:styleId="252">
    <w:name w:val="Текст макроса Знак25"/>
    <w:uiPriority w:val="99"/>
    <w:semiHidden/>
    <w:rPr>
      <w:rFonts w:ascii="Courier New" w:hAnsi="Courier New"/>
    </w:rPr>
  </w:style>
  <w:style w:type="character" w:customStyle="1" w:styleId="24a">
    <w:name w:val="Текст макроса Знак24"/>
    <w:uiPriority w:val="99"/>
    <w:semiHidden/>
    <w:rPr>
      <w:rFonts w:ascii="Courier New" w:hAnsi="Courier New"/>
    </w:rPr>
  </w:style>
  <w:style w:type="character" w:customStyle="1" w:styleId="23b">
    <w:name w:val="Текст макроса Знак23"/>
    <w:uiPriority w:val="99"/>
    <w:semiHidden/>
    <w:rPr>
      <w:rFonts w:ascii="Courier New" w:hAnsi="Courier New"/>
    </w:rPr>
  </w:style>
  <w:style w:type="character" w:customStyle="1" w:styleId="22a">
    <w:name w:val="Текст макроса Знак22"/>
    <w:uiPriority w:val="99"/>
    <w:semiHidden/>
    <w:rPr>
      <w:rFonts w:ascii="Courier New" w:hAnsi="Courier New"/>
    </w:rPr>
  </w:style>
  <w:style w:type="character" w:customStyle="1" w:styleId="21c">
    <w:name w:val="Текст макроса Знак21"/>
    <w:uiPriority w:val="99"/>
    <w:semiHidden/>
    <w:rPr>
      <w:rFonts w:ascii="Courier New" w:hAnsi="Courier New"/>
    </w:rPr>
  </w:style>
  <w:style w:type="character" w:customStyle="1" w:styleId="201">
    <w:name w:val="Текст макроса Знак20"/>
    <w:uiPriority w:val="99"/>
    <w:semiHidden/>
    <w:rPr>
      <w:rFonts w:ascii="Courier New" w:hAnsi="Courier New"/>
    </w:rPr>
  </w:style>
  <w:style w:type="character" w:customStyle="1" w:styleId="101">
    <w:name w:val="Текст макроса Знак10"/>
    <w:uiPriority w:val="99"/>
    <w:semiHidden/>
    <w:rPr>
      <w:rFonts w:ascii="Courier New" w:hAnsi="Courier New"/>
    </w:rPr>
  </w:style>
  <w:style w:type="character" w:customStyle="1" w:styleId="93">
    <w:name w:val="Текст макроса Знак9"/>
    <w:uiPriority w:val="99"/>
    <w:semiHidden/>
    <w:rPr>
      <w:rFonts w:ascii="Courier New" w:hAnsi="Courier New"/>
    </w:rPr>
  </w:style>
  <w:style w:type="character" w:customStyle="1" w:styleId="88">
    <w:name w:val="Текст макроса Знак8"/>
    <w:uiPriority w:val="99"/>
    <w:semiHidden/>
    <w:rPr>
      <w:rFonts w:ascii="Courier New" w:hAnsi="Courier New"/>
    </w:rPr>
  </w:style>
  <w:style w:type="character" w:customStyle="1" w:styleId="7b">
    <w:name w:val="Текст макроса Знак7"/>
    <w:uiPriority w:val="99"/>
    <w:semiHidden/>
    <w:rPr>
      <w:rFonts w:ascii="Courier New" w:hAnsi="Courier New"/>
    </w:rPr>
  </w:style>
  <w:style w:type="character" w:customStyle="1" w:styleId="62">
    <w:name w:val="Текст макроса Знак6"/>
    <w:uiPriority w:val="99"/>
    <w:semiHidden/>
    <w:rPr>
      <w:rFonts w:ascii="Courier New" w:hAnsi="Courier New"/>
    </w:rPr>
  </w:style>
  <w:style w:type="character" w:customStyle="1" w:styleId="52">
    <w:name w:val="Текст макроса Знак5"/>
    <w:uiPriority w:val="99"/>
    <w:semiHidden/>
    <w:rPr>
      <w:rFonts w:ascii="Courier New" w:hAnsi="Courier New"/>
    </w:rPr>
  </w:style>
  <w:style w:type="character" w:customStyle="1" w:styleId="4a">
    <w:name w:val="Текст макроса Знак4"/>
    <w:uiPriority w:val="99"/>
    <w:semiHidden/>
    <w:rPr>
      <w:rFonts w:ascii="Courier New" w:hAnsi="Courier New"/>
    </w:rPr>
  </w:style>
  <w:style w:type="character" w:customStyle="1" w:styleId="3b">
    <w:name w:val="Текст макроса Знак3"/>
    <w:uiPriority w:val="99"/>
    <w:semiHidden/>
    <w:rPr>
      <w:rFonts w:ascii="Courier New" w:hAnsi="Courier New"/>
    </w:rPr>
  </w:style>
  <w:style w:type="character" w:customStyle="1" w:styleId="MacroTextChar">
    <w:name w:val="Macro Text Char"/>
    <w:uiPriority w:val="99"/>
    <w:semiHidden/>
    <w:rPr>
      <w:rFonts w:ascii="Courier New" w:hAnsi="Courier New"/>
    </w:rPr>
  </w:style>
  <w:style w:type="character" w:customStyle="1" w:styleId="MacroTextChar2">
    <w:name w:val="Macro Text Char2"/>
    <w:uiPriority w:val="99"/>
    <w:semiHidden/>
    <w:rPr>
      <w:rFonts w:ascii="Courier New" w:hAnsi="Courier New"/>
    </w:rPr>
  </w:style>
  <w:style w:type="character" w:customStyle="1" w:styleId="1ff3">
    <w:name w:val="Текст макроса Знак1"/>
    <w:uiPriority w:val="99"/>
    <w:semiHidden/>
    <w:rPr>
      <w:rFonts w:ascii="Courier New" w:hAnsi="Courier New"/>
    </w:rPr>
  </w:style>
  <w:style w:type="character" w:customStyle="1" w:styleId="1890">
    <w:name w:val="Текст макроса Знак189"/>
    <w:uiPriority w:val="99"/>
    <w:semiHidden/>
    <w:rPr>
      <w:rFonts w:ascii="Courier New" w:hAnsi="Courier New"/>
    </w:rPr>
  </w:style>
  <w:style w:type="character" w:customStyle="1" w:styleId="1880">
    <w:name w:val="Текст макроса Знак188"/>
    <w:uiPriority w:val="99"/>
    <w:semiHidden/>
    <w:rPr>
      <w:rFonts w:ascii="Courier New" w:hAnsi="Courier New"/>
    </w:rPr>
  </w:style>
  <w:style w:type="character" w:customStyle="1" w:styleId="1870">
    <w:name w:val="Текст макроса Знак187"/>
    <w:uiPriority w:val="99"/>
    <w:semiHidden/>
    <w:rPr>
      <w:rFonts w:ascii="Courier New" w:hAnsi="Courier New"/>
    </w:rPr>
  </w:style>
  <w:style w:type="character" w:customStyle="1" w:styleId="1860">
    <w:name w:val="Текст макроса Знак186"/>
    <w:uiPriority w:val="99"/>
    <w:semiHidden/>
    <w:rPr>
      <w:rFonts w:ascii="Courier New" w:hAnsi="Courier New"/>
    </w:rPr>
  </w:style>
  <w:style w:type="character" w:customStyle="1" w:styleId="1850">
    <w:name w:val="Текст макроса Знак185"/>
    <w:uiPriority w:val="99"/>
    <w:semiHidden/>
    <w:rPr>
      <w:rFonts w:ascii="Courier New" w:hAnsi="Courier New"/>
    </w:rPr>
  </w:style>
  <w:style w:type="character" w:customStyle="1" w:styleId="1840">
    <w:name w:val="Текст макроса Знак184"/>
    <w:uiPriority w:val="99"/>
    <w:semiHidden/>
    <w:rPr>
      <w:rFonts w:ascii="Courier New" w:hAnsi="Courier New"/>
    </w:rPr>
  </w:style>
  <w:style w:type="character" w:customStyle="1" w:styleId="1830">
    <w:name w:val="Текст макроса Знак183"/>
    <w:uiPriority w:val="99"/>
    <w:semiHidden/>
    <w:rPr>
      <w:rFonts w:ascii="Courier New" w:hAnsi="Courier New"/>
    </w:rPr>
  </w:style>
  <w:style w:type="character" w:customStyle="1" w:styleId="1820">
    <w:name w:val="Текст макроса Знак182"/>
    <w:uiPriority w:val="99"/>
    <w:semiHidden/>
    <w:rPr>
      <w:rFonts w:ascii="Courier New" w:hAnsi="Courier New"/>
    </w:rPr>
  </w:style>
  <w:style w:type="character" w:customStyle="1" w:styleId="1811">
    <w:name w:val="Текст макроса Знак181"/>
    <w:uiPriority w:val="99"/>
    <w:semiHidden/>
    <w:rPr>
      <w:rFonts w:ascii="Courier New" w:hAnsi="Courier New"/>
    </w:rPr>
  </w:style>
  <w:style w:type="character" w:customStyle="1" w:styleId="1801">
    <w:name w:val="Текст макроса Знак180"/>
    <w:uiPriority w:val="99"/>
    <w:semiHidden/>
    <w:rPr>
      <w:rFonts w:ascii="Courier New" w:hAnsi="Courier New"/>
    </w:rPr>
  </w:style>
  <w:style w:type="character" w:customStyle="1" w:styleId="1790">
    <w:name w:val="Текст макроса Знак179"/>
    <w:uiPriority w:val="99"/>
    <w:semiHidden/>
    <w:rPr>
      <w:rFonts w:ascii="Courier New" w:hAnsi="Courier New"/>
    </w:rPr>
  </w:style>
  <w:style w:type="character" w:customStyle="1" w:styleId="1780">
    <w:name w:val="Текст макроса Знак178"/>
    <w:uiPriority w:val="99"/>
    <w:semiHidden/>
    <w:rPr>
      <w:rFonts w:ascii="Courier New" w:hAnsi="Courier New"/>
    </w:rPr>
  </w:style>
  <w:style w:type="character" w:customStyle="1" w:styleId="1770">
    <w:name w:val="Текст макроса Знак177"/>
    <w:uiPriority w:val="99"/>
    <w:semiHidden/>
    <w:rPr>
      <w:rFonts w:ascii="Courier New" w:hAnsi="Courier New"/>
    </w:rPr>
  </w:style>
  <w:style w:type="character" w:customStyle="1" w:styleId="1760">
    <w:name w:val="Текст макроса Знак176"/>
    <w:uiPriority w:val="99"/>
    <w:semiHidden/>
    <w:rPr>
      <w:rFonts w:ascii="Courier New" w:hAnsi="Courier New"/>
    </w:rPr>
  </w:style>
  <w:style w:type="character" w:customStyle="1" w:styleId="1750">
    <w:name w:val="Текст макроса Знак175"/>
    <w:uiPriority w:val="99"/>
    <w:semiHidden/>
    <w:rPr>
      <w:rFonts w:ascii="Courier New" w:hAnsi="Courier New"/>
    </w:rPr>
  </w:style>
  <w:style w:type="character" w:customStyle="1" w:styleId="1740">
    <w:name w:val="Текст макроса Знак174"/>
    <w:uiPriority w:val="99"/>
    <w:semiHidden/>
    <w:rPr>
      <w:rFonts w:ascii="Courier New" w:hAnsi="Courier New"/>
    </w:rPr>
  </w:style>
  <w:style w:type="character" w:customStyle="1" w:styleId="1730">
    <w:name w:val="Текст макроса Знак173"/>
    <w:uiPriority w:val="99"/>
    <w:semiHidden/>
    <w:rPr>
      <w:rFonts w:ascii="Courier New" w:hAnsi="Courier New"/>
    </w:rPr>
  </w:style>
  <w:style w:type="character" w:customStyle="1" w:styleId="1721">
    <w:name w:val="Текст макроса Знак172"/>
    <w:uiPriority w:val="99"/>
    <w:semiHidden/>
    <w:rPr>
      <w:rFonts w:ascii="Courier New" w:hAnsi="Courier New"/>
    </w:rPr>
  </w:style>
  <w:style w:type="character" w:customStyle="1" w:styleId="1711">
    <w:name w:val="Текст макроса Знак171"/>
    <w:uiPriority w:val="99"/>
    <w:semiHidden/>
    <w:rPr>
      <w:rFonts w:ascii="Courier New" w:hAnsi="Courier New"/>
    </w:rPr>
  </w:style>
  <w:style w:type="character" w:customStyle="1" w:styleId="1701">
    <w:name w:val="Текст макроса Знак170"/>
    <w:uiPriority w:val="99"/>
    <w:semiHidden/>
    <w:rsid w:val="00B2425D"/>
    <w:rPr>
      <w:rFonts w:ascii="Courier New" w:hAnsi="Courier New"/>
    </w:rPr>
  </w:style>
  <w:style w:type="character" w:customStyle="1" w:styleId="1693">
    <w:name w:val="Текст макроса Знак169"/>
    <w:uiPriority w:val="99"/>
    <w:semiHidden/>
    <w:rsid w:val="00B2425D"/>
    <w:rPr>
      <w:rFonts w:ascii="Courier New" w:hAnsi="Courier New"/>
    </w:rPr>
  </w:style>
  <w:style w:type="character" w:customStyle="1" w:styleId="1683">
    <w:name w:val="Текст макроса Знак168"/>
    <w:uiPriority w:val="99"/>
    <w:semiHidden/>
    <w:rsid w:val="00B2425D"/>
    <w:rPr>
      <w:rFonts w:ascii="Courier New" w:hAnsi="Courier New"/>
    </w:rPr>
  </w:style>
  <w:style w:type="character" w:customStyle="1" w:styleId="1673">
    <w:name w:val="Текст макроса Знак167"/>
    <w:uiPriority w:val="99"/>
    <w:semiHidden/>
    <w:rsid w:val="00B2425D"/>
    <w:rPr>
      <w:rFonts w:ascii="Courier New" w:hAnsi="Courier New"/>
    </w:rPr>
  </w:style>
  <w:style w:type="character" w:customStyle="1" w:styleId="1663">
    <w:name w:val="Текст макроса Знак166"/>
    <w:uiPriority w:val="99"/>
    <w:semiHidden/>
    <w:rsid w:val="00B2425D"/>
    <w:rPr>
      <w:rFonts w:ascii="Courier New" w:hAnsi="Courier New"/>
    </w:rPr>
  </w:style>
  <w:style w:type="character" w:customStyle="1" w:styleId="1653">
    <w:name w:val="Текст макроса Знак165"/>
    <w:uiPriority w:val="99"/>
    <w:semiHidden/>
    <w:rsid w:val="00B2425D"/>
    <w:rPr>
      <w:rFonts w:ascii="Courier New" w:hAnsi="Courier New"/>
    </w:rPr>
  </w:style>
  <w:style w:type="character" w:customStyle="1" w:styleId="1643">
    <w:name w:val="Текст макроса Знак164"/>
    <w:uiPriority w:val="99"/>
    <w:semiHidden/>
    <w:rsid w:val="00B2425D"/>
    <w:rPr>
      <w:rFonts w:ascii="Courier New" w:hAnsi="Courier New"/>
    </w:rPr>
  </w:style>
  <w:style w:type="character" w:customStyle="1" w:styleId="1633">
    <w:name w:val="Текст макроса Знак163"/>
    <w:uiPriority w:val="99"/>
    <w:semiHidden/>
    <w:rsid w:val="00B2425D"/>
    <w:rPr>
      <w:rFonts w:ascii="Courier New" w:hAnsi="Courier New"/>
    </w:rPr>
  </w:style>
  <w:style w:type="character" w:customStyle="1" w:styleId="1623">
    <w:name w:val="Текст макроса Знак162"/>
    <w:uiPriority w:val="99"/>
    <w:semiHidden/>
    <w:rsid w:val="00B2425D"/>
    <w:rPr>
      <w:rFonts w:ascii="Courier New" w:hAnsi="Courier New"/>
    </w:rPr>
  </w:style>
  <w:style w:type="character" w:customStyle="1" w:styleId="1613">
    <w:name w:val="Текст макроса Знак161"/>
    <w:uiPriority w:val="99"/>
    <w:semiHidden/>
    <w:rsid w:val="00B2425D"/>
    <w:rPr>
      <w:rFonts w:ascii="Courier New" w:hAnsi="Courier New"/>
    </w:rPr>
  </w:style>
  <w:style w:type="character" w:customStyle="1" w:styleId="1603">
    <w:name w:val="Текст макроса Знак160"/>
    <w:uiPriority w:val="99"/>
    <w:semiHidden/>
    <w:rsid w:val="00B2425D"/>
    <w:rPr>
      <w:rFonts w:ascii="Courier New" w:hAnsi="Courier New"/>
    </w:rPr>
  </w:style>
  <w:style w:type="character" w:customStyle="1" w:styleId="1593">
    <w:name w:val="Текст макроса Знак159"/>
    <w:uiPriority w:val="99"/>
    <w:semiHidden/>
    <w:rsid w:val="00B2425D"/>
    <w:rPr>
      <w:rFonts w:ascii="Courier New" w:hAnsi="Courier New"/>
    </w:rPr>
  </w:style>
  <w:style w:type="character" w:customStyle="1" w:styleId="1583">
    <w:name w:val="Текст макроса Знак158"/>
    <w:uiPriority w:val="99"/>
    <w:semiHidden/>
    <w:rsid w:val="00B2425D"/>
    <w:rPr>
      <w:rFonts w:ascii="Courier New" w:hAnsi="Courier New"/>
    </w:rPr>
  </w:style>
  <w:style w:type="character" w:customStyle="1" w:styleId="1573">
    <w:name w:val="Текст макроса Знак157"/>
    <w:uiPriority w:val="99"/>
    <w:semiHidden/>
    <w:rsid w:val="00B2425D"/>
    <w:rPr>
      <w:rFonts w:ascii="Courier New" w:hAnsi="Courier New"/>
    </w:rPr>
  </w:style>
  <w:style w:type="character" w:customStyle="1" w:styleId="1563">
    <w:name w:val="Текст макроса Знак156"/>
    <w:uiPriority w:val="99"/>
    <w:semiHidden/>
    <w:rsid w:val="00B2425D"/>
    <w:rPr>
      <w:rFonts w:ascii="Courier New" w:hAnsi="Courier New"/>
    </w:rPr>
  </w:style>
  <w:style w:type="character" w:customStyle="1" w:styleId="1553">
    <w:name w:val="Текст макроса Знак155"/>
    <w:uiPriority w:val="99"/>
    <w:semiHidden/>
    <w:rsid w:val="00B2425D"/>
    <w:rPr>
      <w:rFonts w:ascii="Courier New" w:hAnsi="Courier New"/>
    </w:rPr>
  </w:style>
  <w:style w:type="character" w:customStyle="1" w:styleId="1543">
    <w:name w:val="Текст макроса Знак154"/>
    <w:uiPriority w:val="99"/>
    <w:semiHidden/>
    <w:rsid w:val="00B2425D"/>
    <w:rPr>
      <w:rFonts w:ascii="Courier New" w:hAnsi="Courier New"/>
      <w:sz w:val="20"/>
    </w:rPr>
  </w:style>
  <w:style w:type="character" w:customStyle="1" w:styleId="1533">
    <w:name w:val="Текст макроса Знак153"/>
    <w:uiPriority w:val="99"/>
    <w:semiHidden/>
    <w:rsid w:val="00B2425D"/>
    <w:rPr>
      <w:rFonts w:ascii="Courier New" w:hAnsi="Courier New"/>
      <w:sz w:val="20"/>
    </w:rPr>
  </w:style>
  <w:style w:type="character" w:customStyle="1" w:styleId="1523">
    <w:name w:val="Текст макроса Знак152"/>
    <w:uiPriority w:val="99"/>
    <w:semiHidden/>
    <w:rsid w:val="00B2425D"/>
    <w:rPr>
      <w:rFonts w:ascii="Courier New" w:hAnsi="Courier New"/>
      <w:sz w:val="20"/>
    </w:rPr>
  </w:style>
  <w:style w:type="character" w:customStyle="1" w:styleId="1513">
    <w:name w:val="Текст макроса Знак151"/>
    <w:uiPriority w:val="99"/>
    <w:semiHidden/>
    <w:rsid w:val="00B2425D"/>
    <w:rPr>
      <w:rFonts w:ascii="Courier New" w:hAnsi="Courier New"/>
      <w:sz w:val="20"/>
    </w:rPr>
  </w:style>
  <w:style w:type="character" w:customStyle="1" w:styleId="1503">
    <w:name w:val="Текст макроса Знак150"/>
    <w:uiPriority w:val="99"/>
    <w:semiHidden/>
    <w:rsid w:val="00B2425D"/>
    <w:rPr>
      <w:rFonts w:ascii="Courier New" w:hAnsi="Courier New"/>
      <w:sz w:val="20"/>
    </w:rPr>
  </w:style>
  <w:style w:type="character" w:customStyle="1" w:styleId="1493">
    <w:name w:val="Текст макроса Знак149"/>
    <w:uiPriority w:val="99"/>
    <w:semiHidden/>
    <w:rsid w:val="00B2425D"/>
    <w:rPr>
      <w:rFonts w:ascii="Courier New" w:hAnsi="Courier New"/>
      <w:sz w:val="20"/>
    </w:rPr>
  </w:style>
  <w:style w:type="character" w:customStyle="1" w:styleId="1483">
    <w:name w:val="Текст макроса Знак148"/>
    <w:uiPriority w:val="99"/>
    <w:semiHidden/>
    <w:rsid w:val="00B2425D"/>
    <w:rPr>
      <w:rFonts w:ascii="Courier New" w:hAnsi="Courier New"/>
      <w:sz w:val="20"/>
    </w:rPr>
  </w:style>
  <w:style w:type="character" w:customStyle="1" w:styleId="1473">
    <w:name w:val="Текст макроса Знак147"/>
    <w:uiPriority w:val="99"/>
    <w:semiHidden/>
    <w:rsid w:val="00B2425D"/>
    <w:rPr>
      <w:rFonts w:ascii="Courier New" w:hAnsi="Courier New"/>
      <w:sz w:val="20"/>
    </w:rPr>
  </w:style>
  <w:style w:type="character" w:customStyle="1" w:styleId="1463">
    <w:name w:val="Текст макроса Знак146"/>
    <w:uiPriority w:val="99"/>
    <w:semiHidden/>
    <w:rsid w:val="00B2425D"/>
    <w:rPr>
      <w:rFonts w:ascii="Courier New" w:hAnsi="Courier New"/>
      <w:sz w:val="20"/>
    </w:rPr>
  </w:style>
  <w:style w:type="character" w:customStyle="1" w:styleId="1453">
    <w:name w:val="Текст макроса Знак145"/>
    <w:uiPriority w:val="99"/>
    <w:semiHidden/>
    <w:rsid w:val="00B2425D"/>
    <w:rPr>
      <w:rFonts w:ascii="Courier New" w:hAnsi="Courier New"/>
      <w:sz w:val="20"/>
    </w:rPr>
  </w:style>
  <w:style w:type="character" w:customStyle="1" w:styleId="1443">
    <w:name w:val="Текст макроса Знак144"/>
    <w:uiPriority w:val="99"/>
    <w:semiHidden/>
    <w:rsid w:val="00B2425D"/>
    <w:rPr>
      <w:rFonts w:ascii="Courier New" w:hAnsi="Courier New"/>
      <w:sz w:val="20"/>
    </w:rPr>
  </w:style>
  <w:style w:type="character" w:customStyle="1" w:styleId="1433">
    <w:name w:val="Текст макроса Знак143"/>
    <w:uiPriority w:val="99"/>
    <w:semiHidden/>
    <w:rsid w:val="00B2425D"/>
    <w:rPr>
      <w:rFonts w:ascii="Courier New" w:hAnsi="Courier New"/>
      <w:sz w:val="20"/>
    </w:rPr>
  </w:style>
  <w:style w:type="character" w:customStyle="1" w:styleId="1423">
    <w:name w:val="Текст макроса Знак142"/>
    <w:uiPriority w:val="99"/>
    <w:semiHidden/>
    <w:rsid w:val="00B2425D"/>
    <w:rPr>
      <w:rFonts w:ascii="Courier New" w:hAnsi="Courier New"/>
      <w:sz w:val="20"/>
    </w:rPr>
  </w:style>
  <w:style w:type="character" w:customStyle="1" w:styleId="1413">
    <w:name w:val="Текст макроса Знак141"/>
    <w:uiPriority w:val="99"/>
    <w:semiHidden/>
    <w:rsid w:val="00B2425D"/>
    <w:rPr>
      <w:rFonts w:ascii="Courier New" w:hAnsi="Courier New"/>
      <w:sz w:val="20"/>
    </w:rPr>
  </w:style>
  <w:style w:type="character" w:customStyle="1" w:styleId="1403">
    <w:name w:val="Текст макроса Знак140"/>
    <w:uiPriority w:val="99"/>
    <w:semiHidden/>
    <w:rsid w:val="00B2425D"/>
    <w:rPr>
      <w:rFonts w:ascii="Courier New" w:hAnsi="Courier New"/>
      <w:sz w:val="20"/>
    </w:rPr>
  </w:style>
  <w:style w:type="character" w:customStyle="1" w:styleId="1393">
    <w:name w:val="Текст макроса Знак139"/>
    <w:uiPriority w:val="99"/>
    <w:semiHidden/>
    <w:rsid w:val="00B2425D"/>
    <w:rPr>
      <w:rFonts w:ascii="Courier New" w:hAnsi="Courier New"/>
      <w:sz w:val="20"/>
    </w:rPr>
  </w:style>
  <w:style w:type="character" w:customStyle="1" w:styleId="1383">
    <w:name w:val="Текст макроса Знак138"/>
    <w:uiPriority w:val="99"/>
    <w:semiHidden/>
    <w:rsid w:val="00B2425D"/>
    <w:rPr>
      <w:rFonts w:ascii="Courier New" w:hAnsi="Courier New"/>
      <w:sz w:val="20"/>
    </w:rPr>
  </w:style>
  <w:style w:type="character" w:customStyle="1" w:styleId="1373">
    <w:name w:val="Текст макроса Знак137"/>
    <w:uiPriority w:val="99"/>
    <w:semiHidden/>
    <w:rsid w:val="00B2425D"/>
    <w:rPr>
      <w:rFonts w:ascii="Courier New" w:hAnsi="Courier New"/>
      <w:sz w:val="20"/>
    </w:rPr>
  </w:style>
  <w:style w:type="character" w:customStyle="1" w:styleId="1363">
    <w:name w:val="Текст макроса Знак136"/>
    <w:uiPriority w:val="99"/>
    <w:semiHidden/>
    <w:rsid w:val="00B2425D"/>
    <w:rPr>
      <w:rFonts w:ascii="Courier New" w:hAnsi="Courier New"/>
      <w:sz w:val="20"/>
    </w:rPr>
  </w:style>
  <w:style w:type="character" w:customStyle="1" w:styleId="1353">
    <w:name w:val="Текст макроса Знак135"/>
    <w:uiPriority w:val="99"/>
    <w:semiHidden/>
    <w:rsid w:val="00B2425D"/>
    <w:rPr>
      <w:rFonts w:ascii="Courier New" w:hAnsi="Courier New"/>
      <w:sz w:val="20"/>
    </w:rPr>
  </w:style>
  <w:style w:type="character" w:customStyle="1" w:styleId="1343">
    <w:name w:val="Текст макроса Знак134"/>
    <w:uiPriority w:val="99"/>
    <w:semiHidden/>
    <w:rsid w:val="00B2425D"/>
    <w:rPr>
      <w:rFonts w:ascii="Courier New" w:hAnsi="Courier New"/>
      <w:sz w:val="20"/>
    </w:rPr>
  </w:style>
  <w:style w:type="character" w:customStyle="1" w:styleId="1333">
    <w:name w:val="Текст макроса Знак133"/>
    <w:uiPriority w:val="99"/>
    <w:semiHidden/>
    <w:rsid w:val="00B2425D"/>
    <w:rPr>
      <w:rFonts w:ascii="Courier New" w:hAnsi="Courier New"/>
      <w:sz w:val="20"/>
    </w:rPr>
  </w:style>
  <w:style w:type="character" w:customStyle="1" w:styleId="1323">
    <w:name w:val="Текст макроса Знак132"/>
    <w:uiPriority w:val="99"/>
    <w:semiHidden/>
    <w:rsid w:val="00B2425D"/>
    <w:rPr>
      <w:rFonts w:ascii="Courier New" w:hAnsi="Courier New"/>
      <w:sz w:val="20"/>
    </w:rPr>
  </w:style>
  <w:style w:type="character" w:customStyle="1" w:styleId="1313">
    <w:name w:val="Текст макроса Знак131"/>
    <w:uiPriority w:val="99"/>
    <w:semiHidden/>
    <w:rsid w:val="00B2425D"/>
    <w:rPr>
      <w:rFonts w:ascii="Courier New" w:hAnsi="Courier New"/>
      <w:sz w:val="20"/>
    </w:rPr>
  </w:style>
  <w:style w:type="character" w:customStyle="1" w:styleId="1303">
    <w:name w:val="Текст макроса Знак130"/>
    <w:uiPriority w:val="99"/>
    <w:semiHidden/>
    <w:rsid w:val="00B2425D"/>
    <w:rPr>
      <w:rFonts w:ascii="Courier New" w:hAnsi="Courier New"/>
      <w:sz w:val="20"/>
    </w:rPr>
  </w:style>
  <w:style w:type="character" w:customStyle="1" w:styleId="1293">
    <w:name w:val="Текст макроса Знак129"/>
    <w:uiPriority w:val="99"/>
    <w:semiHidden/>
    <w:rsid w:val="00B2425D"/>
    <w:rPr>
      <w:rFonts w:ascii="Courier New" w:hAnsi="Courier New"/>
      <w:sz w:val="20"/>
    </w:rPr>
  </w:style>
  <w:style w:type="character" w:customStyle="1" w:styleId="1283">
    <w:name w:val="Текст макроса Знак128"/>
    <w:uiPriority w:val="99"/>
    <w:semiHidden/>
    <w:rsid w:val="00B2425D"/>
    <w:rPr>
      <w:rFonts w:ascii="Courier New" w:hAnsi="Courier New"/>
      <w:sz w:val="20"/>
    </w:rPr>
  </w:style>
  <w:style w:type="character" w:customStyle="1" w:styleId="1273">
    <w:name w:val="Текст макроса Знак127"/>
    <w:uiPriority w:val="99"/>
    <w:semiHidden/>
    <w:rsid w:val="00B2425D"/>
    <w:rPr>
      <w:rFonts w:ascii="Courier New" w:hAnsi="Courier New"/>
      <w:sz w:val="20"/>
    </w:rPr>
  </w:style>
  <w:style w:type="character" w:customStyle="1" w:styleId="1263">
    <w:name w:val="Текст макроса Знак126"/>
    <w:uiPriority w:val="99"/>
    <w:semiHidden/>
    <w:rsid w:val="00B2425D"/>
    <w:rPr>
      <w:rFonts w:ascii="Courier New" w:hAnsi="Courier New"/>
      <w:sz w:val="20"/>
    </w:rPr>
  </w:style>
  <w:style w:type="character" w:customStyle="1" w:styleId="1253">
    <w:name w:val="Текст макроса Знак125"/>
    <w:uiPriority w:val="99"/>
    <w:semiHidden/>
    <w:rsid w:val="00B2425D"/>
    <w:rPr>
      <w:rFonts w:ascii="Courier New" w:hAnsi="Courier New"/>
      <w:sz w:val="20"/>
    </w:rPr>
  </w:style>
  <w:style w:type="character" w:customStyle="1" w:styleId="1243">
    <w:name w:val="Текст макроса Знак124"/>
    <w:uiPriority w:val="99"/>
    <w:semiHidden/>
    <w:rsid w:val="00B2425D"/>
    <w:rPr>
      <w:rFonts w:ascii="Courier New" w:hAnsi="Courier New"/>
      <w:sz w:val="20"/>
    </w:rPr>
  </w:style>
  <w:style w:type="character" w:customStyle="1" w:styleId="1233">
    <w:name w:val="Текст макроса Знак123"/>
    <w:uiPriority w:val="99"/>
    <w:semiHidden/>
    <w:rsid w:val="00B2425D"/>
    <w:rPr>
      <w:rFonts w:ascii="Courier New" w:hAnsi="Courier New"/>
      <w:sz w:val="20"/>
    </w:rPr>
  </w:style>
  <w:style w:type="character" w:customStyle="1" w:styleId="1223">
    <w:name w:val="Текст макроса Знак122"/>
    <w:uiPriority w:val="99"/>
    <w:semiHidden/>
    <w:rsid w:val="00B2425D"/>
    <w:rPr>
      <w:rFonts w:ascii="Courier New" w:hAnsi="Courier New"/>
      <w:sz w:val="20"/>
    </w:rPr>
  </w:style>
  <w:style w:type="character" w:customStyle="1" w:styleId="1213">
    <w:name w:val="Текст макроса Знак121"/>
    <w:uiPriority w:val="99"/>
    <w:semiHidden/>
    <w:rsid w:val="00B2425D"/>
    <w:rPr>
      <w:rFonts w:ascii="Courier New" w:hAnsi="Courier New"/>
      <w:sz w:val="20"/>
    </w:rPr>
  </w:style>
  <w:style w:type="character" w:customStyle="1" w:styleId="1203">
    <w:name w:val="Текст макроса Знак120"/>
    <w:uiPriority w:val="99"/>
    <w:semiHidden/>
    <w:rsid w:val="00B2425D"/>
    <w:rPr>
      <w:rFonts w:ascii="Courier New" w:hAnsi="Courier New"/>
    </w:rPr>
  </w:style>
  <w:style w:type="character" w:customStyle="1" w:styleId="1193">
    <w:name w:val="Текст макроса Знак119"/>
    <w:uiPriority w:val="99"/>
    <w:semiHidden/>
    <w:rsid w:val="00B2425D"/>
    <w:rPr>
      <w:rFonts w:ascii="Courier New" w:hAnsi="Courier New"/>
    </w:rPr>
  </w:style>
  <w:style w:type="character" w:customStyle="1" w:styleId="1183">
    <w:name w:val="Текст макроса Знак118"/>
    <w:uiPriority w:val="99"/>
    <w:semiHidden/>
    <w:rsid w:val="00B2425D"/>
    <w:rPr>
      <w:rFonts w:ascii="Courier New" w:hAnsi="Courier New"/>
    </w:rPr>
  </w:style>
  <w:style w:type="character" w:customStyle="1" w:styleId="1173">
    <w:name w:val="Текст макроса Знак117"/>
    <w:uiPriority w:val="99"/>
    <w:semiHidden/>
    <w:rsid w:val="00B2425D"/>
    <w:rPr>
      <w:rFonts w:ascii="Courier New" w:hAnsi="Courier New"/>
      <w:sz w:val="20"/>
    </w:rPr>
  </w:style>
  <w:style w:type="character" w:customStyle="1" w:styleId="1163">
    <w:name w:val="Текст макроса Знак116"/>
    <w:uiPriority w:val="99"/>
    <w:semiHidden/>
    <w:rsid w:val="00B2425D"/>
    <w:rPr>
      <w:rFonts w:ascii="Courier New" w:hAnsi="Courier New"/>
      <w:sz w:val="20"/>
    </w:rPr>
  </w:style>
  <w:style w:type="character" w:customStyle="1" w:styleId="1153">
    <w:name w:val="Текст макроса Знак115"/>
    <w:uiPriority w:val="99"/>
    <w:semiHidden/>
    <w:rsid w:val="00B2425D"/>
    <w:rPr>
      <w:rFonts w:ascii="Courier New" w:hAnsi="Courier New"/>
      <w:sz w:val="20"/>
    </w:rPr>
  </w:style>
  <w:style w:type="character" w:customStyle="1" w:styleId="1143">
    <w:name w:val="Текст макроса Знак114"/>
    <w:uiPriority w:val="99"/>
    <w:semiHidden/>
    <w:rsid w:val="00B2425D"/>
    <w:rPr>
      <w:rFonts w:ascii="Courier New" w:hAnsi="Courier New"/>
      <w:sz w:val="20"/>
    </w:rPr>
  </w:style>
  <w:style w:type="character" w:customStyle="1" w:styleId="1133">
    <w:name w:val="Текст макроса Знак113"/>
    <w:uiPriority w:val="99"/>
    <w:semiHidden/>
    <w:rsid w:val="00B2425D"/>
    <w:rPr>
      <w:rFonts w:ascii="Courier New" w:hAnsi="Courier New"/>
      <w:sz w:val="20"/>
    </w:rPr>
  </w:style>
  <w:style w:type="character" w:customStyle="1" w:styleId="1123">
    <w:name w:val="Текст макроса Знак112"/>
    <w:uiPriority w:val="99"/>
    <w:semiHidden/>
    <w:rsid w:val="00B2425D"/>
    <w:rPr>
      <w:rFonts w:ascii="Courier New" w:hAnsi="Courier New"/>
      <w:sz w:val="20"/>
    </w:rPr>
  </w:style>
  <w:style w:type="character" w:customStyle="1" w:styleId="1115">
    <w:name w:val="Текст макроса Знак111"/>
    <w:uiPriority w:val="99"/>
    <w:semiHidden/>
    <w:rsid w:val="00B2425D"/>
    <w:rPr>
      <w:rFonts w:ascii="Courier New" w:hAnsi="Courier New"/>
      <w:sz w:val="20"/>
    </w:rPr>
  </w:style>
  <w:style w:type="character" w:customStyle="1" w:styleId="1103">
    <w:name w:val="Текст макроса Знак110"/>
    <w:uiPriority w:val="99"/>
    <w:semiHidden/>
    <w:rsid w:val="00B2425D"/>
    <w:rPr>
      <w:rFonts w:ascii="Courier New" w:hAnsi="Courier New"/>
      <w:sz w:val="20"/>
    </w:rPr>
  </w:style>
  <w:style w:type="character" w:customStyle="1" w:styleId="193">
    <w:name w:val="Текст макроса Знак19"/>
    <w:uiPriority w:val="99"/>
    <w:semiHidden/>
    <w:rsid w:val="00B2425D"/>
    <w:rPr>
      <w:rFonts w:ascii="Courier New" w:hAnsi="Courier New"/>
      <w:sz w:val="20"/>
    </w:rPr>
  </w:style>
  <w:style w:type="character" w:customStyle="1" w:styleId="18b">
    <w:name w:val="Текст макроса Знак18"/>
    <w:uiPriority w:val="99"/>
    <w:semiHidden/>
    <w:rsid w:val="00B2425D"/>
    <w:rPr>
      <w:rFonts w:ascii="Courier New" w:hAnsi="Courier New"/>
      <w:sz w:val="20"/>
    </w:rPr>
  </w:style>
  <w:style w:type="character" w:customStyle="1" w:styleId="17b">
    <w:name w:val="Текст макроса Знак17"/>
    <w:uiPriority w:val="99"/>
    <w:semiHidden/>
    <w:rsid w:val="00B2425D"/>
    <w:rPr>
      <w:rFonts w:ascii="Courier New" w:hAnsi="Courier New"/>
      <w:sz w:val="20"/>
    </w:rPr>
  </w:style>
  <w:style w:type="character" w:customStyle="1" w:styleId="16e">
    <w:name w:val="Текст макроса Знак16"/>
    <w:uiPriority w:val="99"/>
    <w:semiHidden/>
    <w:rsid w:val="00B2425D"/>
    <w:rPr>
      <w:rFonts w:ascii="Courier New" w:hAnsi="Courier New"/>
      <w:sz w:val="20"/>
    </w:rPr>
  </w:style>
  <w:style w:type="character" w:customStyle="1" w:styleId="15e">
    <w:name w:val="Текст макроса Знак15"/>
    <w:uiPriority w:val="99"/>
    <w:semiHidden/>
    <w:rsid w:val="00B2425D"/>
    <w:rPr>
      <w:rFonts w:ascii="Courier New" w:hAnsi="Courier New"/>
      <w:sz w:val="20"/>
    </w:rPr>
  </w:style>
  <w:style w:type="character" w:customStyle="1" w:styleId="14e">
    <w:name w:val="Текст макроса Знак14"/>
    <w:uiPriority w:val="99"/>
    <w:semiHidden/>
    <w:rsid w:val="00B2425D"/>
    <w:rPr>
      <w:rFonts w:ascii="Courier New" w:hAnsi="Courier New"/>
      <w:sz w:val="20"/>
    </w:rPr>
  </w:style>
  <w:style w:type="character" w:customStyle="1" w:styleId="13e">
    <w:name w:val="Текст макроса Знак13"/>
    <w:uiPriority w:val="99"/>
    <w:semiHidden/>
    <w:rsid w:val="00B2425D"/>
    <w:rPr>
      <w:rFonts w:ascii="Courier New" w:hAnsi="Courier New"/>
      <w:sz w:val="20"/>
    </w:rPr>
  </w:style>
  <w:style w:type="character" w:customStyle="1" w:styleId="12e">
    <w:name w:val="Текст макроса Знак12"/>
    <w:uiPriority w:val="99"/>
    <w:semiHidden/>
    <w:rsid w:val="00B2425D"/>
    <w:rPr>
      <w:rFonts w:ascii="Courier New" w:hAnsi="Courier New"/>
      <w:sz w:val="20"/>
    </w:rPr>
  </w:style>
  <w:style w:type="character" w:customStyle="1" w:styleId="11e">
    <w:name w:val="Текст макроса Знак11"/>
    <w:semiHidden/>
    <w:rsid w:val="00B2425D"/>
    <w:rPr>
      <w:rFonts w:ascii="Courier New" w:hAnsi="Courier New"/>
      <w:sz w:val="20"/>
    </w:rPr>
  </w:style>
  <w:style w:type="paragraph" w:customStyle="1" w:styleId="1ff4">
    <w:name w:val="Подзаголовок1"/>
    <w:basedOn w:val="a"/>
    <w:next w:val="affa"/>
    <w:qFormat/>
    <w:rsid w:val="00B2425D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1ff5">
    <w:name w:val="Подзаголовок Знак1"/>
    <w:rsid w:val="00B2425D"/>
    <w:rPr>
      <w:color w:val="5A5A5A"/>
      <w:spacing w:val="15"/>
    </w:rPr>
  </w:style>
  <w:style w:type="character" w:customStyle="1" w:styleId="1ff6">
    <w:name w:val="Заголовок Знак1"/>
    <w:rsid w:val="00B2425D"/>
    <w:rPr>
      <w:rFonts w:ascii="Cambria" w:hAnsi="Cambria"/>
      <w:spacing w:val="-10"/>
      <w:kern w:val="28"/>
      <w:sz w:val="56"/>
    </w:rPr>
  </w:style>
  <w:style w:type="character" w:customStyle="1" w:styleId="abgitalic">
    <w:name w:val="abg_italic"/>
    <w:rsid w:val="00B2425D"/>
    <w:rPr>
      <w:i/>
      <w:lang w:val="ru-RU" w:eastAsia="x-none"/>
    </w:rPr>
  </w:style>
  <w:style w:type="character" w:customStyle="1" w:styleId="StyleUnivers45Light9pt">
    <w:name w:val="Style Univers 45 Light 9 pt"/>
    <w:uiPriority w:val="99"/>
    <w:rsid w:val="00B2425D"/>
    <w:rPr>
      <w:rFonts w:ascii="Univers 45 Light" w:hAnsi="Univers 45 Light"/>
      <w:sz w:val="18"/>
    </w:rPr>
  </w:style>
  <w:style w:type="character" w:customStyle="1" w:styleId="hps">
    <w:name w:val="hps"/>
    <w:rsid w:val="00B2425D"/>
  </w:style>
  <w:style w:type="character" w:customStyle="1" w:styleId="apple-converted-space">
    <w:name w:val="apple-converted-space"/>
    <w:rsid w:val="00B2425D"/>
  </w:style>
  <w:style w:type="character" w:customStyle="1" w:styleId="UnresolvedMention1">
    <w:name w:val="Unresolved Mention1"/>
    <w:uiPriority w:val="99"/>
    <w:semiHidden/>
    <w:rsid w:val="00B2425D"/>
    <w:rPr>
      <w:color w:val="605E5C"/>
      <w:shd w:val="clear" w:color="auto" w:fill="E1DFDD"/>
    </w:rPr>
  </w:style>
  <w:style w:type="character" w:customStyle="1" w:styleId="ABC-paragrahinNotesChar1">
    <w:name w:val="ABC - paragrah in Notes Char1"/>
    <w:locked/>
    <w:rsid w:val="00B2425D"/>
    <w:rPr>
      <w:rFonts w:ascii="Arial" w:hAnsi="Arial"/>
    </w:rPr>
  </w:style>
  <w:style w:type="table" w:styleId="1ff7">
    <w:name w:val="Table Simple 1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6" w:space="0" w:color="auto"/>
          <w:tr2bl w:val="none" w:sz="6" w:space="0" w:color="auto"/>
        </w:tcBorders>
      </w:tcPr>
    </w:tblStylePr>
  </w:style>
  <w:style w:type="table" w:styleId="2f">
    <w:name w:val="Table Simple 2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styleId="3c">
    <w:name w:val="Table Simple 3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styleId="1ff8">
    <w:name w:val="Table Classic 1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2f0">
    <w:name w:val="Table Classic 2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3d">
    <w:name w:val="Table Classic 3"/>
    <w:basedOn w:val="a1"/>
    <w:uiPriority w:val="99"/>
    <w:unhideWhenUsed/>
    <w:rsid w:val="00B2425D"/>
    <w:rPr>
      <w:rFonts w:ascii="Times New Roman" w:eastAsia="MS Mincho" w:hAnsi="Times New Roman" w:cs="Times New Roman"/>
      <w:color w:val="00008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4b">
    <w:name w:val="Table Classic 4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1ff9">
    <w:name w:val="Table Colorful 1"/>
    <w:basedOn w:val="a1"/>
    <w:uiPriority w:val="99"/>
    <w:unhideWhenUsed/>
    <w:rsid w:val="00B2425D"/>
    <w:rPr>
      <w:rFonts w:ascii="Times New Roman" w:eastAsia="MS Mincho" w:hAnsi="Times New Roman" w:cs="Times New Roman"/>
      <w:color w:val="FFFFFF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2f1">
    <w:name w:val="Table Colorful 2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3e">
    <w:name w:val="Table Colorful 3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styleId="1ffa">
    <w:name w:val="Table Columns 1"/>
    <w:basedOn w:val="a1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2f2">
    <w:name w:val="Table Columns 2"/>
    <w:basedOn w:val="a1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StyleColBandSize w:val="1"/>
      <w:tblInd w:w="0" w:type="nil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3f">
    <w:name w:val="Table Columns 3"/>
    <w:basedOn w:val="a1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4c">
    <w:name w:val="Table Columns 4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StyleColBandSize w:val="1"/>
      <w:tblInd w:w="0" w:type="nil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3">
    <w:name w:val="Table Columns 5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1ffb">
    <w:name w:val="Table Grid 1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2f3">
    <w:name w:val="Table Grid 2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3f0">
    <w:name w:val="Table Grid 3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4d">
    <w:name w:val="Table Grid 4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54">
    <w:name w:val="Table Grid 5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styleId="63">
    <w:name w:val="Table Grid 6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styleId="7c">
    <w:name w:val="Table Grid 7"/>
    <w:basedOn w:val="a1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styleId="89">
    <w:name w:val="Table Grid 8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10">
    <w:name w:val="Table List 1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2">
    <w:name w:val="Table List 2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3">
    <w:name w:val="Table List 3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4">
    <w:name w:val="Table List 4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8080" w:fill="FFFFFF"/>
      </w:tcPr>
    </w:tblStylePr>
  </w:style>
  <w:style w:type="table" w:styleId="-5">
    <w:name w:val="Table List 5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6">
    <w:name w:val="Table List 6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000000" w:fill="FFFFFF"/>
      </w:tcPr>
    </w:tblStylePr>
  </w:style>
  <w:style w:type="table" w:styleId="-7">
    <w:name w:val="Table List 7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</w:style>
  <w:style w:type="table" w:styleId="-8">
    <w:name w:val="Table List 8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50" w:color="FF0000" w:fill="FFFFFF"/>
      </w:tcPr>
    </w:tblStylePr>
  </w:style>
  <w:style w:type="table" w:styleId="1ffc">
    <w:name w:val="Table 3D effects 1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6" w:space="0" w:color="auto"/>
          <w:bottom w:val="none" w:sz="6" w:space="0" w:color="auto"/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6" w:space="0" w:color="auto"/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styleId="2f4">
    <w:name w:val="Table 3D effects 2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3f1">
    <w:name w:val="Table 3D effects 3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StyleColBandSize w:val="1"/>
      <w:tblInd w:w="0" w:type="nil"/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affff">
    <w:name w:val="Table Contemporary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</w:style>
  <w:style w:type="table" w:styleId="affff0">
    <w:name w:val="Table Elegant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affff1">
    <w:name w:val="Table Professional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styleId="1ffd">
    <w:name w:val="Table Subtle 1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2f5">
    <w:name w:val="Table Subtle 2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11">
    <w:name w:val="Table Web 1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20">
    <w:name w:val="Table Web 2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30">
    <w:name w:val="Table Web 3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ffe">
    <w:name w:val="Сетка таблицы1"/>
    <w:basedOn w:val="a1"/>
    <w:next w:val="af8"/>
    <w:uiPriority w:val="39"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2">
    <w:name w:val="Table Theme"/>
    <w:basedOn w:val="a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Список-таблица 1 светлая1"/>
    <w:basedOn w:val="a1"/>
    <w:next w:val="-1"/>
    <w:uiPriority w:val="46"/>
    <w:rsid w:val="00B2425D"/>
    <w:rPr>
      <w:rFonts w:cs="Times New Roman"/>
      <w:lang w:val="en-US" w:eastAsia="en-US"/>
    </w:rPr>
    <w:tblPr>
      <w:tblStyleRowBandSize w:val="1"/>
      <w:tblStyleColBandSize w:val="1"/>
      <w:tblInd w:w="0" w:type="nil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1">
    <w:name w:val="Список-таблица 41"/>
    <w:basedOn w:val="a1"/>
    <w:next w:val="-40"/>
    <w:uiPriority w:val="49"/>
    <w:rsid w:val="00B2425D"/>
    <w:rPr>
      <w:rFonts w:ascii="Times New Roman" w:eastAsia="MS Mincho" w:hAnsi="Times New Roman" w:cs="Times New Roman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MLTable">
    <w:name w:val="ML Table"/>
    <w:basedOn w:val="af8"/>
    <w:semiHidden/>
    <w:rsid w:val="00B2425D"/>
    <w:pPr>
      <w:spacing w:before="40" w:after="40"/>
    </w:pPr>
    <w:rPr>
      <w:rFonts w:ascii="Times New Roman" w:eastAsia="MS Mincho" w:hAnsi="Times New Roman"/>
    </w:rPr>
    <w:tblPr>
      <w:tblInd w:w="0" w:type="nil"/>
      <w:tblCellMar>
        <w:left w:w="28" w:type="dxa"/>
        <w:right w:w="28" w:type="dxa"/>
      </w:tblCellMar>
    </w:tblPr>
    <w:tblStylePr w:type="firstRow">
      <w:pPr>
        <w:jc w:val="center"/>
      </w:pPr>
      <w:rPr>
        <w:rFonts w:cs="Times New Roman"/>
        <w:b/>
        <w:sz w:val="20"/>
        <w:szCs w:val="20"/>
      </w:rPr>
      <w:tblPr/>
      <w:tcPr>
        <w:tcBorders>
          <w:top w:val="double" w:sz="4" w:space="0" w:color="auto"/>
          <w:bottom w:val="double" w:sz="4" w:space="0" w:color="auto"/>
        </w:tcBorders>
      </w:tcPr>
    </w:tblStylePr>
  </w:style>
  <w:style w:type="table" w:customStyle="1" w:styleId="Style1">
    <w:name w:val="Style1"/>
    <w:basedOn w:val="a1"/>
    <w:uiPriority w:val="99"/>
    <w:qFormat/>
    <w:rsid w:val="00B2425D"/>
    <w:rPr>
      <w:rFonts w:ascii="Times New Roman" w:eastAsia="MS Mincho" w:hAnsi="Times New Roman" w:cs="Times New Roman"/>
    </w:rPr>
    <w:tblPr>
      <w:tblInd w:w="0" w:type="nil"/>
    </w:tblPr>
  </w:style>
  <w:style w:type="table" w:customStyle="1" w:styleId="TableGrid1">
    <w:name w:val="Table Grid1"/>
    <w:basedOn w:val="a1"/>
    <w:rsid w:val="00B2425D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inionTable">
    <w:name w:val="Opinion Table"/>
    <w:basedOn w:val="a1"/>
    <w:uiPriority w:val="99"/>
    <w:rsid w:val="00B2425D"/>
    <w:rPr>
      <w:rFonts w:ascii="Verdana" w:eastAsia="MS Mincho" w:hAnsi="Verdana" w:cs="Times New Roman"/>
      <w:sz w:val="18"/>
    </w:rPr>
    <w:tblPr>
      <w:tblInd w:w="0" w:type="nil"/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  <w:szCs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table" w:customStyle="1" w:styleId="ListTable41">
    <w:name w:val="List Table 41"/>
    <w:basedOn w:val="a1"/>
    <w:uiPriority w:val="49"/>
    <w:rsid w:val="00B2425D"/>
    <w:rPr>
      <w:rFonts w:cs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paragraph" w:styleId="2f6">
    <w:name w:val="index 2"/>
    <w:basedOn w:val="a"/>
    <w:next w:val="a"/>
    <w:autoRedefine/>
    <w:uiPriority w:val="99"/>
    <w:semiHidden/>
    <w:unhideWhenUsed/>
    <w:rsid w:val="00B2425D"/>
    <w:pPr>
      <w:spacing w:after="0" w:line="240" w:lineRule="auto"/>
      <w:ind w:left="440" w:hanging="220"/>
    </w:pPr>
    <w:rPr>
      <w:rFonts w:eastAsia="MS Mincho" w:cs="Calibri"/>
      <w:szCs w:val="24"/>
    </w:rPr>
  </w:style>
  <w:style w:type="paragraph" w:styleId="3f2">
    <w:name w:val="index 3"/>
    <w:basedOn w:val="a"/>
    <w:next w:val="a"/>
    <w:autoRedefine/>
    <w:uiPriority w:val="99"/>
    <w:semiHidden/>
    <w:unhideWhenUsed/>
    <w:rsid w:val="00B2425D"/>
    <w:pPr>
      <w:spacing w:after="0" w:line="240" w:lineRule="auto"/>
      <w:ind w:left="660" w:hanging="220"/>
    </w:pPr>
    <w:rPr>
      <w:rFonts w:eastAsia="MS Mincho" w:cs="Calibri"/>
      <w:szCs w:val="24"/>
    </w:rPr>
  </w:style>
  <w:style w:type="paragraph" w:styleId="4e">
    <w:name w:val="index 4"/>
    <w:basedOn w:val="a"/>
    <w:next w:val="a"/>
    <w:autoRedefine/>
    <w:uiPriority w:val="99"/>
    <w:semiHidden/>
    <w:unhideWhenUsed/>
    <w:rsid w:val="00B2425D"/>
    <w:pPr>
      <w:spacing w:after="0" w:line="240" w:lineRule="auto"/>
      <w:ind w:left="880" w:hanging="220"/>
    </w:pPr>
    <w:rPr>
      <w:rFonts w:eastAsia="MS Mincho" w:cs="Calibri"/>
      <w:szCs w:val="24"/>
    </w:rPr>
  </w:style>
  <w:style w:type="paragraph" w:styleId="55">
    <w:name w:val="index 5"/>
    <w:basedOn w:val="a"/>
    <w:next w:val="a"/>
    <w:autoRedefine/>
    <w:uiPriority w:val="99"/>
    <w:semiHidden/>
    <w:unhideWhenUsed/>
    <w:rsid w:val="00B2425D"/>
    <w:pPr>
      <w:spacing w:after="0" w:line="240" w:lineRule="auto"/>
      <w:ind w:left="1100" w:hanging="220"/>
    </w:pPr>
    <w:rPr>
      <w:rFonts w:eastAsia="MS Mincho" w:cs="Calibri"/>
      <w:szCs w:val="24"/>
    </w:rPr>
  </w:style>
  <w:style w:type="paragraph" w:styleId="64">
    <w:name w:val="index 6"/>
    <w:basedOn w:val="a"/>
    <w:next w:val="a"/>
    <w:autoRedefine/>
    <w:uiPriority w:val="99"/>
    <w:semiHidden/>
    <w:unhideWhenUsed/>
    <w:rsid w:val="00B2425D"/>
    <w:pPr>
      <w:spacing w:after="0" w:line="240" w:lineRule="auto"/>
      <w:ind w:left="1320" w:hanging="220"/>
    </w:pPr>
    <w:rPr>
      <w:rFonts w:eastAsia="MS Mincho" w:cs="Calibri"/>
      <w:szCs w:val="24"/>
    </w:rPr>
  </w:style>
  <w:style w:type="paragraph" w:styleId="7d">
    <w:name w:val="index 7"/>
    <w:basedOn w:val="a"/>
    <w:next w:val="a"/>
    <w:autoRedefine/>
    <w:uiPriority w:val="99"/>
    <w:semiHidden/>
    <w:unhideWhenUsed/>
    <w:rsid w:val="00B2425D"/>
    <w:pPr>
      <w:spacing w:after="0" w:line="240" w:lineRule="auto"/>
      <w:ind w:left="1540" w:hanging="220"/>
    </w:pPr>
    <w:rPr>
      <w:rFonts w:eastAsia="MS Mincho" w:cs="Calibri"/>
      <w:szCs w:val="24"/>
    </w:rPr>
  </w:style>
  <w:style w:type="paragraph" w:styleId="8a">
    <w:name w:val="index 8"/>
    <w:basedOn w:val="a"/>
    <w:next w:val="a"/>
    <w:autoRedefine/>
    <w:uiPriority w:val="99"/>
    <w:semiHidden/>
    <w:unhideWhenUsed/>
    <w:rsid w:val="00B2425D"/>
    <w:pPr>
      <w:spacing w:after="0" w:line="240" w:lineRule="auto"/>
      <w:ind w:left="1760" w:hanging="220"/>
    </w:pPr>
    <w:rPr>
      <w:rFonts w:eastAsia="MS Mincho" w:cs="Calibri"/>
      <w:szCs w:val="24"/>
    </w:rPr>
  </w:style>
  <w:style w:type="paragraph" w:styleId="94">
    <w:name w:val="index 9"/>
    <w:basedOn w:val="a"/>
    <w:next w:val="a"/>
    <w:autoRedefine/>
    <w:uiPriority w:val="99"/>
    <w:semiHidden/>
    <w:unhideWhenUsed/>
    <w:rsid w:val="00B2425D"/>
    <w:pPr>
      <w:spacing w:after="0" w:line="240" w:lineRule="auto"/>
      <w:ind w:left="1980" w:hanging="220"/>
    </w:pPr>
    <w:rPr>
      <w:rFonts w:eastAsia="MS Mincho" w:cs="Calibri"/>
      <w:szCs w:val="24"/>
    </w:rPr>
  </w:style>
  <w:style w:type="paragraph" w:styleId="4f">
    <w:name w:val="toc 4"/>
    <w:basedOn w:val="a"/>
    <w:next w:val="a"/>
    <w:autoRedefine/>
    <w:uiPriority w:val="39"/>
    <w:unhideWhenUsed/>
    <w:rsid w:val="00B2425D"/>
    <w:pPr>
      <w:spacing w:after="0" w:line="240" w:lineRule="auto"/>
      <w:ind w:left="660"/>
    </w:pPr>
    <w:rPr>
      <w:rFonts w:eastAsia="MS Mincho" w:cs="Calibri"/>
      <w:szCs w:val="24"/>
    </w:rPr>
  </w:style>
  <w:style w:type="paragraph" w:styleId="56">
    <w:name w:val="toc 5"/>
    <w:basedOn w:val="a"/>
    <w:next w:val="a"/>
    <w:autoRedefine/>
    <w:uiPriority w:val="39"/>
    <w:unhideWhenUsed/>
    <w:rsid w:val="00B2425D"/>
    <w:pPr>
      <w:spacing w:after="0" w:line="240" w:lineRule="auto"/>
      <w:ind w:left="880"/>
    </w:pPr>
    <w:rPr>
      <w:rFonts w:eastAsia="MS Mincho" w:cs="Calibri"/>
      <w:szCs w:val="24"/>
    </w:rPr>
  </w:style>
  <w:style w:type="paragraph" w:styleId="65">
    <w:name w:val="toc 6"/>
    <w:basedOn w:val="a"/>
    <w:next w:val="a"/>
    <w:autoRedefine/>
    <w:uiPriority w:val="39"/>
    <w:unhideWhenUsed/>
    <w:rsid w:val="00B2425D"/>
    <w:pPr>
      <w:spacing w:after="0" w:line="240" w:lineRule="auto"/>
      <w:ind w:left="1100"/>
    </w:pPr>
    <w:rPr>
      <w:rFonts w:eastAsia="MS Mincho" w:cs="Calibri"/>
      <w:szCs w:val="24"/>
    </w:rPr>
  </w:style>
  <w:style w:type="paragraph" w:styleId="7e">
    <w:name w:val="toc 7"/>
    <w:basedOn w:val="a"/>
    <w:next w:val="a"/>
    <w:autoRedefine/>
    <w:uiPriority w:val="39"/>
    <w:unhideWhenUsed/>
    <w:rsid w:val="00B2425D"/>
    <w:pPr>
      <w:spacing w:after="0" w:line="240" w:lineRule="auto"/>
      <w:ind w:left="1320"/>
    </w:pPr>
    <w:rPr>
      <w:rFonts w:eastAsia="MS Mincho" w:cs="Calibri"/>
      <w:szCs w:val="24"/>
    </w:rPr>
  </w:style>
  <w:style w:type="paragraph" w:styleId="8b">
    <w:name w:val="toc 8"/>
    <w:basedOn w:val="a"/>
    <w:next w:val="a"/>
    <w:autoRedefine/>
    <w:uiPriority w:val="39"/>
    <w:unhideWhenUsed/>
    <w:rsid w:val="00B2425D"/>
    <w:pPr>
      <w:spacing w:after="0" w:line="240" w:lineRule="auto"/>
      <w:ind w:left="1540"/>
    </w:pPr>
    <w:rPr>
      <w:rFonts w:eastAsia="MS Mincho" w:cs="Calibri"/>
      <w:szCs w:val="24"/>
    </w:rPr>
  </w:style>
  <w:style w:type="paragraph" w:styleId="95">
    <w:name w:val="toc 9"/>
    <w:basedOn w:val="a"/>
    <w:next w:val="a"/>
    <w:autoRedefine/>
    <w:uiPriority w:val="39"/>
    <w:unhideWhenUsed/>
    <w:rsid w:val="00B2425D"/>
    <w:pPr>
      <w:spacing w:after="0" w:line="240" w:lineRule="auto"/>
      <w:ind w:left="1760"/>
    </w:pPr>
    <w:rPr>
      <w:rFonts w:eastAsia="MS Mincho" w:cs="Calibri"/>
      <w:szCs w:val="24"/>
    </w:rPr>
  </w:style>
  <w:style w:type="paragraph" w:styleId="affff3">
    <w:name w:val="Normal Indent"/>
    <w:basedOn w:val="a"/>
    <w:uiPriority w:val="99"/>
    <w:semiHidden/>
    <w:unhideWhenUsed/>
    <w:rsid w:val="00B2425D"/>
    <w:pPr>
      <w:spacing w:after="0" w:line="240" w:lineRule="auto"/>
      <w:ind w:left="708"/>
    </w:pPr>
    <w:rPr>
      <w:rFonts w:eastAsia="MS Mincho" w:cs="Calibri"/>
      <w:szCs w:val="24"/>
    </w:rPr>
  </w:style>
  <w:style w:type="paragraph" w:styleId="affff4">
    <w:name w:val="index heading"/>
    <w:basedOn w:val="a"/>
    <w:next w:val="13"/>
    <w:uiPriority w:val="99"/>
    <w:semiHidden/>
    <w:unhideWhenUsed/>
    <w:rsid w:val="00B2425D"/>
    <w:pPr>
      <w:spacing w:after="0" w:line="240" w:lineRule="auto"/>
    </w:pPr>
    <w:rPr>
      <w:rFonts w:ascii="Arial" w:eastAsia="MS Mincho" w:hAnsi="Arial" w:cs="Arial"/>
      <w:b/>
      <w:bCs/>
      <w:szCs w:val="24"/>
    </w:rPr>
  </w:style>
  <w:style w:type="paragraph" w:styleId="affff5">
    <w:name w:val="caption"/>
    <w:basedOn w:val="a"/>
    <w:next w:val="a"/>
    <w:uiPriority w:val="35"/>
    <w:unhideWhenUsed/>
    <w:qFormat/>
    <w:rsid w:val="00B2425D"/>
    <w:pPr>
      <w:spacing w:before="120" w:after="120" w:line="240" w:lineRule="auto"/>
    </w:pPr>
    <w:rPr>
      <w:rFonts w:ascii="Arial" w:eastAsia="MS Mincho" w:hAnsi="Arial" w:cs="Calibri"/>
      <w:b/>
      <w:bCs/>
      <w:sz w:val="20"/>
      <w:szCs w:val="20"/>
    </w:rPr>
  </w:style>
  <w:style w:type="paragraph" w:styleId="affff6">
    <w:name w:val="table of figures"/>
    <w:basedOn w:val="a"/>
    <w:next w:val="a"/>
    <w:uiPriority w:val="99"/>
    <w:semiHidden/>
    <w:unhideWhenUsed/>
    <w:rsid w:val="00B2425D"/>
    <w:pPr>
      <w:spacing w:after="0" w:line="240" w:lineRule="auto"/>
      <w:ind w:left="440" w:hanging="440"/>
    </w:pPr>
    <w:rPr>
      <w:rFonts w:eastAsia="MS Mincho" w:cs="Calibri"/>
      <w:szCs w:val="24"/>
    </w:rPr>
  </w:style>
  <w:style w:type="paragraph" w:styleId="affff7">
    <w:name w:val="envelope address"/>
    <w:basedOn w:val="a"/>
    <w:uiPriority w:val="99"/>
    <w:semiHidden/>
    <w:unhideWhenUsed/>
    <w:rsid w:val="00B2425D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eastAsia="MS Mincho" w:hAnsi="Arial" w:cs="Arial"/>
      <w:sz w:val="24"/>
      <w:szCs w:val="24"/>
    </w:rPr>
  </w:style>
  <w:style w:type="paragraph" w:styleId="2f7">
    <w:name w:val="envelope return"/>
    <w:basedOn w:val="a"/>
    <w:uiPriority w:val="99"/>
    <w:semiHidden/>
    <w:unhideWhenUsed/>
    <w:rsid w:val="00B2425D"/>
    <w:pPr>
      <w:spacing w:after="0" w:line="240" w:lineRule="auto"/>
    </w:pPr>
    <w:rPr>
      <w:rFonts w:ascii="Arial" w:eastAsia="MS Mincho" w:hAnsi="Arial" w:cs="Arial"/>
      <w:sz w:val="20"/>
      <w:szCs w:val="20"/>
    </w:rPr>
  </w:style>
  <w:style w:type="paragraph" w:styleId="affff8">
    <w:name w:val="table of authorities"/>
    <w:basedOn w:val="a"/>
    <w:next w:val="a"/>
    <w:uiPriority w:val="99"/>
    <w:semiHidden/>
    <w:unhideWhenUsed/>
    <w:rsid w:val="00B2425D"/>
    <w:pPr>
      <w:spacing w:after="0" w:line="240" w:lineRule="auto"/>
      <w:ind w:left="220" w:hanging="220"/>
    </w:pPr>
    <w:rPr>
      <w:rFonts w:eastAsia="MS Mincho" w:cs="Calibri"/>
      <w:szCs w:val="24"/>
    </w:rPr>
  </w:style>
  <w:style w:type="paragraph" w:styleId="affff9">
    <w:name w:val="toa heading"/>
    <w:basedOn w:val="a"/>
    <w:next w:val="a"/>
    <w:uiPriority w:val="99"/>
    <w:semiHidden/>
    <w:unhideWhenUsed/>
    <w:rsid w:val="00B2425D"/>
    <w:pPr>
      <w:spacing w:before="120" w:after="0" w:line="240" w:lineRule="auto"/>
    </w:pPr>
    <w:rPr>
      <w:rFonts w:ascii="Arial" w:eastAsia="MS Mincho" w:hAnsi="Arial" w:cs="Arial"/>
      <w:b/>
      <w:bCs/>
      <w:sz w:val="24"/>
      <w:szCs w:val="24"/>
    </w:rPr>
  </w:style>
  <w:style w:type="paragraph" w:styleId="3f3">
    <w:name w:val="List 3"/>
    <w:basedOn w:val="26"/>
    <w:uiPriority w:val="99"/>
    <w:unhideWhenUsed/>
    <w:rsid w:val="00B2425D"/>
    <w:pPr>
      <w:numPr>
        <w:numId w:val="5"/>
      </w:numPr>
      <w:tabs>
        <w:tab w:val="clear" w:pos="926"/>
        <w:tab w:val="num" w:pos="643"/>
        <w:tab w:val="num" w:pos="1492"/>
      </w:tabs>
      <w:ind w:left="360"/>
    </w:pPr>
  </w:style>
  <w:style w:type="paragraph" w:styleId="4f0">
    <w:name w:val="List 4"/>
    <w:basedOn w:val="a"/>
    <w:uiPriority w:val="99"/>
    <w:semiHidden/>
    <w:unhideWhenUsed/>
    <w:rsid w:val="00B2425D"/>
    <w:pPr>
      <w:spacing w:after="0" w:line="240" w:lineRule="auto"/>
      <w:ind w:left="1132" w:hanging="283"/>
    </w:pPr>
    <w:rPr>
      <w:rFonts w:eastAsia="MS Mincho" w:cs="Calibri"/>
      <w:szCs w:val="24"/>
    </w:rPr>
  </w:style>
  <w:style w:type="paragraph" w:styleId="57">
    <w:name w:val="List 5"/>
    <w:basedOn w:val="a"/>
    <w:uiPriority w:val="99"/>
    <w:semiHidden/>
    <w:unhideWhenUsed/>
    <w:rsid w:val="00B2425D"/>
    <w:pPr>
      <w:spacing w:after="0" w:line="240" w:lineRule="auto"/>
      <w:ind w:left="1415" w:hanging="283"/>
    </w:pPr>
    <w:rPr>
      <w:rFonts w:eastAsia="MS Mincho" w:cs="Calibri"/>
      <w:szCs w:val="24"/>
    </w:rPr>
  </w:style>
  <w:style w:type="paragraph" w:styleId="3f4">
    <w:name w:val="List Bullet 3"/>
    <w:basedOn w:val="27"/>
    <w:uiPriority w:val="99"/>
    <w:unhideWhenUsed/>
    <w:rsid w:val="00B2425D"/>
    <w:pPr>
      <w:numPr>
        <w:numId w:val="0"/>
      </w:numPr>
      <w:tabs>
        <w:tab w:val="num" w:pos="360"/>
        <w:tab w:val="num" w:pos="1247"/>
      </w:tabs>
      <w:ind w:left="1247" w:hanging="294"/>
    </w:pPr>
  </w:style>
  <w:style w:type="paragraph" w:styleId="4f1">
    <w:name w:val="List Bullet 4"/>
    <w:basedOn w:val="a"/>
    <w:autoRedefine/>
    <w:uiPriority w:val="99"/>
    <w:semiHidden/>
    <w:unhideWhenUsed/>
    <w:rsid w:val="00B2425D"/>
    <w:pPr>
      <w:tabs>
        <w:tab w:val="num" w:pos="1209"/>
        <w:tab w:val="num" w:pos="1440"/>
      </w:tabs>
      <w:spacing w:after="0" w:line="240" w:lineRule="auto"/>
      <w:ind w:left="1209"/>
    </w:pPr>
    <w:rPr>
      <w:rFonts w:eastAsia="MS Mincho" w:cs="Calibri"/>
      <w:szCs w:val="24"/>
    </w:rPr>
  </w:style>
  <w:style w:type="paragraph" w:styleId="58">
    <w:name w:val="List Bullet 5"/>
    <w:basedOn w:val="a"/>
    <w:autoRedefine/>
    <w:uiPriority w:val="99"/>
    <w:semiHidden/>
    <w:unhideWhenUsed/>
    <w:rsid w:val="00B2425D"/>
    <w:pPr>
      <w:tabs>
        <w:tab w:val="num" w:pos="1209"/>
        <w:tab w:val="num" w:pos="1492"/>
      </w:tabs>
      <w:spacing w:after="0" w:line="240" w:lineRule="auto"/>
      <w:ind w:left="1492" w:hanging="360"/>
    </w:pPr>
    <w:rPr>
      <w:rFonts w:eastAsia="MS Mincho" w:cs="Calibri"/>
      <w:szCs w:val="24"/>
    </w:rPr>
  </w:style>
  <w:style w:type="paragraph" w:styleId="3f5">
    <w:name w:val="List Number 3"/>
    <w:basedOn w:val="28"/>
    <w:uiPriority w:val="99"/>
    <w:unhideWhenUsed/>
    <w:rsid w:val="00B2425D"/>
    <w:pPr>
      <w:numPr>
        <w:numId w:val="0"/>
      </w:numPr>
      <w:tabs>
        <w:tab w:val="num" w:pos="476"/>
        <w:tab w:val="num" w:pos="953"/>
      </w:tabs>
      <w:ind w:left="953" w:hanging="477"/>
    </w:pPr>
  </w:style>
  <w:style w:type="paragraph" w:styleId="4f2">
    <w:name w:val="List Number 4"/>
    <w:basedOn w:val="a"/>
    <w:uiPriority w:val="99"/>
    <w:semiHidden/>
    <w:unhideWhenUsed/>
    <w:rsid w:val="00B2425D"/>
    <w:pPr>
      <w:tabs>
        <w:tab w:val="num" w:pos="476"/>
        <w:tab w:val="num" w:pos="1209"/>
        <w:tab w:val="num" w:pos="7937"/>
      </w:tabs>
      <w:spacing w:after="0" w:line="240" w:lineRule="auto"/>
      <w:ind w:left="1209" w:hanging="360"/>
    </w:pPr>
    <w:rPr>
      <w:rFonts w:eastAsia="MS Mincho" w:cs="Calibri"/>
      <w:szCs w:val="24"/>
    </w:rPr>
  </w:style>
  <w:style w:type="paragraph" w:styleId="59">
    <w:name w:val="List Number 5"/>
    <w:basedOn w:val="a"/>
    <w:uiPriority w:val="99"/>
    <w:semiHidden/>
    <w:unhideWhenUsed/>
    <w:rsid w:val="00B2425D"/>
    <w:pPr>
      <w:numPr>
        <w:numId w:val="8"/>
      </w:numPr>
      <w:tabs>
        <w:tab w:val="num" w:pos="476"/>
        <w:tab w:val="num" w:pos="1492"/>
      </w:tabs>
      <w:spacing w:after="0" w:line="240" w:lineRule="auto"/>
      <w:ind w:left="1492"/>
    </w:pPr>
    <w:rPr>
      <w:rFonts w:eastAsia="MS Mincho" w:cs="Calibri"/>
      <w:szCs w:val="24"/>
    </w:rPr>
  </w:style>
  <w:style w:type="paragraph" w:styleId="affffa">
    <w:name w:val="List Continue"/>
    <w:basedOn w:val="a"/>
    <w:uiPriority w:val="99"/>
    <w:semiHidden/>
    <w:unhideWhenUsed/>
    <w:rsid w:val="00B2425D"/>
    <w:pPr>
      <w:spacing w:after="120" w:line="240" w:lineRule="auto"/>
      <w:ind w:left="283"/>
    </w:pPr>
    <w:rPr>
      <w:rFonts w:eastAsia="MS Mincho" w:cs="Calibri"/>
      <w:szCs w:val="24"/>
    </w:rPr>
  </w:style>
  <w:style w:type="paragraph" w:styleId="2f8">
    <w:name w:val="List Continue 2"/>
    <w:basedOn w:val="a"/>
    <w:uiPriority w:val="99"/>
    <w:semiHidden/>
    <w:unhideWhenUsed/>
    <w:rsid w:val="00B2425D"/>
    <w:pPr>
      <w:spacing w:after="120" w:line="240" w:lineRule="auto"/>
      <w:ind w:left="566"/>
    </w:pPr>
    <w:rPr>
      <w:rFonts w:eastAsia="MS Mincho" w:cs="Calibri"/>
      <w:szCs w:val="24"/>
    </w:rPr>
  </w:style>
  <w:style w:type="paragraph" w:styleId="3f6">
    <w:name w:val="List Continue 3"/>
    <w:basedOn w:val="a"/>
    <w:uiPriority w:val="99"/>
    <w:semiHidden/>
    <w:unhideWhenUsed/>
    <w:rsid w:val="00B2425D"/>
    <w:pPr>
      <w:spacing w:after="120" w:line="240" w:lineRule="auto"/>
      <w:ind w:left="849"/>
    </w:pPr>
    <w:rPr>
      <w:rFonts w:eastAsia="MS Mincho" w:cs="Calibri"/>
      <w:szCs w:val="24"/>
    </w:rPr>
  </w:style>
  <w:style w:type="paragraph" w:styleId="4f3">
    <w:name w:val="List Continue 4"/>
    <w:basedOn w:val="a"/>
    <w:uiPriority w:val="99"/>
    <w:semiHidden/>
    <w:unhideWhenUsed/>
    <w:rsid w:val="00B2425D"/>
    <w:pPr>
      <w:spacing w:after="120" w:line="240" w:lineRule="auto"/>
      <w:ind w:left="1132"/>
    </w:pPr>
    <w:rPr>
      <w:rFonts w:eastAsia="MS Mincho" w:cs="Calibri"/>
      <w:szCs w:val="24"/>
    </w:rPr>
  </w:style>
  <w:style w:type="paragraph" w:styleId="5a">
    <w:name w:val="List Continue 5"/>
    <w:basedOn w:val="a"/>
    <w:uiPriority w:val="99"/>
    <w:semiHidden/>
    <w:unhideWhenUsed/>
    <w:rsid w:val="00B2425D"/>
    <w:pPr>
      <w:spacing w:after="120" w:line="240" w:lineRule="auto"/>
      <w:ind w:left="1415"/>
    </w:pPr>
    <w:rPr>
      <w:rFonts w:eastAsia="MS Mincho" w:cs="Calibri"/>
      <w:szCs w:val="24"/>
    </w:rPr>
  </w:style>
  <w:style w:type="paragraph" w:styleId="affffb">
    <w:name w:val="Block Text"/>
    <w:basedOn w:val="a"/>
    <w:uiPriority w:val="99"/>
    <w:semiHidden/>
    <w:unhideWhenUsed/>
    <w:rsid w:val="00B2425D"/>
    <w:pPr>
      <w:spacing w:after="120" w:line="240" w:lineRule="auto"/>
      <w:ind w:left="1440" w:right="1440"/>
    </w:pPr>
    <w:rPr>
      <w:rFonts w:eastAsia="MS Mincho" w:cs="Calibri"/>
      <w:szCs w:val="24"/>
    </w:rPr>
  </w:style>
  <w:style w:type="paragraph" w:styleId="afffd">
    <w:name w:val="endnote text"/>
    <w:basedOn w:val="a"/>
    <w:link w:val="affffc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Calibri" w:hAnsi="Calibri" w:cs="Calibri"/>
    </w:rPr>
  </w:style>
  <w:style w:type="character" w:customStyle="1" w:styleId="affffc">
    <w:name w:val="Текст концевой сноски Знак"/>
    <w:basedOn w:val="a0"/>
    <w:link w:val="afffd"/>
    <w:uiPriority w:val="99"/>
    <w:semiHidden/>
    <w:locked/>
    <w:rsid w:val="00B2425D"/>
    <w:rPr>
      <w:rFonts w:cs="Times New Roman"/>
      <w:sz w:val="22"/>
    </w:rPr>
  </w:style>
  <w:style w:type="character" w:customStyle="1" w:styleId="2f9">
    <w:name w:val="Текст концевой сноски Знак2"/>
    <w:uiPriority w:val="99"/>
    <w:semiHidden/>
    <w:rsid w:val="00B2425D"/>
    <w:rPr>
      <w:rFonts w:ascii="Times New Roman" w:hAnsi="Times New Roman"/>
      <w:sz w:val="20"/>
    </w:rPr>
  </w:style>
  <w:style w:type="character" w:customStyle="1" w:styleId="2fa">
    <w:name w:val="Прощание Знак2"/>
    <w:uiPriority w:val="99"/>
    <w:semiHidden/>
    <w:rsid w:val="00B2425D"/>
    <w:rPr>
      <w:rFonts w:ascii="Times New Roman" w:hAnsi="Times New Roman"/>
      <w:sz w:val="20"/>
    </w:rPr>
  </w:style>
  <w:style w:type="character" w:customStyle="1" w:styleId="2fb">
    <w:name w:val="Подпись Знак2"/>
    <w:uiPriority w:val="99"/>
    <w:semiHidden/>
    <w:rsid w:val="00B2425D"/>
    <w:rPr>
      <w:rFonts w:ascii="Times New Roman" w:hAnsi="Times New Roman"/>
      <w:sz w:val="20"/>
    </w:rPr>
  </w:style>
  <w:style w:type="character" w:customStyle="1" w:styleId="2fc">
    <w:name w:val="Шапка Знак2"/>
    <w:uiPriority w:val="99"/>
    <w:semiHidden/>
    <w:rsid w:val="00B2425D"/>
    <w:rPr>
      <w:rFonts w:ascii="Calibri Light" w:hAnsi="Calibri Light"/>
      <w:sz w:val="24"/>
      <w:shd w:val="pct20" w:color="auto" w:fill="auto"/>
    </w:rPr>
  </w:style>
  <w:style w:type="character" w:customStyle="1" w:styleId="2fd">
    <w:name w:val="Подзаголовок Знак2"/>
    <w:uiPriority w:val="11"/>
    <w:rsid w:val="00B2425D"/>
    <w:rPr>
      <w:rFonts w:ascii="Calibri Light" w:hAnsi="Calibri Light"/>
      <w:sz w:val="24"/>
    </w:rPr>
  </w:style>
  <w:style w:type="character" w:customStyle="1" w:styleId="2fe">
    <w:name w:val="Приветствие Знак2"/>
    <w:uiPriority w:val="99"/>
    <w:semiHidden/>
    <w:rsid w:val="00B2425D"/>
    <w:rPr>
      <w:rFonts w:ascii="Times New Roman" w:hAnsi="Times New Roman"/>
      <w:sz w:val="20"/>
    </w:rPr>
  </w:style>
  <w:style w:type="character" w:customStyle="1" w:styleId="2ff">
    <w:name w:val="Дата Знак2"/>
    <w:uiPriority w:val="99"/>
    <w:semiHidden/>
    <w:rsid w:val="00B2425D"/>
    <w:rPr>
      <w:rFonts w:ascii="Times New Roman" w:hAnsi="Times New Roman"/>
      <w:sz w:val="20"/>
    </w:rPr>
  </w:style>
  <w:style w:type="character" w:customStyle="1" w:styleId="2ff0">
    <w:name w:val="Заголовок записки Знак2"/>
    <w:uiPriority w:val="99"/>
    <w:semiHidden/>
    <w:rsid w:val="00B2425D"/>
    <w:rPr>
      <w:rFonts w:ascii="Times New Roman" w:hAnsi="Times New Roman"/>
      <w:sz w:val="20"/>
    </w:rPr>
  </w:style>
  <w:style w:type="character" w:customStyle="1" w:styleId="22b">
    <w:name w:val="Основной текст с отступом 2 Знак2"/>
    <w:uiPriority w:val="99"/>
    <w:semiHidden/>
    <w:rsid w:val="00B2425D"/>
    <w:rPr>
      <w:rFonts w:ascii="Times New Roman" w:hAnsi="Times New Roman"/>
      <w:sz w:val="20"/>
    </w:rPr>
  </w:style>
  <w:style w:type="character" w:customStyle="1" w:styleId="32c">
    <w:name w:val="Основной текст с отступом 3 Знак2"/>
    <w:uiPriority w:val="99"/>
    <w:semiHidden/>
    <w:rsid w:val="00B2425D"/>
    <w:rPr>
      <w:rFonts w:ascii="Times New Roman" w:hAnsi="Times New Roman"/>
      <w:sz w:val="16"/>
    </w:rPr>
  </w:style>
  <w:style w:type="character" w:customStyle="1" w:styleId="2ff1">
    <w:name w:val="Схема документа Знак2"/>
    <w:uiPriority w:val="99"/>
    <w:semiHidden/>
    <w:rsid w:val="00B2425D"/>
    <w:rPr>
      <w:rFonts w:ascii="Segoe UI" w:hAnsi="Segoe UI"/>
      <w:sz w:val="16"/>
    </w:rPr>
  </w:style>
  <w:style w:type="character" w:customStyle="1" w:styleId="2ff2">
    <w:name w:val="Текст Знак2"/>
    <w:uiPriority w:val="99"/>
    <w:semiHidden/>
    <w:rsid w:val="00B2425D"/>
    <w:rPr>
      <w:rFonts w:ascii="Courier New" w:hAnsi="Courier New"/>
      <w:sz w:val="20"/>
    </w:rPr>
  </w:style>
  <w:style w:type="character" w:customStyle="1" w:styleId="2ff3">
    <w:name w:val="Электронная подпись Знак2"/>
    <w:uiPriority w:val="99"/>
    <w:semiHidden/>
    <w:rsid w:val="00B2425D"/>
    <w:rPr>
      <w:rFonts w:ascii="Times New Roman" w:hAnsi="Times New Roman"/>
      <w:sz w:val="20"/>
    </w:rPr>
  </w:style>
  <w:style w:type="table" w:styleId="-40">
    <w:name w:val="List Table 4"/>
    <w:basedOn w:val="a1"/>
    <w:uiPriority w:val="49"/>
    <w:rsid w:val="00B2425D"/>
    <w:rPr>
      <w:rFonts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paragraph" w:customStyle="1" w:styleId="msonormal0">
    <w:name w:val="msonormal"/>
    <w:basedOn w:val="a"/>
    <w:rsid w:val="00B2425D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3">
    <w:name w:val="xl63"/>
    <w:basedOn w:val="a"/>
    <w:rsid w:val="00B24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16"/>
      <w:szCs w:val="16"/>
    </w:rPr>
  </w:style>
  <w:style w:type="paragraph" w:customStyle="1" w:styleId="xl64">
    <w:name w:val="xl64"/>
    <w:basedOn w:val="a"/>
    <w:rsid w:val="00B242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16"/>
      <w:szCs w:val="16"/>
    </w:rPr>
  </w:style>
  <w:style w:type="paragraph" w:customStyle="1" w:styleId="xl65">
    <w:name w:val="xl65"/>
    <w:basedOn w:val="a"/>
    <w:rsid w:val="00B24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 w:val="16"/>
      <w:szCs w:val="16"/>
    </w:rPr>
  </w:style>
  <w:style w:type="paragraph" w:customStyle="1" w:styleId="xl66">
    <w:name w:val="xl66"/>
    <w:basedOn w:val="a"/>
    <w:rsid w:val="00B242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16"/>
      <w:szCs w:val="16"/>
    </w:rPr>
  </w:style>
  <w:style w:type="paragraph" w:customStyle="1" w:styleId="xl67">
    <w:name w:val="xl67"/>
    <w:basedOn w:val="a"/>
    <w:rsid w:val="00B24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a"/>
    <w:rsid w:val="00B242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16"/>
      <w:szCs w:val="16"/>
    </w:rPr>
  </w:style>
  <w:style w:type="character" w:styleId="affffd">
    <w:name w:val="Unresolved Mention"/>
    <w:basedOn w:val="a0"/>
    <w:uiPriority w:val="99"/>
    <w:semiHidden/>
    <w:unhideWhenUsed/>
    <w:rsid w:val="00B2425D"/>
    <w:rPr>
      <w:rFonts w:cs="Times New Roman"/>
      <w:color w:val="605E5C"/>
      <w:shd w:val="clear" w:color="auto" w:fill="E1DFDD"/>
    </w:rPr>
  </w:style>
  <w:style w:type="table" w:customStyle="1" w:styleId="2ff4">
    <w:name w:val="Сетка таблицы2"/>
    <w:basedOn w:val="a1"/>
    <w:next w:val="af8"/>
    <w:uiPriority w:val="39"/>
    <w:rsid w:val="00B2425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Список-таблица 1 светлая2"/>
    <w:basedOn w:val="a1"/>
    <w:next w:val="-1"/>
    <w:uiPriority w:val="46"/>
    <w:rsid w:val="00B2425D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111">
    <w:name w:val="Список-таблица 1 светлая11"/>
    <w:basedOn w:val="a1"/>
    <w:next w:val="-1"/>
    <w:uiPriority w:val="46"/>
    <w:rsid w:val="00B2425D"/>
    <w:rPr>
      <w:rFonts w:cs="Times New Roman"/>
      <w:lang w:val="en-US" w:eastAsia="en-US"/>
    </w:rPr>
    <w:tblPr>
      <w:tblStyleRowBandSize w:val="1"/>
      <w:tblStyleColBandSize w:val="1"/>
      <w:tblInd w:w="0" w:type="nil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ListTable411">
    <w:name w:val="List Table 411"/>
    <w:basedOn w:val="a1"/>
    <w:uiPriority w:val="49"/>
    <w:rsid w:val="00B2425D"/>
    <w:rPr>
      <w:rFonts w:cs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2">
    <w:name w:val="Список-таблица 42"/>
    <w:basedOn w:val="a1"/>
    <w:next w:val="-40"/>
    <w:uiPriority w:val="49"/>
    <w:rsid w:val="00B2425D"/>
    <w:rPr>
      <w:rFonts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3f7">
    <w:name w:val="Сетка таблицы3"/>
    <w:basedOn w:val="a1"/>
    <w:next w:val="af8"/>
    <w:uiPriority w:val="39"/>
    <w:rsid w:val="00B2425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LTable1">
    <w:name w:val="ML Table1"/>
    <w:basedOn w:val="af8"/>
    <w:semiHidden/>
    <w:rsid w:val="00B2425D"/>
    <w:pPr>
      <w:spacing w:before="40" w:after="40"/>
    </w:pPr>
    <w:rPr>
      <w:rFonts w:ascii="Times New Roman" w:eastAsia="MS Mincho" w:hAnsi="Times New Roman"/>
    </w:rPr>
    <w:tblPr>
      <w:jc w:val="center"/>
      <w:tblCellMar>
        <w:left w:w="28" w:type="dxa"/>
        <w:right w:w="28" w:type="dxa"/>
      </w:tblCellMar>
    </w:tblPr>
    <w:trPr>
      <w:jc w:val="center"/>
    </w:trPr>
    <w:tblStylePr w:type="firstRow">
      <w:pPr>
        <w:jc w:val="center"/>
      </w:pPr>
      <w:rPr>
        <w:rFonts w:cs="Times New Roman"/>
        <w:b/>
        <w:sz w:val="20"/>
      </w:rPr>
      <w:tblPr/>
      <w:tcPr>
        <w:tcBorders>
          <w:top w:val="double" w:sz="4" w:space="0" w:color="auto"/>
          <w:bottom w:val="double" w:sz="4" w:space="0" w:color="auto"/>
        </w:tcBorders>
      </w:tcPr>
    </w:tblStylePr>
  </w:style>
  <w:style w:type="table" w:customStyle="1" w:styleId="4f4">
    <w:name w:val="Сетка таблицы4"/>
    <w:basedOn w:val="a1"/>
    <w:next w:val="af8"/>
    <w:uiPriority w:val="39"/>
    <w:rsid w:val="00B2425D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7">
    <w:name w:val="HTML Acronym"/>
    <w:basedOn w:val="a0"/>
    <w:uiPriority w:val="99"/>
    <w:semiHidden/>
    <w:rsid w:val="00B2425D"/>
    <w:rPr>
      <w:rFonts w:cs="Times New Roman"/>
    </w:rPr>
  </w:style>
  <w:style w:type="character" w:styleId="HTML8">
    <w:name w:val="HTML Cite"/>
    <w:basedOn w:val="a0"/>
    <w:uiPriority w:val="99"/>
    <w:semiHidden/>
    <w:rsid w:val="00B2425D"/>
    <w:rPr>
      <w:rFonts w:cs="Times New Roman"/>
      <w:i/>
    </w:rPr>
  </w:style>
  <w:style w:type="character" w:styleId="HTML9">
    <w:name w:val="HTML Definition"/>
    <w:basedOn w:val="a0"/>
    <w:uiPriority w:val="99"/>
    <w:semiHidden/>
    <w:rsid w:val="00B2425D"/>
    <w:rPr>
      <w:rFonts w:cs="Times New Roman"/>
      <w:i/>
    </w:rPr>
  </w:style>
  <w:style w:type="character" w:styleId="HTMLa">
    <w:name w:val="HTML Variable"/>
    <w:basedOn w:val="a0"/>
    <w:uiPriority w:val="99"/>
    <w:semiHidden/>
    <w:rsid w:val="00B2425D"/>
    <w:rPr>
      <w:rFonts w:cs="Times New Roman"/>
      <w:i/>
    </w:rPr>
  </w:style>
  <w:style w:type="character" w:styleId="affffe">
    <w:name w:val="line number"/>
    <w:basedOn w:val="a0"/>
    <w:uiPriority w:val="99"/>
    <w:semiHidden/>
    <w:rsid w:val="00B2425D"/>
    <w:rPr>
      <w:rFonts w:cs="Times New Roman"/>
    </w:rPr>
  </w:style>
  <w:style w:type="table" w:customStyle="1" w:styleId="11f">
    <w:name w:val="Объемная таблица 11"/>
    <w:basedOn w:val="a1"/>
    <w:next w:val="1ffc"/>
    <w:semiHidden/>
    <w:rsid w:val="00B2425D"/>
    <w:rPr>
      <w:rFonts w:ascii="Times New Roman" w:eastAsia="MS Mincho" w:hAnsi="Times New Roman" w:cs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6" w:space="0" w:color="auto"/>
          <w:bottom w:val="none" w:sz="6" w:space="0" w:color="auto"/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6" w:space="0" w:color="auto"/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21d">
    <w:name w:val="Объемная таблица 21"/>
    <w:basedOn w:val="a1"/>
    <w:next w:val="2f4"/>
    <w:semiHidden/>
    <w:rsid w:val="00B2425D"/>
    <w:rPr>
      <w:rFonts w:ascii="Times New Roman" w:eastAsia="MS Mincho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e">
    <w:name w:val="Объемная таблица 31"/>
    <w:basedOn w:val="a1"/>
    <w:next w:val="3f1"/>
    <w:semiHidden/>
    <w:rsid w:val="00B2425D"/>
    <w:rPr>
      <w:rFonts w:ascii="Times New Roman" w:eastAsia="MS Mincho" w:hAnsi="Times New Roman"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f0">
    <w:name w:val="Классическая таблица 11"/>
    <w:basedOn w:val="a1"/>
    <w:next w:val="1ff8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e">
    <w:name w:val="Классическая таблица 21"/>
    <w:basedOn w:val="a1"/>
    <w:next w:val="2f0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f">
    <w:name w:val="Классическая таблица 31"/>
    <w:basedOn w:val="a1"/>
    <w:next w:val="3d"/>
    <w:semiHidden/>
    <w:rsid w:val="00B2425D"/>
    <w:rPr>
      <w:rFonts w:ascii="Times New Roman" w:eastAsia="MS Mincho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11">
    <w:name w:val="Классическая таблица 41"/>
    <w:basedOn w:val="a1"/>
    <w:next w:val="4b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f1">
    <w:name w:val="Цветная таблица 11"/>
    <w:basedOn w:val="a1"/>
    <w:next w:val="1ff9"/>
    <w:semiHidden/>
    <w:rsid w:val="00B2425D"/>
    <w:rPr>
      <w:rFonts w:ascii="Times New Roman" w:eastAsia="MS Mincho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f">
    <w:name w:val="Цветная таблица 21"/>
    <w:basedOn w:val="a1"/>
    <w:next w:val="2f1"/>
    <w:semiHidden/>
    <w:rsid w:val="00B2425D"/>
    <w:rPr>
      <w:rFonts w:ascii="Times New Roman" w:eastAsia="MS Mincho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f0">
    <w:name w:val="Цветная таблица 31"/>
    <w:basedOn w:val="a1"/>
    <w:next w:val="3e"/>
    <w:semiHidden/>
    <w:rsid w:val="00B2425D"/>
    <w:rPr>
      <w:rFonts w:ascii="Times New Roman" w:eastAsia="MS Mincho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1f2">
    <w:name w:val="Столбцы таблицы 11"/>
    <w:basedOn w:val="a1"/>
    <w:next w:val="1ffa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f0">
    <w:name w:val="Столбцы таблицы 21"/>
    <w:basedOn w:val="a1"/>
    <w:next w:val="2f2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f1">
    <w:name w:val="Столбцы таблицы 31"/>
    <w:basedOn w:val="a1"/>
    <w:next w:val="3f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12">
    <w:name w:val="Столбцы таблицы 41"/>
    <w:basedOn w:val="a1"/>
    <w:next w:val="4c"/>
    <w:semiHidden/>
    <w:rsid w:val="00B2425D"/>
    <w:rPr>
      <w:rFonts w:ascii="Times New Roman" w:eastAsia="MS Mincho" w:hAnsi="Times New Roman" w:cs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510">
    <w:name w:val="Столбцы таблицы 51"/>
    <w:basedOn w:val="a1"/>
    <w:next w:val="53"/>
    <w:semiHidden/>
    <w:rsid w:val="00B2425D"/>
    <w:rPr>
      <w:rFonts w:ascii="Times New Roman" w:eastAsia="MS Mincho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1fff">
    <w:name w:val="Современная таблица1"/>
    <w:basedOn w:val="a1"/>
    <w:next w:val="affff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</w:style>
  <w:style w:type="table" w:customStyle="1" w:styleId="1fff0">
    <w:name w:val="Изысканная таблица1"/>
    <w:basedOn w:val="a1"/>
    <w:next w:val="affff0"/>
    <w:semiHidden/>
    <w:rsid w:val="00B2425D"/>
    <w:rPr>
      <w:rFonts w:ascii="Times New Roman" w:eastAsia="MS Mincho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f3">
    <w:name w:val="Сетка таблицы 11"/>
    <w:basedOn w:val="a1"/>
    <w:next w:val="1ffb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f1">
    <w:name w:val="Сетка таблицы 21"/>
    <w:basedOn w:val="a1"/>
    <w:next w:val="2f3"/>
    <w:semiHidden/>
    <w:rsid w:val="00B2425D"/>
    <w:rPr>
      <w:rFonts w:ascii="Times New Roman" w:eastAsia="MS Mincho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f2">
    <w:name w:val="Сетка таблицы 31"/>
    <w:basedOn w:val="a1"/>
    <w:next w:val="3f0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13">
    <w:name w:val="Сетка таблицы 41"/>
    <w:basedOn w:val="a1"/>
    <w:next w:val="4d"/>
    <w:semiHidden/>
    <w:rsid w:val="00B2425D"/>
    <w:rPr>
      <w:rFonts w:ascii="Times New Roman" w:eastAsia="MS Mincho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511">
    <w:name w:val="Сетка таблицы 51"/>
    <w:basedOn w:val="a1"/>
    <w:next w:val="54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610">
    <w:name w:val="Сетка таблицы 61"/>
    <w:basedOn w:val="a1"/>
    <w:next w:val="63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712">
    <w:name w:val="Сетка таблицы 71"/>
    <w:basedOn w:val="a1"/>
    <w:next w:val="7c"/>
    <w:semiHidden/>
    <w:rsid w:val="00B2425D"/>
    <w:rPr>
      <w:rFonts w:ascii="Times New Roman" w:eastAsia="MS Mincho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812">
    <w:name w:val="Сетка таблицы 81"/>
    <w:basedOn w:val="a1"/>
    <w:next w:val="89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12">
    <w:name w:val="Таблица-список 11"/>
    <w:basedOn w:val="a1"/>
    <w:next w:val="-10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1">
    <w:name w:val="Таблица-список 21"/>
    <w:basedOn w:val="a1"/>
    <w:next w:val="-2"/>
    <w:semiHidden/>
    <w:rsid w:val="00B2425D"/>
    <w:rPr>
      <w:rFonts w:ascii="Times New Roman" w:eastAsia="MS Mincho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1">
    <w:name w:val="Таблица-список 31"/>
    <w:basedOn w:val="a1"/>
    <w:next w:val="-3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410">
    <w:name w:val="Таблица-список 41"/>
    <w:basedOn w:val="a1"/>
    <w:next w:val="-4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8080" w:fill="FFFFFF"/>
      </w:tcPr>
    </w:tblStylePr>
  </w:style>
  <w:style w:type="table" w:customStyle="1" w:styleId="-51">
    <w:name w:val="Таблица-список 51"/>
    <w:basedOn w:val="a1"/>
    <w:next w:val="-5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61">
    <w:name w:val="Таблица-список 61"/>
    <w:basedOn w:val="a1"/>
    <w:next w:val="-6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000000" w:fill="FFFFFF"/>
      </w:tcPr>
    </w:tblStylePr>
  </w:style>
  <w:style w:type="table" w:customStyle="1" w:styleId="-71">
    <w:name w:val="Таблица-список 71"/>
    <w:basedOn w:val="a1"/>
    <w:next w:val="-7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</w:style>
  <w:style w:type="table" w:customStyle="1" w:styleId="-81">
    <w:name w:val="Таблица-список 81"/>
    <w:basedOn w:val="a1"/>
    <w:next w:val="-8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50" w:color="FF0000" w:fill="FFFFFF"/>
      </w:tcPr>
    </w:tblStylePr>
  </w:style>
  <w:style w:type="table" w:customStyle="1" w:styleId="1fff1">
    <w:name w:val="Стандартная таблица1"/>
    <w:basedOn w:val="a1"/>
    <w:next w:val="affff1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1f4">
    <w:name w:val="Простая таблица 11"/>
    <w:basedOn w:val="a1"/>
    <w:next w:val="1ff7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6" w:space="0" w:color="auto"/>
          <w:tr2bl w:val="none" w:sz="6" w:space="0" w:color="auto"/>
        </w:tcBorders>
      </w:tcPr>
    </w:tblStylePr>
  </w:style>
  <w:style w:type="table" w:customStyle="1" w:styleId="21f2">
    <w:name w:val="Простая таблица 21"/>
    <w:basedOn w:val="a1"/>
    <w:next w:val="2f"/>
    <w:semiHidden/>
    <w:rsid w:val="00B2425D"/>
    <w:rPr>
      <w:rFonts w:ascii="Times New Roman" w:eastAsia="MS Mincho" w:hAnsi="Times New Roman" w:cs="Times New Roman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31f3">
    <w:name w:val="Простая таблица 31"/>
    <w:basedOn w:val="a1"/>
    <w:next w:val="3c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1f5">
    <w:name w:val="Изящная таблица 11"/>
    <w:basedOn w:val="a1"/>
    <w:next w:val="1ffd"/>
    <w:semiHidden/>
    <w:rsid w:val="00B2425D"/>
    <w:rPr>
      <w:rFonts w:ascii="Times New Roman" w:eastAsia="MS Mincho" w:hAnsi="Times New Roman" w:cs="Times New Roman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f3">
    <w:name w:val="Изящная таблица 21"/>
    <w:basedOn w:val="a1"/>
    <w:next w:val="2f5"/>
    <w:semiHidden/>
    <w:rsid w:val="00B2425D"/>
    <w:rPr>
      <w:rFonts w:ascii="Times New Roman" w:eastAsia="MS Mincho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fff2">
    <w:name w:val="Тема таблицы1"/>
    <w:basedOn w:val="a1"/>
    <w:next w:val="affff2"/>
    <w:semiHidden/>
    <w:rsid w:val="00B2425D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">
    <w:name w:val="Веб-таблица 11"/>
    <w:basedOn w:val="a1"/>
    <w:next w:val="-11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10">
    <w:name w:val="Веб-таблица 21"/>
    <w:basedOn w:val="a1"/>
    <w:next w:val="-20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10">
    <w:name w:val="Веб-таблица 31"/>
    <w:basedOn w:val="a1"/>
    <w:next w:val="-30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Style11">
    <w:name w:val="Style11"/>
    <w:basedOn w:val="a1"/>
    <w:uiPriority w:val="99"/>
    <w:qFormat/>
    <w:rsid w:val="00B2425D"/>
    <w:rPr>
      <w:rFonts w:ascii="Times New Roman" w:eastAsia="MS Mincho" w:hAnsi="Times New Roman" w:cs="Times New Roman"/>
    </w:rPr>
    <w:tblPr/>
  </w:style>
  <w:style w:type="table" w:customStyle="1" w:styleId="TableGrid11">
    <w:name w:val="Table Grid11"/>
    <w:basedOn w:val="a1"/>
    <w:next w:val="af8"/>
    <w:rsid w:val="00B2425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Список-таблица 1 светлая3"/>
    <w:basedOn w:val="a1"/>
    <w:next w:val="-1"/>
    <w:uiPriority w:val="46"/>
    <w:rsid w:val="00B2425D"/>
    <w:rPr>
      <w:rFonts w:cs="Times New Roman"/>
      <w:lang w:val="en-US" w:eastAsia="en-US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OpinionTable1">
    <w:name w:val="Opinion Table1"/>
    <w:basedOn w:val="a1"/>
    <w:uiPriority w:val="99"/>
    <w:rsid w:val="00B2425D"/>
    <w:rPr>
      <w:rFonts w:ascii="Verdana" w:eastAsia="MS Mincho" w:hAnsi="Verdana" w:cs="Times New Roman"/>
      <w:sz w:val="18"/>
    </w:rPr>
    <w:tblPr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table" w:customStyle="1" w:styleId="ListTable412">
    <w:name w:val="List Table 412"/>
    <w:basedOn w:val="a1"/>
    <w:next w:val="-40"/>
    <w:uiPriority w:val="49"/>
    <w:rsid w:val="00B2425D"/>
    <w:rPr>
      <w:rFonts w:cs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3">
    <w:name w:val="Список-таблица 43"/>
    <w:basedOn w:val="a1"/>
    <w:next w:val="-40"/>
    <w:uiPriority w:val="49"/>
    <w:rsid w:val="00B2425D"/>
    <w:rPr>
      <w:rFonts w:ascii="Times New Roman" w:eastAsia="MS Mincho" w:hAnsi="Times New Roman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TableGrid2">
    <w:name w:val="Table Grid2"/>
    <w:basedOn w:val="a1"/>
    <w:next w:val="af8"/>
    <w:uiPriority w:val="59"/>
    <w:rsid w:val="00B2425D"/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8"/>
    <w:uiPriority w:val="59"/>
    <w:rsid w:val="00B2425D"/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ortsCover4">
    <w:name w:val="Reports Cover 4"/>
    <w:basedOn w:val="a"/>
    <w:rsid w:val="00B2425D"/>
    <w:pPr>
      <w:framePr w:wrap="auto" w:vAnchor="page" w:hAnchor="margin" w:y="2361"/>
      <w:widowControl w:val="0"/>
      <w:tabs>
        <w:tab w:val="left" w:pos="620"/>
      </w:tabs>
      <w:overflowPunct w:val="0"/>
      <w:autoSpaceDE w:val="0"/>
      <w:autoSpaceDN w:val="0"/>
      <w:adjustRightInd w:val="0"/>
      <w:spacing w:after="0" w:line="400" w:lineRule="exact"/>
      <w:ind w:left="79" w:right="-23"/>
      <w:jc w:val="both"/>
      <w:textAlignment w:val="baseline"/>
    </w:pPr>
    <w:rPr>
      <w:rFonts w:ascii="EYInterstate Light" w:hAnsi="EYInterstate Light"/>
      <w:sz w:val="36"/>
      <w:szCs w:val="20"/>
      <w:lang w:val="en-US" w:eastAsia="en-US"/>
    </w:rPr>
  </w:style>
  <w:style w:type="table" w:customStyle="1" w:styleId="MLTable2">
    <w:name w:val="ML Table2"/>
    <w:basedOn w:val="af8"/>
    <w:semiHidden/>
    <w:rsid w:val="00B2425D"/>
    <w:pPr>
      <w:spacing w:before="40" w:after="40"/>
    </w:pPr>
    <w:rPr>
      <w:rFonts w:ascii="Times New Roman" w:eastAsia="MS Mincho" w:hAnsi="Times New Roman"/>
    </w:rPr>
    <w:tblPr>
      <w:jc w:val="center"/>
      <w:tblCellMar>
        <w:left w:w="28" w:type="dxa"/>
        <w:right w:w="28" w:type="dxa"/>
      </w:tblCellMar>
    </w:tblPr>
    <w:trPr>
      <w:jc w:val="center"/>
    </w:trPr>
    <w:tblStylePr w:type="firstRow">
      <w:pPr>
        <w:jc w:val="center"/>
      </w:pPr>
      <w:rPr>
        <w:rFonts w:cs="Times New Roman"/>
        <w:b/>
        <w:sz w:val="20"/>
      </w:rPr>
      <w:tblPr/>
      <w:tcPr>
        <w:tcBorders>
          <w:top w:val="double" w:sz="4" w:space="0" w:color="auto"/>
          <w:bottom w:val="double" w:sz="4" w:space="0" w:color="auto"/>
        </w:tcBorders>
      </w:tcPr>
    </w:tblStylePr>
  </w:style>
  <w:style w:type="table" w:customStyle="1" w:styleId="5b">
    <w:name w:val="Сетка таблицы5"/>
    <w:basedOn w:val="a1"/>
    <w:next w:val="af8"/>
    <w:uiPriority w:val="39"/>
    <w:rsid w:val="00B2425D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f">
    <w:name w:val="Объемная таблица 12"/>
    <w:basedOn w:val="a1"/>
    <w:next w:val="1ffc"/>
    <w:semiHidden/>
    <w:rsid w:val="00B2425D"/>
    <w:rPr>
      <w:rFonts w:ascii="Times New Roman" w:eastAsia="MS Mincho" w:hAnsi="Times New Roman" w:cs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6" w:space="0" w:color="auto"/>
          <w:bottom w:val="none" w:sz="6" w:space="0" w:color="auto"/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6" w:space="0" w:color="auto"/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22c">
    <w:name w:val="Объемная таблица 22"/>
    <w:basedOn w:val="a1"/>
    <w:next w:val="2f4"/>
    <w:semiHidden/>
    <w:rsid w:val="00B2425D"/>
    <w:rPr>
      <w:rFonts w:ascii="Times New Roman" w:eastAsia="MS Mincho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2d">
    <w:name w:val="Объемная таблица 32"/>
    <w:basedOn w:val="a1"/>
    <w:next w:val="3f1"/>
    <w:semiHidden/>
    <w:rsid w:val="00B2425D"/>
    <w:rPr>
      <w:rFonts w:ascii="Times New Roman" w:eastAsia="MS Mincho" w:hAnsi="Times New Roman"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2f0">
    <w:name w:val="Классическая таблица 12"/>
    <w:basedOn w:val="a1"/>
    <w:next w:val="1ff8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2d">
    <w:name w:val="Классическая таблица 22"/>
    <w:basedOn w:val="a1"/>
    <w:next w:val="2f0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2e">
    <w:name w:val="Классическая таблица 32"/>
    <w:basedOn w:val="a1"/>
    <w:next w:val="3d"/>
    <w:semiHidden/>
    <w:rsid w:val="00B2425D"/>
    <w:rPr>
      <w:rFonts w:ascii="Times New Roman" w:eastAsia="MS Mincho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21">
    <w:name w:val="Классическая таблица 42"/>
    <w:basedOn w:val="a1"/>
    <w:next w:val="4b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2f1">
    <w:name w:val="Цветная таблица 12"/>
    <w:basedOn w:val="a1"/>
    <w:next w:val="1ff9"/>
    <w:semiHidden/>
    <w:rsid w:val="00B2425D"/>
    <w:rPr>
      <w:rFonts w:ascii="Times New Roman" w:eastAsia="MS Mincho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2e">
    <w:name w:val="Цветная таблица 22"/>
    <w:basedOn w:val="a1"/>
    <w:next w:val="2f1"/>
    <w:semiHidden/>
    <w:rsid w:val="00B2425D"/>
    <w:rPr>
      <w:rFonts w:ascii="Times New Roman" w:eastAsia="MS Mincho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2f">
    <w:name w:val="Цветная таблица 32"/>
    <w:basedOn w:val="a1"/>
    <w:next w:val="3e"/>
    <w:semiHidden/>
    <w:rsid w:val="00B2425D"/>
    <w:rPr>
      <w:rFonts w:ascii="Times New Roman" w:eastAsia="MS Mincho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2f2">
    <w:name w:val="Столбцы таблицы 12"/>
    <w:basedOn w:val="a1"/>
    <w:next w:val="1ffa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2f">
    <w:name w:val="Столбцы таблицы 22"/>
    <w:basedOn w:val="a1"/>
    <w:next w:val="2f2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2f0">
    <w:name w:val="Столбцы таблицы 32"/>
    <w:basedOn w:val="a1"/>
    <w:next w:val="3f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22">
    <w:name w:val="Столбцы таблицы 42"/>
    <w:basedOn w:val="a1"/>
    <w:next w:val="4c"/>
    <w:semiHidden/>
    <w:rsid w:val="00B2425D"/>
    <w:rPr>
      <w:rFonts w:ascii="Times New Roman" w:eastAsia="MS Mincho" w:hAnsi="Times New Roman" w:cs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520">
    <w:name w:val="Столбцы таблицы 52"/>
    <w:basedOn w:val="a1"/>
    <w:next w:val="53"/>
    <w:semiHidden/>
    <w:rsid w:val="00B2425D"/>
    <w:rPr>
      <w:rFonts w:ascii="Times New Roman" w:eastAsia="MS Mincho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2ff5">
    <w:name w:val="Современная таблица2"/>
    <w:basedOn w:val="a1"/>
    <w:next w:val="affff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</w:style>
  <w:style w:type="table" w:customStyle="1" w:styleId="2ff6">
    <w:name w:val="Изысканная таблица2"/>
    <w:basedOn w:val="a1"/>
    <w:next w:val="affff0"/>
    <w:semiHidden/>
    <w:rsid w:val="00B2425D"/>
    <w:rPr>
      <w:rFonts w:ascii="Times New Roman" w:eastAsia="MS Mincho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2f3">
    <w:name w:val="Сетка таблицы 12"/>
    <w:basedOn w:val="a1"/>
    <w:next w:val="1ffb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2f0">
    <w:name w:val="Сетка таблицы 22"/>
    <w:basedOn w:val="a1"/>
    <w:next w:val="2f3"/>
    <w:semiHidden/>
    <w:rsid w:val="00B2425D"/>
    <w:rPr>
      <w:rFonts w:ascii="Times New Roman" w:eastAsia="MS Mincho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2f1">
    <w:name w:val="Сетка таблицы 32"/>
    <w:basedOn w:val="a1"/>
    <w:next w:val="3f0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23">
    <w:name w:val="Сетка таблицы 42"/>
    <w:basedOn w:val="a1"/>
    <w:next w:val="4d"/>
    <w:semiHidden/>
    <w:rsid w:val="00B2425D"/>
    <w:rPr>
      <w:rFonts w:ascii="Times New Roman" w:eastAsia="MS Mincho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521">
    <w:name w:val="Сетка таблицы 52"/>
    <w:basedOn w:val="a1"/>
    <w:next w:val="54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620">
    <w:name w:val="Сетка таблицы 62"/>
    <w:basedOn w:val="a1"/>
    <w:next w:val="63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721">
    <w:name w:val="Сетка таблицы 72"/>
    <w:basedOn w:val="a1"/>
    <w:next w:val="7c"/>
    <w:semiHidden/>
    <w:rsid w:val="00B2425D"/>
    <w:rPr>
      <w:rFonts w:ascii="Times New Roman" w:eastAsia="MS Mincho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821">
    <w:name w:val="Сетка таблицы 82"/>
    <w:basedOn w:val="a1"/>
    <w:next w:val="89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20">
    <w:name w:val="Таблица-список 12"/>
    <w:basedOn w:val="a1"/>
    <w:next w:val="-10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2">
    <w:name w:val="Таблица-список 22"/>
    <w:basedOn w:val="a1"/>
    <w:next w:val="-2"/>
    <w:semiHidden/>
    <w:rsid w:val="00B2425D"/>
    <w:rPr>
      <w:rFonts w:ascii="Times New Roman" w:eastAsia="MS Mincho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2">
    <w:name w:val="Таблица-список 32"/>
    <w:basedOn w:val="a1"/>
    <w:next w:val="-3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420">
    <w:name w:val="Таблица-список 42"/>
    <w:basedOn w:val="a1"/>
    <w:next w:val="-4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8080" w:fill="FFFFFF"/>
      </w:tcPr>
    </w:tblStylePr>
  </w:style>
  <w:style w:type="table" w:customStyle="1" w:styleId="-52">
    <w:name w:val="Таблица-список 52"/>
    <w:basedOn w:val="a1"/>
    <w:next w:val="-5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62">
    <w:name w:val="Таблица-список 62"/>
    <w:basedOn w:val="a1"/>
    <w:next w:val="-6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000000" w:fill="FFFFFF"/>
      </w:tcPr>
    </w:tblStylePr>
  </w:style>
  <w:style w:type="table" w:customStyle="1" w:styleId="-72">
    <w:name w:val="Таблица-список 72"/>
    <w:basedOn w:val="a1"/>
    <w:next w:val="-7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</w:style>
  <w:style w:type="table" w:customStyle="1" w:styleId="-82">
    <w:name w:val="Таблица-список 82"/>
    <w:basedOn w:val="a1"/>
    <w:next w:val="-8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50" w:color="FF0000" w:fill="FFFFFF"/>
      </w:tcPr>
    </w:tblStylePr>
  </w:style>
  <w:style w:type="table" w:customStyle="1" w:styleId="2ff7">
    <w:name w:val="Стандартная таблица2"/>
    <w:basedOn w:val="a1"/>
    <w:next w:val="affff1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2f4">
    <w:name w:val="Простая таблица 12"/>
    <w:basedOn w:val="a1"/>
    <w:next w:val="1ff7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6" w:space="0" w:color="auto"/>
          <w:tr2bl w:val="none" w:sz="6" w:space="0" w:color="auto"/>
        </w:tcBorders>
      </w:tcPr>
    </w:tblStylePr>
  </w:style>
  <w:style w:type="table" w:customStyle="1" w:styleId="22f1">
    <w:name w:val="Простая таблица 22"/>
    <w:basedOn w:val="a1"/>
    <w:next w:val="2f"/>
    <w:semiHidden/>
    <w:rsid w:val="00B2425D"/>
    <w:rPr>
      <w:rFonts w:ascii="Times New Roman" w:eastAsia="MS Mincho" w:hAnsi="Times New Roman" w:cs="Times New Roman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32f2">
    <w:name w:val="Простая таблица 32"/>
    <w:basedOn w:val="a1"/>
    <w:next w:val="3c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2f5">
    <w:name w:val="Изящная таблица 12"/>
    <w:basedOn w:val="a1"/>
    <w:next w:val="1ffd"/>
    <w:semiHidden/>
    <w:rsid w:val="00B2425D"/>
    <w:rPr>
      <w:rFonts w:ascii="Times New Roman" w:eastAsia="MS Mincho" w:hAnsi="Times New Roman" w:cs="Times New Roman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2f2">
    <w:name w:val="Изящная таблица 22"/>
    <w:basedOn w:val="a1"/>
    <w:next w:val="2f5"/>
    <w:semiHidden/>
    <w:rsid w:val="00B2425D"/>
    <w:rPr>
      <w:rFonts w:ascii="Times New Roman" w:eastAsia="MS Mincho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ff8">
    <w:name w:val="Тема таблицы2"/>
    <w:basedOn w:val="a1"/>
    <w:next w:val="affff2"/>
    <w:semiHidden/>
    <w:rsid w:val="00B2425D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"/>
    <w:basedOn w:val="a1"/>
    <w:next w:val="-11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20">
    <w:name w:val="Веб-таблица 22"/>
    <w:basedOn w:val="a1"/>
    <w:next w:val="-20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20">
    <w:name w:val="Веб-таблица 32"/>
    <w:basedOn w:val="a1"/>
    <w:next w:val="-30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Style12">
    <w:name w:val="Style12"/>
    <w:basedOn w:val="a1"/>
    <w:uiPriority w:val="99"/>
    <w:qFormat/>
    <w:rsid w:val="00B2425D"/>
    <w:rPr>
      <w:rFonts w:ascii="Times New Roman" w:eastAsia="MS Mincho" w:hAnsi="Times New Roman" w:cs="Times New Roman"/>
    </w:rPr>
    <w:tblPr/>
  </w:style>
  <w:style w:type="table" w:customStyle="1" w:styleId="TableGrid12">
    <w:name w:val="Table Grid12"/>
    <w:basedOn w:val="a1"/>
    <w:next w:val="af8"/>
    <w:rsid w:val="00B2425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">
    <w:name w:val="Список-таблица 1 светлая4"/>
    <w:basedOn w:val="a1"/>
    <w:next w:val="-1"/>
    <w:uiPriority w:val="46"/>
    <w:rsid w:val="00B2425D"/>
    <w:rPr>
      <w:rFonts w:cs="Times New Roman"/>
      <w:lang w:val="en-US" w:eastAsia="en-US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OpinionTable2">
    <w:name w:val="Opinion Table2"/>
    <w:basedOn w:val="a1"/>
    <w:uiPriority w:val="99"/>
    <w:rsid w:val="00B2425D"/>
    <w:rPr>
      <w:rFonts w:ascii="Verdana" w:eastAsia="MS Mincho" w:hAnsi="Verdana" w:cs="Times New Roman"/>
      <w:sz w:val="18"/>
    </w:rPr>
    <w:tblPr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table" w:customStyle="1" w:styleId="ListTable413">
    <w:name w:val="List Table 413"/>
    <w:basedOn w:val="a1"/>
    <w:next w:val="-40"/>
    <w:uiPriority w:val="49"/>
    <w:rsid w:val="00B2425D"/>
    <w:rPr>
      <w:rFonts w:cs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4">
    <w:name w:val="Список-таблица 44"/>
    <w:basedOn w:val="a1"/>
    <w:next w:val="-40"/>
    <w:uiPriority w:val="49"/>
    <w:rsid w:val="00B2425D"/>
    <w:rPr>
      <w:rFonts w:ascii="Times New Roman" w:eastAsia="MS Mincho" w:hAnsi="Times New Roman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TableGrid21">
    <w:name w:val="Table Grid21"/>
    <w:basedOn w:val="a1"/>
    <w:next w:val="af8"/>
    <w:uiPriority w:val="59"/>
    <w:rsid w:val="00B2425D"/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a">
    <w:name w:val="Сетка таблицы6"/>
    <w:basedOn w:val="a1"/>
    <w:next w:val="af8"/>
    <w:uiPriority w:val="39"/>
    <w:rsid w:val="00B2425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">
    <w:name w:val="Список-таблица 1 светлая5"/>
    <w:basedOn w:val="a1"/>
    <w:next w:val="-1"/>
    <w:uiPriority w:val="46"/>
    <w:rsid w:val="00B2425D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13f">
    <w:name w:val="Простая таблица 13"/>
    <w:basedOn w:val="a1"/>
    <w:next w:val="1ff7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6" w:space="0" w:color="auto"/>
          <w:tr2bl w:val="none" w:sz="6" w:space="0" w:color="auto"/>
        </w:tcBorders>
      </w:tcPr>
    </w:tblStylePr>
  </w:style>
  <w:style w:type="table" w:customStyle="1" w:styleId="23c">
    <w:name w:val="Простая таблица 23"/>
    <w:basedOn w:val="a1"/>
    <w:next w:val="2f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33d">
    <w:name w:val="Простая таблица 33"/>
    <w:basedOn w:val="a1"/>
    <w:next w:val="3c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3f0">
    <w:name w:val="Классическая таблица 13"/>
    <w:basedOn w:val="a1"/>
    <w:next w:val="1ff8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3d">
    <w:name w:val="Классическая таблица 23"/>
    <w:basedOn w:val="a1"/>
    <w:next w:val="2f0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3e">
    <w:name w:val="Классическая таблица 33"/>
    <w:basedOn w:val="a1"/>
    <w:next w:val="3d"/>
    <w:uiPriority w:val="99"/>
    <w:unhideWhenUsed/>
    <w:rsid w:val="00B2425D"/>
    <w:rPr>
      <w:rFonts w:ascii="Times New Roman" w:eastAsia="MS Mincho" w:hAnsi="Times New Roman" w:cs="Times New Roman"/>
      <w:color w:val="00008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31">
    <w:name w:val="Классическая таблица 43"/>
    <w:basedOn w:val="a1"/>
    <w:next w:val="4b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3f1">
    <w:name w:val="Цветная таблица 13"/>
    <w:basedOn w:val="a1"/>
    <w:next w:val="1ff9"/>
    <w:uiPriority w:val="99"/>
    <w:unhideWhenUsed/>
    <w:rsid w:val="00B2425D"/>
    <w:rPr>
      <w:rFonts w:ascii="Times New Roman" w:eastAsia="MS Mincho" w:hAnsi="Times New Roman" w:cs="Times New Roman"/>
      <w:color w:val="FFFFFF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3e">
    <w:name w:val="Цветная таблица 23"/>
    <w:basedOn w:val="a1"/>
    <w:next w:val="2f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3f">
    <w:name w:val="Цветная таблица 33"/>
    <w:basedOn w:val="a1"/>
    <w:next w:val="3e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3f2">
    <w:name w:val="Столбцы таблицы 13"/>
    <w:basedOn w:val="a1"/>
    <w:next w:val="1ffa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3f">
    <w:name w:val="Столбцы таблицы 23"/>
    <w:basedOn w:val="a1"/>
    <w:next w:val="2f2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StyleColBandSize w:val="1"/>
      <w:tblInd w:w="0" w:type="nil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3f0">
    <w:name w:val="Столбцы таблицы 33"/>
    <w:basedOn w:val="a1"/>
    <w:next w:val="3f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32">
    <w:name w:val="Столбцы таблицы 43"/>
    <w:basedOn w:val="a1"/>
    <w:next w:val="4c"/>
    <w:uiPriority w:val="99"/>
    <w:unhideWhenUsed/>
    <w:rsid w:val="00B2425D"/>
    <w:rPr>
      <w:rFonts w:ascii="Times New Roman" w:eastAsia="MS Mincho" w:hAnsi="Times New Roman" w:cs="Times New Roman"/>
    </w:rPr>
    <w:tblPr>
      <w:tblStyleColBandSize w:val="1"/>
      <w:tblInd w:w="0" w:type="nil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530">
    <w:name w:val="Столбцы таблицы 53"/>
    <w:basedOn w:val="a1"/>
    <w:next w:val="53"/>
    <w:uiPriority w:val="99"/>
    <w:unhideWhenUsed/>
    <w:rsid w:val="00B2425D"/>
    <w:rPr>
      <w:rFonts w:ascii="Times New Roman" w:eastAsia="MS Mincho" w:hAnsi="Times New Roman" w:cs="Times New Roman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13f3">
    <w:name w:val="Сетка таблицы 13"/>
    <w:basedOn w:val="a1"/>
    <w:next w:val="1ffb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3f0">
    <w:name w:val="Сетка таблицы 23"/>
    <w:basedOn w:val="a1"/>
    <w:next w:val="2f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3f1">
    <w:name w:val="Сетка таблицы 33"/>
    <w:basedOn w:val="a1"/>
    <w:next w:val="3f0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33">
    <w:name w:val="Сетка таблицы 43"/>
    <w:basedOn w:val="a1"/>
    <w:next w:val="4d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531">
    <w:name w:val="Сетка таблицы 53"/>
    <w:basedOn w:val="a1"/>
    <w:next w:val="54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630">
    <w:name w:val="Сетка таблицы 63"/>
    <w:basedOn w:val="a1"/>
    <w:next w:val="6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731">
    <w:name w:val="Сетка таблицы 73"/>
    <w:basedOn w:val="a1"/>
    <w:next w:val="7c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831">
    <w:name w:val="Сетка таблицы 83"/>
    <w:basedOn w:val="a1"/>
    <w:next w:val="89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30">
    <w:name w:val="Таблица-список 13"/>
    <w:basedOn w:val="a1"/>
    <w:next w:val="-10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3">
    <w:name w:val="Таблица-список 23"/>
    <w:basedOn w:val="a1"/>
    <w:next w:val="-2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3">
    <w:name w:val="Таблица-список 33"/>
    <w:basedOn w:val="a1"/>
    <w:next w:val="-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430">
    <w:name w:val="Таблица-список 43"/>
    <w:basedOn w:val="a1"/>
    <w:next w:val="-4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8080" w:fill="FFFFFF"/>
      </w:tcPr>
    </w:tblStylePr>
  </w:style>
  <w:style w:type="table" w:customStyle="1" w:styleId="-53">
    <w:name w:val="Таблица-список 53"/>
    <w:basedOn w:val="a1"/>
    <w:next w:val="-5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63">
    <w:name w:val="Таблица-список 63"/>
    <w:basedOn w:val="a1"/>
    <w:next w:val="-6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000000" w:fill="FFFFFF"/>
      </w:tcPr>
    </w:tblStylePr>
  </w:style>
  <w:style w:type="table" w:customStyle="1" w:styleId="-73">
    <w:name w:val="Таблица-список 73"/>
    <w:basedOn w:val="a1"/>
    <w:next w:val="-7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</w:style>
  <w:style w:type="table" w:customStyle="1" w:styleId="-83">
    <w:name w:val="Таблица-список 83"/>
    <w:basedOn w:val="a1"/>
    <w:next w:val="-8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50" w:color="FF0000" w:fill="FFFFFF"/>
      </w:tcPr>
    </w:tblStylePr>
  </w:style>
  <w:style w:type="table" w:customStyle="1" w:styleId="13f4">
    <w:name w:val="Объемная таблица 13"/>
    <w:basedOn w:val="a1"/>
    <w:next w:val="1ffc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6" w:space="0" w:color="auto"/>
          <w:bottom w:val="none" w:sz="6" w:space="0" w:color="auto"/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6" w:space="0" w:color="auto"/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23f1">
    <w:name w:val="Объемная таблица 23"/>
    <w:basedOn w:val="a1"/>
    <w:next w:val="2f4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3f2">
    <w:name w:val="Объемная таблица 33"/>
    <w:basedOn w:val="a1"/>
    <w:next w:val="3f1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StyleColBandSize w:val="1"/>
      <w:tblInd w:w="0" w:type="nil"/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f8">
    <w:name w:val="Современная таблица3"/>
    <w:basedOn w:val="a1"/>
    <w:next w:val="affff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</w:style>
  <w:style w:type="table" w:customStyle="1" w:styleId="3f9">
    <w:name w:val="Изысканная таблица3"/>
    <w:basedOn w:val="a1"/>
    <w:next w:val="affff0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fa">
    <w:name w:val="Стандартная таблица3"/>
    <w:basedOn w:val="a1"/>
    <w:next w:val="affff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3f5">
    <w:name w:val="Изящная таблица 13"/>
    <w:basedOn w:val="a1"/>
    <w:next w:val="1ffd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3f2">
    <w:name w:val="Изящная таблица 23"/>
    <w:basedOn w:val="a1"/>
    <w:next w:val="2f5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31">
    <w:name w:val="Веб-таблица 13"/>
    <w:basedOn w:val="a1"/>
    <w:next w:val="-11"/>
    <w:uiPriority w:val="99"/>
    <w:unhideWhenUsed/>
    <w:rsid w:val="00B2425D"/>
    <w:rPr>
      <w:rFonts w:ascii="Times New Roman" w:eastAsia="MS Mincho" w:hAnsi="Times New Roman" w:cs="Times New Roman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30">
    <w:name w:val="Веб-таблица 23"/>
    <w:basedOn w:val="a1"/>
    <w:next w:val="-20"/>
    <w:uiPriority w:val="99"/>
    <w:unhideWhenUsed/>
    <w:rsid w:val="00B2425D"/>
    <w:rPr>
      <w:rFonts w:ascii="Times New Roman" w:eastAsia="MS Mincho" w:hAnsi="Times New Roman" w:cs="Times New Roman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30">
    <w:name w:val="Веб-таблица 33"/>
    <w:basedOn w:val="a1"/>
    <w:next w:val="-30"/>
    <w:uiPriority w:val="99"/>
    <w:unhideWhenUsed/>
    <w:rsid w:val="00B2425D"/>
    <w:rPr>
      <w:rFonts w:ascii="Times New Roman" w:eastAsia="MS Mincho" w:hAnsi="Times New Roman" w:cs="Times New Roman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f6">
    <w:name w:val="Сетка таблицы11"/>
    <w:basedOn w:val="a1"/>
    <w:next w:val="af8"/>
    <w:uiPriority w:val="39"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b">
    <w:name w:val="Тема таблицы3"/>
    <w:basedOn w:val="a1"/>
    <w:next w:val="affff2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0">
    <w:name w:val="Список-таблица 1 светлая12"/>
    <w:basedOn w:val="a1"/>
    <w:next w:val="-1"/>
    <w:uiPriority w:val="46"/>
    <w:rsid w:val="00B2425D"/>
    <w:rPr>
      <w:rFonts w:cs="Times New Roman"/>
      <w:lang w:val="en-US" w:eastAsia="en-US"/>
    </w:rPr>
    <w:tblPr>
      <w:tblStyleRowBandSize w:val="1"/>
      <w:tblStyleColBandSize w:val="1"/>
      <w:tblInd w:w="0" w:type="nil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11">
    <w:name w:val="Список-таблица 411"/>
    <w:basedOn w:val="a1"/>
    <w:next w:val="-40"/>
    <w:uiPriority w:val="49"/>
    <w:rsid w:val="00B2425D"/>
    <w:rPr>
      <w:rFonts w:ascii="Times New Roman" w:eastAsia="MS Mincho" w:hAnsi="Times New Roman" w:cs="Times New Roman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MLTable3">
    <w:name w:val="ML Table3"/>
    <w:basedOn w:val="af8"/>
    <w:semiHidden/>
    <w:rsid w:val="00B2425D"/>
    <w:pPr>
      <w:spacing w:before="40" w:after="40"/>
    </w:pPr>
    <w:rPr>
      <w:rFonts w:ascii="Times New Roman" w:eastAsia="MS Mincho" w:hAnsi="Times New Roman"/>
    </w:rPr>
    <w:tblPr>
      <w:tblInd w:w="0" w:type="nil"/>
      <w:tblCellMar>
        <w:left w:w="28" w:type="dxa"/>
        <w:right w:w="28" w:type="dxa"/>
      </w:tblCellMar>
    </w:tblPr>
    <w:tblStylePr w:type="firstRow">
      <w:pPr>
        <w:jc w:val="center"/>
      </w:pPr>
      <w:rPr>
        <w:rFonts w:cs="Times New Roman"/>
        <w:b/>
        <w:sz w:val="20"/>
        <w:szCs w:val="20"/>
      </w:rPr>
      <w:tblPr/>
      <w:tcPr>
        <w:tcBorders>
          <w:top w:val="double" w:sz="4" w:space="0" w:color="auto"/>
          <w:bottom w:val="double" w:sz="4" w:space="0" w:color="auto"/>
        </w:tcBorders>
      </w:tcPr>
    </w:tblStylePr>
  </w:style>
  <w:style w:type="table" w:customStyle="1" w:styleId="Style13">
    <w:name w:val="Style13"/>
    <w:basedOn w:val="a1"/>
    <w:uiPriority w:val="99"/>
    <w:qFormat/>
    <w:rsid w:val="00B2425D"/>
    <w:rPr>
      <w:rFonts w:ascii="Times New Roman" w:eastAsia="MS Mincho" w:hAnsi="Times New Roman" w:cs="Times New Roman"/>
    </w:rPr>
    <w:tblPr>
      <w:tblInd w:w="0" w:type="nil"/>
    </w:tblPr>
  </w:style>
  <w:style w:type="table" w:customStyle="1" w:styleId="TableGrid13">
    <w:name w:val="Table Grid13"/>
    <w:basedOn w:val="a1"/>
    <w:rsid w:val="00B2425D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inionTable3">
    <w:name w:val="Opinion Table3"/>
    <w:basedOn w:val="a1"/>
    <w:uiPriority w:val="99"/>
    <w:rsid w:val="00B2425D"/>
    <w:rPr>
      <w:rFonts w:ascii="Verdana" w:eastAsia="MS Mincho" w:hAnsi="Verdana" w:cs="Times New Roman"/>
      <w:sz w:val="18"/>
    </w:rPr>
    <w:tblPr>
      <w:tblInd w:w="0" w:type="nil"/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  <w:szCs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table" w:customStyle="1" w:styleId="ListTable414">
    <w:name w:val="List Table 414"/>
    <w:basedOn w:val="a1"/>
    <w:uiPriority w:val="49"/>
    <w:rsid w:val="00B2425D"/>
    <w:rPr>
      <w:rFonts w:cs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5">
    <w:name w:val="Список-таблица 45"/>
    <w:basedOn w:val="a1"/>
    <w:next w:val="-40"/>
    <w:uiPriority w:val="49"/>
    <w:rsid w:val="00B2425D"/>
    <w:rPr>
      <w:rFonts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21f4">
    <w:name w:val="Сетка таблицы21"/>
    <w:basedOn w:val="a1"/>
    <w:next w:val="af8"/>
    <w:uiPriority w:val="39"/>
    <w:rsid w:val="00B2425D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0">
    <w:name w:val="Список-таблица 1 светлая21"/>
    <w:basedOn w:val="a1"/>
    <w:next w:val="-1"/>
    <w:uiPriority w:val="46"/>
    <w:rsid w:val="00B2425D"/>
    <w:rPr>
      <w:rFonts w:cs="Times New Roman"/>
      <w:sz w:val="22"/>
      <w:szCs w:val="22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1111">
    <w:name w:val="Список-таблица 1 светлая111"/>
    <w:basedOn w:val="a1"/>
    <w:next w:val="-1"/>
    <w:uiPriority w:val="46"/>
    <w:rsid w:val="00B2425D"/>
    <w:rPr>
      <w:rFonts w:cs="Times New Roman"/>
      <w:sz w:val="22"/>
      <w:szCs w:val="22"/>
      <w:lang w:val="en-US" w:eastAsia="en-US"/>
    </w:rPr>
    <w:tblPr>
      <w:tblStyleRowBandSize w:val="1"/>
      <w:tblStyleColBandSize w:val="1"/>
      <w:tblInd w:w="0" w:type="nil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ListTable4111">
    <w:name w:val="List Table 4111"/>
    <w:basedOn w:val="a1"/>
    <w:uiPriority w:val="49"/>
    <w:rsid w:val="00B2425D"/>
    <w:rPr>
      <w:rFonts w:cs="Times New Roman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21">
    <w:name w:val="Список-таблица 421"/>
    <w:basedOn w:val="a1"/>
    <w:next w:val="-40"/>
    <w:uiPriority w:val="49"/>
    <w:rsid w:val="00B2425D"/>
    <w:rPr>
      <w:rFonts w:cs="Times New Roman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31f4">
    <w:name w:val="Сетка таблицы31"/>
    <w:basedOn w:val="a1"/>
    <w:next w:val="af8"/>
    <w:uiPriority w:val="39"/>
    <w:rsid w:val="00B2425D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LTable11">
    <w:name w:val="ML Table11"/>
    <w:basedOn w:val="af8"/>
    <w:semiHidden/>
    <w:rsid w:val="00B2425D"/>
    <w:pPr>
      <w:spacing w:before="40" w:after="40"/>
    </w:pPr>
    <w:rPr>
      <w:rFonts w:ascii="Times New Roman" w:eastAsia="MS Mincho" w:hAnsi="Times New Roman"/>
    </w:rPr>
    <w:tblPr>
      <w:jc w:val="center"/>
      <w:tblCellMar>
        <w:left w:w="28" w:type="dxa"/>
        <w:right w:w="28" w:type="dxa"/>
      </w:tblCellMar>
    </w:tblPr>
    <w:trPr>
      <w:jc w:val="center"/>
    </w:trPr>
    <w:tblStylePr w:type="firstRow">
      <w:pPr>
        <w:jc w:val="center"/>
      </w:pPr>
      <w:rPr>
        <w:rFonts w:cs="Times New Roman"/>
        <w:b/>
        <w:sz w:val="20"/>
      </w:rPr>
      <w:tblPr/>
      <w:tcPr>
        <w:tcBorders>
          <w:top w:val="double" w:sz="4" w:space="0" w:color="auto"/>
          <w:bottom w:val="double" w:sz="4" w:space="0" w:color="auto"/>
        </w:tcBorders>
      </w:tcPr>
    </w:tblStylePr>
  </w:style>
  <w:style w:type="table" w:customStyle="1" w:styleId="414">
    <w:name w:val="Сетка таблицы41"/>
    <w:basedOn w:val="a1"/>
    <w:next w:val="af8"/>
    <w:uiPriority w:val="39"/>
    <w:rsid w:val="00B2425D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Объемная таблица 111"/>
    <w:basedOn w:val="a1"/>
    <w:next w:val="1ffc"/>
    <w:semiHidden/>
    <w:rsid w:val="00B2425D"/>
    <w:rPr>
      <w:rFonts w:ascii="Times New Roman" w:eastAsia="MS Mincho" w:hAnsi="Times New Roman" w:cs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6" w:space="0" w:color="auto"/>
          <w:bottom w:val="none" w:sz="6" w:space="0" w:color="auto"/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6" w:space="0" w:color="auto"/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211b">
    <w:name w:val="Объемная таблица 211"/>
    <w:basedOn w:val="a1"/>
    <w:next w:val="2f4"/>
    <w:semiHidden/>
    <w:rsid w:val="00B2425D"/>
    <w:rPr>
      <w:rFonts w:ascii="Times New Roman" w:eastAsia="MS Mincho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1b">
    <w:name w:val="Объемная таблица 311"/>
    <w:basedOn w:val="a1"/>
    <w:next w:val="3f1"/>
    <w:semiHidden/>
    <w:rsid w:val="00B2425D"/>
    <w:rPr>
      <w:rFonts w:ascii="Times New Roman" w:eastAsia="MS Mincho" w:hAnsi="Times New Roman"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17">
    <w:name w:val="Классическая таблица 111"/>
    <w:basedOn w:val="a1"/>
    <w:next w:val="1ff8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1c">
    <w:name w:val="Классическая таблица 211"/>
    <w:basedOn w:val="a1"/>
    <w:next w:val="2f0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1c">
    <w:name w:val="Классическая таблица 311"/>
    <w:basedOn w:val="a1"/>
    <w:next w:val="3d"/>
    <w:semiHidden/>
    <w:rsid w:val="00B2425D"/>
    <w:rPr>
      <w:rFonts w:ascii="Times New Roman" w:eastAsia="MS Mincho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110">
    <w:name w:val="Классическая таблица 411"/>
    <w:basedOn w:val="a1"/>
    <w:next w:val="4b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18">
    <w:name w:val="Цветная таблица 111"/>
    <w:basedOn w:val="a1"/>
    <w:next w:val="1ff9"/>
    <w:semiHidden/>
    <w:rsid w:val="00B2425D"/>
    <w:rPr>
      <w:rFonts w:ascii="Times New Roman" w:eastAsia="MS Mincho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1d">
    <w:name w:val="Цветная таблица 211"/>
    <w:basedOn w:val="a1"/>
    <w:next w:val="2f1"/>
    <w:semiHidden/>
    <w:rsid w:val="00B2425D"/>
    <w:rPr>
      <w:rFonts w:ascii="Times New Roman" w:eastAsia="MS Mincho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1d">
    <w:name w:val="Цветная таблица 311"/>
    <w:basedOn w:val="a1"/>
    <w:next w:val="3e"/>
    <w:semiHidden/>
    <w:rsid w:val="00B2425D"/>
    <w:rPr>
      <w:rFonts w:ascii="Times New Roman" w:eastAsia="MS Mincho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119">
    <w:name w:val="Столбцы таблицы 111"/>
    <w:basedOn w:val="a1"/>
    <w:next w:val="1ffa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1e">
    <w:name w:val="Столбцы таблицы 211"/>
    <w:basedOn w:val="a1"/>
    <w:next w:val="2f2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1e">
    <w:name w:val="Столбцы таблицы 311"/>
    <w:basedOn w:val="a1"/>
    <w:next w:val="3f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111">
    <w:name w:val="Столбцы таблицы 411"/>
    <w:basedOn w:val="a1"/>
    <w:next w:val="4c"/>
    <w:semiHidden/>
    <w:rsid w:val="00B2425D"/>
    <w:rPr>
      <w:rFonts w:ascii="Times New Roman" w:eastAsia="MS Mincho" w:hAnsi="Times New Roman" w:cs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5110">
    <w:name w:val="Столбцы таблицы 511"/>
    <w:basedOn w:val="a1"/>
    <w:next w:val="53"/>
    <w:semiHidden/>
    <w:rsid w:val="00B2425D"/>
    <w:rPr>
      <w:rFonts w:ascii="Times New Roman" w:eastAsia="MS Mincho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11f7">
    <w:name w:val="Современная таблица11"/>
    <w:basedOn w:val="a1"/>
    <w:next w:val="affff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</w:style>
  <w:style w:type="table" w:customStyle="1" w:styleId="11f8">
    <w:name w:val="Изысканная таблица11"/>
    <w:basedOn w:val="a1"/>
    <w:next w:val="affff0"/>
    <w:semiHidden/>
    <w:rsid w:val="00B2425D"/>
    <w:rPr>
      <w:rFonts w:ascii="Times New Roman" w:eastAsia="MS Mincho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1a">
    <w:name w:val="Сетка таблицы 111"/>
    <w:basedOn w:val="a1"/>
    <w:next w:val="1ffb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1f">
    <w:name w:val="Сетка таблицы 211"/>
    <w:basedOn w:val="a1"/>
    <w:next w:val="2f3"/>
    <w:semiHidden/>
    <w:rsid w:val="00B2425D"/>
    <w:rPr>
      <w:rFonts w:ascii="Times New Roman" w:eastAsia="MS Mincho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1f">
    <w:name w:val="Сетка таблицы 311"/>
    <w:basedOn w:val="a1"/>
    <w:next w:val="3f0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112">
    <w:name w:val="Сетка таблицы 411"/>
    <w:basedOn w:val="a1"/>
    <w:next w:val="4d"/>
    <w:semiHidden/>
    <w:rsid w:val="00B2425D"/>
    <w:rPr>
      <w:rFonts w:ascii="Times New Roman" w:eastAsia="MS Mincho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5111">
    <w:name w:val="Сетка таблицы 511"/>
    <w:basedOn w:val="a1"/>
    <w:next w:val="54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611">
    <w:name w:val="Сетка таблицы 611"/>
    <w:basedOn w:val="a1"/>
    <w:next w:val="63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7110">
    <w:name w:val="Сетка таблицы 711"/>
    <w:basedOn w:val="a1"/>
    <w:next w:val="7c"/>
    <w:semiHidden/>
    <w:rsid w:val="00B2425D"/>
    <w:rPr>
      <w:rFonts w:ascii="Times New Roman" w:eastAsia="MS Mincho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8110">
    <w:name w:val="Сетка таблицы 811"/>
    <w:basedOn w:val="a1"/>
    <w:next w:val="89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110">
    <w:name w:val="Таблица-список 111"/>
    <w:basedOn w:val="a1"/>
    <w:next w:val="-10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11">
    <w:name w:val="Таблица-список 211"/>
    <w:basedOn w:val="a1"/>
    <w:next w:val="-2"/>
    <w:semiHidden/>
    <w:rsid w:val="00B2425D"/>
    <w:rPr>
      <w:rFonts w:ascii="Times New Roman" w:eastAsia="MS Mincho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11">
    <w:name w:val="Таблица-список 311"/>
    <w:basedOn w:val="a1"/>
    <w:next w:val="-3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4110">
    <w:name w:val="Таблица-список 411"/>
    <w:basedOn w:val="a1"/>
    <w:next w:val="-4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8080" w:fill="FFFFFF"/>
      </w:tcPr>
    </w:tblStylePr>
  </w:style>
  <w:style w:type="table" w:customStyle="1" w:styleId="-511">
    <w:name w:val="Таблица-список 511"/>
    <w:basedOn w:val="a1"/>
    <w:next w:val="-5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611">
    <w:name w:val="Таблица-список 611"/>
    <w:basedOn w:val="a1"/>
    <w:next w:val="-6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000000" w:fill="FFFFFF"/>
      </w:tcPr>
    </w:tblStylePr>
  </w:style>
  <w:style w:type="table" w:customStyle="1" w:styleId="-711">
    <w:name w:val="Таблица-список 711"/>
    <w:basedOn w:val="a1"/>
    <w:next w:val="-7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</w:style>
  <w:style w:type="table" w:customStyle="1" w:styleId="-811">
    <w:name w:val="Таблица-список 811"/>
    <w:basedOn w:val="a1"/>
    <w:next w:val="-8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50" w:color="FF0000" w:fill="FFFFFF"/>
      </w:tcPr>
    </w:tblStylePr>
  </w:style>
  <w:style w:type="table" w:customStyle="1" w:styleId="11f9">
    <w:name w:val="Стандартная таблица11"/>
    <w:basedOn w:val="a1"/>
    <w:next w:val="affff1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11b">
    <w:name w:val="Простая таблица 111"/>
    <w:basedOn w:val="a1"/>
    <w:next w:val="1ff7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6" w:space="0" w:color="auto"/>
          <w:tr2bl w:val="none" w:sz="6" w:space="0" w:color="auto"/>
        </w:tcBorders>
      </w:tcPr>
    </w:tblStylePr>
  </w:style>
  <w:style w:type="table" w:customStyle="1" w:styleId="211f0">
    <w:name w:val="Простая таблица 211"/>
    <w:basedOn w:val="a1"/>
    <w:next w:val="2f"/>
    <w:semiHidden/>
    <w:rsid w:val="00B2425D"/>
    <w:rPr>
      <w:rFonts w:ascii="Times New Roman" w:eastAsia="MS Mincho" w:hAnsi="Times New Roman" w:cs="Times New Roman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311f0">
    <w:name w:val="Простая таблица 311"/>
    <w:basedOn w:val="a1"/>
    <w:next w:val="3c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11c">
    <w:name w:val="Изящная таблица 111"/>
    <w:basedOn w:val="a1"/>
    <w:next w:val="1ffd"/>
    <w:semiHidden/>
    <w:rsid w:val="00B2425D"/>
    <w:rPr>
      <w:rFonts w:ascii="Times New Roman" w:eastAsia="MS Mincho" w:hAnsi="Times New Roman" w:cs="Times New Roman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1f1">
    <w:name w:val="Изящная таблица 211"/>
    <w:basedOn w:val="a1"/>
    <w:next w:val="2f5"/>
    <w:semiHidden/>
    <w:rsid w:val="00B2425D"/>
    <w:rPr>
      <w:rFonts w:ascii="Times New Roman" w:eastAsia="MS Mincho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fa">
    <w:name w:val="Тема таблицы11"/>
    <w:basedOn w:val="a1"/>
    <w:next w:val="affff2"/>
    <w:semiHidden/>
    <w:rsid w:val="00B2425D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">
    <w:name w:val="Веб-таблица 111"/>
    <w:basedOn w:val="a1"/>
    <w:next w:val="-11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110">
    <w:name w:val="Веб-таблица 211"/>
    <w:basedOn w:val="a1"/>
    <w:next w:val="-20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110">
    <w:name w:val="Веб-таблица 311"/>
    <w:basedOn w:val="a1"/>
    <w:next w:val="-30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Style111">
    <w:name w:val="Style111"/>
    <w:basedOn w:val="a1"/>
    <w:uiPriority w:val="99"/>
    <w:qFormat/>
    <w:rsid w:val="00B2425D"/>
    <w:rPr>
      <w:rFonts w:ascii="Times New Roman" w:eastAsia="MS Mincho" w:hAnsi="Times New Roman" w:cs="Times New Roman"/>
    </w:rPr>
    <w:tblPr/>
  </w:style>
  <w:style w:type="table" w:customStyle="1" w:styleId="TableGrid111">
    <w:name w:val="Table Grid111"/>
    <w:basedOn w:val="a1"/>
    <w:next w:val="af8"/>
    <w:rsid w:val="00B2425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0">
    <w:name w:val="Список-таблица 1 светлая31"/>
    <w:basedOn w:val="a1"/>
    <w:next w:val="-1"/>
    <w:uiPriority w:val="46"/>
    <w:rsid w:val="00B2425D"/>
    <w:rPr>
      <w:rFonts w:cs="Times New Roman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OpinionTable11">
    <w:name w:val="Opinion Table11"/>
    <w:basedOn w:val="a1"/>
    <w:uiPriority w:val="99"/>
    <w:rsid w:val="00B2425D"/>
    <w:rPr>
      <w:rFonts w:ascii="Verdana" w:eastAsia="MS Mincho" w:hAnsi="Verdana" w:cs="Times New Roman"/>
      <w:sz w:val="18"/>
    </w:rPr>
    <w:tblPr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table" w:customStyle="1" w:styleId="ListTable4121">
    <w:name w:val="List Table 4121"/>
    <w:basedOn w:val="a1"/>
    <w:next w:val="-40"/>
    <w:uiPriority w:val="49"/>
    <w:rsid w:val="00B2425D"/>
    <w:rPr>
      <w:rFonts w:cs="Times New Roman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31">
    <w:name w:val="Список-таблица 431"/>
    <w:basedOn w:val="a1"/>
    <w:next w:val="-40"/>
    <w:uiPriority w:val="49"/>
    <w:rsid w:val="00B2425D"/>
    <w:rPr>
      <w:rFonts w:ascii="Times New Roman" w:eastAsia="MS Mincho" w:hAnsi="Times New Roman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TableGrid22">
    <w:name w:val="Table Grid22"/>
    <w:basedOn w:val="a1"/>
    <w:next w:val="af8"/>
    <w:uiPriority w:val="59"/>
    <w:rsid w:val="00B2425D"/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1"/>
    <w:next w:val="af8"/>
    <w:uiPriority w:val="59"/>
    <w:rsid w:val="00B2425D"/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inionTable4">
    <w:name w:val="Opinion Table4"/>
    <w:basedOn w:val="a1"/>
    <w:uiPriority w:val="99"/>
    <w:rsid w:val="00B2425D"/>
    <w:pPr>
      <w:jc w:val="both"/>
    </w:pPr>
    <w:rPr>
      <w:rFonts w:ascii="Verdana" w:eastAsia="MS Mincho" w:hAnsi="Verdana" w:cs="Times New Roman"/>
      <w:sz w:val="18"/>
    </w:rPr>
    <w:tblPr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paragraph" w:styleId="2ff9">
    <w:name w:val="Quote"/>
    <w:basedOn w:val="a"/>
    <w:next w:val="a"/>
    <w:link w:val="2ffa"/>
    <w:uiPriority w:val="29"/>
    <w:qFormat/>
    <w:rsid w:val="00B2425D"/>
    <w:pPr>
      <w:spacing w:after="200" w:line="276" w:lineRule="auto"/>
    </w:pPr>
    <w:rPr>
      <w:rFonts w:ascii="Calibri" w:eastAsia="Yu Mincho" w:hAnsi="Calibri"/>
      <w:i/>
      <w:iCs/>
      <w:sz w:val="20"/>
      <w:szCs w:val="20"/>
    </w:rPr>
  </w:style>
  <w:style w:type="character" w:customStyle="1" w:styleId="2ffa">
    <w:name w:val="Цитата 2 Знак"/>
    <w:basedOn w:val="a0"/>
    <w:link w:val="2ff9"/>
    <w:uiPriority w:val="29"/>
    <w:locked/>
    <w:rsid w:val="00B2425D"/>
    <w:rPr>
      <w:rFonts w:eastAsia="Yu Mincho" w:cs="Times New Roman"/>
      <w:i/>
    </w:rPr>
  </w:style>
  <w:style w:type="paragraph" w:customStyle="1" w:styleId="1fff3">
    <w:name w:val="Выделенная цитата1"/>
    <w:basedOn w:val="a"/>
    <w:next w:val="a"/>
    <w:uiPriority w:val="30"/>
    <w:qFormat/>
    <w:rsid w:val="00B2425D"/>
    <w:pPr>
      <w:pBdr>
        <w:top w:val="single" w:sz="8" w:space="1" w:color="70AD47"/>
      </w:pBdr>
      <w:spacing w:before="140" w:after="140" w:line="276" w:lineRule="auto"/>
      <w:ind w:left="1440" w:right="1440"/>
    </w:pPr>
    <w:rPr>
      <w:rFonts w:ascii="Calibri" w:eastAsia="Yu Mincho" w:hAnsi="Calibri"/>
      <w:b/>
      <w:bCs/>
      <w:i/>
      <w:iCs/>
      <w:sz w:val="20"/>
      <w:szCs w:val="20"/>
    </w:rPr>
  </w:style>
  <w:style w:type="character" w:styleId="afffff">
    <w:name w:val="Intense Emphasis"/>
    <w:basedOn w:val="a0"/>
    <w:uiPriority w:val="21"/>
    <w:qFormat/>
    <w:rsid w:val="00B2425D"/>
    <w:rPr>
      <w:rFonts w:cs="Times New Roman"/>
      <w:i/>
      <w:color w:val="4472C4"/>
    </w:rPr>
  </w:style>
  <w:style w:type="character" w:styleId="afffff0">
    <w:name w:val="Subtle Emphasis"/>
    <w:basedOn w:val="a0"/>
    <w:uiPriority w:val="19"/>
    <w:qFormat/>
    <w:rsid w:val="00B2425D"/>
    <w:rPr>
      <w:rFonts w:cs="Times New Roman"/>
      <w:i/>
    </w:rPr>
  </w:style>
  <w:style w:type="character" w:customStyle="1" w:styleId="1fff4">
    <w:name w:val="Сильное выделение1"/>
    <w:uiPriority w:val="21"/>
    <w:qFormat/>
    <w:rsid w:val="00B2425D"/>
    <w:rPr>
      <w:b/>
      <w:i/>
      <w:color w:val="70AD47"/>
      <w:spacing w:val="10"/>
    </w:rPr>
  </w:style>
  <w:style w:type="character" w:styleId="afffff1">
    <w:name w:val="Subtle Reference"/>
    <w:basedOn w:val="a0"/>
    <w:uiPriority w:val="31"/>
    <w:qFormat/>
    <w:rsid w:val="00B2425D"/>
    <w:rPr>
      <w:rFonts w:cs="Times New Roman"/>
      <w:b/>
    </w:rPr>
  </w:style>
  <w:style w:type="character" w:styleId="afffff2">
    <w:name w:val="Intense Reference"/>
    <w:basedOn w:val="a0"/>
    <w:uiPriority w:val="32"/>
    <w:qFormat/>
    <w:rsid w:val="00B2425D"/>
    <w:rPr>
      <w:rFonts w:cs="Times New Roman"/>
      <w:b/>
      <w:smallCaps/>
      <w:spacing w:val="5"/>
      <w:sz w:val="22"/>
      <w:u w:val="single"/>
    </w:rPr>
  </w:style>
  <w:style w:type="character" w:customStyle="1" w:styleId="1fff5">
    <w:name w:val="Название книги1"/>
    <w:uiPriority w:val="33"/>
    <w:qFormat/>
    <w:rsid w:val="00B2425D"/>
    <w:rPr>
      <w:rFonts w:ascii="Calibri Light" w:eastAsia="Yu Gothic Light" w:hAnsi="Calibri Light"/>
      <w:i/>
      <w:sz w:val="20"/>
    </w:rPr>
  </w:style>
  <w:style w:type="table" w:customStyle="1" w:styleId="ListTable415">
    <w:name w:val="List Table 415"/>
    <w:basedOn w:val="a1"/>
    <w:next w:val="-40"/>
    <w:uiPriority w:val="49"/>
    <w:rsid w:val="00B2425D"/>
    <w:rPr>
      <w:rFonts w:cs="Times New Roma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6">
    <w:name w:val="Список-таблица 46"/>
    <w:basedOn w:val="a1"/>
    <w:next w:val="-40"/>
    <w:uiPriority w:val="49"/>
    <w:rsid w:val="00B2425D"/>
    <w:pPr>
      <w:jc w:val="both"/>
    </w:pPr>
    <w:rPr>
      <w:rFonts w:eastAsia="Yu Mincho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ListTable42">
    <w:name w:val="List Table 42"/>
    <w:basedOn w:val="a1"/>
    <w:next w:val="-40"/>
    <w:uiPriority w:val="49"/>
    <w:rsid w:val="00B2425D"/>
    <w:rPr>
      <w:rFonts w:cs="Times New Roma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paragraph" w:styleId="afffff3">
    <w:name w:val="Intense Quote"/>
    <w:basedOn w:val="a"/>
    <w:next w:val="a"/>
    <w:link w:val="afffff4"/>
    <w:uiPriority w:val="30"/>
    <w:qFormat/>
    <w:rsid w:val="00B2425D"/>
    <w:pPr>
      <w:pBdr>
        <w:top w:val="single" w:sz="4" w:space="10" w:color="4472C4"/>
        <w:bottom w:val="single" w:sz="4" w:space="10" w:color="4472C4"/>
      </w:pBdr>
      <w:spacing w:before="360" w:after="360" w:line="240" w:lineRule="auto"/>
      <w:ind w:left="864" w:right="864"/>
      <w:jc w:val="center"/>
    </w:pPr>
    <w:rPr>
      <w:rFonts w:ascii="Calibri" w:hAnsi="Calibri" w:cs="Calibri"/>
      <w:b/>
      <w:bCs/>
      <w:i/>
      <w:iCs/>
      <w:sz w:val="20"/>
      <w:szCs w:val="20"/>
    </w:rPr>
  </w:style>
  <w:style w:type="character" w:customStyle="1" w:styleId="afffff4">
    <w:name w:val="Выделенная цитата Знак"/>
    <w:basedOn w:val="a0"/>
    <w:link w:val="afffff3"/>
    <w:uiPriority w:val="30"/>
    <w:locked/>
    <w:rsid w:val="00B2425D"/>
    <w:rPr>
      <w:rFonts w:cs="Times New Roman"/>
      <w:b/>
      <w:i/>
    </w:rPr>
  </w:style>
  <w:style w:type="character" w:customStyle="1" w:styleId="1fff6">
    <w:name w:val="Выделенная цитата Знак1"/>
    <w:uiPriority w:val="30"/>
    <w:rsid w:val="00B2425D"/>
    <w:rPr>
      <w:i/>
      <w:color w:val="4472C4"/>
      <w:sz w:val="22"/>
    </w:rPr>
  </w:style>
  <w:style w:type="character" w:styleId="afffff5">
    <w:name w:val="Book Title"/>
    <w:basedOn w:val="a0"/>
    <w:uiPriority w:val="33"/>
    <w:qFormat/>
    <w:rsid w:val="00B2425D"/>
    <w:rPr>
      <w:rFonts w:cs="Times New Roman"/>
      <w:b/>
      <w:i/>
      <w:spacing w:val="5"/>
    </w:rPr>
  </w:style>
  <w:style w:type="table" w:customStyle="1" w:styleId="MLTable4">
    <w:name w:val="ML Table4"/>
    <w:basedOn w:val="af8"/>
    <w:semiHidden/>
    <w:rsid w:val="00B81721"/>
    <w:pPr>
      <w:spacing w:before="40" w:after="40"/>
    </w:pPr>
    <w:rPr>
      <w:rFonts w:ascii="Times New Roman" w:eastAsia="MS Mincho" w:hAnsi="Times New Roman"/>
    </w:rPr>
    <w:tblPr>
      <w:jc w:val="center"/>
      <w:tblCellMar>
        <w:left w:w="28" w:type="dxa"/>
        <w:right w:w="28" w:type="dxa"/>
      </w:tblCellMar>
    </w:tblPr>
    <w:trPr>
      <w:jc w:val="center"/>
    </w:trPr>
    <w:tblStylePr w:type="firstRow">
      <w:pPr>
        <w:jc w:val="center"/>
      </w:pPr>
      <w:rPr>
        <w:rFonts w:cs="Times New Roman"/>
        <w:b/>
        <w:sz w:val="20"/>
      </w:rPr>
      <w:tblPr/>
      <w:tcPr>
        <w:tcBorders>
          <w:top w:val="double" w:sz="4" w:space="0" w:color="auto"/>
          <w:bottom w:val="double" w:sz="4" w:space="0" w:color="auto"/>
        </w:tcBorders>
      </w:tcPr>
    </w:tblStylePr>
  </w:style>
  <w:style w:type="table" w:customStyle="1" w:styleId="7f">
    <w:name w:val="Сетка таблицы7"/>
    <w:basedOn w:val="a1"/>
    <w:next w:val="af8"/>
    <w:uiPriority w:val="39"/>
    <w:rsid w:val="00B81721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f">
    <w:name w:val="Объемная таблица 14"/>
    <w:basedOn w:val="a1"/>
    <w:next w:val="1ffc"/>
    <w:semiHidden/>
    <w:rsid w:val="00B81721"/>
    <w:rPr>
      <w:rFonts w:ascii="Times New Roman" w:eastAsia="MS Mincho" w:hAnsi="Times New Roman" w:cs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6" w:space="0" w:color="auto"/>
          <w:bottom w:val="none" w:sz="6" w:space="0" w:color="auto"/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6" w:space="0" w:color="auto"/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24b">
    <w:name w:val="Объемная таблица 24"/>
    <w:basedOn w:val="a1"/>
    <w:next w:val="2f4"/>
    <w:semiHidden/>
    <w:rsid w:val="00B81721"/>
    <w:rPr>
      <w:rFonts w:ascii="Times New Roman" w:eastAsia="MS Mincho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4c">
    <w:name w:val="Объемная таблица 34"/>
    <w:basedOn w:val="a1"/>
    <w:next w:val="3f1"/>
    <w:semiHidden/>
    <w:rsid w:val="00B81721"/>
    <w:rPr>
      <w:rFonts w:ascii="Times New Roman" w:eastAsia="MS Mincho" w:hAnsi="Times New Roman"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4f0">
    <w:name w:val="Классическая таблица 14"/>
    <w:basedOn w:val="a1"/>
    <w:next w:val="1ff8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4c">
    <w:name w:val="Классическая таблица 24"/>
    <w:basedOn w:val="a1"/>
    <w:next w:val="2f0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4d">
    <w:name w:val="Классическая таблица 34"/>
    <w:basedOn w:val="a1"/>
    <w:next w:val="3d"/>
    <w:semiHidden/>
    <w:rsid w:val="00B81721"/>
    <w:rPr>
      <w:rFonts w:ascii="Times New Roman" w:eastAsia="MS Mincho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41">
    <w:name w:val="Классическая таблица 44"/>
    <w:basedOn w:val="a1"/>
    <w:next w:val="4b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4f1">
    <w:name w:val="Цветная таблица 14"/>
    <w:basedOn w:val="a1"/>
    <w:next w:val="1ff9"/>
    <w:semiHidden/>
    <w:rsid w:val="00B81721"/>
    <w:rPr>
      <w:rFonts w:ascii="Times New Roman" w:eastAsia="MS Mincho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4d">
    <w:name w:val="Цветная таблица 24"/>
    <w:basedOn w:val="a1"/>
    <w:next w:val="2f1"/>
    <w:semiHidden/>
    <w:rsid w:val="00B81721"/>
    <w:rPr>
      <w:rFonts w:ascii="Times New Roman" w:eastAsia="MS Mincho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4e">
    <w:name w:val="Цветная таблица 34"/>
    <w:basedOn w:val="a1"/>
    <w:next w:val="3e"/>
    <w:semiHidden/>
    <w:rsid w:val="00B81721"/>
    <w:rPr>
      <w:rFonts w:ascii="Times New Roman" w:eastAsia="MS Mincho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4f2">
    <w:name w:val="Столбцы таблицы 14"/>
    <w:basedOn w:val="a1"/>
    <w:next w:val="1ffa"/>
    <w:semiHidden/>
    <w:rsid w:val="00B81721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4e">
    <w:name w:val="Столбцы таблицы 24"/>
    <w:basedOn w:val="a1"/>
    <w:next w:val="2f2"/>
    <w:semiHidden/>
    <w:rsid w:val="00B81721"/>
    <w:rPr>
      <w:rFonts w:ascii="Times New Roman" w:eastAsia="MS Mincho" w:hAnsi="Times New Roman" w:cs="Times New Roman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4f">
    <w:name w:val="Столбцы таблицы 34"/>
    <w:basedOn w:val="a1"/>
    <w:next w:val="3f"/>
    <w:semiHidden/>
    <w:rsid w:val="00B81721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42">
    <w:name w:val="Столбцы таблицы 44"/>
    <w:basedOn w:val="a1"/>
    <w:next w:val="4c"/>
    <w:semiHidden/>
    <w:rsid w:val="00B81721"/>
    <w:rPr>
      <w:rFonts w:ascii="Times New Roman" w:eastAsia="MS Mincho" w:hAnsi="Times New Roman" w:cs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540">
    <w:name w:val="Столбцы таблицы 54"/>
    <w:basedOn w:val="a1"/>
    <w:next w:val="53"/>
    <w:semiHidden/>
    <w:rsid w:val="00B81721"/>
    <w:rPr>
      <w:rFonts w:ascii="Times New Roman" w:eastAsia="MS Mincho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4f5">
    <w:name w:val="Современная таблица4"/>
    <w:basedOn w:val="a1"/>
    <w:next w:val="affff"/>
    <w:semiHidden/>
    <w:rsid w:val="00B81721"/>
    <w:rPr>
      <w:rFonts w:ascii="Times New Roman" w:eastAsia="MS Mincho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</w:style>
  <w:style w:type="table" w:customStyle="1" w:styleId="4f6">
    <w:name w:val="Изысканная таблица4"/>
    <w:basedOn w:val="a1"/>
    <w:next w:val="affff0"/>
    <w:semiHidden/>
    <w:rsid w:val="00B81721"/>
    <w:rPr>
      <w:rFonts w:ascii="Times New Roman" w:eastAsia="MS Mincho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4f3">
    <w:name w:val="Сетка таблицы 14"/>
    <w:basedOn w:val="a1"/>
    <w:next w:val="1ffb"/>
    <w:semiHidden/>
    <w:rsid w:val="00B81721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4f">
    <w:name w:val="Сетка таблицы 24"/>
    <w:basedOn w:val="a1"/>
    <w:next w:val="2f3"/>
    <w:semiHidden/>
    <w:rsid w:val="00B81721"/>
    <w:rPr>
      <w:rFonts w:ascii="Times New Roman" w:eastAsia="MS Mincho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4f0">
    <w:name w:val="Сетка таблицы 34"/>
    <w:basedOn w:val="a1"/>
    <w:next w:val="3f0"/>
    <w:semiHidden/>
    <w:rsid w:val="00B81721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43">
    <w:name w:val="Сетка таблицы 44"/>
    <w:basedOn w:val="a1"/>
    <w:next w:val="4d"/>
    <w:semiHidden/>
    <w:rsid w:val="00B81721"/>
    <w:rPr>
      <w:rFonts w:ascii="Times New Roman" w:eastAsia="MS Mincho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541">
    <w:name w:val="Сетка таблицы 54"/>
    <w:basedOn w:val="a1"/>
    <w:next w:val="54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640">
    <w:name w:val="Сетка таблицы 64"/>
    <w:basedOn w:val="a1"/>
    <w:next w:val="63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741">
    <w:name w:val="Сетка таблицы 74"/>
    <w:basedOn w:val="a1"/>
    <w:next w:val="7c"/>
    <w:semiHidden/>
    <w:rsid w:val="00B81721"/>
    <w:rPr>
      <w:rFonts w:ascii="Times New Roman" w:eastAsia="MS Mincho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841">
    <w:name w:val="Сетка таблицы 84"/>
    <w:basedOn w:val="a1"/>
    <w:next w:val="89"/>
    <w:semiHidden/>
    <w:rsid w:val="00B81721"/>
    <w:rPr>
      <w:rFonts w:ascii="Times New Roman" w:eastAsia="MS Mincho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40">
    <w:name w:val="Таблица-список 14"/>
    <w:basedOn w:val="a1"/>
    <w:next w:val="-10"/>
    <w:semiHidden/>
    <w:rsid w:val="00B81721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4">
    <w:name w:val="Таблица-список 24"/>
    <w:basedOn w:val="a1"/>
    <w:next w:val="-2"/>
    <w:semiHidden/>
    <w:rsid w:val="00B81721"/>
    <w:rPr>
      <w:rFonts w:ascii="Times New Roman" w:eastAsia="MS Mincho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4">
    <w:name w:val="Таблица-список 34"/>
    <w:basedOn w:val="a1"/>
    <w:next w:val="-3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440">
    <w:name w:val="Таблица-список 44"/>
    <w:basedOn w:val="a1"/>
    <w:next w:val="-4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8080" w:fill="FFFFFF"/>
      </w:tcPr>
    </w:tblStylePr>
  </w:style>
  <w:style w:type="table" w:customStyle="1" w:styleId="-54">
    <w:name w:val="Таблица-список 54"/>
    <w:basedOn w:val="a1"/>
    <w:next w:val="-5"/>
    <w:semiHidden/>
    <w:rsid w:val="00B81721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64">
    <w:name w:val="Таблица-список 64"/>
    <w:basedOn w:val="a1"/>
    <w:next w:val="-6"/>
    <w:semiHidden/>
    <w:rsid w:val="00B81721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000000" w:fill="FFFFFF"/>
      </w:tcPr>
    </w:tblStylePr>
  </w:style>
  <w:style w:type="table" w:customStyle="1" w:styleId="-74">
    <w:name w:val="Таблица-список 74"/>
    <w:basedOn w:val="a1"/>
    <w:next w:val="-7"/>
    <w:semiHidden/>
    <w:rsid w:val="00B81721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</w:style>
  <w:style w:type="table" w:customStyle="1" w:styleId="-84">
    <w:name w:val="Таблица-список 84"/>
    <w:basedOn w:val="a1"/>
    <w:next w:val="-8"/>
    <w:semiHidden/>
    <w:rsid w:val="00B81721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50" w:color="FF0000" w:fill="FFFFFF"/>
      </w:tcPr>
    </w:tblStylePr>
  </w:style>
  <w:style w:type="table" w:customStyle="1" w:styleId="4f7">
    <w:name w:val="Стандартная таблица4"/>
    <w:basedOn w:val="a1"/>
    <w:next w:val="affff1"/>
    <w:semiHidden/>
    <w:rsid w:val="00B81721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4f4">
    <w:name w:val="Простая таблица 14"/>
    <w:basedOn w:val="a1"/>
    <w:next w:val="1ff7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6" w:space="0" w:color="auto"/>
          <w:tr2bl w:val="none" w:sz="6" w:space="0" w:color="auto"/>
        </w:tcBorders>
      </w:tcPr>
    </w:tblStylePr>
  </w:style>
  <w:style w:type="table" w:customStyle="1" w:styleId="24f0">
    <w:name w:val="Простая таблица 24"/>
    <w:basedOn w:val="a1"/>
    <w:next w:val="2f"/>
    <w:semiHidden/>
    <w:rsid w:val="00B81721"/>
    <w:rPr>
      <w:rFonts w:ascii="Times New Roman" w:eastAsia="MS Mincho" w:hAnsi="Times New Roman" w:cs="Times New Roman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34f1">
    <w:name w:val="Простая таблица 34"/>
    <w:basedOn w:val="a1"/>
    <w:next w:val="3c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4f5">
    <w:name w:val="Изящная таблица 14"/>
    <w:basedOn w:val="a1"/>
    <w:next w:val="1ffd"/>
    <w:semiHidden/>
    <w:rsid w:val="00B81721"/>
    <w:rPr>
      <w:rFonts w:ascii="Times New Roman" w:eastAsia="MS Mincho" w:hAnsi="Times New Roman" w:cs="Times New Roman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4f1">
    <w:name w:val="Изящная таблица 24"/>
    <w:basedOn w:val="a1"/>
    <w:next w:val="2f5"/>
    <w:semiHidden/>
    <w:rsid w:val="00B81721"/>
    <w:rPr>
      <w:rFonts w:ascii="Times New Roman" w:eastAsia="MS Mincho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41">
    <w:name w:val="Веб-таблица 14"/>
    <w:basedOn w:val="a1"/>
    <w:next w:val="-11"/>
    <w:semiHidden/>
    <w:rsid w:val="00B81721"/>
    <w:rPr>
      <w:rFonts w:ascii="Times New Roman" w:eastAsia="MS Mincho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40">
    <w:name w:val="Веб-таблица 24"/>
    <w:basedOn w:val="a1"/>
    <w:next w:val="-20"/>
    <w:semiHidden/>
    <w:rsid w:val="00B81721"/>
    <w:rPr>
      <w:rFonts w:ascii="Times New Roman" w:eastAsia="MS Mincho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40">
    <w:name w:val="Веб-таблица 34"/>
    <w:basedOn w:val="a1"/>
    <w:next w:val="-30"/>
    <w:semiHidden/>
    <w:rsid w:val="00B81721"/>
    <w:rPr>
      <w:rFonts w:ascii="Times New Roman" w:eastAsia="MS Mincho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6">
    <w:name w:val="Список-таблица 1 светлая6"/>
    <w:basedOn w:val="a1"/>
    <w:next w:val="-1"/>
    <w:uiPriority w:val="46"/>
    <w:rsid w:val="00B81721"/>
    <w:rPr>
      <w:rFonts w:cs="Times New Roman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OpinionTable5">
    <w:name w:val="Opinion Table5"/>
    <w:basedOn w:val="a1"/>
    <w:uiPriority w:val="99"/>
    <w:rsid w:val="00B81721"/>
    <w:rPr>
      <w:rFonts w:ascii="Verdana" w:eastAsia="MS Mincho" w:hAnsi="Verdana" w:cs="Times New Roman"/>
      <w:sz w:val="18"/>
    </w:rPr>
    <w:tblPr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table" w:customStyle="1" w:styleId="ListTable416">
    <w:name w:val="List Table 416"/>
    <w:basedOn w:val="a1"/>
    <w:next w:val="-40"/>
    <w:uiPriority w:val="49"/>
    <w:rsid w:val="00B81721"/>
    <w:rPr>
      <w:rFonts w:cs="Times New Roman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7">
    <w:name w:val="Список-таблица 47"/>
    <w:basedOn w:val="a1"/>
    <w:next w:val="-40"/>
    <w:uiPriority w:val="49"/>
    <w:rsid w:val="00B81721"/>
    <w:rPr>
      <w:rFonts w:ascii="Times New Roman" w:eastAsia="MS Mincho" w:hAnsi="Times New Roman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paragraph" w:customStyle="1" w:styleId="1fff7">
    <w:name w:val="Список1"/>
    <w:basedOn w:val="22"/>
    <w:qFormat/>
    <w:rsid w:val="00B81721"/>
    <w:pPr>
      <w:widowControl w:val="0"/>
      <w:tabs>
        <w:tab w:val="left" w:pos="1134"/>
      </w:tabs>
      <w:spacing w:before="120" w:after="120"/>
      <w:ind w:left="1134" w:hanging="567"/>
      <w:jc w:val="both"/>
    </w:pPr>
    <w:rPr>
      <w:rFonts w:ascii="Tahoma" w:hAnsi="Tahoma" w:cs="Tahoma"/>
      <w:color w:val="auto"/>
      <w:sz w:val="18"/>
      <w:szCs w:val="18"/>
    </w:rPr>
  </w:style>
  <w:style w:type="table" w:customStyle="1" w:styleId="OpinionTable6">
    <w:name w:val="Opinion Table6"/>
    <w:basedOn w:val="a1"/>
    <w:uiPriority w:val="99"/>
    <w:rsid w:val="00B23551"/>
    <w:rPr>
      <w:rFonts w:ascii="Verdana" w:eastAsia="MS Mincho" w:hAnsi="Verdana" w:cs="Times New Roman"/>
      <w:sz w:val="18"/>
      <w:szCs w:val="22"/>
    </w:rPr>
    <w:tblPr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table" w:customStyle="1" w:styleId="ListTable417">
    <w:name w:val="List Table 417"/>
    <w:basedOn w:val="a1"/>
    <w:next w:val="-40"/>
    <w:uiPriority w:val="49"/>
    <w:rsid w:val="00B23551"/>
    <w:rPr>
      <w:rFonts w:cs="Times New Roma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8">
    <w:name w:val="Список-таблица 48"/>
    <w:basedOn w:val="a1"/>
    <w:next w:val="-40"/>
    <w:uiPriority w:val="49"/>
    <w:rsid w:val="00B23551"/>
    <w:rPr>
      <w:rFonts w:eastAsia="Yu Mincho" w:cs="Times New Roman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ListTable421">
    <w:name w:val="List Table 421"/>
    <w:basedOn w:val="a1"/>
    <w:next w:val="-40"/>
    <w:uiPriority w:val="49"/>
    <w:rsid w:val="00B23551"/>
    <w:rPr>
      <w:rFonts w:cs="Times New Roma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character" w:customStyle="1" w:styleId="365">
    <w:name w:val="Основной текст 3 Знак65"/>
    <w:uiPriority w:val="99"/>
    <w:semiHidden/>
    <w:rsid w:val="000A1F3E"/>
    <w:rPr>
      <w:rFonts w:ascii="Times New Roman" w:hAnsi="Times New Roman"/>
      <w:sz w:val="16"/>
    </w:rPr>
  </w:style>
  <w:style w:type="character" w:customStyle="1" w:styleId="364">
    <w:name w:val="Основной текст 3 Знак64"/>
    <w:uiPriority w:val="99"/>
    <w:semiHidden/>
    <w:rsid w:val="000A1F3E"/>
    <w:rPr>
      <w:rFonts w:ascii="Times New Roman" w:hAnsi="Times New Roman"/>
      <w:sz w:val="16"/>
    </w:rPr>
  </w:style>
  <w:style w:type="character" w:customStyle="1" w:styleId="354">
    <w:name w:val="Основной текст 3 Знак54"/>
    <w:uiPriority w:val="99"/>
    <w:semiHidden/>
    <w:rsid w:val="000A1F3E"/>
    <w:rPr>
      <w:rFonts w:ascii="Times New Roman" w:hAnsi="Times New Roman"/>
      <w:sz w:val="16"/>
    </w:rPr>
  </w:style>
  <w:style w:type="character" w:customStyle="1" w:styleId="353">
    <w:name w:val="Основной текст 3 Знак53"/>
    <w:uiPriority w:val="99"/>
    <w:semiHidden/>
    <w:rsid w:val="000A1F3E"/>
    <w:rPr>
      <w:rFonts w:ascii="Times New Roman" w:hAnsi="Times New Roman"/>
      <w:sz w:val="16"/>
    </w:rPr>
  </w:style>
  <w:style w:type="character" w:customStyle="1" w:styleId="3520">
    <w:name w:val="Основной текст 3 Знак52"/>
    <w:uiPriority w:val="99"/>
    <w:semiHidden/>
    <w:rsid w:val="000A1F3E"/>
    <w:rPr>
      <w:rFonts w:ascii="Times New Roman" w:hAnsi="Times New Roman"/>
      <w:sz w:val="16"/>
    </w:rPr>
  </w:style>
  <w:style w:type="character" w:customStyle="1" w:styleId="3510">
    <w:name w:val="Основной текст 3 Знак51"/>
    <w:uiPriority w:val="99"/>
    <w:semiHidden/>
    <w:rsid w:val="000A1F3E"/>
    <w:rPr>
      <w:rFonts w:ascii="Times New Roman" w:hAnsi="Times New Roman"/>
      <w:sz w:val="16"/>
    </w:rPr>
  </w:style>
  <w:style w:type="character" w:customStyle="1" w:styleId="3500">
    <w:name w:val="Основной текст 3 Знак50"/>
    <w:uiPriority w:val="99"/>
    <w:semiHidden/>
    <w:rsid w:val="000A1F3E"/>
    <w:rPr>
      <w:rFonts w:ascii="Times New Roman" w:hAnsi="Times New Roman"/>
      <w:sz w:val="16"/>
    </w:rPr>
  </w:style>
  <w:style w:type="character" w:customStyle="1" w:styleId="3490">
    <w:name w:val="Основной текст 3 Знак49"/>
    <w:uiPriority w:val="99"/>
    <w:semiHidden/>
    <w:rsid w:val="000A1F3E"/>
    <w:rPr>
      <w:rFonts w:ascii="Times New Roman" w:hAnsi="Times New Roman"/>
      <w:sz w:val="16"/>
    </w:rPr>
  </w:style>
  <w:style w:type="character" w:customStyle="1" w:styleId="650">
    <w:name w:val="Красная строка Знак65"/>
    <w:uiPriority w:val="99"/>
    <w:semiHidden/>
    <w:rsid w:val="000A1F3E"/>
    <w:rPr>
      <w:rFonts w:ascii="Times New Roman" w:hAnsi="Times New Roman"/>
      <w:sz w:val="22"/>
    </w:rPr>
  </w:style>
  <w:style w:type="character" w:customStyle="1" w:styleId="641">
    <w:name w:val="Красная строка Знак64"/>
    <w:uiPriority w:val="99"/>
    <w:semiHidden/>
    <w:rsid w:val="000A1F3E"/>
    <w:rPr>
      <w:rFonts w:ascii="Times New Roman" w:hAnsi="Times New Roman"/>
      <w:sz w:val="22"/>
    </w:rPr>
  </w:style>
  <w:style w:type="character" w:customStyle="1" w:styleId="542">
    <w:name w:val="Красная строка Знак54"/>
    <w:uiPriority w:val="99"/>
    <w:semiHidden/>
    <w:rsid w:val="000A1F3E"/>
    <w:rPr>
      <w:rFonts w:ascii="Times New Roman" w:hAnsi="Times New Roman"/>
      <w:sz w:val="22"/>
    </w:rPr>
  </w:style>
  <w:style w:type="character" w:customStyle="1" w:styleId="532">
    <w:name w:val="Красная строка Знак53"/>
    <w:uiPriority w:val="99"/>
    <w:semiHidden/>
    <w:rsid w:val="000A1F3E"/>
    <w:rPr>
      <w:rFonts w:ascii="Times New Roman" w:hAnsi="Times New Roman"/>
      <w:sz w:val="22"/>
    </w:rPr>
  </w:style>
  <w:style w:type="character" w:customStyle="1" w:styleId="522">
    <w:name w:val="Красная строка Знак52"/>
    <w:uiPriority w:val="99"/>
    <w:semiHidden/>
    <w:rsid w:val="000A1F3E"/>
    <w:rPr>
      <w:rFonts w:ascii="Times New Roman" w:hAnsi="Times New Roman"/>
      <w:sz w:val="22"/>
    </w:rPr>
  </w:style>
  <w:style w:type="character" w:customStyle="1" w:styleId="512">
    <w:name w:val="Красная строка Знак51"/>
    <w:uiPriority w:val="99"/>
    <w:semiHidden/>
    <w:rsid w:val="000A1F3E"/>
    <w:rPr>
      <w:rFonts w:ascii="Times New Roman" w:hAnsi="Times New Roman"/>
      <w:sz w:val="22"/>
    </w:rPr>
  </w:style>
  <w:style w:type="character" w:customStyle="1" w:styleId="500">
    <w:name w:val="Красная строка Знак50"/>
    <w:uiPriority w:val="99"/>
    <w:semiHidden/>
    <w:rsid w:val="000A1F3E"/>
    <w:rPr>
      <w:rFonts w:ascii="Times New Roman" w:hAnsi="Times New Roman"/>
      <w:sz w:val="22"/>
    </w:rPr>
  </w:style>
  <w:style w:type="character" w:customStyle="1" w:styleId="490">
    <w:name w:val="Красная строка Знак49"/>
    <w:uiPriority w:val="99"/>
    <w:semiHidden/>
    <w:rsid w:val="000A1F3E"/>
    <w:rPr>
      <w:rFonts w:ascii="Times New Roman" w:hAnsi="Times New Roman"/>
      <w:sz w:val="22"/>
    </w:rPr>
  </w:style>
  <w:style w:type="character" w:customStyle="1" w:styleId="265">
    <w:name w:val="Красная строка 2 Знак65"/>
    <w:uiPriority w:val="99"/>
    <w:semiHidden/>
    <w:rsid w:val="000A1F3E"/>
    <w:rPr>
      <w:rFonts w:ascii="Times New Roman" w:hAnsi="Times New Roman"/>
      <w:sz w:val="22"/>
    </w:rPr>
  </w:style>
  <w:style w:type="character" w:customStyle="1" w:styleId="264">
    <w:name w:val="Красная строка 2 Знак64"/>
    <w:uiPriority w:val="99"/>
    <w:semiHidden/>
    <w:rsid w:val="000A1F3E"/>
    <w:rPr>
      <w:rFonts w:ascii="Times New Roman" w:hAnsi="Times New Roman"/>
      <w:sz w:val="22"/>
    </w:rPr>
  </w:style>
  <w:style w:type="character" w:customStyle="1" w:styleId="254">
    <w:name w:val="Красная строка 2 Знак54"/>
    <w:uiPriority w:val="99"/>
    <w:semiHidden/>
    <w:rsid w:val="000A1F3E"/>
    <w:rPr>
      <w:rFonts w:ascii="Times New Roman" w:hAnsi="Times New Roman"/>
      <w:sz w:val="22"/>
    </w:rPr>
  </w:style>
  <w:style w:type="character" w:customStyle="1" w:styleId="253">
    <w:name w:val="Красная строка 2 Знак53"/>
    <w:uiPriority w:val="99"/>
    <w:semiHidden/>
    <w:rsid w:val="000A1F3E"/>
    <w:rPr>
      <w:rFonts w:ascii="Times New Roman" w:hAnsi="Times New Roman"/>
      <w:sz w:val="22"/>
    </w:rPr>
  </w:style>
  <w:style w:type="character" w:customStyle="1" w:styleId="2520">
    <w:name w:val="Красная строка 2 Знак52"/>
    <w:uiPriority w:val="99"/>
    <w:semiHidden/>
    <w:rsid w:val="000A1F3E"/>
    <w:rPr>
      <w:rFonts w:ascii="Times New Roman" w:hAnsi="Times New Roman"/>
      <w:sz w:val="22"/>
    </w:rPr>
  </w:style>
  <w:style w:type="character" w:customStyle="1" w:styleId="2510">
    <w:name w:val="Красная строка 2 Знак51"/>
    <w:uiPriority w:val="99"/>
    <w:semiHidden/>
    <w:rsid w:val="000A1F3E"/>
    <w:rPr>
      <w:rFonts w:ascii="Times New Roman" w:hAnsi="Times New Roman"/>
      <w:sz w:val="22"/>
    </w:rPr>
  </w:style>
  <w:style w:type="character" w:customStyle="1" w:styleId="2500">
    <w:name w:val="Красная строка 2 Знак50"/>
    <w:uiPriority w:val="99"/>
    <w:semiHidden/>
    <w:rsid w:val="000A1F3E"/>
    <w:rPr>
      <w:rFonts w:ascii="Times New Roman" w:hAnsi="Times New Roman"/>
      <w:sz w:val="22"/>
    </w:rPr>
  </w:style>
  <w:style w:type="character" w:customStyle="1" w:styleId="2490">
    <w:name w:val="Красная строка 2 Знак49"/>
    <w:uiPriority w:val="99"/>
    <w:semiHidden/>
    <w:rsid w:val="000A1F3E"/>
    <w:rPr>
      <w:rFonts w:ascii="Times New Roman" w:hAnsi="Times New Roman"/>
      <w:sz w:val="22"/>
    </w:rPr>
  </w:style>
  <w:style w:type="character" w:customStyle="1" w:styleId="651">
    <w:name w:val="Текст макроса Знак65"/>
    <w:uiPriority w:val="99"/>
    <w:semiHidden/>
    <w:rsid w:val="000A1F3E"/>
    <w:rPr>
      <w:rFonts w:ascii="Courier New" w:hAnsi="Courier New"/>
    </w:rPr>
  </w:style>
  <w:style w:type="character" w:customStyle="1" w:styleId="642">
    <w:name w:val="Текст макроса Знак64"/>
    <w:uiPriority w:val="99"/>
    <w:semiHidden/>
    <w:rsid w:val="000A1F3E"/>
    <w:rPr>
      <w:rFonts w:ascii="Courier New" w:hAnsi="Courier New"/>
    </w:rPr>
  </w:style>
  <w:style w:type="character" w:customStyle="1" w:styleId="543">
    <w:name w:val="Текст макроса Знак54"/>
    <w:uiPriority w:val="99"/>
    <w:semiHidden/>
    <w:rsid w:val="000A1F3E"/>
    <w:rPr>
      <w:rFonts w:ascii="Courier New" w:hAnsi="Courier New"/>
    </w:rPr>
  </w:style>
  <w:style w:type="character" w:customStyle="1" w:styleId="533">
    <w:name w:val="Текст макроса Знак53"/>
    <w:uiPriority w:val="99"/>
    <w:semiHidden/>
    <w:rsid w:val="000A1F3E"/>
    <w:rPr>
      <w:rFonts w:ascii="Courier New" w:hAnsi="Courier New"/>
    </w:rPr>
  </w:style>
  <w:style w:type="character" w:customStyle="1" w:styleId="523">
    <w:name w:val="Текст макроса Знак52"/>
    <w:uiPriority w:val="99"/>
    <w:semiHidden/>
    <w:rsid w:val="000A1F3E"/>
    <w:rPr>
      <w:rFonts w:ascii="Courier New" w:hAnsi="Courier New"/>
    </w:rPr>
  </w:style>
  <w:style w:type="character" w:customStyle="1" w:styleId="513">
    <w:name w:val="Текст макроса Знак51"/>
    <w:uiPriority w:val="99"/>
    <w:semiHidden/>
    <w:rsid w:val="000A1F3E"/>
    <w:rPr>
      <w:rFonts w:ascii="Courier New" w:hAnsi="Courier New"/>
    </w:rPr>
  </w:style>
  <w:style w:type="character" w:customStyle="1" w:styleId="501">
    <w:name w:val="Текст макроса Знак50"/>
    <w:uiPriority w:val="99"/>
    <w:semiHidden/>
    <w:rsid w:val="000A1F3E"/>
    <w:rPr>
      <w:rFonts w:ascii="Courier New" w:hAnsi="Courier New"/>
    </w:rPr>
  </w:style>
  <w:style w:type="character" w:customStyle="1" w:styleId="491">
    <w:name w:val="Текст макроса Знак49"/>
    <w:uiPriority w:val="99"/>
    <w:semiHidden/>
    <w:rsid w:val="000A1F3E"/>
    <w:rPr>
      <w:rFonts w:ascii="Courier New" w:hAnsi="Courier New"/>
    </w:rPr>
  </w:style>
  <w:style w:type="character" w:customStyle="1" w:styleId="363">
    <w:name w:val="Основной текст 3 Знак63"/>
    <w:uiPriority w:val="99"/>
    <w:semiHidden/>
    <w:rsid w:val="000A1F3E"/>
    <w:rPr>
      <w:rFonts w:ascii="Times New Roman" w:hAnsi="Times New Roman"/>
      <w:sz w:val="16"/>
    </w:rPr>
  </w:style>
  <w:style w:type="character" w:customStyle="1" w:styleId="3620">
    <w:name w:val="Основной текст 3 Знак62"/>
    <w:uiPriority w:val="99"/>
    <w:semiHidden/>
    <w:rsid w:val="000A1F3E"/>
    <w:rPr>
      <w:rFonts w:ascii="Times New Roman" w:hAnsi="Times New Roman"/>
      <w:sz w:val="16"/>
    </w:rPr>
  </w:style>
  <w:style w:type="character" w:customStyle="1" w:styleId="3610">
    <w:name w:val="Основной текст 3 Знак61"/>
    <w:uiPriority w:val="99"/>
    <w:semiHidden/>
    <w:rsid w:val="000A1F3E"/>
    <w:rPr>
      <w:rFonts w:ascii="Times New Roman" w:hAnsi="Times New Roman"/>
      <w:sz w:val="16"/>
    </w:rPr>
  </w:style>
  <w:style w:type="character" w:customStyle="1" w:styleId="3600">
    <w:name w:val="Основной текст 3 Знак60"/>
    <w:uiPriority w:val="99"/>
    <w:semiHidden/>
    <w:rsid w:val="000A1F3E"/>
    <w:rPr>
      <w:rFonts w:ascii="Times New Roman" w:hAnsi="Times New Roman"/>
      <w:sz w:val="16"/>
    </w:rPr>
  </w:style>
  <w:style w:type="character" w:customStyle="1" w:styleId="359">
    <w:name w:val="Основной текст 3 Знак59"/>
    <w:uiPriority w:val="99"/>
    <w:semiHidden/>
    <w:rsid w:val="000A1F3E"/>
    <w:rPr>
      <w:rFonts w:ascii="Times New Roman" w:hAnsi="Times New Roman"/>
      <w:sz w:val="16"/>
    </w:rPr>
  </w:style>
  <w:style w:type="character" w:customStyle="1" w:styleId="358">
    <w:name w:val="Основной текст 3 Знак58"/>
    <w:uiPriority w:val="99"/>
    <w:semiHidden/>
    <w:rsid w:val="000A1F3E"/>
    <w:rPr>
      <w:rFonts w:ascii="Times New Roman" w:hAnsi="Times New Roman"/>
      <w:sz w:val="16"/>
    </w:rPr>
  </w:style>
  <w:style w:type="character" w:customStyle="1" w:styleId="357">
    <w:name w:val="Основной текст 3 Знак57"/>
    <w:uiPriority w:val="99"/>
    <w:semiHidden/>
    <w:rsid w:val="000A1F3E"/>
    <w:rPr>
      <w:rFonts w:ascii="Times New Roman" w:hAnsi="Times New Roman"/>
      <w:sz w:val="16"/>
    </w:rPr>
  </w:style>
  <w:style w:type="character" w:customStyle="1" w:styleId="356">
    <w:name w:val="Основной текст 3 Знак56"/>
    <w:uiPriority w:val="99"/>
    <w:semiHidden/>
    <w:rsid w:val="000A1F3E"/>
    <w:rPr>
      <w:rFonts w:ascii="Times New Roman" w:hAnsi="Times New Roman"/>
      <w:sz w:val="16"/>
    </w:rPr>
  </w:style>
  <w:style w:type="character" w:customStyle="1" w:styleId="355">
    <w:name w:val="Основной текст 3 Знак55"/>
    <w:uiPriority w:val="99"/>
    <w:semiHidden/>
    <w:rsid w:val="000A1F3E"/>
    <w:rPr>
      <w:rFonts w:ascii="Times New Roman" w:hAnsi="Times New Roman"/>
      <w:sz w:val="16"/>
    </w:rPr>
  </w:style>
  <w:style w:type="character" w:customStyle="1" w:styleId="631">
    <w:name w:val="Красная строка Знак63"/>
    <w:uiPriority w:val="99"/>
    <w:semiHidden/>
    <w:rsid w:val="000A1F3E"/>
    <w:rPr>
      <w:rFonts w:ascii="Times New Roman" w:hAnsi="Times New Roman"/>
      <w:sz w:val="22"/>
    </w:rPr>
  </w:style>
  <w:style w:type="character" w:customStyle="1" w:styleId="621">
    <w:name w:val="Красная строка Знак62"/>
    <w:uiPriority w:val="99"/>
    <w:semiHidden/>
    <w:rsid w:val="000A1F3E"/>
    <w:rPr>
      <w:rFonts w:ascii="Times New Roman" w:hAnsi="Times New Roman"/>
      <w:sz w:val="22"/>
    </w:rPr>
  </w:style>
  <w:style w:type="character" w:customStyle="1" w:styleId="612">
    <w:name w:val="Красная строка Знак61"/>
    <w:uiPriority w:val="99"/>
    <w:semiHidden/>
    <w:rsid w:val="000A1F3E"/>
    <w:rPr>
      <w:rFonts w:ascii="Times New Roman" w:hAnsi="Times New Roman"/>
      <w:sz w:val="22"/>
    </w:rPr>
  </w:style>
  <w:style w:type="character" w:customStyle="1" w:styleId="600">
    <w:name w:val="Красная строка Знак60"/>
    <w:uiPriority w:val="99"/>
    <w:semiHidden/>
    <w:rsid w:val="000A1F3E"/>
    <w:rPr>
      <w:rFonts w:ascii="Times New Roman" w:hAnsi="Times New Roman"/>
      <w:sz w:val="22"/>
    </w:rPr>
  </w:style>
  <w:style w:type="character" w:customStyle="1" w:styleId="590">
    <w:name w:val="Красная строка Знак59"/>
    <w:uiPriority w:val="99"/>
    <w:semiHidden/>
    <w:rsid w:val="000A1F3E"/>
    <w:rPr>
      <w:rFonts w:ascii="Times New Roman" w:hAnsi="Times New Roman"/>
      <w:sz w:val="22"/>
    </w:rPr>
  </w:style>
  <w:style w:type="character" w:customStyle="1" w:styleId="580">
    <w:name w:val="Красная строка Знак58"/>
    <w:uiPriority w:val="99"/>
    <w:semiHidden/>
    <w:rsid w:val="000A1F3E"/>
    <w:rPr>
      <w:rFonts w:ascii="Times New Roman" w:hAnsi="Times New Roman"/>
      <w:sz w:val="22"/>
    </w:rPr>
  </w:style>
  <w:style w:type="character" w:customStyle="1" w:styleId="570">
    <w:name w:val="Красная строка Знак57"/>
    <w:uiPriority w:val="99"/>
    <w:semiHidden/>
    <w:rsid w:val="000A1F3E"/>
    <w:rPr>
      <w:rFonts w:ascii="Times New Roman" w:hAnsi="Times New Roman"/>
      <w:sz w:val="22"/>
    </w:rPr>
  </w:style>
  <w:style w:type="character" w:customStyle="1" w:styleId="560">
    <w:name w:val="Красная строка Знак56"/>
    <w:uiPriority w:val="99"/>
    <w:semiHidden/>
    <w:rsid w:val="000A1F3E"/>
    <w:rPr>
      <w:rFonts w:ascii="Times New Roman" w:hAnsi="Times New Roman"/>
      <w:sz w:val="22"/>
    </w:rPr>
  </w:style>
  <w:style w:type="character" w:customStyle="1" w:styleId="550">
    <w:name w:val="Красная строка Знак55"/>
    <w:uiPriority w:val="99"/>
    <w:semiHidden/>
    <w:rsid w:val="000A1F3E"/>
    <w:rPr>
      <w:rFonts w:ascii="Times New Roman" w:hAnsi="Times New Roman"/>
      <w:sz w:val="22"/>
    </w:rPr>
  </w:style>
  <w:style w:type="character" w:customStyle="1" w:styleId="263">
    <w:name w:val="Красная строка 2 Знак63"/>
    <w:uiPriority w:val="99"/>
    <w:semiHidden/>
    <w:rsid w:val="000A1F3E"/>
    <w:rPr>
      <w:rFonts w:ascii="Times New Roman" w:hAnsi="Times New Roman"/>
      <w:sz w:val="22"/>
    </w:rPr>
  </w:style>
  <w:style w:type="character" w:customStyle="1" w:styleId="2620">
    <w:name w:val="Красная строка 2 Знак62"/>
    <w:uiPriority w:val="99"/>
    <w:semiHidden/>
    <w:rsid w:val="000A1F3E"/>
    <w:rPr>
      <w:rFonts w:ascii="Times New Roman" w:hAnsi="Times New Roman"/>
      <w:sz w:val="22"/>
    </w:rPr>
  </w:style>
  <w:style w:type="character" w:customStyle="1" w:styleId="2610">
    <w:name w:val="Красная строка 2 Знак61"/>
    <w:uiPriority w:val="99"/>
    <w:semiHidden/>
    <w:rsid w:val="000A1F3E"/>
    <w:rPr>
      <w:rFonts w:ascii="Times New Roman" w:hAnsi="Times New Roman"/>
      <w:sz w:val="22"/>
    </w:rPr>
  </w:style>
  <w:style w:type="character" w:customStyle="1" w:styleId="2600">
    <w:name w:val="Красная строка 2 Знак60"/>
    <w:uiPriority w:val="99"/>
    <w:semiHidden/>
    <w:rsid w:val="000A1F3E"/>
    <w:rPr>
      <w:rFonts w:ascii="Times New Roman" w:hAnsi="Times New Roman"/>
      <w:sz w:val="22"/>
    </w:rPr>
  </w:style>
  <w:style w:type="character" w:customStyle="1" w:styleId="259">
    <w:name w:val="Красная строка 2 Знак59"/>
    <w:uiPriority w:val="99"/>
    <w:semiHidden/>
    <w:rsid w:val="000A1F3E"/>
    <w:rPr>
      <w:rFonts w:ascii="Times New Roman" w:hAnsi="Times New Roman"/>
      <w:sz w:val="22"/>
    </w:rPr>
  </w:style>
  <w:style w:type="character" w:customStyle="1" w:styleId="258">
    <w:name w:val="Красная строка 2 Знак58"/>
    <w:uiPriority w:val="99"/>
    <w:semiHidden/>
    <w:rsid w:val="000A1F3E"/>
    <w:rPr>
      <w:rFonts w:ascii="Times New Roman" w:hAnsi="Times New Roman"/>
      <w:sz w:val="22"/>
    </w:rPr>
  </w:style>
  <w:style w:type="character" w:customStyle="1" w:styleId="257">
    <w:name w:val="Красная строка 2 Знак57"/>
    <w:uiPriority w:val="99"/>
    <w:semiHidden/>
    <w:rsid w:val="000A1F3E"/>
    <w:rPr>
      <w:rFonts w:ascii="Times New Roman" w:hAnsi="Times New Roman"/>
      <w:sz w:val="22"/>
    </w:rPr>
  </w:style>
  <w:style w:type="character" w:customStyle="1" w:styleId="256">
    <w:name w:val="Красная строка 2 Знак56"/>
    <w:uiPriority w:val="99"/>
    <w:semiHidden/>
    <w:rsid w:val="000A1F3E"/>
    <w:rPr>
      <w:rFonts w:ascii="Times New Roman" w:hAnsi="Times New Roman"/>
      <w:sz w:val="22"/>
    </w:rPr>
  </w:style>
  <w:style w:type="character" w:customStyle="1" w:styleId="255">
    <w:name w:val="Красная строка 2 Знак55"/>
    <w:uiPriority w:val="99"/>
    <w:semiHidden/>
    <w:rsid w:val="000A1F3E"/>
    <w:rPr>
      <w:rFonts w:ascii="Times New Roman" w:hAnsi="Times New Roman"/>
      <w:sz w:val="22"/>
    </w:rPr>
  </w:style>
  <w:style w:type="character" w:customStyle="1" w:styleId="632">
    <w:name w:val="Текст макроса Знак63"/>
    <w:uiPriority w:val="99"/>
    <w:semiHidden/>
    <w:rsid w:val="000A1F3E"/>
    <w:rPr>
      <w:rFonts w:ascii="Courier New" w:hAnsi="Courier New"/>
    </w:rPr>
  </w:style>
  <w:style w:type="character" w:customStyle="1" w:styleId="622">
    <w:name w:val="Текст макроса Знак62"/>
    <w:uiPriority w:val="99"/>
    <w:semiHidden/>
    <w:rsid w:val="000A1F3E"/>
    <w:rPr>
      <w:rFonts w:ascii="Courier New" w:hAnsi="Courier New"/>
    </w:rPr>
  </w:style>
  <w:style w:type="character" w:customStyle="1" w:styleId="613">
    <w:name w:val="Текст макроса Знак61"/>
    <w:uiPriority w:val="99"/>
    <w:semiHidden/>
    <w:rsid w:val="000A1F3E"/>
    <w:rPr>
      <w:rFonts w:ascii="Courier New" w:hAnsi="Courier New"/>
    </w:rPr>
  </w:style>
  <w:style w:type="character" w:customStyle="1" w:styleId="601">
    <w:name w:val="Текст макроса Знак60"/>
    <w:uiPriority w:val="99"/>
    <w:semiHidden/>
    <w:rsid w:val="000A1F3E"/>
    <w:rPr>
      <w:rFonts w:ascii="Courier New" w:hAnsi="Courier New"/>
    </w:rPr>
  </w:style>
  <w:style w:type="character" w:customStyle="1" w:styleId="591">
    <w:name w:val="Текст макроса Знак59"/>
    <w:uiPriority w:val="99"/>
    <w:semiHidden/>
    <w:rsid w:val="000A1F3E"/>
    <w:rPr>
      <w:rFonts w:ascii="Courier New" w:hAnsi="Courier New"/>
    </w:rPr>
  </w:style>
  <w:style w:type="character" w:customStyle="1" w:styleId="581">
    <w:name w:val="Текст макроса Знак58"/>
    <w:uiPriority w:val="99"/>
    <w:semiHidden/>
    <w:rsid w:val="000A1F3E"/>
    <w:rPr>
      <w:rFonts w:ascii="Courier New" w:hAnsi="Courier New"/>
    </w:rPr>
  </w:style>
  <w:style w:type="character" w:customStyle="1" w:styleId="571">
    <w:name w:val="Текст макроса Знак57"/>
    <w:uiPriority w:val="99"/>
    <w:semiHidden/>
    <w:rsid w:val="000A1F3E"/>
    <w:rPr>
      <w:rFonts w:ascii="Courier New" w:hAnsi="Courier New"/>
    </w:rPr>
  </w:style>
  <w:style w:type="character" w:customStyle="1" w:styleId="561">
    <w:name w:val="Текст макроса Знак56"/>
    <w:uiPriority w:val="99"/>
    <w:semiHidden/>
    <w:rsid w:val="000A1F3E"/>
    <w:rPr>
      <w:rFonts w:ascii="Courier New" w:hAnsi="Courier New"/>
    </w:rPr>
  </w:style>
  <w:style w:type="character" w:customStyle="1" w:styleId="551">
    <w:name w:val="Текст макроса Знак55"/>
    <w:uiPriority w:val="99"/>
    <w:semiHidden/>
    <w:rsid w:val="000A1F3E"/>
    <w:rPr>
      <w:rFonts w:ascii="Courier New" w:hAnsi="Courier New"/>
    </w:rPr>
  </w:style>
  <w:style w:type="numbering" w:customStyle="1" w:styleId="111">
    <w:name w:val="Статья / Раздел111"/>
    <w:pPr>
      <w:numPr>
        <w:numId w:val="32"/>
      </w:numPr>
    </w:pPr>
  </w:style>
  <w:style w:type="numbering" w:customStyle="1" w:styleId="2">
    <w:name w:val="Статья / Раздел2"/>
    <w:pPr>
      <w:numPr>
        <w:numId w:val="24"/>
      </w:numPr>
    </w:pPr>
  </w:style>
  <w:style w:type="numbering" w:customStyle="1" w:styleId="11111111">
    <w:name w:val="1 / 1.1 / 1.1.111"/>
    <w:pPr>
      <w:numPr>
        <w:numId w:val="28"/>
      </w:numPr>
    </w:pPr>
  </w:style>
  <w:style w:type="numbering" w:customStyle="1" w:styleId="1111112">
    <w:name w:val="1 / 1.1 / 1.1.12"/>
    <w:pPr>
      <w:numPr>
        <w:numId w:val="22"/>
      </w:numPr>
    </w:pPr>
  </w:style>
  <w:style w:type="numbering" w:customStyle="1" w:styleId="1ai11">
    <w:name w:val="1 / a / i11"/>
    <w:pPr>
      <w:numPr>
        <w:numId w:val="29"/>
      </w:numPr>
    </w:pPr>
  </w:style>
  <w:style w:type="numbering" w:customStyle="1" w:styleId="12">
    <w:name w:val="Стиль12"/>
    <w:pPr>
      <w:numPr>
        <w:numId w:val="25"/>
      </w:numPr>
    </w:pPr>
  </w:style>
  <w:style w:type="numbering" w:customStyle="1" w:styleId="1110">
    <w:name w:val="Стиль111"/>
    <w:pPr>
      <w:numPr>
        <w:numId w:val="30"/>
      </w:numPr>
    </w:pPr>
  </w:style>
  <w:style w:type="numbering" w:customStyle="1" w:styleId="1ai2">
    <w:name w:val="1 / a / i2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19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isclosure.ru/portal/files.aspx?id=43&amp;type=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-disclosure.ru/portal/files.aspx?id=43&amp;type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disclosure.ru/portal/files.aspx?id=43&amp;type=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D0C3D-B65B-4BB5-9B42-C3D99CF3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27707</Words>
  <Characters>157936</Characters>
  <Application>Microsoft Office Word</Application>
  <DocSecurity>0</DocSecurity>
  <Lines>1316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Ольга Валериевна</dc:creator>
  <cp:keywords/>
  <dc:description/>
  <cp:lastModifiedBy>Сафонова Ирина Сергеевна</cp:lastModifiedBy>
  <cp:revision>2</cp:revision>
  <cp:lastPrinted>2025-03-27T09:18:00Z</cp:lastPrinted>
  <dcterms:created xsi:type="dcterms:W3CDTF">2025-04-04T11:14:00Z</dcterms:created>
  <dcterms:modified xsi:type="dcterms:W3CDTF">2025-04-04T11:14:00Z</dcterms:modified>
</cp:coreProperties>
</file>